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2026年滁州轨道运营闸机散热风扇等票务系统通用备件采购项目（三年框架）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7</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2026年滁州轨道运营闸机散热风扇等票务系统通用备件采购项目（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0"/>
        </w:numPr>
        <w:spacing w:line="360" w:lineRule="auto"/>
        <w:ind w:left="425" w:leftChars="0" w:hanging="425" w:firstLineChars="0"/>
        <w:jc w:val="left"/>
        <w:rPr>
          <w:color w:val="auto"/>
          <w:kern w:val="0"/>
          <w:sz w:val="24"/>
          <w:szCs w:val="24"/>
          <w:highlight w:val="none"/>
        </w:rPr>
      </w:pPr>
      <w:r>
        <w:rPr>
          <w:rFonts w:hint="default" w:ascii="Times New Roman" w:hAnsi="Times New Roman" w:eastAsia="宋体" w:cs="Times New Roman"/>
          <w:color w:val="auto"/>
          <w:kern w:val="0"/>
          <w:sz w:val="24"/>
          <w:szCs w:val="24"/>
          <w:lang w:val="en-US" w:eastAsia="zh-CN" w:bidi="ar-SA"/>
        </w:rPr>
        <w:t>1</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2026年滁州轨道运营闸机散热风扇等票务系统通用备件采购项目（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510F71F0">
      <w:pPr>
        <w:widowControl/>
        <w:numPr>
          <w:ilvl w:val="0"/>
          <w:numId w:val="0"/>
        </w:numPr>
        <w:spacing w:line="360" w:lineRule="auto"/>
        <w:ind w:left="425" w:leftChars="0" w:hanging="425" w:firstLineChars="0"/>
        <w:jc w:val="left"/>
        <w:rPr>
          <w:rFonts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2</w:t>
      </w: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color w:val="auto"/>
          <w:sz w:val="24"/>
          <w:szCs w:val="24"/>
          <w:highlight w:val="none"/>
        </w:rPr>
      </w:pPr>
      <w:r>
        <w:rPr>
          <w:rFonts w:hint="default"/>
          <w:color w:val="auto"/>
          <w:sz w:val="24"/>
          <w:szCs w:val="24"/>
          <w:highlight w:val="none"/>
          <w:lang w:val="en-US" w:eastAsia="zh-CN"/>
        </w:rPr>
        <w:t>3.1</w:t>
      </w:r>
      <w:r>
        <w:rPr>
          <w:rFonts w:hint="eastAsia"/>
          <w:color w:val="auto"/>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254E097">
      <w:pPr>
        <w:widowControl/>
        <w:spacing w:line="360" w:lineRule="auto"/>
        <w:ind w:left="425" w:hanging="424" w:hangingChars="177"/>
        <w:jc w:val="left"/>
        <w:rPr>
          <w:color w:val="auto"/>
          <w:sz w:val="24"/>
          <w:szCs w:val="24"/>
          <w:highlight w:val="none"/>
        </w:rPr>
      </w:pPr>
      <w:r>
        <w:rPr>
          <w:rFonts w:hint="default" w:ascii="Times New Roman" w:hAnsi="Times New Roman" w:eastAsia="宋体" w:cs="Times New Roman"/>
          <w:color w:val="auto"/>
          <w:kern w:val="2"/>
          <w:sz w:val="24"/>
          <w:szCs w:val="24"/>
          <w:lang w:val="en-US" w:eastAsia="zh-CN" w:bidi="ar-SA"/>
        </w:rPr>
        <w:t>3.2</w:t>
      </w:r>
      <w:r>
        <w:rPr>
          <w:rFonts w:hint="eastAsia"/>
          <w:color w:val="auto"/>
          <w:sz w:val="24"/>
          <w:szCs w:val="24"/>
          <w:highlight w:val="none"/>
        </w:rPr>
        <w:t>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7</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8</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widowControl/>
        <w:numPr>
          <w:ilvl w:val="1"/>
          <w:numId w:val="0"/>
        </w:numPr>
        <w:spacing w:line="360" w:lineRule="auto"/>
        <w:ind w:left="567" w:leftChars="0" w:hanging="567" w:firstLineChars="0"/>
        <w:jc w:val="left"/>
        <w:rPr>
          <w:rFonts w:hint="eastAsia" w:eastAsia="宋体"/>
          <w:color w:val="auto"/>
          <w:sz w:val="24"/>
          <w:szCs w:val="24"/>
          <w:highlight w:val="none"/>
        </w:rPr>
      </w:pPr>
      <w:r>
        <w:rPr>
          <w:rFonts w:hint="default" w:ascii="Times New Roman" w:hAnsi="Times New Roman" w:eastAsia="宋体" w:cs="Times New Roman"/>
          <w:color w:val="auto"/>
          <w:kern w:val="2"/>
          <w:sz w:val="24"/>
          <w:szCs w:val="24"/>
          <w:lang w:val="en-US" w:eastAsia="zh-CN" w:bidi="ar-SA"/>
        </w:rPr>
        <w:t>3.3</w:t>
      </w:r>
      <w:r>
        <w:rPr>
          <w:rFonts w:hint="eastAsia" w:eastAsia="宋体"/>
          <w:color w:val="auto"/>
          <w:sz w:val="24"/>
          <w:szCs w:val="24"/>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widowControl/>
        <w:numPr>
          <w:ilvl w:val="0"/>
          <w:numId w:val="0"/>
        </w:numPr>
        <w:spacing w:line="360" w:lineRule="auto"/>
        <w:ind w:left="425" w:leftChars="0" w:hanging="425"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4</w:t>
      </w:r>
      <w:r>
        <w:rPr>
          <w:rFonts w:hint="eastAsia" w:hAnsi="宋体" w:eastAsia="宋体"/>
          <w:color w:val="auto"/>
          <w:kern w:val="0"/>
          <w:sz w:val="24"/>
          <w:szCs w:val="24"/>
          <w:highlight w:val="none"/>
          <w:lang w:val="en-US" w:eastAsia="zh-CN"/>
        </w:rPr>
        <w:t>报价截止时间</w:t>
      </w:r>
      <w:r>
        <w:rPr>
          <w:rFonts w:hint="eastAsia" w:hAnsi="宋体" w:eastAsia="宋体"/>
          <w:color w:val="auto"/>
          <w:kern w:val="0"/>
          <w:sz w:val="24"/>
          <w:szCs w:val="24"/>
          <w:highlight w:val="none"/>
        </w:rPr>
        <w:t>：</w:t>
      </w:r>
      <w:r>
        <w:rPr>
          <w:rFonts w:hint="eastAsia" w:hAnsi="宋体" w:eastAsia="宋体"/>
          <w:color w:val="auto"/>
          <w:kern w:val="0"/>
          <w:sz w:val="24"/>
          <w:szCs w:val="24"/>
          <w:highlight w:val="none"/>
          <w:u w:val="single"/>
        </w:rPr>
        <w:t>202</w:t>
      </w:r>
      <w:r>
        <w:rPr>
          <w:rFonts w:hint="eastAsia" w:hAnsi="宋体" w:eastAsia="宋体"/>
          <w:color w:val="auto"/>
          <w:kern w:val="0"/>
          <w:sz w:val="24"/>
          <w:szCs w:val="24"/>
          <w:highlight w:val="none"/>
          <w:u w:val="single"/>
          <w:lang w:val="en-US" w:eastAsia="zh-CN"/>
        </w:rPr>
        <w:t>6</w:t>
      </w:r>
      <w:r>
        <w:rPr>
          <w:rFonts w:hint="eastAsia" w:hAnsi="宋体" w:eastAsia="宋体"/>
          <w:color w:val="auto"/>
          <w:kern w:val="0"/>
          <w:sz w:val="24"/>
          <w:szCs w:val="24"/>
          <w:highlight w:val="none"/>
        </w:rPr>
        <w:t>年</w:t>
      </w:r>
      <w:r>
        <w:rPr>
          <w:rFonts w:hint="eastAsia" w:hAnsi="宋体"/>
          <w:color w:val="auto"/>
          <w:kern w:val="0"/>
          <w:sz w:val="24"/>
          <w:szCs w:val="24"/>
          <w:highlight w:val="none"/>
          <w:u w:val="single"/>
          <w:lang w:val="en-US" w:eastAsia="zh-CN"/>
        </w:rPr>
        <w:t>7</w:t>
      </w:r>
      <w:r>
        <w:rPr>
          <w:rFonts w:hint="eastAsia" w:hAnsi="宋体" w:eastAsia="宋体"/>
          <w:color w:val="auto"/>
          <w:kern w:val="0"/>
          <w:sz w:val="24"/>
          <w:szCs w:val="24"/>
          <w:highlight w:val="none"/>
        </w:rPr>
        <w:t>月</w:t>
      </w:r>
      <w:r>
        <w:rPr>
          <w:rFonts w:hint="eastAsia" w:hAnsi="宋体"/>
          <w:color w:val="auto"/>
          <w:kern w:val="0"/>
          <w:sz w:val="24"/>
          <w:szCs w:val="24"/>
          <w:highlight w:val="none"/>
          <w:u w:val="single"/>
          <w:lang w:val="en-US" w:eastAsia="zh-CN"/>
        </w:rPr>
        <w:t>15</w:t>
      </w:r>
      <w:r>
        <w:rPr>
          <w:rFonts w:hint="eastAsia" w:hAnsi="宋体" w:eastAsia="宋体"/>
          <w:color w:val="auto"/>
          <w:kern w:val="0"/>
          <w:sz w:val="24"/>
          <w:szCs w:val="24"/>
          <w:highlight w:val="none"/>
        </w:rPr>
        <w:t>日</w:t>
      </w:r>
      <w:r>
        <w:rPr>
          <w:rFonts w:hint="eastAsia" w:hAnsi="宋体" w:eastAsia="宋体"/>
          <w:color w:val="auto"/>
          <w:kern w:val="0"/>
          <w:sz w:val="24"/>
          <w:szCs w:val="24"/>
          <w:highlight w:val="none"/>
          <w:u w:val="none"/>
        </w:rPr>
        <w:t>14</w:t>
      </w:r>
      <w:r>
        <w:rPr>
          <w:rFonts w:hint="eastAsia" w:hAnsi="宋体" w:eastAsia="宋体"/>
          <w:color w:val="auto"/>
          <w:kern w:val="0"/>
          <w:sz w:val="24"/>
          <w:szCs w:val="24"/>
          <w:highlight w:val="none"/>
          <w:u w:val="none"/>
          <w:lang w:val="en-US" w:eastAsia="zh-CN"/>
        </w:rPr>
        <w:t>:</w:t>
      </w:r>
      <w:r>
        <w:rPr>
          <w:rFonts w:hint="eastAsia" w:hAnsi="宋体" w:eastAsia="宋体"/>
          <w:color w:val="auto"/>
          <w:kern w:val="0"/>
          <w:sz w:val="24"/>
          <w:szCs w:val="24"/>
          <w:highlight w:val="none"/>
          <w:u w:val="none"/>
        </w:rPr>
        <w:t>30</w:t>
      </w:r>
      <w:r>
        <w:rPr>
          <w:rFonts w:hint="eastAsia" w:hAnsi="宋体" w:eastAsia="宋体"/>
          <w:color w:val="auto"/>
          <w:kern w:val="0"/>
          <w:sz w:val="24"/>
          <w:szCs w:val="24"/>
          <w:highlight w:val="none"/>
        </w:rPr>
        <w:t>，报价文件送达的时间以采购人收到时间为准。</w:t>
      </w:r>
    </w:p>
    <w:p w14:paraId="4480F6D5">
      <w:pPr>
        <w:widowControl/>
        <w:numPr>
          <w:ilvl w:val="0"/>
          <w:numId w:val="0"/>
        </w:numPr>
        <w:spacing w:line="360" w:lineRule="auto"/>
        <w:ind w:left="425" w:leftChars="0" w:hanging="425"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5</w:t>
      </w:r>
      <w:r>
        <w:rPr>
          <w:rFonts w:hint="eastAsia" w:hAnsi="宋体" w:eastAsia="宋体"/>
          <w:color w:val="auto"/>
          <w:kern w:val="0"/>
          <w:sz w:val="24"/>
          <w:szCs w:val="24"/>
          <w:highlight w:val="none"/>
          <w:lang w:val="en-US" w:eastAsia="zh-CN"/>
        </w:rPr>
        <w:t>报价文件邮寄地点</w:t>
      </w:r>
      <w:r>
        <w:rPr>
          <w:rFonts w:hint="eastAsia" w:hAnsi="宋体" w:eastAsia="宋体"/>
          <w:color w:val="auto"/>
          <w:kern w:val="0"/>
          <w:sz w:val="24"/>
          <w:szCs w:val="24"/>
          <w:highlight w:val="none"/>
        </w:rPr>
        <w:t>：</w:t>
      </w:r>
      <w:r>
        <w:rPr>
          <w:rFonts w:hint="eastAsia" w:hAnsi="宋体" w:eastAsia="宋体"/>
          <w:color w:val="auto"/>
          <w:kern w:val="0"/>
          <w:sz w:val="24"/>
          <w:szCs w:val="24"/>
          <w:highlight w:val="none"/>
          <w:u w:val="single"/>
        </w:rPr>
        <w:t>安徽省滁州市南谯区徽州路701号滁宁城铁控制中心516室</w:t>
      </w:r>
      <w:r>
        <w:rPr>
          <w:rFonts w:hint="eastAsia" w:hAnsi="宋体" w:eastAsia="宋体"/>
          <w:color w:val="auto"/>
          <w:kern w:val="0"/>
          <w:sz w:val="24"/>
          <w:szCs w:val="24"/>
          <w:highlight w:val="none"/>
        </w:rPr>
        <w:t>。</w:t>
      </w:r>
    </w:p>
    <w:p w14:paraId="228A222C">
      <w:pPr>
        <w:widowControl/>
        <w:numPr>
          <w:ilvl w:val="0"/>
          <w:numId w:val="0"/>
        </w:numPr>
        <w:spacing w:line="360" w:lineRule="auto"/>
        <w:ind w:left="425" w:leftChars="0" w:hanging="425"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6</w:t>
      </w:r>
      <w:r>
        <w:rPr>
          <w:rFonts w:hint="eastAsia" w:hAnsi="宋体" w:eastAsia="宋体"/>
          <w:color w:val="auto"/>
          <w:kern w:val="0"/>
          <w:sz w:val="24"/>
          <w:szCs w:val="24"/>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伍佰柒拾元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15</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val="en-US" w:eastAsia="zh-CN"/>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numPr>
          <w:ilvl w:val="0"/>
          <w:numId w:val="0"/>
        </w:numPr>
        <w:spacing w:line="360" w:lineRule="auto"/>
        <w:ind w:left="425" w:leftChars="0" w:hanging="425"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7</w:t>
      </w:r>
      <w:r>
        <w:rPr>
          <w:rFonts w:hint="eastAsia" w:hAnsi="宋体" w:eastAsia="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7</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2026年滁州轨道运营闸机散热风扇等票务系统通用备件采购项目（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widowControl/>
        <w:numPr>
          <w:ilvl w:val="0"/>
          <w:numId w:val="0"/>
        </w:numPr>
        <w:spacing w:line="360" w:lineRule="auto"/>
        <w:ind w:left="425" w:leftChars="0" w:hanging="425"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1</w:t>
      </w:r>
      <w:r>
        <w:rPr>
          <w:rFonts w:hint="eastAsia" w:hAnsi="宋体" w:eastAsia="宋体"/>
          <w:color w:val="auto"/>
          <w:kern w:val="0"/>
          <w:sz w:val="24"/>
          <w:szCs w:val="24"/>
          <w:highlight w:val="none"/>
        </w:rPr>
        <w:t>报价注意事项</w:t>
      </w:r>
    </w:p>
    <w:p w14:paraId="6CF3C839">
      <w:pPr>
        <w:widowControl/>
        <w:numPr>
          <w:ilvl w:val="1"/>
          <w:numId w:val="0"/>
        </w:numPr>
        <w:spacing w:line="360" w:lineRule="auto"/>
        <w:ind w:left="567" w:leftChars="0" w:hanging="567"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1.1</w:t>
      </w:r>
      <w:r>
        <w:rPr>
          <w:rFonts w:hint="eastAsia" w:hAnsi="宋体" w:eastAsia="宋体"/>
          <w:color w:val="auto"/>
          <w:kern w:val="0"/>
          <w:sz w:val="24"/>
          <w:szCs w:val="24"/>
          <w:highlight w:val="none"/>
        </w:rPr>
        <w:t>本项目不接受联合体报价。</w:t>
      </w:r>
    </w:p>
    <w:p w14:paraId="5F551922">
      <w:pPr>
        <w:widowControl/>
        <w:numPr>
          <w:ilvl w:val="1"/>
          <w:numId w:val="0"/>
        </w:numPr>
        <w:spacing w:line="360" w:lineRule="auto"/>
        <w:ind w:left="567" w:leftChars="0" w:hanging="567"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1.2</w:t>
      </w:r>
      <w:r>
        <w:rPr>
          <w:rFonts w:hint="eastAsia" w:hAnsi="宋体" w:eastAsia="宋体"/>
          <w:color w:val="auto"/>
          <w:kern w:val="0"/>
          <w:sz w:val="24"/>
          <w:szCs w:val="24"/>
          <w:highlight w:val="none"/>
        </w:rPr>
        <w:t>报价须包含包装、运输、税金、装卸及相关服务等经需方验收合格之前发生的所有费用。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widowControl/>
        <w:numPr>
          <w:ilvl w:val="1"/>
          <w:numId w:val="0"/>
        </w:numPr>
        <w:spacing w:line="360" w:lineRule="auto"/>
        <w:ind w:left="567" w:leftChars="0" w:hanging="567"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1.8</w:t>
      </w:r>
      <w:r>
        <w:rPr>
          <w:rFonts w:hint="eastAsia" w:hAnsi="宋体" w:eastAsia="宋体"/>
          <w:color w:val="auto"/>
          <w:kern w:val="0"/>
          <w:sz w:val="24"/>
          <w:szCs w:val="24"/>
          <w:highlight w:val="none"/>
        </w:rPr>
        <w:t>其他相关约定详见第五章《合同条款》。</w:t>
      </w:r>
    </w:p>
    <w:p w14:paraId="5D73FFD4">
      <w:pPr>
        <w:widowControl/>
        <w:numPr>
          <w:ilvl w:val="0"/>
          <w:numId w:val="0"/>
        </w:numPr>
        <w:spacing w:line="360" w:lineRule="auto"/>
        <w:ind w:left="425" w:leftChars="0" w:hanging="425"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2</w:t>
      </w:r>
      <w:r>
        <w:rPr>
          <w:rFonts w:hint="eastAsia" w:hAnsi="宋体" w:eastAsia="宋体"/>
          <w:color w:val="auto"/>
          <w:kern w:val="0"/>
          <w:sz w:val="24"/>
          <w:szCs w:val="24"/>
          <w:highlight w:val="none"/>
        </w:rPr>
        <w:t>报价</w:t>
      </w:r>
    </w:p>
    <w:p w14:paraId="462A56F2">
      <w:pPr>
        <w:widowControl/>
        <w:numPr>
          <w:ilvl w:val="1"/>
          <w:numId w:val="0"/>
        </w:numPr>
        <w:spacing w:line="360" w:lineRule="auto"/>
        <w:ind w:left="567" w:leftChars="0" w:hanging="567"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2.1</w:t>
      </w:r>
      <w:r>
        <w:rPr>
          <w:rFonts w:hint="eastAsia" w:hAnsi="宋体" w:eastAsia="宋体"/>
          <w:color w:val="auto"/>
          <w:kern w:val="0"/>
          <w:sz w:val="24"/>
          <w:szCs w:val="24"/>
          <w:highlight w:val="none"/>
        </w:rPr>
        <w:t>报价方式：</w:t>
      </w:r>
      <w:r>
        <w:rPr>
          <w:rFonts w:hint="eastAsia" w:hAnsi="宋体" w:eastAsia="宋体"/>
          <w:b/>
          <w:bCs/>
          <w:color w:val="auto"/>
          <w:kern w:val="0"/>
          <w:sz w:val="24"/>
          <w:szCs w:val="24"/>
          <w:highlight w:val="none"/>
          <w:u w:val="single"/>
        </w:rPr>
        <w:t>书面密封报价</w:t>
      </w:r>
    </w:p>
    <w:p w14:paraId="61566BDC">
      <w:pPr>
        <w:widowControl/>
        <w:numPr>
          <w:ilvl w:val="1"/>
          <w:numId w:val="0"/>
        </w:numPr>
        <w:spacing w:line="360" w:lineRule="auto"/>
        <w:ind w:left="567" w:leftChars="0" w:hanging="567"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2.2</w:t>
      </w:r>
      <w:r>
        <w:rPr>
          <w:rFonts w:hint="eastAsia" w:hAnsi="宋体" w:eastAsia="宋体"/>
          <w:color w:val="auto"/>
          <w:kern w:val="0"/>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widowControl/>
        <w:numPr>
          <w:ilvl w:val="2"/>
          <w:numId w:val="0"/>
        </w:numPr>
        <w:spacing w:line="360" w:lineRule="auto"/>
        <w:ind w:left="709" w:leftChars="0" w:hanging="709"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2.2.1</w:t>
      </w:r>
      <w:r>
        <w:rPr>
          <w:rFonts w:hint="eastAsia" w:hAnsi="宋体" w:eastAsia="宋体"/>
          <w:color w:val="auto"/>
          <w:kern w:val="0"/>
          <w:sz w:val="24"/>
          <w:szCs w:val="24"/>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widowControl/>
        <w:numPr>
          <w:ilvl w:val="2"/>
          <w:numId w:val="0"/>
        </w:numPr>
        <w:spacing w:line="360" w:lineRule="auto"/>
        <w:ind w:left="709" w:leftChars="0" w:hanging="709"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2.2.2</w:t>
      </w:r>
      <w:r>
        <w:rPr>
          <w:rFonts w:hint="eastAsia" w:hAnsi="宋体" w:eastAsia="宋体"/>
          <w:color w:val="auto"/>
          <w:kern w:val="0"/>
          <w:sz w:val="24"/>
          <w:szCs w:val="24"/>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widowControl/>
        <w:numPr>
          <w:ilvl w:val="1"/>
          <w:numId w:val="0"/>
        </w:numPr>
        <w:spacing w:line="360" w:lineRule="auto"/>
        <w:ind w:left="567" w:leftChars="0" w:hanging="567"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2.3</w:t>
      </w:r>
      <w:r>
        <w:rPr>
          <w:rFonts w:hint="eastAsia" w:hAnsi="宋体" w:eastAsia="宋体"/>
          <w:color w:val="auto"/>
          <w:kern w:val="0"/>
          <w:sz w:val="24"/>
          <w:szCs w:val="24"/>
          <w:highlight w:val="none"/>
        </w:rPr>
        <w:t>报价文件包装方式</w:t>
      </w:r>
    </w:p>
    <w:p w14:paraId="6ED153F9">
      <w:pPr>
        <w:widowControl/>
        <w:numPr>
          <w:ilvl w:val="2"/>
          <w:numId w:val="0"/>
        </w:numPr>
        <w:spacing w:line="360" w:lineRule="auto"/>
        <w:ind w:left="709" w:leftChars="0" w:hanging="709" w:firstLineChars="0"/>
        <w:jc w:val="left"/>
        <w:rPr>
          <w:rFonts w:hint="eastAsia" w:hAnsi="宋体" w:eastAsia="宋体"/>
          <w:b/>
          <w:bCs/>
          <w:color w:val="auto"/>
          <w:kern w:val="0"/>
          <w:sz w:val="24"/>
          <w:szCs w:val="24"/>
          <w:highlight w:val="none"/>
        </w:rPr>
      </w:pPr>
      <w:r>
        <w:rPr>
          <w:rFonts w:hint="default" w:ascii="Times New Roman" w:hAnsi="宋体" w:eastAsia="宋体" w:cs="Times New Roman"/>
          <w:b/>
          <w:bCs/>
          <w:color w:val="auto"/>
          <w:kern w:val="0"/>
          <w:sz w:val="24"/>
          <w:szCs w:val="24"/>
          <w:lang w:val="en-US" w:eastAsia="zh-CN" w:bidi="ar-SA"/>
        </w:rPr>
        <w:t>2.3.1</w:t>
      </w:r>
      <w:r>
        <w:rPr>
          <w:rFonts w:hint="eastAsia" w:hAnsi="宋体" w:eastAsia="宋体"/>
          <w:b/>
          <w:bCs/>
          <w:color w:val="auto"/>
          <w:kern w:val="0"/>
          <w:sz w:val="24"/>
          <w:szCs w:val="24"/>
          <w:highlight w:val="none"/>
        </w:rPr>
        <w:t>报价人应将报价文件的密封部分与非密封部分分开进行包装，密封部分包装封口处应加盖法人公章，非密封部分包装封口处无需盖章。</w:t>
      </w:r>
    </w:p>
    <w:p w14:paraId="6F8F72B6">
      <w:pPr>
        <w:widowControl/>
        <w:numPr>
          <w:ilvl w:val="2"/>
          <w:numId w:val="0"/>
        </w:numPr>
        <w:spacing w:line="360" w:lineRule="auto"/>
        <w:ind w:left="709" w:leftChars="0" w:hanging="709" w:firstLineChars="0"/>
        <w:jc w:val="left"/>
        <w:rPr>
          <w:rFonts w:hint="eastAsia" w:hAnsi="宋体" w:eastAsia="宋体"/>
          <w:b/>
          <w:bCs/>
          <w:color w:val="auto"/>
          <w:kern w:val="0"/>
          <w:sz w:val="24"/>
          <w:szCs w:val="24"/>
          <w:highlight w:val="none"/>
        </w:rPr>
      </w:pPr>
      <w:r>
        <w:rPr>
          <w:rFonts w:hint="default" w:ascii="Times New Roman" w:hAnsi="宋体" w:eastAsia="宋体" w:cs="Times New Roman"/>
          <w:b/>
          <w:bCs/>
          <w:color w:val="auto"/>
          <w:kern w:val="0"/>
          <w:sz w:val="24"/>
          <w:szCs w:val="24"/>
          <w:lang w:val="en-US" w:eastAsia="zh-CN" w:bidi="ar-SA"/>
        </w:rPr>
        <w:t>2.3.2</w:t>
      </w:r>
      <w:r>
        <w:rPr>
          <w:rFonts w:hint="eastAsia" w:hAnsi="宋体" w:eastAsia="宋体"/>
          <w:b/>
          <w:bCs/>
          <w:color w:val="auto"/>
          <w:kern w:val="0"/>
          <w:sz w:val="24"/>
          <w:szCs w:val="24"/>
          <w:highlight w:val="none"/>
        </w:rPr>
        <w:t>报价人应将分别包装的密封部分与非密封部分再次合并进行包装，并在封口处加盖法人公章。</w:t>
      </w:r>
    </w:p>
    <w:p w14:paraId="6D30A8AD">
      <w:pPr>
        <w:widowControl/>
        <w:numPr>
          <w:ilvl w:val="2"/>
          <w:numId w:val="0"/>
        </w:numPr>
        <w:spacing w:line="360" w:lineRule="auto"/>
        <w:ind w:left="709" w:leftChars="0" w:hanging="709" w:firstLineChars="0"/>
        <w:jc w:val="left"/>
        <w:rPr>
          <w:rFonts w:hint="eastAsia" w:hAnsi="宋体" w:eastAsia="宋体"/>
          <w:b/>
          <w:bCs/>
          <w:color w:val="auto"/>
          <w:kern w:val="0"/>
          <w:sz w:val="24"/>
          <w:szCs w:val="24"/>
          <w:highlight w:val="none"/>
        </w:rPr>
      </w:pPr>
      <w:r>
        <w:rPr>
          <w:rFonts w:hint="default" w:ascii="Times New Roman" w:hAnsi="宋体" w:eastAsia="宋体" w:cs="Times New Roman"/>
          <w:b/>
          <w:bCs/>
          <w:color w:val="auto"/>
          <w:kern w:val="0"/>
          <w:sz w:val="24"/>
          <w:szCs w:val="24"/>
          <w:lang w:val="en-US" w:eastAsia="zh-CN" w:bidi="ar-SA"/>
        </w:rPr>
        <w:t>2.3.3</w:t>
      </w:r>
      <w:r>
        <w:rPr>
          <w:rFonts w:hint="eastAsia" w:hAnsi="宋体" w:eastAsia="宋体"/>
          <w:b/>
          <w:bCs/>
          <w:color w:val="auto"/>
          <w:kern w:val="0"/>
          <w:sz w:val="24"/>
          <w:szCs w:val="24"/>
          <w:highlight w:val="none"/>
        </w:rPr>
        <w:t xml:space="preserve">非密封部分应装订成册，以便于查阅和管理。 </w:t>
      </w:r>
    </w:p>
    <w:p w14:paraId="7EC3D8B9">
      <w:pPr>
        <w:widowControl/>
        <w:numPr>
          <w:ilvl w:val="0"/>
          <w:numId w:val="0"/>
        </w:numPr>
        <w:spacing w:line="360" w:lineRule="auto"/>
        <w:ind w:left="425" w:leftChars="0" w:hanging="425"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3</w:t>
      </w:r>
      <w:r>
        <w:rPr>
          <w:rFonts w:hint="eastAsia" w:hAnsi="宋体" w:eastAsia="宋体"/>
          <w:color w:val="auto"/>
          <w:kern w:val="0"/>
          <w:sz w:val="24"/>
          <w:szCs w:val="24"/>
          <w:highlight w:val="none"/>
        </w:rPr>
        <w:t>评审</w:t>
      </w:r>
    </w:p>
    <w:p w14:paraId="3A5E365B">
      <w:pPr>
        <w:widowControl/>
        <w:numPr>
          <w:ilvl w:val="1"/>
          <w:numId w:val="0"/>
        </w:numPr>
        <w:spacing w:line="360" w:lineRule="auto"/>
        <w:ind w:left="567" w:leftChars="0" w:hanging="567"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3.1</w:t>
      </w:r>
      <w:r>
        <w:rPr>
          <w:rFonts w:hint="eastAsia" w:hAnsi="宋体" w:eastAsia="宋体"/>
          <w:color w:val="auto"/>
          <w:kern w:val="0"/>
          <w:sz w:val="24"/>
          <w:szCs w:val="24"/>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widowControl/>
        <w:numPr>
          <w:ilvl w:val="1"/>
          <w:numId w:val="0"/>
        </w:numPr>
        <w:spacing w:line="360" w:lineRule="auto"/>
        <w:ind w:left="567" w:leftChars="0" w:hanging="567"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3.2</w:t>
      </w:r>
      <w:r>
        <w:rPr>
          <w:rFonts w:hint="eastAsia" w:hAnsi="宋体" w:eastAsia="宋体"/>
          <w:color w:val="auto"/>
          <w:kern w:val="0"/>
          <w:sz w:val="24"/>
          <w:szCs w:val="24"/>
          <w:highlight w:val="none"/>
        </w:rPr>
        <w:t>评审步骤</w:t>
      </w:r>
    </w:p>
    <w:p w14:paraId="7E1C51EC">
      <w:pPr>
        <w:widowControl/>
        <w:numPr>
          <w:ilvl w:val="2"/>
          <w:numId w:val="0"/>
        </w:numPr>
        <w:spacing w:line="360" w:lineRule="auto"/>
        <w:ind w:left="709" w:leftChars="0" w:hanging="709"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3.2.1</w:t>
      </w:r>
      <w:r>
        <w:rPr>
          <w:rFonts w:hint="eastAsia" w:hAnsi="宋体" w:eastAsia="宋体"/>
          <w:color w:val="auto"/>
          <w:kern w:val="0"/>
          <w:sz w:val="24"/>
          <w:szCs w:val="24"/>
          <w:highlight w:val="none"/>
        </w:rPr>
        <w:t>初步评审</w:t>
      </w:r>
    </w:p>
    <w:p w14:paraId="1F7FBAFB">
      <w:pPr>
        <w:keepNext w:val="0"/>
        <w:keepLines w:val="0"/>
        <w:pageBreakBefore w:val="0"/>
        <w:widowControl/>
        <w:numPr>
          <w:ilvl w:val="3"/>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3.2.1.1</w:t>
      </w:r>
      <w:r>
        <w:rPr>
          <w:rFonts w:hint="eastAsia" w:hAnsi="宋体" w:eastAsia="宋体"/>
          <w:color w:val="auto"/>
          <w:kern w:val="0"/>
          <w:sz w:val="24"/>
          <w:szCs w:val="24"/>
          <w:highlight w:val="none"/>
        </w:rPr>
        <w:t>评审小组按照询价文件规定的报价人资格要求对所有报价人进行资格审查，报价人必须同时符合报价文件规定的所有资格条件，报价人有任何一项不符合的，其资格审查不通过。</w:t>
      </w:r>
    </w:p>
    <w:p w14:paraId="0234E68F">
      <w:pPr>
        <w:keepNext w:val="0"/>
        <w:keepLines w:val="0"/>
        <w:pageBreakBefore w:val="0"/>
        <w:widowControl/>
        <w:numPr>
          <w:ilvl w:val="3"/>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3.2.1.2</w:t>
      </w:r>
      <w:r>
        <w:rPr>
          <w:rFonts w:hint="eastAsia" w:hAnsi="宋体" w:eastAsia="宋体"/>
          <w:color w:val="auto"/>
          <w:kern w:val="0"/>
          <w:sz w:val="24"/>
          <w:szCs w:val="24"/>
          <w:highlight w:val="none"/>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widowControl/>
        <w:numPr>
          <w:ilvl w:val="3"/>
          <w:numId w:val="0"/>
        </w:numPr>
        <w:spacing w:line="360" w:lineRule="auto"/>
        <w:ind w:left="850" w:leftChars="0" w:hanging="850"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3.2.1.3</w:t>
      </w:r>
      <w:r>
        <w:rPr>
          <w:rFonts w:hint="eastAsia" w:hAnsi="宋体" w:eastAsia="宋体"/>
          <w:color w:val="auto"/>
          <w:kern w:val="0"/>
          <w:sz w:val="24"/>
          <w:szCs w:val="24"/>
          <w:highlight w:val="none"/>
        </w:rPr>
        <w:t xml:space="preserve">算术性修正 </w:t>
      </w:r>
    </w:p>
    <w:p w14:paraId="6C15CAE1">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本次报价评审前，采购人可根据现场实际需要，有权取消部分采购条目或增减采购数量，并对所有报价人的报价（单价不变）进行修正。</w:t>
      </w:r>
    </w:p>
    <w:p w14:paraId="1B151273">
      <w:pPr>
        <w:widowControl/>
        <w:numPr>
          <w:ilvl w:val="2"/>
          <w:numId w:val="0"/>
        </w:numPr>
        <w:spacing w:line="360" w:lineRule="auto"/>
        <w:ind w:left="709" w:leftChars="0" w:hanging="709"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3.2.2</w:t>
      </w:r>
      <w:r>
        <w:rPr>
          <w:rFonts w:hint="eastAsia" w:hAnsi="宋体" w:eastAsia="宋体"/>
          <w:color w:val="auto"/>
          <w:kern w:val="0"/>
          <w:sz w:val="24"/>
          <w:szCs w:val="24"/>
          <w:highlight w:val="none"/>
        </w:rPr>
        <w:t>价格评审</w:t>
      </w:r>
    </w:p>
    <w:p w14:paraId="1271913C">
      <w:pPr>
        <w:widowControl/>
        <w:numPr>
          <w:ilvl w:val="3"/>
          <w:numId w:val="0"/>
        </w:numPr>
        <w:spacing w:line="360" w:lineRule="auto"/>
        <w:ind w:left="850" w:leftChars="0" w:hanging="850"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3.2.2.1</w:t>
      </w:r>
      <w:r>
        <w:rPr>
          <w:rFonts w:hint="eastAsia" w:hAnsi="宋体" w:eastAsia="宋体"/>
          <w:color w:val="auto"/>
          <w:kern w:val="0"/>
          <w:sz w:val="24"/>
          <w:szCs w:val="24"/>
          <w:highlight w:val="none"/>
        </w:rPr>
        <w:t>对通过初步评审的报价人的预估量总报价（不含税）进行比较，预估量总报价（不含税）最低的报价人推荐为本项目第一成交候选人，次低者推荐为第二成交候选人，依次类推。</w:t>
      </w:r>
    </w:p>
    <w:p w14:paraId="29DD5AE7">
      <w:pPr>
        <w:widowControl/>
        <w:numPr>
          <w:ilvl w:val="3"/>
          <w:numId w:val="0"/>
        </w:numPr>
        <w:spacing w:line="360" w:lineRule="auto"/>
        <w:ind w:left="850" w:leftChars="0" w:hanging="850" w:firstLineChars="0"/>
        <w:jc w:val="left"/>
        <w:rPr>
          <w:rFonts w:hint="eastAsia" w:hAnsi="宋体" w:eastAsia="宋体"/>
          <w:color w:val="auto"/>
          <w:kern w:val="0"/>
          <w:sz w:val="24"/>
          <w:szCs w:val="24"/>
          <w:highlight w:val="none"/>
        </w:rPr>
      </w:pPr>
      <w:r>
        <w:rPr>
          <w:rFonts w:hint="default" w:ascii="Times New Roman" w:hAnsi="宋体" w:eastAsia="宋体" w:cs="Times New Roman"/>
          <w:color w:val="auto"/>
          <w:kern w:val="0"/>
          <w:sz w:val="24"/>
          <w:szCs w:val="24"/>
          <w:lang w:val="en-US" w:eastAsia="zh-CN" w:bidi="ar-SA"/>
        </w:rPr>
        <w:t>3.2.2.2</w:t>
      </w:r>
      <w:r>
        <w:rPr>
          <w:rFonts w:hint="eastAsia" w:hAnsi="宋体" w:eastAsia="宋体"/>
          <w:color w:val="auto"/>
          <w:kern w:val="0"/>
          <w:sz w:val="24"/>
          <w:szCs w:val="24"/>
          <w:highlight w:val="none"/>
        </w:rPr>
        <w:t>如遇预估量总报价（不含税）相等时，按照注册资本由大到小排序。</w:t>
      </w:r>
    </w:p>
    <w:p w14:paraId="2E40DB5F">
      <w:pPr>
        <w:widowControl/>
        <w:numPr>
          <w:ilvl w:val="0"/>
          <w:numId w:val="0"/>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default" w:ascii="Times New Roman" w:hAnsi="宋体" w:eastAsia="宋体" w:cs="Times New Roman"/>
          <w:color w:val="auto"/>
          <w:kern w:val="0"/>
          <w:sz w:val="24"/>
          <w:szCs w:val="24"/>
          <w:lang w:val="en-US" w:eastAsia="zh-CN" w:bidi="ar-SA"/>
        </w:rPr>
        <w:t>4</w:t>
      </w:r>
      <w:r>
        <w:rPr>
          <w:rFonts w:hint="eastAsia" w:hAnsi="宋体" w:eastAsia="宋体"/>
          <w:color w:val="auto"/>
          <w:kern w:val="0"/>
          <w:sz w:val="24"/>
          <w:szCs w:val="24"/>
          <w:highlight w:val="none"/>
          <w:lang w:val="en-US" w:eastAsia="zh-CN"/>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numPr>
          <w:ilvl w:val="0"/>
          <w:numId w:val="0"/>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default" w:ascii="Times New Roman" w:hAnsi="宋体" w:eastAsia="宋体" w:cs="Times New Roman"/>
          <w:color w:val="auto"/>
          <w:kern w:val="0"/>
          <w:sz w:val="24"/>
          <w:szCs w:val="24"/>
          <w:lang w:val="en-US" w:eastAsia="zh-CN" w:bidi="ar-SA"/>
        </w:rPr>
        <w:t>5</w:t>
      </w:r>
      <w:r>
        <w:rPr>
          <w:rFonts w:hint="eastAsia" w:hAnsi="宋体" w:eastAsia="宋体"/>
          <w:color w:val="auto"/>
          <w:kern w:val="0"/>
          <w:sz w:val="24"/>
          <w:szCs w:val="24"/>
          <w:highlight w:val="none"/>
          <w:lang w:val="en-US" w:eastAsia="zh-CN"/>
        </w:rPr>
        <w:t>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numPr>
          <w:ilvl w:val="0"/>
          <w:numId w:val="0"/>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default" w:ascii="Times New Roman" w:hAnsi="宋体" w:eastAsia="宋体" w:cs="Times New Roman"/>
          <w:color w:val="auto"/>
          <w:kern w:val="0"/>
          <w:sz w:val="24"/>
          <w:szCs w:val="24"/>
          <w:lang w:val="en-US" w:eastAsia="zh-CN" w:bidi="ar-SA"/>
        </w:rPr>
        <w:t>6</w:t>
      </w:r>
      <w:r>
        <w:rPr>
          <w:rFonts w:hint="eastAsia" w:hAnsi="宋体" w:eastAsia="宋体"/>
          <w:color w:val="auto"/>
          <w:kern w:val="0"/>
          <w:sz w:val="24"/>
          <w:szCs w:val="24"/>
          <w:highlight w:val="none"/>
          <w:lang w:val="en-US" w:eastAsia="zh-CN"/>
        </w:rPr>
        <w:t>合同签订</w:t>
      </w:r>
    </w:p>
    <w:p w14:paraId="7085D1EA">
      <w:pPr>
        <w:widowControl/>
        <w:numPr>
          <w:ilvl w:val="1"/>
          <w:numId w:val="0"/>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default" w:ascii="Times New Roman" w:hAnsi="宋体" w:eastAsia="宋体" w:cs="Times New Roman"/>
          <w:color w:val="auto"/>
          <w:kern w:val="0"/>
          <w:sz w:val="24"/>
          <w:szCs w:val="24"/>
          <w:lang w:val="en-US" w:eastAsia="zh-CN" w:bidi="ar-SA"/>
        </w:rPr>
        <w:t>6.1</w:t>
      </w:r>
      <w:r>
        <w:rPr>
          <w:rFonts w:hint="eastAsia" w:hAnsi="宋体" w:eastAsia="宋体"/>
          <w:color w:val="auto"/>
          <w:kern w:val="0"/>
          <w:sz w:val="24"/>
          <w:szCs w:val="24"/>
          <w:highlight w:val="none"/>
          <w:lang w:val="en-US" w:eastAsia="zh-CN"/>
        </w:rPr>
        <w:t>成交供应商须在接到电话通知后30日内按报价承诺与采购人签订合同，否则其报价保证金不予退还。</w:t>
      </w:r>
    </w:p>
    <w:p w14:paraId="6545F890">
      <w:pPr>
        <w:widowControl/>
        <w:numPr>
          <w:ilvl w:val="1"/>
          <w:numId w:val="0"/>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default" w:ascii="Times New Roman" w:hAnsi="宋体" w:eastAsia="宋体" w:cs="Times New Roman"/>
          <w:color w:val="auto"/>
          <w:kern w:val="0"/>
          <w:sz w:val="24"/>
          <w:szCs w:val="24"/>
          <w:lang w:val="en-US" w:eastAsia="zh-CN" w:bidi="ar-SA"/>
        </w:rPr>
        <w:t>6.2</w:t>
      </w:r>
      <w:r>
        <w:rPr>
          <w:rFonts w:hint="eastAsia" w:hAnsi="宋体" w:eastAsia="宋体"/>
          <w:color w:val="auto"/>
          <w:kern w:val="0"/>
          <w:sz w:val="24"/>
          <w:szCs w:val="24"/>
          <w:highlight w:val="none"/>
          <w:lang w:val="en-US" w:eastAsia="zh-CN"/>
        </w:rPr>
        <w:t>合同签订时，采购人可根据需要有权对部分内容作局部调整或变更，但需经双方共同认定。</w:t>
      </w:r>
    </w:p>
    <w:p w14:paraId="36A767CB">
      <w:pPr>
        <w:widowControl/>
        <w:numPr>
          <w:ilvl w:val="1"/>
          <w:numId w:val="0"/>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default" w:ascii="Times New Roman" w:hAnsi="宋体" w:eastAsia="宋体" w:cs="Times New Roman"/>
          <w:color w:val="auto"/>
          <w:kern w:val="0"/>
          <w:sz w:val="24"/>
          <w:szCs w:val="24"/>
          <w:lang w:val="en-US" w:eastAsia="zh-CN" w:bidi="ar-SA"/>
        </w:rPr>
        <w:t>6.3</w:t>
      </w:r>
      <w:r>
        <w:rPr>
          <w:rFonts w:hint="eastAsia" w:hAnsi="宋体" w:eastAsia="宋体"/>
          <w:color w:val="auto"/>
          <w:kern w:val="0"/>
          <w:sz w:val="24"/>
          <w:szCs w:val="24"/>
          <w:highlight w:val="none"/>
          <w:lang w:val="en-US" w:eastAsia="zh-CN"/>
        </w:rPr>
        <w:t>若成交供应商放弃成交项目或擅自在签订合同中改变最终承诺条款时，由采购人在成交候选人中重新确定成交供应商。</w:t>
      </w:r>
    </w:p>
    <w:p w14:paraId="52D98A70">
      <w:pPr>
        <w:widowControl/>
        <w:numPr>
          <w:ilvl w:val="1"/>
          <w:numId w:val="0"/>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default" w:ascii="Times New Roman" w:hAnsi="宋体" w:eastAsia="宋体" w:cs="Times New Roman"/>
          <w:color w:val="auto"/>
          <w:kern w:val="0"/>
          <w:sz w:val="24"/>
          <w:szCs w:val="24"/>
          <w:lang w:val="en-US" w:eastAsia="zh-CN" w:bidi="ar-SA"/>
        </w:rPr>
        <w:t>6.4</w:t>
      </w:r>
      <w:r>
        <w:rPr>
          <w:rFonts w:hint="eastAsia" w:hAnsi="宋体" w:eastAsia="宋体"/>
          <w:color w:val="auto"/>
          <w:kern w:val="0"/>
          <w:sz w:val="24"/>
          <w:szCs w:val="24"/>
          <w:highlight w:val="none"/>
          <w:lang w:val="en-US" w:eastAsia="zh-CN"/>
        </w:rPr>
        <w:t>本项目拟与成交供应商签订</w:t>
      </w:r>
      <w:r>
        <w:rPr>
          <w:rFonts w:hint="eastAsia" w:hAnsi="宋体" w:eastAsia="宋体"/>
          <w:b/>
          <w:bCs/>
          <w:color w:val="auto"/>
          <w:kern w:val="0"/>
          <w:sz w:val="24"/>
          <w:szCs w:val="24"/>
          <w:highlight w:val="none"/>
          <w:lang w:val="en-US" w:eastAsia="zh-CN"/>
        </w:rPr>
        <w:t>三年期</w:t>
      </w:r>
      <w:r>
        <w:rPr>
          <w:rFonts w:hint="eastAsia" w:hAnsi="宋体" w:eastAsia="宋体"/>
          <w:color w:val="auto"/>
          <w:kern w:val="0"/>
          <w:sz w:val="24"/>
          <w:szCs w:val="24"/>
          <w:highlight w:val="none"/>
          <w:lang w:val="en-US" w:eastAsia="zh-CN"/>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闸机散热风扇等票务系统通用备件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2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1884"/>
        <w:gridCol w:w="2414"/>
        <w:gridCol w:w="3427"/>
        <w:gridCol w:w="744"/>
        <w:gridCol w:w="1032"/>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88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241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3427"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744"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1032"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706"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1884" w:type="dxa"/>
            <w:shd w:val="clear" w:color="000000" w:fill="FFFFFF"/>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32010001018002</w:t>
            </w:r>
          </w:p>
        </w:tc>
        <w:tc>
          <w:tcPr>
            <w:tcW w:w="2414" w:type="dxa"/>
            <w:shd w:val="clear" w:color="000000" w:fill="FFFFFF"/>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整件滤波器</w:t>
            </w:r>
          </w:p>
        </w:tc>
        <w:tc>
          <w:tcPr>
            <w:tcW w:w="3427" w:type="dxa"/>
            <w:shd w:val="clear" w:color="000000" w:fill="FFFFFF"/>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规格参数：85*52*30mm；额定电压：250VAC、额定电流：10A；参考型号：ZYH-XEM-10A。</w:t>
            </w:r>
          </w:p>
        </w:tc>
        <w:tc>
          <w:tcPr>
            <w:tcW w:w="744" w:type="dxa"/>
            <w:shd w:val="clear" w:color="000000" w:fill="FFFFFF"/>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000000" w:fill="FFFFFF"/>
            <w:vAlign w:val="center"/>
          </w:tcPr>
          <w:p w14:paraId="29B61FF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19560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7" w:hRule="atLeast"/>
          <w:jc w:val="center"/>
        </w:trPr>
        <w:tc>
          <w:tcPr>
            <w:tcW w:w="706" w:type="dxa"/>
            <w:shd w:val="clear" w:color="auto" w:fill="auto"/>
            <w:vAlign w:val="center"/>
          </w:tcPr>
          <w:p w14:paraId="7CB63ED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1884" w:type="dxa"/>
            <w:shd w:val="clear" w:color="000000" w:fill="FFFFFF"/>
            <w:vAlign w:val="center"/>
          </w:tcPr>
          <w:p w14:paraId="68F8EAA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32010001018003</w:t>
            </w:r>
          </w:p>
        </w:tc>
        <w:tc>
          <w:tcPr>
            <w:tcW w:w="2414" w:type="dxa"/>
            <w:shd w:val="clear" w:color="000000" w:fill="FFFFFF"/>
            <w:vAlign w:val="center"/>
          </w:tcPr>
          <w:p w14:paraId="043EEFB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五孔插座</w:t>
            </w:r>
          </w:p>
        </w:tc>
        <w:tc>
          <w:tcPr>
            <w:tcW w:w="3427" w:type="dxa"/>
            <w:shd w:val="clear" w:color="000000" w:fill="FFFFFF"/>
            <w:vAlign w:val="center"/>
          </w:tcPr>
          <w:p w14:paraId="2549B0F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额定电流10A、额定电压250VAC安装方式：导轨安装接线方式：压板式；规格参数：长36*宽44*高78mm，参考型号：AC30-10530。</w:t>
            </w:r>
          </w:p>
        </w:tc>
        <w:tc>
          <w:tcPr>
            <w:tcW w:w="744" w:type="dxa"/>
            <w:shd w:val="clear" w:color="000000" w:fill="FFFFFF"/>
            <w:vAlign w:val="center"/>
          </w:tcPr>
          <w:p w14:paraId="283AFE9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000000" w:fill="FFFFFF"/>
            <w:vAlign w:val="center"/>
          </w:tcPr>
          <w:p w14:paraId="625BDFD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14:paraId="726CF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jc w:val="center"/>
        </w:trPr>
        <w:tc>
          <w:tcPr>
            <w:tcW w:w="706" w:type="dxa"/>
            <w:shd w:val="clear" w:color="auto" w:fill="auto"/>
            <w:vAlign w:val="center"/>
          </w:tcPr>
          <w:p w14:paraId="25250D7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1884" w:type="dxa"/>
            <w:shd w:val="clear" w:color="000000" w:fill="FFFFFF"/>
            <w:vAlign w:val="center"/>
          </w:tcPr>
          <w:p w14:paraId="45A0DE0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32010001088001</w:t>
            </w:r>
          </w:p>
        </w:tc>
        <w:tc>
          <w:tcPr>
            <w:tcW w:w="2414" w:type="dxa"/>
            <w:shd w:val="clear" w:color="000000" w:fill="FFFFFF"/>
            <w:vAlign w:val="center"/>
          </w:tcPr>
          <w:p w14:paraId="5C82BBC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乘客显示屏</w:t>
            </w:r>
          </w:p>
        </w:tc>
        <w:tc>
          <w:tcPr>
            <w:tcW w:w="3427" w:type="dxa"/>
            <w:shd w:val="clear" w:color="000000" w:fill="FFFFFF"/>
            <w:vAlign w:val="center"/>
          </w:tcPr>
          <w:p w14:paraId="1E66AB3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15.6英寸VGA接口显示器（带75*75mm背挂孔、可拆卸底座）、额定电压/电流：12V/2A，参考型号：上海励益智能SR-G150。</w:t>
            </w:r>
          </w:p>
        </w:tc>
        <w:tc>
          <w:tcPr>
            <w:tcW w:w="744" w:type="dxa"/>
            <w:shd w:val="clear" w:color="000000" w:fill="FFFFFF"/>
            <w:vAlign w:val="center"/>
          </w:tcPr>
          <w:p w14:paraId="122C306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000000" w:fill="FFFFFF"/>
            <w:vAlign w:val="center"/>
          </w:tcPr>
          <w:p w14:paraId="66C9C73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r>
      <w:tr w14:paraId="3DE7A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jc w:val="center"/>
        </w:trPr>
        <w:tc>
          <w:tcPr>
            <w:tcW w:w="706" w:type="dxa"/>
            <w:shd w:val="clear" w:color="auto" w:fill="auto"/>
            <w:vAlign w:val="center"/>
          </w:tcPr>
          <w:p w14:paraId="1F4E936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1884" w:type="dxa"/>
            <w:shd w:val="clear" w:color="000000" w:fill="FFFFFF"/>
            <w:vAlign w:val="center"/>
          </w:tcPr>
          <w:p w14:paraId="29247B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32010001088002</w:t>
            </w:r>
          </w:p>
        </w:tc>
        <w:tc>
          <w:tcPr>
            <w:tcW w:w="2414" w:type="dxa"/>
            <w:shd w:val="clear" w:color="000000" w:fill="FFFFFF"/>
            <w:vAlign w:val="center"/>
          </w:tcPr>
          <w:p w14:paraId="35794F5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乘客显示屏</w:t>
            </w:r>
          </w:p>
        </w:tc>
        <w:tc>
          <w:tcPr>
            <w:tcW w:w="3427" w:type="dxa"/>
            <w:shd w:val="clear" w:color="000000" w:fill="FFFFFF"/>
            <w:vAlign w:val="center"/>
          </w:tcPr>
          <w:p w14:paraId="54E08FA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14英寸VGA接口显示器（带可拆卸底座）额定电压/电流：12V/2A，参考型号：上海励益智能SR-A104DV。</w:t>
            </w:r>
          </w:p>
        </w:tc>
        <w:tc>
          <w:tcPr>
            <w:tcW w:w="744" w:type="dxa"/>
            <w:shd w:val="clear" w:color="000000" w:fill="FFFFFF"/>
            <w:vAlign w:val="center"/>
          </w:tcPr>
          <w:p w14:paraId="1271F51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000000" w:fill="FFFFFF"/>
            <w:vAlign w:val="center"/>
          </w:tcPr>
          <w:p w14:paraId="143B8E2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r>
      <w:tr w14:paraId="14AF6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706" w:type="dxa"/>
            <w:shd w:val="clear" w:color="auto" w:fill="auto"/>
            <w:vAlign w:val="center"/>
          </w:tcPr>
          <w:p w14:paraId="7BADF70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884" w:type="dxa"/>
            <w:shd w:val="clear" w:color="000000" w:fill="FFFFFF"/>
            <w:vAlign w:val="center"/>
          </w:tcPr>
          <w:p w14:paraId="6EB49C2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32010001148001</w:t>
            </w:r>
          </w:p>
        </w:tc>
        <w:tc>
          <w:tcPr>
            <w:tcW w:w="2414" w:type="dxa"/>
            <w:shd w:val="clear" w:color="000000" w:fill="FFFFFF"/>
            <w:vAlign w:val="center"/>
          </w:tcPr>
          <w:p w14:paraId="6BF7494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蜂鸣器</w:t>
            </w:r>
          </w:p>
        </w:tc>
        <w:tc>
          <w:tcPr>
            <w:tcW w:w="3427" w:type="dxa"/>
            <w:shd w:val="clear" w:color="000000" w:fill="FFFFFF"/>
            <w:vAlign w:val="center"/>
          </w:tcPr>
          <w:p w14:paraId="24642A0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压电式有源蜂鸣器，规格参数：60*16*Φ40mm额定电压：24VDC参考型号：HYD-4216。</w:t>
            </w:r>
          </w:p>
        </w:tc>
        <w:tc>
          <w:tcPr>
            <w:tcW w:w="744" w:type="dxa"/>
            <w:shd w:val="clear" w:color="000000" w:fill="FFFFFF"/>
            <w:vAlign w:val="center"/>
          </w:tcPr>
          <w:p w14:paraId="240192F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000000" w:fill="FFFFFF"/>
            <w:vAlign w:val="center"/>
          </w:tcPr>
          <w:p w14:paraId="60ECE0C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1EA95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706" w:type="dxa"/>
            <w:shd w:val="clear" w:color="auto" w:fill="auto"/>
            <w:vAlign w:val="center"/>
          </w:tcPr>
          <w:p w14:paraId="55A5980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1884" w:type="dxa"/>
            <w:shd w:val="clear" w:color="000000" w:fill="FFFFFF"/>
            <w:vAlign w:val="center"/>
          </w:tcPr>
          <w:p w14:paraId="039F7B3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32010001148002</w:t>
            </w:r>
          </w:p>
        </w:tc>
        <w:tc>
          <w:tcPr>
            <w:tcW w:w="2414" w:type="dxa"/>
            <w:shd w:val="clear" w:color="000000" w:fill="FFFFFF"/>
            <w:vAlign w:val="center"/>
          </w:tcPr>
          <w:p w14:paraId="65CA7D1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闸机散热风扇</w:t>
            </w:r>
          </w:p>
        </w:tc>
        <w:tc>
          <w:tcPr>
            <w:tcW w:w="3427" w:type="dxa"/>
            <w:shd w:val="clear" w:color="000000" w:fill="FFFFFF"/>
            <w:vAlign w:val="center"/>
          </w:tcPr>
          <w:p w14:paraId="0E0C1D3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额定电流：0.36A、额定电压：24VDC规格参数：60*60*25mm，参考型号：AFB0624EH。</w:t>
            </w:r>
          </w:p>
        </w:tc>
        <w:tc>
          <w:tcPr>
            <w:tcW w:w="744" w:type="dxa"/>
            <w:shd w:val="clear" w:color="000000" w:fill="FFFFFF"/>
            <w:vAlign w:val="center"/>
          </w:tcPr>
          <w:p w14:paraId="0FF8B93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000000" w:fill="FFFFFF"/>
            <w:vAlign w:val="center"/>
          </w:tcPr>
          <w:p w14:paraId="1F084AB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w:t>
            </w:r>
          </w:p>
        </w:tc>
      </w:tr>
      <w:tr w14:paraId="62A33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4A79B1C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1884" w:type="dxa"/>
            <w:shd w:val="clear" w:color="000000" w:fill="FFFFFF"/>
            <w:vAlign w:val="center"/>
          </w:tcPr>
          <w:p w14:paraId="1EBE5F5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32010002058001</w:t>
            </w:r>
          </w:p>
        </w:tc>
        <w:tc>
          <w:tcPr>
            <w:tcW w:w="2414" w:type="dxa"/>
            <w:shd w:val="clear" w:color="000000" w:fill="FFFFFF"/>
            <w:vAlign w:val="center"/>
          </w:tcPr>
          <w:p w14:paraId="42D3D5B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TVM硬币投币口电磁铁</w:t>
            </w:r>
          </w:p>
        </w:tc>
        <w:tc>
          <w:tcPr>
            <w:tcW w:w="3427" w:type="dxa"/>
            <w:shd w:val="clear" w:color="auto" w:fill="auto"/>
            <w:vAlign w:val="center"/>
          </w:tcPr>
          <w:p w14:paraId="3759E49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TAU1564T；双面孔（8-M3），(24V100%)。</w:t>
            </w:r>
          </w:p>
        </w:tc>
        <w:tc>
          <w:tcPr>
            <w:tcW w:w="744" w:type="dxa"/>
            <w:shd w:val="clear" w:color="000000" w:fill="FFFFFF"/>
            <w:vAlign w:val="center"/>
          </w:tcPr>
          <w:p w14:paraId="273DF9D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000000" w:fill="FFFFFF"/>
            <w:vAlign w:val="center"/>
          </w:tcPr>
          <w:p w14:paraId="1780182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7F7C8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6" w:type="dxa"/>
            <w:shd w:val="clear" w:color="auto" w:fill="auto"/>
            <w:vAlign w:val="center"/>
          </w:tcPr>
          <w:p w14:paraId="7F0ED20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8</w:t>
            </w:r>
          </w:p>
        </w:tc>
        <w:tc>
          <w:tcPr>
            <w:tcW w:w="1884" w:type="dxa"/>
            <w:shd w:val="clear" w:color="000000" w:fill="FFFFFF"/>
            <w:vAlign w:val="center"/>
          </w:tcPr>
          <w:p w14:paraId="5232B4D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32010002168001</w:t>
            </w:r>
          </w:p>
        </w:tc>
        <w:tc>
          <w:tcPr>
            <w:tcW w:w="2414" w:type="dxa"/>
            <w:shd w:val="clear" w:color="000000" w:fill="FFFFFF"/>
            <w:vAlign w:val="center"/>
          </w:tcPr>
          <w:p w14:paraId="7608DF0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维护门到位开关</w:t>
            </w:r>
          </w:p>
        </w:tc>
        <w:tc>
          <w:tcPr>
            <w:tcW w:w="3427" w:type="dxa"/>
            <w:shd w:val="clear" w:color="auto" w:fill="auto"/>
            <w:vAlign w:val="center"/>
          </w:tcPr>
          <w:p w14:paraId="6874EEA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参考型号：D611M-AA2-01</w:t>
            </w:r>
          </w:p>
        </w:tc>
        <w:tc>
          <w:tcPr>
            <w:tcW w:w="744" w:type="dxa"/>
            <w:shd w:val="clear" w:color="000000" w:fill="FFFFFF"/>
            <w:vAlign w:val="center"/>
          </w:tcPr>
          <w:p w14:paraId="4219759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000000" w:fill="FFFFFF"/>
            <w:vAlign w:val="center"/>
          </w:tcPr>
          <w:p w14:paraId="3F69E1F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r>
      <w:tr w14:paraId="0E852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71" w:hRule="atLeast"/>
          <w:jc w:val="center"/>
        </w:trPr>
        <w:tc>
          <w:tcPr>
            <w:tcW w:w="10207" w:type="dxa"/>
            <w:gridSpan w:val="6"/>
            <w:shd w:val="clear" w:color="auto" w:fill="auto"/>
            <w:vAlign w:val="center"/>
          </w:tcPr>
          <w:p w14:paraId="6B9EB3E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4F9B663B">
            <w:pPr>
              <w:keepNext w:val="0"/>
              <w:keepLines w:val="0"/>
              <w:widowControl/>
              <w:numPr>
                <w:ilvl w:val="0"/>
                <w:numId w:val="3"/>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57A8D43F">
            <w:pPr>
              <w:keepNext w:val="0"/>
              <w:keepLines w:val="0"/>
              <w:widowControl/>
              <w:numPr>
                <w:ilvl w:val="0"/>
                <w:numId w:val="3"/>
              </w:numPr>
              <w:suppressLineNumbers w:val="0"/>
              <w:ind w:left="425" w:leftChars="0" w:hanging="425"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6256A891">
            <w:pPr>
              <w:keepNext w:val="0"/>
              <w:keepLines w:val="0"/>
              <w:widowControl/>
              <w:numPr>
                <w:ilvl w:val="0"/>
                <w:numId w:val="3"/>
              </w:numPr>
              <w:suppressLineNumbers w:val="0"/>
              <w:ind w:left="425" w:leftChars="0" w:hanging="425"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19A53B71">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质量要求</w:t>
      </w:r>
    </w:p>
    <w:p w14:paraId="710222BF">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报价产品必须是原厂生产全新货品。</w:t>
      </w:r>
    </w:p>
    <w:p w14:paraId="6C9BACF2">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报价产品必须符合标准。</w:t>
      </w:r>
    </w:p>
    <w:p w14:paraId="21A19C05">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质保要求</w:t>
      </w:r>
    </w:p>
    <w:p w14:paraId="152BAD9A">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自货物验收合格之日起（从次日起算）不少于12个月（货物依法标注有效期的，其有效期不得少于质保期；国家有期限规定的，从其规定）为质保期。</w:t>
      </w:r>
    </w:p>
    <w:p w14:paraId="0261BD36">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在质保期内正常使用中买方如发现卖方产品有质量问题，卖方在接到买方通知后应及时予以调换或修理。</w:t>
      </w:r>
    </w:p>
    <w:p w14:paraId="2705AA34">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对于买方的投诉，卖方必须在1小时内给予满意答复，若不能用传真及电话沟通解决，而该产品又在运营使用之中，卖方应派员在48小时之内到货物使用现场给予解决，在质保期内由此产生的一切费用由卖方承担。</w:t>
      </w:r>
    </w:p>
    <w:p w14:paraId="1B81288A">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交货要求</w:t>
      </w:r>
    </w:p>
    <w:p w14:paraId="3408687E">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交货时间：按照合同要求供货。</w:t>
      </w:r>
    </w:p>
    <w:p w14:paraId="6F77CE60">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交货地点：安徽省滁州市来安县水口镇新河村范庄组100号相官车辆段物资总库。</w:t>
      </w: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w:t>
            </w:r>
            <w:r>
              <w:rPr>
                <w:rFonts w:hint="eastAsia"/>
                <w:color w:val="auto"/>
                <w:sz w:val="22"/>
                <w:szCs w:val="22"/>
                <w:highlight w:val="none"/>
                <w:lang w:val="en-US" w:eastAsia="zh-CN"/>
              </w:rPr>
              <w:t>5</w:t>
            </w:r>
            <w:r>
              <w:rPr>
                <w:rFonts w:hint="eastAsia"/>
                <w:color w:val="auto"/>
                <w:sz w:val="22"/>
                <w:szCs w:val="22"/>
                <w:highlight w:val="none"/>
                <w:lang w:eastAsia="zh-CN"/>
              </w:rPr>
              <w:t>-000</w:t>
            </w:r>
            <w:r>
              <w:rPr>
                <w:rFonts w:hint="eastAsia"/>
                <w:color w:val="auto"/>
                <w:sz w:val="22"/>
                <w:szCs w:val="22"/>
                <w:highlight w:val="none"/>
                <w:lang w:val="en-US" w:eastAsia="zh-CN"/>
              </w:rPr>
              <w:t>4</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7</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bookmarkStart w:id="12" w:name="_GoBack"/>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7</w:t>
            </w:r>
            <w:r>
              <w:rPr>
                <w:rStyle w:val="75"/>
                <w:rFonts w:hint="default"/>
                <w:color w:val="auto"/>
                <w:highlight w:val="none"/>
                <w:lang w:bidi="ar"/>
              </w:rPr>
              <w:t>月</w:t>
            </w:r>
            <w:r>
              <w:rPr>
                <w:rStyle w:val="79"/>
                <w:rFonts w:hint="eastAsia"/>
                <w:color w:val="auto"/>
                <w:highlight w:val="none"/>
                <w:lang w:val="en-US" w:eastAsia="zh-CN" w:bidi="ar"/>
              </w:rPr>
              <w:t>15</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bookmarkEnd w:id="12"/>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闸机散热风扇等票务系统通用备件</w:t>
      </w: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7250300"/>
      <w:bookmarkStart w:id="4" w:name="_Toc470617844"/>
      <w:bookmarkStart w:id="5" w:name="_Toc10620851"/>
      <w:bookmarkStart w:id="6" w:name="_Toc92804592"/>
      <w:bookmarkStart w:id="7" w:name="_Toc22503"/>
      <w:bookmarkStart w:id="8" w:name="_Toc471894962"/>
      <w:bookmarkStart w:id="9" w:name="_Toc472325755"/>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7"/>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8"/>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8"/>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numPr>
          <w:ilvl w:val="0"/>
          <w:numId w:val="9"/>
        </w:numPr>
        <w:snapToGrid w:val="0"/>
        <w:spacing w:line="360" w:lineRule="auto"/>
        <w:ind w:left="425" w:leftChars="0" w:hanging="425" w:firstLineChars="0"/>
        <w:rPr>
          <w:rFonts w:ascii="宋体" w:hAnsi="宋体" w:eastAsia="宋体"/>
          <w:b/>
          <w:bCs/>
          <w:szCs w:val="21"/>
          <w:highlight w:val="none"/>
        </w:rPr>
      </w:pP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keepNext w:val="0"/>
        <w:keepLines w:val="0"/>
        <w:pageBreakBefore w:val="0"/>
        <w:widowControl w:val="0"/>
        <w:kinsoku/>
        <w:wordWrap/>
        <w:overflowPunct/>
        <w:topLinePunct w:val="0"/>
        <w:autoSpaceDE/>
        <w:autoSpaceDN/>
        <w:bidi w:val="0"/>
        <w:adjustRightInd/>
        <w:snapToGrid w:val="0"/>
        <w:spacing w:line="360" w:lineRule="auto"/>
        <w:ind w:left="420" w:leftChars="200"/>
        <w:textAlignment w:val="auto"/>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1874C37B">
      <w:pPr>
        <w:numPr>
          <w:ilvl w:val="0"/>
          <w:numId w:val="9"/>
        </w:numPr>
        <w:snapToGrid w:val="0"/>
        <w:spacing w:line="360" w:lineRule="auto"/>
        <w:ind w:left="425" w:leftChars="0" w:hanging="425" w:firstLineChars="0"/>
        <w:rPr>
          <w:rFonts w:ascii="宋体" w:hAnsi="宋体" w:eastAsia="宋体"/>
          <w:szCs w:val="21"/>
          <w:highlight w:val="none"/>
        </w:rPr>
      </w:pPr>
      <w:r>
        <w:rPr>
          <w:rFonts w:hint="eastAsia" w:ascii="宋体" w:hAnsi="宋体" w:eastAsia="宋体"/>
          <w:b/>
          <w:bCs/>
          <w:szCs w:val="21"/>
          <w:highlight w:val="none"/>
        </w:rPr>
        <w:t>价格</w:t>
      </w:r>
    </w:p>
    <w:p w14:paraId="08F145D2">
      <w:pPr>
        <w:numPr>
          <w:ilvl w:val="1"/>
          <w:numId w:val="9"/>
        </w:numPr>
        <w:snapToGrid w:val="0"/>
        <w:spacing w:line="360" w:lineRule="auto"/>
        <w:ind w:left="567" w:leftChars="0" w:hanging="567" w:firstLineChars="0"/>
        <w:rPr>
          <w:rFonts w:ascii="宋体" w:hAnsi="宋体" w:eastAsia="宋体"/>
          <w:szCs w:val="21"/>
          <w:highlight w:val="none"/>
        </w:rPr>
      </w:pPr>
      <w:r>
        <w:rPr>
          <w:rFonts w:hint="eastAsia" w:ascii="宋体" w:hAnsi="宋体" w:eastAsia="宋体"/>
          <w:szCs w:val="21"/>
          <w:highlight w:val="none"/>
        </w:rPr>
        <w:t>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30FE531A">
      <w:pPr>
        <w:numPr>
          <w:ilvl w:val="1"/>
          <w:numId w:val="9"/>
        </w:numPr>
        <w:snapToGrid w:val="0"/>
        <w:spacing w:line="360" w:lineRule="auto"/>
        <w:ind w:left="567" w:leftChars="0" w:hanging="567" w:firstLineChars="0"/>
        <w:rPr>
          <w:rFonts w:ascii="宋体" w:hAnsi="宋体" w:eastAsia="宋体"/>
          <w:szCs w:val="21"/>
          <w:highlight w:val="none"/>
        </w:rPr>
      </w:pPr>
      <w:r>
        <w:rPr>
          <w:rFonts w:hint="eastAsia" w:ascii="宋体" w:hAnsi="宋体" w:eastAsia="宋体"/>
          <w:szCs w:val="21"/>
          <w:highlight w:val="none"/>
        </w:rPr>
        <w:t>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numPr>
          <w:ilvl w:val="1"/>
          <w:numId w:val="9"/>
        </w:numPr>
        <w:snapToGrid w:val="0"/>
        <w:spacing w:line="360" w:lineRule="auto"/>
        <w:ind w:left="567" w:leftChars="0" w:hanging="567" w:firstLineChars="0"/>
        <w:rPr>
          <w:rFonts w:ascii="宋体" w:hAnsi="宋体" w:eastAsia="宋体"/>
          <w:szCs w:val="21"/>
          <w:highlight w:val="none"/>
        </w:rPr>
      </w:pPr>
      <w:r>
        <w:rPr>
          <w:rFonts w:hint="eastAsia" w:ascii="宋体" w:hAnsi="宋体" w:eastAsia="宋体"/>
          <w:szCs w:val="21"/>
          <w:highlight w:val="none"/>
        </w:rPr>
        <w:t>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numPr>
          <w:ilvl w:val="0"/>
          <w:numId w:val="9"/>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 xml:space="preserve">交货地点 </w:t>
      </w:r>
    </w:p>
    <w:p w14:paraId="250E88E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eastAsia="宋体"/>
          <w:highlight w:val="none"/>
        </w:rPr>
      </w:pPr>
      <w:r>
        <w:rPr>
          <w:rFonts w:hint="eastAsia" w:ascii="宋体" w:hAnsi="宋体" w:eastAsia="宋体"/>
          <w:highlight w:val="none"/>
        </w:rPr>
        <w:t>滁州市买方指定地点。</w:t>
      </w:r>
    </w:p>
    <w:p w14:paraId="52B2A57D">
      <w:pPr>
        <w:numPr>
          <w:ilvl w:val="0"/>
          <w:numId w:val="9"/>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交货时间</w:t>
      </w:r>
    </w:p>
    <w:p w14:paraId="73E4988A">
      <w:pPr>
        <w:keepNext w:val="0"/>
        <w:keepLines w:val="0"/>
        <w:pageBreakBefore w:val="0"/>
        <w:widowControl w:val="0"/>
        <w:tabs>
          <w:tab w:val="left" w:pos="540"/>
        </w:tabs>
        <w:kinsoku/>
        <w:wordWrap/>
        <w:overflowPunct/>
        <w:topLinePunct w:val="0"/>
        <w:autoSpaceDE/>
        <w:autoSpaceDN/>
        <w:bidi w:val="0"/>
        <w:adjustRightInd/>
        <w:snapToGrid w:val="0"/>
        <w:spacing w:line="360" w:lineRule="auto"/>
        <w:ind w:left="0" w:leftChars="0" w:firstLine="420" w:firstLineChars="200"/>
        <w:textAlignment w:val="auto"/>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112DC541">
      <w:pPr>
        <w:numPr>
          <w:ilvl w:val="0"/>
          <w:numId w:val="9"/>
        </w:numPr>
        <w:snapToGrid w:val="0"/>
        <w:spacing w:line="360" w:lineRule="auto"/>
        <w:ind w:left="425" w:leftChars="0" w:hanging="425" w:firstLineChars="0"/>
        <w:rPr>
          <w:rFonts w:hint="eastAsia" w:ascii="宋体" w:hAnsi="宋体" w:eastAsia="宋体"/>
          <w:szCs w:val="21"/>
          <w:highlight w:val="none"/>
        </w:rPr>
      </w:pPr>
      <w:r>
        <w:rPr>
          <w:rFonts w:hint="eastAsia" w:ascii="宋体" w:hAnsi="宋体" w:eastAsia="宋体"/>
          <w:b/>
          <w:bCs/>
          <w:szCs w:val="21"/>
          <w:highlight w:val="none"/>
        </w:rPr>
        <w:t>质量保证</w:t>
      </w:r>
    </w:p>
    <w:p w14:paraId="62FB4BDA">
      <w:pPr>
        <w:keepNext w:val="0"/>
        <w:keepLines w:val="0"/>
        <w:pageBreakBefore w:val="0"/>
        <w:widowControl w:val="0"/>
        <w:numPr>
          <w:ilvl w:val="1"/>
          <w:numId w:val="9"/>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应保证货物是全新、未使用过的原装合格正品，并完全符合合同约定、国家规定的质量、规格和性能的要求。如卖方提供的货物是假冒伪劣的，除应退换货物外，还应按照该货物合同总价款的两倍向买方进行赔偿</w:t>
      </w:r>
      <w:r>
        <w:rPr>
          <w:rFonts w:hint="eastAsia" w:ascii="宋体" w:hAnsi="宋体" w:eastAsia="宋体"/>
          <w:szCs w:val="21"/>
          <w:highlight w:val="none"/>
          <w:lang w:eastAsia="zh-CN"/>
        </w:rPr>
        <w:t>。</w:t>
      </w:r>
    </w:p>
    <w:p w14:paraId="52F96E0B">
      <w:pPr>
        <w:keepNext w:val="0"/>
        <w:keepLines w:val="0"/>
        <w:pageBreakBefore w:val="0"/>
        <w:widowControl w:val="0"/>
        <w:numPr>
          <w:ilvl w:val="1"/>
          <w:numId w:val="9"/>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ascii="宋体" w:hAnsi="宋体" w:eastAsia="宋体"/>
          <w:szCs w:val="21"/>
          <w:highlight w:val="none"/>
          <w:lang w:eastAsia="zh-CN"/>
        </w:rPr>
        <w:t>。</w:t>
      </w:r>
    </w:p>
    <w:p w14:paraId="7CA37334">
      <w:pPr>
        <w:keepNext w:val="0"/>
        <w:keepLines w:val="0"/>
        <w:pageBreakBefore w:val="0"/>
        <w:widowControl w:val="0"/>
        <w:numPr>
          <w:ilvl w:val="1"/>
          <w:numId w:val="9"/>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卖方所供货物如有缺陷或隐蔽瑕疵，应书面如实告知买方，否则，应对货物缺陷或隐蔽瑕疵而造成的损失承担全部赔偿责任。</w:t>
      </w:r>
    </w:p>
    <w:p w14:paraId="25B344F9">
      <w:pPr>
        <w:keepNext w:val="0"/>
        <w:keepLines w:val="0"/>
        <w:pageBreakBefore w:val="0"/>
        <w:widowControl w:val="0"/>
        <w:numPr>
          <w:ilvl w:val="1"/>
          <w:numId w:val="9"/>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卖方应保证其提供的货物在正确安装、使用和保养下，在其使用寿命内具有良好的性能。货物验收后，卖方应对由于货物设计缺陷、质量缺陷、其它内在缺陷等原因造成的损失负责，所需费用由卖方承担。</w:t>
      </w:r>
    </w:p>
    <w:p w14:paraId="26EA2DCA">
      <w:pPr>
        <w:keepNext w:val="0"/>
        <w:keepLines w:val="0"/>
        <w:pageBreakBefore w:val="0"/>
        <w:widowControl w:val="0"/>
        <w:numPr>
          <w:ilvl w:val="1"/>
          <w:numId w:val="9"/>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卖方出售的货物造成人身损害、财产损失的，卖方应当承担赔偿责任。</w:t>
      </w:r>
    </w:p>
    <w:p w14:paraId="6ADAF583">
      <w:pPr>
        <w:keepNext w:val="0"/>
        <w:keepLines w:val="0"/>
        <w:pageBreakBefore w:val="0"/>
        <w:widowControl w:val="0"/>
        <w:numPr>
          <w:ilvl w:val="1"/>
          <w:numId w:val="9"/>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420" w:leftChars="200" w:firstLine="0" w:firstLineChars="0"/>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420" w:leftChars="200" w:firstLine="0" w:firstLineChars="0"/>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numPr>
          <w:ilvl w:val="0"/>
          <w:numId w:val="9"/>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包装、包装标志及环境保护</w:t>
      </w:r>
    </w:p>
    <w:p w14:paraId="54891CBF">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b w:val="0"/>
          <w:bCs w:val="0"/>
          <w:szCs w:val="21"/>
          <w:highlight w:val="none"/>
        </w:rPr>
      </w:pPr>
      <w:r>
        <w:rPr>
          <w:rFonts w:hint="eastAsia" w:ascii="宋体" w:hAnsi="宋体" w:eastAsia="宋体"/>
          <w:b w:val="0"/>
          <w:bCs w:val="0"/>
          <w:szCs w:val="21"/>
          <w:highlight w:val="none"/>
        </w:rPr>
        <w:t>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b w:val="0"/>
          <w:bCs w:val="0"/>
          <w:szCs w:val="21"/>
          <w:highlight w:val="none"/>
        </w:rPr>
      </w:pPr>
      <w:r>
        <w:rPr>
          <w:rFonts w:hint="eastAsia" w:ascii="宋体" w:hAnsi="宋体" w:eastAsia="宋体"/>
          <w:b w:val="0"/>
          <w:bCs w:val="0"/>
          <w:szCs w:val="21"/>
          <w:highlight w:val="none"/>
        </w:rPr>
        <w:t>卖方应在每一包装箱的适当位置作出下列标记：</w:t>
      </w:r>
    </w:p>
    <w:p w14:paraId="2F1A73BA">
      <w:pPr>
        <w:keepNext w:val="0"/>
        <w:keepLines w:val="0"/>
        <w:pageBreakBefore w:val="0"/>
        <w:widowControl w:val="0"/>
        <w:numPr>
          <w:ilvl w:val="0"/>
          <w:numId w:val="11"/>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收货人；</w:t>
      </w:r>
    </w:p>
    <w:p w14:paraId="6C836D43">
      <w:pPr>
        <w:keepNext w:val="0"/>
        <w:keepLines w:val="0"/>
        <w:pageBreakBefore w:val="0"/>
        <w:widowControl w:val="0"/>
        <w:numPr>
          <w:ilvl w:val="0"/>
          <w:numId w:val="11"/>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货物名称、件数；</w:t>
      </w:r>
    </w:p>
    <w:p w14:paraId="4C229EBF">
      <w:pPr>
        <w:keepNext w:val="0"/>
        <w:keepLines w:val="0"/>
        <w:pageBreakBefore w:val="0"/>
        <w:widowControl w:val="0"/>
        <w:numPr>
          <w:ilvl w:val="0"/>
          <w:numId w:val="11"/>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毛重、净重；</w:t>
      </w:r>
    </w:p>
    <w:p w14:paraId="4B46DF98">
      <w:pPr>
        <w:keepNext w:val="0"/>
        <w:keepLines w:val="0"/>
        <w:pageBreakBefore w:val="0"/>
        <w:widowControl w:val="0"/>
        <w:numPr>
          <w:ilvl w:val="0"/>
          <w:numId w:val="11"/>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体积（长×宽×高，用毫米表示）；</w:t>
      </w:r>
    </w:p>
    <w:p w14:paraId="3E8DC608">
      <w:pPr>
        <w:keepNext w:val="0"/>
        <w:keepLines w:val="0"/>
        <w:pageBreakBefore w:val="0"/>
        <w:widowControl w:val="0"/>
        <w:numPr>
          <w:ilvl w:val="0"/>
          <w:numId w:val="11"/>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货物运输警示标识；</w:t>
      </w:r>
    </w:p>
    <w:p w14:paraId="4FD73BCD">
      <w:pPr>
        <w:keepNext w:val="0"/>
        <w:keepLines w:val="0"/>
        <w:pageBreakBefore w:val="0"/>
        <w:widowControl w:val="0"/>
        <w:numPr>
          <w:ilvl w:val="0"/>
          <w:numId w:val="11"/>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合同号；</w:t>
      </w:r>
    </w:p>
    <w:p w14:paraId="648B6502">
      <w:pPr>
        <w:keepNext w:val="0"/>
        <w:keepLines w:val="0"/>
        <w:pageBreakBefore w:val="0"/>
        <w:widowControl w:val="0"/>
        <w:numPr>
          <w:ilvl w:val="0"/>
          <w:numId w:val="11"/>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其他应标记内容。</w:t>
      </w:r>
    </w:p>
    <w:p w14:paraId="262EFE9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200"/>
        <w:textAlignment w:val="auto"/>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numPr>
          <w:ilvl w:val="0"/>
          <w:numId w:val="9"/>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交货和验收</w:t>
      </w:r>
    </w:p>
    <w:p w14:paraId="6F090A61">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b w:val="0"/>
          <w:bCs w:val="0"/>
          <w:szCs w:val="21"/>
          <w:highlight w:val="none"/>
        </w:rPr>
      </w:pPr>
      <w:r>
        <w:rPr>
          <w:rFonts w:hint="eastAsia" w:ascii="宋体" w:hAnsi="宋体" w:eastAsia="宋体"/>
          <w:b w:val="0"/>
          <w:bCs w:val="0"/>
          <w:szCs w:val="21"/>
          <w:highlight w:val="none"/>
        </w:rPr>
        <w:t>除双方另有书面约定或买方自提外，本合同项下货物的所有权及毁损、灭失之风险自卖方运到买方仓库或买方指定地点完成交付之日起转移。</w:t>
      </w:r>
    </w:p>
    <w:p w14:paraId="297BCA31">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b/>
          <w:bCs/>
          <w:szCs w:val="21"/>
          <w:highlight w:val="none"/>
        </w:rPr>
      </w:pPr>
      <w:r>
        <w:rPr>
          <w:rFonts w:hint="eastAsia" w:ascii="宋体" w:hAnsi="宋体" w:eastAsia="宋体"/>
          <w:b w:val="0"/>
          <w:bCs w:val="0"/>
          <w:szCs w:val="21"/>
          <w:highlight w:val="none"/>
        </w:rPr>
        <w:t>卖方应按照本合同规定的时间、地点和方式，向买方交付货物。如未按规定送至买方指定的地点，由此引起的遗失或损坏等一切问题，由卖方承担全部责任。</w:t>
      </w:r>
    </w:p>
    <w:p w14:paraId="1DC82D1B">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2987F45C">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72D10CDE">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numPr>
          <w:ilvl w:val="0"/>
          <w:numId w:val="9"/>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伴随服务／售后服务</w:t>
      </w:r>
    </w:p>
    <w:p w14:paraId="390A5C31">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color w:val="000000"/>
          <w:szCs w:val="21"/>
          <w:highlight w:val="none"/>
        </w:rPr>
      </w:pPr>
      <w:r>
        <w:rPr>
          <w:rFonts w:hint="eastAsia" w:ascii="宋体" w:hAnsi="宋体" w:eastAsia="宋体"/>
          <w:szCs w:val="21"/>
          <w:highlight w:val="none"/>
        </w:rPr>
        <w:t>卖方应按照国家有关法律法规和“三包”规定提供服务。</w:t>
      </w:r>
    </w:p>
    <w:p w14:paraId="58611CDE">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color w:val="000000"/>
          <w:szCs w:val="21"/>
          <w:highlight w:val="none"/>
        </w:rPr>
      </w:pPr>
      <w:r>
        <w:rPr>
          <w:rFonts w:hint="eastAsia" w:ascii="宋体" w:hAnsi="宋体" w:eastAsia="宋体"/>
          <w:color w:val="000000"/>
          <w:szCs w:val="21"/>
          <w:highlight w:val="none"/>
        </w:rPr>
        <w:t>除前款规定外，根据买方需要，卖方还应提供下列服务：</w:t>
      </w:r>
    </w:p>
    <w:p w14:paraId="2AAAC371">
      <w:pPr>
        <w:keepNext w:val="0"/>
        <w:keepLines w:val="0"/>
        <w:pageBreakBefore w:val="0"/>
        <w:widowControl w:val="0"/>
        <w:numPr>
          <w:ilvl w:val="0"/>
          <w:numId w:val="12"/>
        </w:numPr>
        <w:kinsoku/>
        <w:wordWrap/>
        <w:overflowPunct/>
        <w:topLinePunct w:val="0"/>
        <w:autoSpaceDE/>
        <w:autoSpaceDN/>
        <w:bidi w:val="0"/>
        <w:adjustRightInd/>
        <w:snapToGrid w:val="0"/>
        <w:spacing w:line="360" w:lineRule="auto"/>
        <w:ind w:left="420" w:leftChars="200" w:firstLine="0" w:firstLineChars="0"/>
        <w:textAlignment w:val="auto"/>
        <w:rPr>
          <w:rFonts w:hint="eastAsia" w:ascii="宋体" w:hAnsi="宋体" w:eastAsia="宋体"/>
          <w:szCs w:val="21"/>
          <w:highlight w:val="none"/>
        </w:rPr>
      </w:pPr>
      <w:r>
        <w:rPr>
          <w:rFonts w:hint="eastAsia" w:ascii="宋体" w:hAnsi="宋体" w:eastAsia="宋体"/>
          <w:szCs w:val="21"/>
          <w:highlight w:val="none"/>
        </w:rPr>
        <w:t>货物的现场安装、调试，卖方应在到货之日起（从次日起算）</w:t>
      </w:r>
      <w:r>
        <w:rPr>
          <w:rFonts w:hint="eastAsia" w:ascii="宋体" w:hAnsi="宋体" w:eastAsia="宋体"/>
          <w:szCs w:val="21"/>
          <w:highlight w:val="none"/>
          <w:u w:val="single"/>
        </w:rPr>
        <w:t xml:space="preserve"> / </w:t>
      </w:r>
      <w:r>
        <w:rPr>
          <w:rFonts w:hint="eastAsia" w:ascii="宋体" w:hAnsi="宋体" w:eastAsia="宋体"/>
          <w:szCs w:val="21"/>
          <w:highlight w:val="none"/>
        </w:rPr>
        <w:t>日内完成；</w:t>
      </w:r>
    </w:p>
    <w:p w14:paraId="48D6F38D">
      <w:pPr>
        <w:keepNext w:val="0"/>
        <w:keepLines w:val="0"/>
        <w:pageBreakBefore w:val="0"/>
        <w:widowControl w:val="0"/>
        <w:numPr>
          <w:ilvl w:val="0"/>
          <w:numId w:val="12"/>
        </w:numPr>
        <w:kinsoku/>
        <w:wordWrap/>
        <w:overflowPunct/>
        <w:topLinePunct w:val="0"/>
        <w:autoSpaceDE/>
        <w:autoSpaceDN/>
        <w:bidi w:val="0"/>
        <w:adjustRightInd/>
        <w:snapToGrid w:val="0"/>
        <w:spacing w:line="360" w:lineRule="auto"/>
        <w:ind w:left="420" w:leftChars="20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就货物的安装、启动、运行及维护等对买方人员进行免费培训。</w:t>
      </w:r>
    </w:p>
    <w:p w14:paraId="1B93843F">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在安装调试期间，卖方应遵守买方安全管理规定，做好自身工作人员安全管理；卖方工作人员自身的一切安全问题，由卖方承担全部责任。</w:t>
      </w:r>
    </w:p>
    <w:p w14:paraId="77155695">
      <w:pPr>
        <w:numPr>
          <w:ilvl w:val="0"/>
          <w:numId w:val="9"/>
        </w:numPr>
        <w:snapToGrid w:val="0"/>
        <w:spacing w:line="360" w:lineRule="auto"/>
        <w:ind w:left="425" w:leftChars="0" w:hanging="425" w:firstLineChars="0"/>
        <w:rPr>
          <w:rFonts w:ascii="宋体" w:hAnsi="宋体" w:eastAsia="宋体"/>
          <w:szCs w:val="21"/>
          <w:highlight w:val="none"/>
        </w:rPr>
      </w:pPr>
      <w:r>
        <w:rPr>
          <w:rFonts w:hint="eastAsia" w:ascii="宋体" w:hAnsi="宋体" w:eastAsia="宋体"/>
          <w:b/>
          <w:bCs/>
          <w:szCs w:val="21"/>
          <w:highlight w:val="none"/>
        </w:rPr>
        <w:t>质保期</w:t>
      </w:r>
    </w:p>
    <w:p w14:paraId="795E981F">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在从合同货物运至交货地点之日起至质量保证期结束之日的期间，如发现卖方提供的合同货物有缺陷，不符合本合同规定时，买方有权选择且卖方需采取以下补救措施：</w:t>
      </w:r>
    </w:p>
    <w:p w14:paraId="08EC367E">
      <w:pPr>
        <w:keepNext w:val="0"/>
        <w:keepLines w:val="0"/>
        <w:pageBreakBefore w:val="0"/>
        <w:widowControl w:val="0"/>
        <w:numPr>
          <w:ilvl w:val="0"/>
          <w:numId w:val="13"/>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keepNext w:val="0"/>
        <w:keepLines w:val="0"/>
        <w:pageBreakBefore w:val="0"/>
        <w:widowControl w:val="0"/>
        <w:numPr>
          <w:ilvl w:val="0"/>
          <w:numId w:val="13"/>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keepNext w:val="0"/>
        <w:keepLines w:val="0"/>
        <w:pageBreakBefore w:val="0"/>
        <w:widowControl w:val="0"/>
        <w:numPr>
          <w:ilvl w:val="0"/>
          <w:numId w:val="13"/>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keepNext w:val="0"/>
        <w:keepLines w:val="0"/>
        <w:pageBreakBefore w:val="0"/>
        <w:widowControl w:val="0"/>
        <w:numPr>
          <w:ilvl w:val="0"/>
          <w:numId w:val="13"/>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削价：在买卖双方同意的前提下，对有缺陷的合同货物作削价处理，卖方应将有缺陷的合同货物原合同价与削减后价格之间的差额退回买方。</w:t>
      </w:r>
    </w:p>
    <w:p w14:paraId="3DA6D541">
      <w:pPr>
        <w:keepNext w:val="0"/>
        <w:keepLines w:val="0"/>
        <w:pageBreakBefore w:val="0"/>
        <w:widowControl w:val="0"/>
        <w:numPr>
          <w:ilvl w:val="0"/>
          <w:numId w:val="13"/>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赔偿损失：除已有规定外，卖方应赔偿买方因采取上述措施所发生的损失。</w:t>
      </w:r>
    </w:p>
    <w:p w14:paraId="23F70C8E">
      <w:pPr>
        <w:numPr>
          <w:ilvl w:val="0"/>
          <w:numId w:val="9"/>
        </w:numPr>
        <w:snapToGrid w:val="0"/>
        <w:spacing w:line="360" w:lineRule="auto"/>
        <w:ind w:left="425" w:leftChars="0" w:hanging="425" w:firstLineChars="0"/>
        <w:rPr>
          <w:rFonts w:ascii="宋体" w:hAnsi="宋体" w:eastAsia="宋体"/>
          <w:szCs w:val="21"/>
          <w:highlight w:val="none"/>
        </w:rPr>
      </w:pPr>
      <w:r>
        <w:rPr>
          <w:rFonts w:hint="eastAsia" w:ascii="宋体" w:hAnsi="宋体" w:eastAsia="宋体"/>
          <w:b/>
          <w:bCs/>
          <w:szCs w:val="21"/>
          <w:highlight w:val="none"/>
        </w:rPr>
        <w:t>货款支付</w:t>
      </w:r>
    </w:p>
    <w:p w14:paraId="33D14FA8">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38A6F8F3">
      <w:pPr>
        <w:keepNext w:val="0"/>
        <w:keepLines w:val="0"/>
        <w:pageBreakBefore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6039E5EA">
      <w:pPr>
        <w:keepNext w:val="0"/>
        <w:keepLines w:val="0"/>
        <w:pageBreakBefore w:val="0"/>
        <w:numPr>
          <w:ilvl w:val="1"/>
          <w:numId w:val="9"/>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3F9100E5">
      <w:pPr>
        <w:keepNext w:val="0"/>
        <w:keepLines w:val="0"/>
        <w:pageBreakBefore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货款以银行转账方式结算。</w:t>
      </w:r>
    </w:p>
    <w:p w14:paraId="64BFAA7C">
      <w:pPr>
        <w:keepNext w:val="0"/>
        <w:keepLines w:val="0"/>
        <w:pageBreakBefore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本合同约定的不含税价款不因国家税率变化而变化。在合同履行期间，如遇国家的税率调整或其他政策影响税率的，则价税合计金额做相应调整。</w:t>
      </w:r>
    </w:p>
    <w:p w14:paraId="0FBAB06C">
      <w:pPr>
        <w:keepNext w:val="0"/>
        <w:keepLines w:val="0"/>
        <w:pageBreakBefore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022FD9FE">
      <w:pPr>
        <w:keepNext w:val="0"/>
        <w:keepLines w:val="0"/>
        <w:pageBreakBefore w:val="0"/>
        <w:numPr>
          <w:ilvl w:val="0"/>
          <w:numId w:val="9"/>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bCs/>
          <w:szCs w:val="21"/>
          <w:highlight w:val="none"/>
        </w:rPr>
      </w:pPr>
      <w:r>
        <w:rPr>
          <w:rFonts w:hint="eastAsia" w:ascii="宋体" w:hAnsi="宋体" w:eastAsia="宋体"/>
          <w:b/>
          <w:bCs/>
          <w:szCs w:val="21"/>
          <w:highlight w:val="none"/>
        </w:rPr>
        <w:t>履约保证金</w:t>
      </w:r>
    </w:p>
    <w:p w14:paraId="08E0E93C">
      <w:pPr>
        <w:keepNext w:val="0"/>
        <w:keepLines w:val="0"/>
        <w:pageBreakBefore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b w:val="0"/>
          <w:bCs w:val="0"/>
          <w:sz w:val="21"/>
          <w:szCs w:val="21"/>
          <w:highlight w:val="none"/>
          <w:lang w:eastAsia="zh-CN"/>
        </w:rPr>
      </w:pP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77BD4E">
      <w:pPr>
        <w:keepNext w:val="0"/>
        <w:keepLines w:val="0"/>
        <w:pageBreakBefore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0A91250">
      <w:pPr>
        <w:keepNext w:val="0"/>
        <w:keepLines w:val="0"/>
        <w:pageBreakBefore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b/>
          <w:bCs/>
          <w:color w:val="FF0000"/>
          <w:szCs w:val="21"/>
          <w:highlight w:val="none"/>
        </w:rPr>
      </w:pP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0AE6A5A1">
      <w:pPr>
        <w:keepNext w:val="0"/>
        <w:keepLines w:val="0"/>
        <w:pageBreakBefore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08FF5C3F">
      <w:pPr>
        <w:keepNext w:val="0"/>
        <w:keepLines w:val="0"/>
        <w:pageBreakBefore w:val="0"/>
        <w:numPr>
          <w:ilvl w:val="0"/>
          <w:numId w:val="9"/>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bCs/>
          <w:szCs w:val="21"/>
          <w:highlight w:val="none"/>
        </w:rPr>
      </w:pPr>
      <w:r>
        <w:rPr>
          <w:rFonts w:hint="eastAsia" w:ascii="宋体" w:hAnsi="宋体" w:eastAsia="宋体"/>
          <w:b/>
          <w:bCs/>
          <w:szCs w:val="21"/>
          <w:highlight w:val="none"/>
        </w:rPr>
        <w:t>保密条款</w:t>
      </w:r>
    </w:p>
    <w:p w14:paraId="15485CFE">
      <w:pPr>
        <w:keepNext w:val="0"/>
        <w:keepLines w:val="0"/>
        <w:pageBreakBefore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bCs/>
          <w:szCs w:val="21"/>
          <w:highlight w:val="none"/>
        </w:rPr>
      </w:pPr>
      <w:r>
        <w:rPr>
          <w:rFonts w:hint="eastAsia" w:ascii="宋体" w:hAnsi="宋体" w:eastAsia="宋体"/>
          <w:bCs/>
          <w:szCs w:val="21"/>
          <w:highlight w:val="none"/>
        </w:rPr>
        <w:t>买、卖双方应对因履行合同而取得的另一方的信息、资料等予以保密。未经另一方书面同意，任何一方均不得为与履行合同无关的目的使用或向第三方披露另一方当事人提供的信息、资料。</w:t>
      </w:r>
    </w:p>
    <w:p w14:paraId="43753503">
      <w:pPr>
        <w:keepNext w:val="0"/>
        <w:keepLines w:val="0"/>
        <w:pageBreakBefore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bCs/>
          <w:szCs w:val="21"/>
          <w:highlight w:val="none"/>
        </w:rPr>
      </w:pPr>
      <w:r>
        <w:rPr>
          <w:rFonts w:hint="eastAsia" w:ascii="宋体" w:hAnsi="宋体" w:eastAsia="宋体"/>
          <w:bCs/>
          <w:szCs w:val="21"/>
          <w:highlight w:val="none"/>
        </w:rPr>
        <w:t>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2FED735C">
      <w:pPr>
        <w:keepNext w:val="0"/>
        <w:keepLines w:val="0"/>
        <w:pageBreakBefore w:val="0"/>
        <w:numPr>
          <w:ilvl w:val="0"/>
          <w:numId w:val="9"/>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违约责任</w:t>
      </w:r>
    </w:p>
    <w:p w14:paraId="56AD048A">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390A853C">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szCs w:val="21"/>
          <w:highlight w:val="none"/>
        </w:rPr>
        <w:t>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1DDC2547">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53430476">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52737641">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r>
        <w:rPr>
          <w:rFonts w:hint="eastAsia" w:ascii="宋体" w:hAnsi="宋体"/>
          <w:color w:val="000000"/>
          <w:szCs w:val="21"/>
          <w:highlight w:val="none"/>
          <w:lang w:eastAsia="zh-CN"/>
        </w:rPr>
        <w:t>。</w:t>
      </w:r>
    </w:p>
    <w:p w14:paraId="563C8CD4">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298167C">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numPr>
          <w:ilvl w:val="0"/>
          <w:numId w:val="14"/>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因不可抗力导致买方不能实现合同目的；</w:t>
      </w:r>
    </w:p>
    <w:p w14:paraId="5B21A081">
      <w:pPr>
        <w:keepNext w:val="0"/>
        <w:keepLines w:val="0"/>
        <w:pageBreakBefore w:val="0"/>
        <w:widowControl w:val="0"/>
        <w:numPr>
          <w:ilvl w:val="0"/>
          <w:numId w:val="14"/>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在合同约定的履行期届满之前，卖方明确表示或者以自己的行为</w:t>
      </w:r>
      <w:r>
        <w:rPr>
          <w:rFonts w:hint="eastAsia" w:ascii="宋体" w:hAnsi="宋体" w:eastAsia="宋体"/>
          <w:szCs w:val="21"/>
          <w:highlight w:val="none"/>
          <w:lang w:val="en-US" w:eastAsia="zh-CN"/>
        </w:rPr>
        <w:t>表</w:t>
      </w:r>
      <w:r>
        <w:rPr>
          <w:rFonts w:hint="eastAsia" w:ascii="宋体" w:hAnsi="宋体" w:eastAsia="宋体"/>
          <w:szCs w:val="21"/>
          <w:highlight w:val="none"/>
        </w:rPr>
        <w:t>明不履行相应义务的；</w:t>
      </w:r>
    </w:p>
    <w:p w14:paraId="6A722857">
      <w:pPr>
        <w:keepNext w:val="0"/>
        <w:keepLines w:val="0"/>
        <w:pageBreakBefore w:val="0"/>
        <w:widowControl w:val="0"/>
        <w:numPr>
          <w:ilvl w:val="0"/>
          <w:numId w:val="14"/>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卖方延迟履行部分或者全部</w:t>
      </w:r>
      <w:r>
        <w:rPr>
          <w:rFonts w:hint="eastAsia" w:ascii="宋体" w:hAnsi="宋体" w:eastAsia="宋体"/>
          <w:szCs w:val="21"/>
          <w:highlight w:val="none"/>
          <w:lang w:val="en-US" w:eastAsia="zh-CN"/>
        </w:rPr>
        <w:t>义务</w:t>
      </w:r>
      <w:r>
        <w:rPr>
          <w:rFonts w:hint="eastAsia" w:ascii="宋体" w:hAnsi="宋体" w:eastAsia="宋体"/>
          <w:szCs w:val="21"/>
          <w:highlight w:val="none"/>
        </w:rPr>
        <w:t>，</w:t>
      </w:r>
      <w:r>
        <w:rPr>
          <w:rFonts w:hint="eastAsia" w:ascii="宋体" w:hAnsi="宋体" w:eastAsia="宋体"/>
          <w:szCs w:val="21"/>
          <w:highlight w:val="none"/>
          <w:lang w:val="en-US" w:eastAsia="zh-CN"/>
        </w:rPr>
        <w:t>经催告后仍未在买方规定期限履行的；</w:t>
      </w:r>
    </w:p>
    <w:p w14:paraId="583EF530">
      <w:pPr>
        <w:keepNext w:val="0"/>
        <w:keepLines w:val="0"/>
        <w:pageBreakBefore w:val="0"/>
        <w:widowControl w:val="0"/>
        <w:numPr>
          <w:ilvl w:val="0"/>
          <w:numId w:val="14"/>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卖方</w:t>
      </w:r>
      <w:r>
        <w:rPr>
          <w:rFonts w:hint="eastAsia" w:ascii="宋体" w:hAnsi="宋体" w:eastAsia="宋体"/>
          <w:szCs w:val="21"/>
          <w:highlight w:val="none"/>
        </w:rPr>
        <w:t>发生其他</w:t>
      </w:r>
      <w:r>
        <w:rPr>
          <w:rFonts w:hint="eastAsia" w:ascii="宋体" w:hAnsi="宋体" w:eastAsia="宋体"/>
          <w:szCs w:val="21"/>
          <w:highlight w:val="none"/>
          <w:lang w:val="en-US" w:eastAsia="zh-CN"/>
        </w:rPr>
        <w:t>根本违约行为的。</w:t>
      </w:r>
    </w:p>
    <w:p w14:paraId="20B61DA8">
      <w:pPr>
        <w:keepNext w:val="0"/>
        <w:keepLines w:val="0"/>
        <w:pageBreakBefore w:val="0"/>
        <w:widowControl w:val="0"/>
        <w:numPr>
          <w:ilvl w:val="0"/>
          <w:numId w:val="9"/>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color w:val="000000"/>
          <w:szCs w:val="21"/>
          <w:highlight w:val="none"/>
        </w:rPr>
      </w:pPr>
      <w:r>
        <w:rPr>
          <w:rFonts w:hint="eastAsia" w:ascii="宋体" w:hAnsi="宋体" w:eastAsia="宋体"/>
          <w:b/>
          <w:bCs/>
          <w:szCs w:val="21"/>
          <w:highlight w:val="none"/>
        </w:rPr>
        <w:t>不可抗力</w:t>
      </w:r>
    </w:p>
    <w:p w14:paraId="1B387825">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7DA92F72">
      <w:pPr>
        <w:keepNext w:val="0"/>
        <w:keepLines w:val="0"/>
        <w:pageBreakBefore w:val="0"/>
        <w:numPr>
          <w:ilvl w:val="0"/>
          <w:numId w:val="9"/>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color w:val="000000"/>
          <w:kern w:val="0"/>
          <w:szCs w:val="21"/>
          <w:highlight w:val="none"/>
        </w:rPr>
      </w:pPr>
      <w:r>
        <w:rPr>
          <w:rFonts w:hint="eastAsia" w:ascii="宋体" w:hAnsi="宋体" w:eastAsia="宋体"/>
          <w:b/>
          <w:bCs/>
          <w:szCs w:val="21"/>
          <w:highlight w:val="none"/>
        </w:rPr>
        <w:t>知识产权</w:t>
      </w:r>
    </w:p>
    <w:p w14:paraId="7F7B8985">
      <w:pPr>
        <w:keepNext w:val="0"/>
        <w:keepLines w:val="0"/>
        <w:pageBreakBefore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kern w:val="0"/>
          <w:szCs w:val="21"/>
          <w:highlight w:val="none"/>
        </w:rPr>
      </w:pPr>
      <w:r>
        <w:rPr>
          <w:rFonts w:hint="eastAsia" w:ascii="宋体" w:hAnsi="宋体" w:eastAsia="宋体"/>
          <w:color w:val="000000"/>
          <w:kern w:val="0"/>
          <w:szCs w:val="21"/>
          <w:highlight w:val="none"/>
        </w:rPr>
        <w:t>买方在履行合同过程中提供给卖方的全部图纸、文件和其他含有数据和信息的资料，其知识产权属于买方</w:t>
      </w:r>
      <w:r>
        <w:rPr>
          <w:rFonts w:hint="eastAsia" w:ascii="宋体" w:hAnsi="宋体"/>
          <w:color w:val="000000"/>
          <w:kern w:val="0"/>
          <w:szCs w:val="21"/>
          <w:highlight w:val="none"/>
          <w:lang w:eastAsia="zh-CN"/>
        </w:rPr>
        <w:t>。</w:t>
      </w:r>
    </w:p>
    <w:p w14:paraId="5AB92AFC">
      <w:pPr>
        <w:keepNext w:val="0"/>
        <w:keepLines w:val="0"/>
        <w:pageBreakBefore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kern w:val="0"/>
          <w:szCs w:val="21"/>
          <w:highlight w:val="none"/>
        </w:rPr>
      </w:pPr>
      <w:r>
        <w:rPr>
          <w:rFonts w:hint="eastAsia" w:ascii="宋体" w:hAnsi="宋体" w:eastAsia="宋体"/>
          <w:color w:val="000000"/>
          <w:kern w:val="0"/>
          <w:szCs w:val="21"/>
          <w:highlight w:val="none"/>
        </w:rPr>
        <w:t>买方不因签署和履行合同而享有卖方在履行合同过程中提供给买方的图纸、文件、配套软件、电子辅助程序和其他含有数据和信息的资料的知识产权。</w:t>
      </w:r>
    </w:p>
    <w:p w14:paraId="6F5990D9">
      <w:pPr>
        <w:keepNext w:val="0"/>
        <w:keepLines w:val="0"/>
        <w:pageBreakBefore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eastAsia="宋体"/>
          <w:bCs/>
          <w:snapToGrid w:val="0"/>
          <w:szCs w:val="21"/>
          <w:highlight w:val="none"/>
        </w:rPr>
      </w:pPr>
      <w:r>
        <w:rPr>
          <w:rFonts w:hint="eastAsia" w:ascii="宋体" w:hAnsi="宋体" w:eastAsia="宋体"/>
          <w:color w:val="000000"/>
          <w:kern w:val="0"/>
          <w:szCs w:val="21"/>
          <w:highlight w:val="none"/>
        </w:rPr>
        <w:t>卖方保证，买方在使用本合同项下货物或该货物的任何一部分时，免受第三方提出的侵犯其专利权、商标权、著作权或其他知识产权的起诉。</w:t>
      </w:r>
    </w:p>
    <w:p w14:paraId="64AFE567">
      <w:pPr>
        <w:keepNext w:val="0"/>
        <w:keepLines w:val="0"/>
        <w:pageBreakBefore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eastAsia="宋体"/>
          <w:bCs/>
          <w:snapToGrid w:val="0"/>
          <w:szCs w:val="21"/>
          <w:highlight w:val="none"/>
        </w:rPr>
      </w:pPr>
      <w:r>
        <w:rPr>
          <w:rFonts w:hint="eastAsia" w:ascii="宋体" w:hAnsi="宋体" w:eastAsia="宋体"/>
          <w:color w:val="000000"/>
          <w:kern w:val="0"/>
          <w:szCs w:val="21"/>
          <w:highlight w:val="none"/>
        </w:rPr>
        <w:t>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500200A8">
      <w:pPr>
        <w:keepNext w:val="0"/>
        <w:keepLines w:val="0"/>
        <w:pageBreakBefore w:val="0"/>
        <w:numPr>
          <w:ilvl w:val="0"/>
          <w:numId w:val="9"/>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color w:val="000000"/>
          <w:szCs w:val="21"/>
          <w:highlight w:val="none"/>
        </w:rPr>
      </w:pPr>
      <w:r>
        <w:rPr>
          <w:rFonts w:hint="eastAsia" w:ascii="宋体" w:hAnsi="宋体" w:eastAsia="宋体"/>
          <w:b/>
          <w:bCs/>
          <w:szCs w:val="21"/>
          <w:highlight w:val="none"/>
        </w:rPr>
        <w:t>合同的变更或终止</w:t>
      </w:r>
    </w:p>
    <w:p w14:paraId="57D66E23">
      <w:pPr>
        <w:keepNext w:val="0"/>
        <w:keepLines w:val="0"/>
        <w:pageBreakBefore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买方有权向卖方发出书面通知，从以下方面对合同内容进行变更，卖方应无条件执行买方的变更要求：</w:t>
      </w:r>
    </w:p>
    <w:p w14:paraId="0E5910EC">
      <w:pPr>
        <w:keepNext w:val="0"/>
        <w:keepLines w:val="0"/>
        <w:pageBreakBefore w:val="0"/>
        <w:widowControl w:val="0"/>
        <w:numPr>
          <w:ilvl w:val="0"/>
          <w:numId w:val="15"/>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752B5D4C">
      <w:pPr>
        <w:keepNext w:val="0"/>
        <w:keepLines w:val="0"/>
        <w:pageBreakBefore w:val="0"/>
        <w:widowControl w:val="0"/>
        <w:numPr>
          <w:ilvl w:val="0"/>
          <w:numId w:val="15"/>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color w:val="000000"/>
          <w:szCs w:val="21"/>
          <w:highlight w:val="none"/>
          <w:lang w:eastAsia="zh-CN"/>
        </w:rPr>
      </w:pPr>
      <w:r>
        <w:rPr>
          <w:rFonts w:hint="eastAsia" w:ascii="宋体" w:hAnsi="宋体" w:eastAsia="宋体"/>
          <w:color w:val="000000"/>
          <w:szCs w:val="21"/>
          <w:highlight w:val="none"/>
        </w:rPr>
        <w:t>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r>
        <w:rPr>
          <w:rFonts w:hint="eastAsia" w:ascii="宋体" w:hAnsi="宋体"/>
          <w:color w:val="000000"/>
          <w:szCs w:val="21"/>
          <w:highlight w:val="none"/>
          <w:lang w:eastAsia="zh-CN"/>
        </w:rPr>
        <w:t>。</w:t>
      </w:r>
    </w:p>
    <w:p w14:paraId="0DFB6FBB">
      <w:pPr>
        <w:keepNext w:val="0"/>
        <w:keepLines w:val="0"/>
        <w:pageBreakBefore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color w:val="000000"/>
          <w:kern w:val="0"/>
          <w:szCs w:val="21"/>
          <w:highlight w:val="none"/>
        </w:rPr>
      </w:pPr>
      <w:r>
        <w:rPr>
          <w:rFonts w:hint="eastAsia" w:ascii="宋体" w:hAnsi="宋体" w:eastAsia="宋体"/>
          <w:color w:val="000000"/>
          <w:kern w:val="0"/>
          <w:szCs w:val="21"/>
          <w:highlight w:val="none"/>
        </w:rPr>
        <w:t>除合同另有约定外，本框架合同在下列情况下终止：</w:t>
      </w:r>
    </w:p>
    <w:p w14:paraId="319A93BC">
      <w:pPr>
        <w:keepNext w:val="0"/>
        <w:keepLines w:val="0"/>
        <w:pageBreakBefore w:val="0"/>
        <w:widowControl w:val="0"/>
        <w:numPr>
          <w:ilvl w:val="0"/>
          <w:numId w:val="16"/>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双方协商同意，并签署书面终止合同；</w:t>
      </w:r>
    </w:p>
    <w:p w14:paraId="5ADB1A7E">
      <w:pPr>
        <w:keepNext w:val="0"/>
        <w:keepLines w:val="0"/>
        <w:pageBreakBefore w:val="0"/>
        <w:widowControl w:val="0"/>
        <w:numPr>
          <w:ilvl w:val="0"/>
          <w:numId w:val="16"/>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keepNext w:val="0"/>
        <w:keepLines w:val="0"/>
        <w:pageBreakBefore w:val="0"/>
        <w:widowControl w:val="0"/>
        <w:numPr>
          <w:ilvl w:val="0"/>
          <w:numId w:val="16"/>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724E2F01">
      <w:pPr>
        <w:keepNext w:val="0"/>
        <w:keepLines w:val="0"/>
        <w:pageBreakBefore w:val="0"/>
        <w:widowControl w:val="0"/>
        <w:numPr>
          <w:ilvl w:val="0"/>
          <w:numId w:val="16"/>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color w:val="000000"/>
          <w:kern w:val="0"/>
          <w:szCs w:val="21"/>
          <w:highlight w:val="none"/>
        </w:rPr>
      </w:pPr>
      <w:r>
        <w:rPr>
          <w:rFonts w:hint="eastAsia" w:ascii="宋体" w:hAnsi="宋体" w:eastAsia="宋体"/>
          <w:color w:val="000000"/>
          <w:kern w:val="0"/>
          <w:szCs w:val="21"/>
          <w:highlight w:val="none"/>
        </w:rPr>
        <w:t>除非买卖双方签署书面变更合同，并成为本合同不可分割的一部分之情形外，本合同的条款不得有任何变化或修改。</w:t>
      </w:r>
    </w:p>
    <w:p w14:paraId="2C71047C">
      <w:pPr>
        <w:keepNext w:val="0"/>
        <w:keepLines w:val="0"/>
        <w:pageBreakBefore w:val="0"/>
        <w:widowControl w:val="0"/>
        <w:numPr>
          <w:ilvl w:val="0"/>
          <w:numId w:val="9"/>
        </w:numPr>
        <w:kinsoku/>
        <w:wordWrap/>
        <w:overflowPunct/>
        <w:topLinePunct w:val="0"/>
        <w:autoSpaceDE/>
        <w:autoSpaceDN/>
        <w:bidi w:val="0"/>
        <w:adjustRightInd/>
        <w:snapToGrid w:val="0"/>
        <w:spacing w:line="360" w:lineRule="auto"/>
        <w:ind w:left="0" w:leftChars="0" w:firstLine="0" w:firstLineChars="0"/>
        <w:textAlignment w:val="auto"/>
        <w:rPr>
          <w:rFonts w:hint="eastAsia" w:ascii="宋体" w:hAnsi="宋体" w:eastAsia="宋体"/>
          <w:b/>
          <w:bCs/>
          <w:szCs w:val="21"/>
          <w:highlight w:val="none"/>
        </w:rPr>
      </w:pPr>
      <w:r>
        <w:rPr>
          <w:rFonts w:hint="eastAsia" w:ascii="宋体" w:hAnsi="宋体" w:eastAsia="宋体"/>
          <w:b/>
          <w:bCs/>
          <w:szCs w:val="21"/>
          <w:highlight w:val="none"/>
        </w:rPr>
        <w:t xml:space="preserve">合同的转让 </w:t>
      </w:r>
    </w:p>
    <w:p w14:paraId="54ADCBA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keepNext w:val="0"/>
        <w:keepLines w:val="0"/>
        <w:pageBreakBefore w:val="0"/>
        <w:numPr>
          <w:ilvl w:val="0"/>
          <w:numId w:val="9"/>
        </w:numPr>
        <w:kinsoku/>
        <w:wordWrap/>
        <w:overflowPunct/>
        <w:topLinePunct w:val="0"/>
        <w:autoSpaceDE/>
        <w:autoSpaceDN/>
        <w:bidi w:val="0"/>
        <w:adjustRightInd/>
        <w:snapToGrid w:val="0"/>
        <w:spacing w:line="360" w:lineRule="auto"/>
        <w:ind w:left="527" w:leftChars="0" w:hanging="527" w:hangingChars="250"/>
        <w:textAlignment w:val="auto"/>
        <w:rPr>
          <w:rFonts w:hint="eastAsia" w:ascii="宋体" w:hAnsi="宋体" w:eastAsia="宋体"/>
          <w:b/>
          <w:bCs/>
          <w:szCs w:val="21"/>
          <w:highlight w:val="none"/>
        </w:rPr>
      </w:pPr>
      <w:r>
        <w:rPr>
          <w:rFonts w:hint="eastAsia" w:ascii="宋体" w:hAnsi="宋体" w:eastAsia="宋体"/>
          <w:b/>
          <w:bCs/>
          <w:szCs w:val="21"/>
          <w:highlight w:val="none"/>
        </w:rPr>
        <w:t>合同的</w:t>
      </w:r>
      <w:r>
        <w:rPr>
          <w:rFonts w:hint="eastAsia" w:ascii="宋体" w:hAnsi="宋体" w:eastAsia="宋体"/>
          <w:b/>
          <w:bCs/>
          <w:szCs w:val="21"/>
          <w:highlight w:val="none"/>
          <w:lang w:val="en-US" w:eastAsia="zh-CN"/>
        </w:rPr>
        <w:t>有效性</w:t>
      </w:r>
      <w:r>
        <w:rPr>
          <w:rFonts w:hint="eastAsia" w:ascii="宋体" w:hAnsi="宋体" w:eastAsia="宋体"/>
          <w:b/>
          <w:bCs/>
          <w:szCs w:val="21"/>
          <w:highlight w:val="none"/>
        </w:rPr>
        <w:t xml:space="preserve"> </w:t>
      </w:r>
    </w:p>
    <w:p w14:paraId="32D696A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735F8DFD">
      <w:pPr>
        <w:keepNext w:val="0"/>
        <w:keepLines w:val="0"/>
        <w:pageBreakBefore w:val="0"/>
        <w:numPr>
          <w:ilvl w:val="0"/>
          <w:numId w:val="9"/>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通知送达</w:t>
      </w:r>
    </w:p>
    <w:p w14:paraId="2B119BCB">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050" w:leftChars="250" w:hanging="525"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0E522E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eastAsia" w:ascii="宋体" w:hAnsi="宋体" w:eastAsia="宋体" w:cs="Times New Roman"/>
          <w:kern w:val="0"/>
          <w:szCs w:val="21"/>
          <w:highlight w:val="non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28CE27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050" w:leftChars="250" w:hanging="525" w:hangingChars="250"/>
        <w:textAlignment w:val="auto"/>
        <w:rPr>
          <w:rFonts w:hint="eastAsia" w:ascii="宋体" w:hAnsi="宋体" w:eastAsia="宋体" w:cs="Times New Roman"/>
          <w:kern w:val="0"/>
          <w:szCs w:val="21"/>
          <w:highlight w:val="none"/>
          <w:lang w:val="en-US" w:eastAsia="zh-CN"/>
        </w:rPr>
      </w:pPr>
      <w:r>
        <w:rPr>
          <w:rFonts w:hint="eastAsia" w:ascii="宋体" w:hAnsi="宋体" w:eastAsia="宋体" w:cs="Times New Roman"/>
          <w:spacing w:val="0"/>
          <w:kern w:val="0"/>
          <w:szCs w:val="21"/>
          <w:highlight w:val="none"/>
          <w:fitText w:val="1470" w:id="88766787"/>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本合同第</w:t>
      </w:r>
      <w:r>
        <w:rPr>
          <w:rFonts w:hint="eastAsia" w:ascii="宋体" w:hAnsi="宋体" w:eastAsia="宋体"/>
          <w:szCs w:val="21"/>
          <w:highlight w:val="none"/>
          <w:lang w:val="en-US" w:eastAsia="zh-CN"/>
        </w:rPr>
        <w:t>19</w:t>
      </w:r>
      <w:r>
        <w:rPr>
          <w:rFonts w:hint="eastAsia" w:ascii="宋体" w:hAnsi="宋体" w:eastAsia="宋体"/>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szCs w:val="21"/>
          <w:highlight w:val="none"/>
          <w:lang w:eastAsia="zh-CN"/>
        </w:rPr>
        <w:t>。</w:t>
      </w:r>
      <w:r>
        <w:rPr>
          <w:rFonts w:hint="eastAsia" w:ascii="宋体" w:hAnsi="宋体" w:eastAsia="宋体"/>
          <w:szCs w:val="21"/>
          <w:highlight w:val="none"/>
        </w:rPr>
        <w:t xml:space="preserve">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 </w:t>
      </w:r>
    </w:p>
    <w:p w14:paraId="3D964F17">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本条款为独立条款，不受协议整体或其他条款的效力的影响，始终有效。</w:t>
      </w:r>
    </w:p>
    <w:p w14:paraId="1AF4FACD">
      <w:pPr>
        <w:keepNext w:val="0"/>
        <w:keepLines w:val="0"/>
        <w:pageBreakBefore w:val="0"/>
        <w:numPr>
          <w:ilvl w:val="0"/>
          <w:numId w:val="9"/>
        </w:numPr>
        <w:kinsoku/>
        <w:wordWrap/>
        <w:overflowPunct/>
        <w:topLinePunct w:val="0"/>
        <w:autoSpaceDE/>
        <w:autoSpaceDN/>
        <w:bidi w:val="0"/>
        <w:adjustRightInd/>
        <w:snapToGrid w:val="0"/>
        <w:spacing w:line="360" w:lineRule="auto"/>
        <w:ind w:left="527" w:leftChars="0" w:hanging="527" w:hangingChars="250"/>
        <w:textAlignment w:val="auto"/>
        <w:rPr>
          <w:rFonts w:hint="eastAsia" w:ascii="宋体" w:hAnsi="宋体" w:eastAsia="宋体" w:cs="Times New Roman"/>
          <w:color w:val="000000"/>
          <w:kern w:val="2"/>
          <w:sz w:val="21"/>
          <w:szCs w:val="21"/>
          <w:highlight w:val="none"/>
        </w:rPr>
      </w:pPr>
      <w:r>
        <w:rPr>
          <w:rFonts w:hint="eastAsia" w:ascii="宋体" w:hAnsi="宋体" w:eastAsia="宋体"/>
          <w:b/>
          <w:bCs/>
          <w:szCs w:val="21"/>
          <w:highlight w:val="none"/>
          <w:lang w:val="en-US" w:eastAsia="zh-CN"/>
        </w:rPr>
        <w:t>合规条款</w:t>
      </w:r>
    </w:p>
    <w:p w14:paraId="33DDE1AE">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val="0"/>
        <w:numPr>
          <w:ilvl w:val="0"/>
          <w:numId w:val="17"/>
        </w:numPr>
        <w:tabs>
          <w:tab w:val="left" w:pos="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lang w:val="en-US" w:eastAsia="zh-CN"/>
        </w:rPr>
        <w:t>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在任何情形下，如果买方有实质性证据证明或有充分且合理的理由认为某一作为或不作为将可能会导致其违</w:t>
      </w:r>
    </w:p>
    <w:p w14:paraId="6EBE376B">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在任何情形下，买方均不因卖方及关联方所实施的任何不当行为而遭受任何损失（包括但不限于处理第三方</w:t>
      </w:r>
    </w:p>
    <w:p w14:paraId="222243B7">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索赔所支付的赔偿金、补偿金、诉讼费、仲裁费、保全费、律师费等），对于此等损失均由卖方承担，并且买方有权取消卖方的供应商资格。</w:t>
      </w:r>
    </w:p>
    <w:p w14:paraId="2A2991C3">
      <w:pPr>
        <w:keepNext w:val="0"/>
        <w:keepLines w:val="0"/>
        <w:pageBreakBefore w:val="0"/>
        <w:numPr>
          <w:ilvl w:val="0"/>
          <w:numId w:val="9"/>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适用法律与争议解决</w:t>
      </w:r>
    </w:p>
    <w:p w14:paraId="5E1568FF">
      <w:pPr>
        <w:keepNext w:val="0"/>
        <w:keepLines w:val="0"/>
        <w:pageBreakBefore w:val="0"/>
        <w:numPr>
          <w:ilvl w:val="1"/>
          <w:numId w:val="9"/>
        </w:numPr>
        <w:kinsoku/>
        <w:wordWrap/>
        <w:overflowPunct/>
        <w:topLinePunct w:val="0"/>
        <w:autoSpaceDE/>
        <w:autoSpaceDN/>
        <w:bidi w:val="0"/>
        <w:adjustRightInd/>
        <w:snapToGrid w:val="0"/>
        <w:spacing w:line="360" w:lineRule="auto"/>
        <w:ind w:left="567" w:leftChars="0" w:hanging="567" w:firstLineChars="0"/>
        <w:textAlignment w:val="auto"/>
        <w:rPr>
          <w:rFonts w:ascii="宋体" w:hAnsi="宋体" w:eastAsia="宋体"/>
          <w:szCs w:val="21"/>
          <w:highlight w:val="none"/>
        </w:rPr>
      </w:pPr>
      <w:r>
        <w:rPr>
          <w:rFonts w:hint="eastAsia" w:ascii="宋体" w:hAnsi="宋体" w:eastAsia="宋体"/>
          <w:szCs w:val="21"/>
          <w:highlight w:val="none"/>
        </w:rPr>
        <w:t>本合同的效力、履行及任何争议仅适用中华人民共和国法律。</w:t>
      </w:r>
    </w:p>
    <w:p w14:paraId="561AC45C">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因本合同引起的或与本合同有关的争议，买卖双方应通过友好协商解决，如果协商不成，双方同意按照以下第（1）种方式处理：</w:t>
      </w:r>
    </w:p>
    <w:p w14:paraId="4F75CB00">
      <w:pPr>
        <w:keepNext w:val="0"/>
        <w:keepLines w:val="0"/>
        <w:pageBreakBefore w:val="0"/>
        <w:kinsoku/>
        <w:wordWrap/>
        <w:overflowPunct/>
        <w:topLinePunct w:val="0"/>
        <w:autoSpaceDE/>
        <w:autoSpaceDN/>
        <w:bidi w:val="0"/>
        <w:adjustRightInd/>
        <w:snapToGrid w:val="0"/>
        <w:spacing w:line="360" w:lineRule="auto"/>
        <w:ind w:left="1050" w:leftChars="250" w:hanging="525" w:hangingChars="250"/>
        <w:textAlignment w:val="auto"/>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keepNext w:val="0"/>
        <w:keepLines w:val="0"/>
        <w:pageBreakBefore w:val="0"/>
        <w:widowControl w:val="0"/>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77AFDA11">
      <w:pPr>
        <w:keepNext w:val="0"/>
        <w:keepLines w:val="0"/>
        <w:pageBreakBefore w:val="0"/>
        <w:numPr>
          <w:ilvl w:val="0"/>
          <w:numId w:val="9"/>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其它</w:t>
      </w:r>
    </w:p>
    <w:p w14:paraId="1E187FC5">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本合同经双方法定代表人或其授权代表签名（如授权代表签名，卖方需提交法定代表人授权委托书）并加盖公章后生效。合同执行期间，买卖双方均不得随意变更或解除合同。</w:t>
      </w:r>
    </w:p>
    <w:p w14:paraId="37AB11D7">
      <w:pPr>
        <w:keepNext w:val="0"/>
        <w:keepLines w:val="0"/>
        <w:pageBreakBefore w:val="0"/>
        <w:numPr>
          <w:ilvl w:val="1"/>
          <w:numId w:val="9"/>
        </w:numPr>
        <w:kinsoku/>
        <w:wordWrap/>
        <w:overflowPunct/>
        <w:topLinePunct w:val="0"/>
        <w:autoSpaceDE/>
        <w:autoSpaceDN/>
        <w:bidi w:val="0"/>
        <w:adjustRightInd/>
        <w:snapToGrid w:val="0"/>
        <w:spacing w:line="360" w:lineRule="auto"/>
        <w:ind w:left="567" w:leftChars="0" w:hanging="567" w:firstLineChars="0"/>
        <w:textAlignment w:val="auto"/>
        <w:rPr>
          <w:rFonts w:ascii="宋体" w:hAnsi="宋体" w:eastAsia="宋体"/>
          <w:szCs w:val="21"/>
          <w:highlight w:val="none"/>
        </w:rPr>
      </w:pPr>
      <w:r>
        <w:rPr>
          <w:rFonts w:hint="eastAsia" w:ascii="宋体" w:hAnsi="宋体" w:eastAsia="宋体"/>
          <w:szCs w:val="21"/>
          <w:highlight w:val="none"/>
        </w:rPr>
        <w:t>当买方与卖方之间签署、确认的法律文件之间内容有冲突时，除另有明确书面约定外，其适用顺序如下：</w:t>
      </w:r>
    </w:p>
    <w:p w14:paraId="078ED597">
      <w:pPr>
        <w:keepNext w:val="0"/>
        <w:keepLines w:val="0"/>
        <w:pageBreakBefore w:val="0"/>
        <w:tabs>
          <w:tab w:val="left" w:pos="360"/>
        </w:tabs>
        <w:kinsoku/>
        <w:wordWrap/>
        <w:overflowPunct/>
        <w:topLinePunct w:val="0"/>
        <w:autoSpaceDE/>
        <w:autoSpaceDN/>
        <w:bidi w:val="0"/>
        <w:adjustRightInd/>
        <w:snapToGrid w:val="0"/>
        <w:spacing w:line="360" w:lineRule="auto"/>
        <w:ind w:left="1050" w:leftChars="250" w:hanging="525" w:hangingChars="250"/>
        <w:textAlignment w:val="auto"/>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keepNext w:val="0"/>
        <w:keepLines w:val="0"/>
        <w:pageBreakBefore w:val="0"/>
        <w:tabs>
          <w:tab w:val="left" w:pos="360"/>
        </w:tabs>
        <w:kinsoku/>
        <w:wordWrap/>
        <w:overflowPunct/>
        <w:topLinePunct w:val="0"/>
        <w:autoSpaceDE/>
        <w:autoSpaceDN/>
        <w:bidi w:val="0"/>
        <w:adjustRightInd/>
        <w:snapToGrid w:val="0"/>
        <w:spacing w:line="360" w:lineRule="auto"/>
        <w:ind w:left="1050" w:leftChars="250" w:hanging="525" w:hangingChars="250"/>
        <w:textAlignment w:val="auto"/>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4BC4A8">
      <w:pPr>
        <w:keepNext w:val="0"/>
        <w:keepLines w:val="0"/>
        <w:pageBreakBefore w:val="0"/>
        <w:tabs>
          <w:tab w:val="left" w:pos="360"/>
        </w:tabs>
        <w:kinsoku/>
        <w:wordWrap/>
        <w:overflowPunct/>
        <w:topLinePunct w:val="0"/>
        <w:autoSpaceDE/>
        <w:autoSpaceDN/>
        <w:bidi w:val="0"/>
        <w:adjustRightInd/>
        <w:snapToGrid w:val="0"/>
        <w:spacing w:line="360" w:lineRule="auto"/>
        <w:ind w:left="1050" w:leftChars="250" w:hanging="525" w:hangingChars="250"/>
        <w:textAlignment w:val="auto"/>
        <w:rPr>
          <w:rFonts w:hint="eastAsia"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在本合同期限内，任何一方被合并、改组、分立或者转让，其受让人或承继人应当履行该方在本合同项下的任何义务和责任，也不影响另一方或其受让人、承继人根据本合同应当享有的权利和利益。</w:t>
      </w:r>
    </w:p>
    <w:p w14:paraId="3F8D47EC">
      <w:pPr>
        <w:keepNext w:val="0"/>
        <w:keepLines w:val="0"/>
        <w:pageBreakBefore w:val="0"/>
        <w:widowControl w:val="0"/>
        <w:numPr>
          <w:ilvl w:val="1"/>
          <w:numId w:val="9"/>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本合同正本（包括附件）一式两份，买方执一份，卖方执一份；副本（包括附件）一式</w:t>
      </w:r>
      <w:r>
        <w:rPr>
          <w:rFonts w:hint="eastAsia" w:ascii="宋体" w:hAnsi="宋体" w:eastAsia="宋体"/>
          <w:szCs w:val="21"/>
          <w:highlight w:val="none"/>
          <w:lang w:val="en-US" w:eastAsia="zh-CN"/>
        </w:rPr>
        <w:t>一</w:t>
      </w:r>
      <w:r>
        <w:rPr>
          <w:rFonts w:hint="eastAsia" w:ascii="宋体" w:hAnsi="宋体" w:eastAsia="宋体"/>
          <w:szCs w:val="21"/>
          <w:highlight w:val="none"/>
        </w:rPr>
        <w:t>份，买方执</w:t>
      </w:r>
      <w:r>
        <w:rPr>
          <w:rFonts w:hint="eastAsia" w:ascii="宋体" w:hAnsi="宋体" w:eastAsia="宋体"/>
          <w:szCs w:val="21"/>
          <w:highlight w:val="none"/>
          <w:lang w:val="en-US" w:eastAsia="zh-CN"/>
        </w:rPr>
        <w:t>一</w:t>
      </w:r>
      <w:r>
        <w:rPr>
          <w:rFonts w:hint="eastAsia" w:ascii="宋体" w:hAnsi="宋体" w:eastAsia="宋体"/>
          <w:szCs w:val="21"/>
          <w:highlight w:val="none"/>
        </w:rPr>
        <w:t>份。正本和副本具有同等法律效力，如有互相矛盾之处，以正本为准。</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46F67"/>
    <w:multiLevelType w:val="singleLevel"/>
    <w:tmpl w:val="9A446F67"/>
    <w:lvl w:ilvl="0" w:tentative="0">
      <w:start w:val="1"/>
      <w:numFmt w:val="decimal"/>
      <w:suff w:val="space"/>
      <w:lvlText w:val="%1)"/>
      <w:lvlJc w:val="left"/>
      <w:pPr>
        <w:ind w:left="425" w:hanging="425"/>
      </w:pPr>
      <w:rPr>
        <w:rFonts w:hint="default"/>
      </w:rPr>
    </w:lvl>
  </w:abstractNum>
  <w:abstractNum w:abstractNumId="1">
    <w:nsid w:val="9E3C37DF"/>
    <w:multiLevelType w:val="singleLevel"/>
    <w:tmpl w:val="9E3C37DF"/>
    <w:lvl w:ilvl="0" w:tentative="0">
      <w:start w:val="1"/>
      <w:numFmt w:val="decimal"/>
      <w:lvlText w:val="(%1)"/>
      <w:lvlJc w:val="left"/>
      <w:pPr>
        <w:ind w:left="425" w:hanging="425"/>
      </w:pPr>
      <w:rPr>
        <w:rFonts w:hint="default"/>
      </w:rPr>
    </w:lvl>
  </w:abstractNum>
  <w:abstractNum w:abstractNumId="2">
    <w:nsid w:val="C958C514"/>
    <w:multiLevelType w:val="singleLevel"/>
    <w:tmpl w:val="C958C514"/>
    <w:lvl w:ilvl="0" w:tentative="0">
      <w:start w:val="1"/>
      <w:numFmt w:val="decimal"/>
      <w:suff w:val="space"/>
      <w:lvlText w:val="%1)"/>
      <w:lvlJc w:val="left"/>
      <w:pPr>
        <w:ind w:left="425" w:hanging="425"/>
      </w:pPr>
      <w:rPr>
        <w:rFonts w:hint="default"/>
      </w:rPr>
    </w:lvl>
  </w:abstractNum>
  <w:abstractNum w:abstractNumId="3">
    <w:nsid w:val="D971292A"/>
    <w:multiLevelType w:val="singleLevel"/>
    <w:tmpl w:val="D971292A"/>
    <w:lvl w:ilvl="0" w:tentative="0">
      <w:start w:val="1"/>
      <w:numFmt w:val="decimal"/>
      <w:suff w:val="nothing"/>
      <w:lvlText w:val="%1）"/>
      <w:lvlJc w:val="left"/>
    </w:lvl>
  </w:abstractNum>
  <w:abstractNum w:abstractNumId="4">
    <w:nsid w:val="E6CFE336"/>
    <w:multiLevelType w:val="singleLevel"/>
    <w:tmpl w:val="E6CFE336"/>
    <w:lvl w:ilvl="0" w:tentative="0">
      <w:start w:val="1"/>
      <w:numFmt w:val="decimal"/>
      <w:lvlText w:val="(%1)"/>
      <w:lvlJc w:val="left"/>
      <w:pPr>
        <w:ind w:left="425" w:hanging="425"/>
      </w:pPr>
      <w:rPr>
        <w:rFonts w:hint="default"/>
      </w:rPr>
    </w:lvl>
  </w:abstractNum>
  <w:abstractNum w:abstractNumId="5">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6">
    <w:nsid w:val="05D8B839"/>
    <w:multiLevelType w:val="singleLevel"/>
    <w:tmpl w:val="05D8B839"/>
    <w:lvl w:ilvl="0" w:tentative="0">
      <w:start w:val="1"/>
      <w:numFmt w:val="decimal"/>
      <w:suff w:val="space"/>
      <w:lvlText w:val="%1)"/>
      <w:lvlJc w:val="left"/>
      <w:pPr>
        <w:ind w:left="425" w:hanging="425"/>
      </w:pPr>
      <w:rPr>
        <w:rFonts w:hint="default"/>
      </w:rPr>
    </w:lvl>
  </w:abstractNum>
  <w:abstractNum w:abstractNumId="7">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DFB52C"/>
    <w:multiLevelType w:val="singleLevel"/>
    <w:tmpl w:val="2BDFB52C"/>
    <w:lvl w:ilvl="0" w:tentative="0">
      <w:start w:val="1"/>
      <w:numFmt w:val="decimal"/>
      <w:suff w:val="space"/>
      <w:lvlText w:val="%1)"/>
      <w:lvlJc w:val="left"/>
      <w:pPr>
        <w:ind w:left="425" w:hanging="425"/>
      </w:pPr>
      <w:rPr>
        <w:rFonts w:hint="default"/>
      </w:rPr>
    </w:lvl>
  </w:abstractNum>
  <w:abstractNum w:abstractNumId="9">
    <w:nsid w:val="2D2BA49B"/>
    <w:multiLevelType w:val="singleLevel"/>
    <w:tmpl w:val="2D2BA49B"/>
    <w:lvl w:ilvl="0" w:tentative="0">
      <w:start w:val="1"/>
      <w:numFmt w:val="decimal"/>
      <w:suff w:val="space"/>
      <w:lvlText w:val="%1)"/>
      <w:lvlJc w:val="left"/>
      <w:pPr>
        <w:ind w:left="425" w:hanging="425"/>
      </w:pPr>
      <w:rPr>
        <w:rFonts w:hint="default"/>
      </w:rPr>
    </w:lvl>
  </w:abstractNum>
  <w:abstractNum w:abstractNumId="10">
    <w:nsid w:val="2D70F8B0"/>
    <w:multiLevelType w:val="multilevel"/>
    <w:tmpl w:val="2D70F8B0"/>
    <w:lvl w:ilvl="0" w:tentative="0">
      <w:start w:val="1"/>
      <w:numFmt w:val="decimal"/>
      <w:suff w:val="nothing"/>
      <w:lvlText w:val="%1.  "/>
      <w:lvlJc w:val="left"/>
      <w:pPr>
        <w:tabs>
          <w:tab w:val="left" w:pos="0"/>
        </w:tabs>
        <w:ind w:left="425" w:hanging="425"/>
      </w:pPr>
      <w:rPr>
        <w:rFonts w:hint="default"/>
        <w:b/>
        <w:bCs/>
      </w:rPr>
    </w:lvl>
    <w:lvl w:ilvl="1" w:tentative="0">
      <w:start w:val="1"/>
      <w:numFmt w:val="decimal"/>
      <w:suff w:val="space"/>
      <w:lvlText w:val="%1.%2"/>
      <w:lvlJc w:val="left"/>
      <w:pPr>
        <w:tabs>
          <w:tab w:val="left" w:pos="0"/>
        </w:tabs>
        <w:ind w:left="567" w:hanging="567"/>
      </w:pPr>
      <w:rPr>
        <w:rFonts w:hint="default"/>
        <w:b w:val="0"/>
        <w:bCs w:val="0"/>
        <w:color w:val="auto"/>
      </w:rPr>
    </w:lvl>
    <w:lvl w:ilvl="2" w:tentative="0">
      <w:start w:val="1"/>
      <w:numFmt w:val="decimal"/>
      <w:suff w:val="space"/>
      <w:lvlText w:val="%1.%2.%3"/>
      <w:lvlJc w:val="left"/>
      <w:pPr>
        <w:tabs>
          <w:tab w:val="left" w:pos="420"/>
        </w:tabs>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1">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13">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4">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5">
    <w:nsid w:val="6E9FA8FF"/>
    <w:multiLevelType w:val="singleLevel"/>
    <w:tmpl w:val="6E9FA8FF"/>
    <w:lvl w:ilvl="0" w:tentative="0">
      <w:start w:val="1"/>
      <w:numFmt w:val="decimal"/>
      <w:suff w:val="space"/>
      <w:lvlText w:val="%1)"/>
      <w:lvlJc w:val="left"/>
      <w:pPr>
        <w:ind w:left="425" w:hanging="425"/>
      </w:pPr>
      <w:rPr>
        <w:rFonts w:hint="default"/>
      </w:rPr>
    </w:lvl>
  </w:abstractNum>
  <w:abstractNum w:abstractNumId="16">
    <w:nsid w:val="7DA92B02"/>
    <w:multiLevelType w:val="singleLevel"/>
    <w:tmpl w:val="7DA92B02"/>
    <w:lvl w:ilvl="0" w:tentative="0">
      <w:start w:val="1"/>
      <w:numFmt w:val="decimal"/>
      <w:suff w:val="space"/>
      <w:lvlText w:val="%1)"/>
      <w:lvlJc w:val="left"/>
      <w:pPr>
        <w:ind w:left="425" w:hanging="425"/>
      </w:pPr>
      <w:rPr>
        <w:rFonts w:hint="default"/>
      </w:rPr>
    </w:lvl>
  </w:abstractNum>
  <w:num w:numId="1">
    <w:abstractNumId w:val="3"/>
  </w:num>
  <w:num w:numId="2">
    <w:abstractNumId w:val="13"/>
  </w:num>
  <w:num w:numId="3">
    <w:abstractNumId w:val="4"/>
  </w:num>
  <w:num w:numId="4">
    <w:abstractNumId w:val="14"/>
  </w:num>
  <w:num w:numId="5">
    <w:abstractNumId w:val="5"/>
  </w:num>
  <w:num w:numId="6">
    <w:abstractNumId w:val="12"/>
  </w:num>
  <w:num w:numId="7">
    <w:abstractNumId w:val="7"/>
  </w:num>
  <w:num w:numId="8">
    <w:abstractNumId w:val="11"/>
  </w:num>
  <w:num w:numId="9">
    <w:abstractNumId w:val="10"/>
  </w:num>
  <w:num w:numId="10">
    <w:abstractNumId w:val="1"/>
  </w:num>
  <w:num w:numId="11">
    <w:abstractNumId w:val="0"/>
  </w:num>
  <w:num w:numId="12">
    <w:abstractNumId w:val="16"/>
  </w:num>
  <w:num w:numId="13">
    <w:abstractNumId w:val="2"/>
  </w:num>
  <w:num w:numId="14">
    <w:abstractNumId w:val="6"/>
  </w:num>
  <w:num w:numId="15">
    <w:abstractNumId w:val="8"/>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9B7B7D"/>
    <w:rsid w:val="01C20BC1"/>
    <w:rsid w:val="01F114A6"/>
    <w:rsid w:val="02104022"/>
    <w:rsid w:val="022C0730"/>
    <w:rsid w:val="02645583"/>
    <w:rsid w:val="028642E4"/>
    <w:rsid w:val="02F823F5"/>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7E712A"/>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1702"/>
    <w:rsid w:val="0C607954"/>
    <w:rsid w:val="0C961555"/>
    <w:rsid w:val="0CA80AC7"/>
    <w:rsid w:val="0CB70393"/>
    <w:rsid w:val="0CC56B02"/>
    <w:rsid w:val="0D0C188A"/>
    <w:rsid w:val="0D474670"/>
    <w:rsid w:val="0D49488C"/>
    <w:rsid w:val="0D6B4803"/>
    <w:rsid w:val="0D961154"/>
    <w:rsid w:val="0DA33F9D"/>
    <w:rsid w:val="0DFE3C20"/>
    <w:rsid w:val="0E41118E"/>
    <w:rsid w:val="0E5E6115"/>
    <w:rsid w:val="0E6F3E7F"/>
    <w:rsid w:val="0E9B2F86"/>
    <w:rsid w:val="0EAF071F"/>
    <w:rsid w:val="0EFA4090"/>
    <w:rsid w:val="0F2067B0"/>
    <w:rsid w:val="0F4C33C4"/>
    <w:rsid w:val="0F706100"/>
    <w:rsid w:val="0FB12275"/>
    <w:rsid w:val="0FC6075F"/>
    <w:rsid w:val="0FDF5034"/>
    <w:rsid w:val="10260EB5"/>
    <w:rsid w:val="106313BA"/>
    <w:rsid w:val="106D2640"/>
    <w:rsid w:val="10A51DDA"/>
    <w:rsid w:val="10CA6ACA"/>
    <w:rsid w:val="10EC3443"/>
    <w:rsid w:val="11001706"/>
    <w:rsid w:val="113C38DE"/>
    <w:rsid w:val="11744091"/>
    <w:rsid w:val="119360D6"/>
    <w:rsid w:val="11BC1869"/>
    <w:rsid w:val="121F5BBC"/>
    <w:rsid w:val="123A47A4"/>
    <w:rsid w:val="125E7697"/>
    <w:rsid w:val="127315B1"/>
    <w:rsid w:val="1274141C"/>
    <w:rsid w:val="12E24FBE"/>
    <w:rsid w:val="130B144A"/>
    <w:rsid w:val="132A63DF"/>
    <w:rsid w:val="13503F20"/>
    <w:rsid w:val="13623FB2"/>
    <w:rsid w:val="136C4E31"/>
    <w:rsid w:val="1378114C"/>
    <w:rsid w:val="13855EF2"/>
    <w:rsid w:val="138B016E"/>
    <w:rsid w:val="138D1D96"/>
    <w:rsid w:val="13B91738"/>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575DF8"/>
    <w:rsid w:val="17CC40F0"/>
    <w:rsid w:val="17E31439"/>
    <w:rsid w:val="17EE681F"/>
    <w:rsid w:val="180A24D2"/>
    <w:rsid w:val="188E75F7"/>
    <w:rsid w:val="196C5B8A"/>
    <w:rsid w:val="197902A7"/>
    <w:rsid w:val="198E2A16"/>
    <w:rsid w:val="19A76BC3"/>
    <w:rsid w:val="19B906A4"/>
    <w:rsid w:val="19C31F4B"/>
    <w:rsid w:val="19DB2D10"/>
    <w:rsid w:val="1A18361C"/>
    <w:rsid w:val="1A240D2C"/>
    <w:rsid w:val="1A5F124B"/>
    <w:rsid w:val="1A903AFB"/>
    <w:rsid w:val="1AAE5D2F"/>
    <w:rsid w:val="1AF8344E"/>
    <w:rsid w:val="1AFC3A63"/>
    <w:rsid w:val="1B2566C4"/>
    <w:rsid w:val="1B291859"/>
    <w:rsid w:val="1B302BE8"/>
    <w:rsid w:val="1B4A3CA9"/>
    <w:rsid w:val="1B860A5A"/>
    <w:rsid w:val="1BAA7B2C"/>
    <w:rsid w:val="1BBE4697"/>
    <w:rsid w:val="1BEA0FE8"/>
    <w:rsid w:val="1C897E65"/>
    <w:rsid w:val="1CA90839"/>
    <w:rsid w:val="1CC21F65"/>
    <w:rsid w:val="1CE75528"/>
    <w:rsid w:val="1CEC6D48"/>
    <w:rsid w:val="1D21411F"/>
    <w:rsid w:val="1D2C40BC"/>
    <w:rsid w:val="1D5C4168"/>
    <w:rsid w:val="1D7E7C3A"/>
    <w:rsid w:val="1DBC6559"/>
    <w:rsid w:val="1DC85359"/>
    <w:rsid w:val="1DD2442A"/>
    <w:rsid w:val="1E312EFF"/>
    <w:rsid w:val="1E450758"/>
    <w:rsid w:val="1E8632EE"/>
    <w:rsid w:val="1ED02EE2"/>
    <w:rsid w:val="1F027EE3"/>
    <w:rsid w:val="1F220A99"/>
    <w:rsid w:val="1F3D0BF1"/>
    <w:rsid w:val="1F4A7345"/>
    <w:rsid w:val="1F4D3D68"/>
    <w:rsid w:val="1F4E71EE"/>
    <w:rsid w:val="1F533349"/>
    <w:rsid w:val="1F666BD8"/>
    <w:rsid w:val="1F7D45D0"/>
    <w:rsid w:val="1F831D1F"/>
    <w:rsid w:val="1FB6045D"/>
    <w:rsid w:val="1FF22990"/>
    <w:rsid w:val="1FF468DA"/>
    <w:rsid w:val="20206F8B"/>
    <w:rsid w:val="20531852"/>
    <w:rsid w:val="207D242B"/>
    <w:rsid w:val="208866D1"/>
    <w:rsid w:val="20E44F18"/>
    <w:rsid w:val="20FF5536"/>
    <w:rsid w:val="21124FCE"/>
    <w:rsid w:val="21130FE1"/>
    <w:rsid w:val="216141DA"/>
    <w:rsid w:val="21661111"/>
    <w:rsid w:val="21751354"/>
    <w:rsid w:val="21C916A0"/>
    <w:rsid w:val="21EE1107"/>
    <w:rsid w:val="222334A6"/>
    <w:rsid w:val="222C308D"/>
    <w:rsid w:val="22552F34"/>
    <w:rsid w:val="227A50AE"/>
    <w:rsid w:val="228D0920"/>
    <w:rsid w:val="22B93A69"/>
    <w:rsid w:val="22DD7164"/>
    <w:rsid w:val="22E62859"/>
    <w:rsid w:val="231E77CA"/>
    <w:rsid w:val="23270D74"/>
    <w:rsid w:val="23353491"/>
    <w:rsid w:val="23736492"/>
    <w:rsid w:val="2382546B"/>
    <w:rsid w:val="23A45829"/>
    <w:rsid w:val="23CA7E50"/>
    <w:rsid w:val="23FB6A9C"/>
    <w:rsid w:val="241B2D61"/>
    <w:rsid w:val="241E5CD3"/>
    <w:rsid w:val="24280900"/>
    <w:rsid w:val="24AC5BAF"/>
    <w:rsid w:val="24EC7159"/>
    <w:rsid w:val="253432D4"/>
    <w:rsid w:val="255F2A47"/>
    <w:rsid w:val="25826736"/>
    <w:rsid w:val="25DA3E7C"/>
    <w:rsid w:val="266320C3"/>
    <w:rsid w:val="26C708A4"/>
    <w:rsid w:val="27133AE9"/>
    <w:rsid w:val="275C189F"/>
    <w:rsid w:val="277E1FE6"/>
    <w:rsid w:val="27AC1848"/>
    <w:rsid w:val="28616AD6"/>
    <w:rsid w:val="289F580D"/>
    <w:rsid w:val="28A25500"/>
    <w:rsid w:val="28C826B1"/>
    <w:rsid w:val="28D65B85"/>
    <w:rsid w:val="28E05C4D"/>
    <w:rsid w:val="28F33BD2"/>
    <w:rsid w:val="295E6B72"/>
    <w:rsid w:val="29A273A6"/>
    <w:rsid w:val="29A529F3"/>
    <w:rsid w:val="2A5921FA"/>
    <w:rsid w:val="2B7F044A"/>
    <w:rsid w:val="2B844FB6"/>
    <w:rsid w:val="2B8B1E9A"/>
    <w:rsid w:val="2BA20995"/>
    <w:rsid w:val="2BB90BFC"/>
    <w:rsid w:val="2BF76571"/>
    <w:rsid w:val="2C3A1B18"/>
    <w:rsid w:val="2C90798A"/>
    <w:rsid w:val="2CAD4098"/>
    <w:rsid w:val="2CCE400E"/>
    <w:rsid w:val="2CE448E4"/>
    <w:rsid w:val="2CFF6CD5"/>
    <w:rsid w:val="2D1C2FCC"/>
    <w:rsid w:val="2D3C3C89"/>
    <w:rsid w:val="2D832FCE"/>
    <w:rsid w:val="2E4647A4"/>
    <w:rsid w:val="2E884FDF"/>
    <w:rsid w:val="2ECE02F6"/>
    <w:rsid w:val="2F1403FE"/>
    <w:rsid w:val="2F462582"/>
    <w:rsid w:val="2F4F7689"/>
    <w:rsid w:val="2F7610B9"/>
    <w:rsid w:val="2FEF49C8"/>
    <w:rsid w:val="300372B7"/>
    <w:rsid w:val="30367754"/>
    <w:rsid w:val="30660AF7"/>
    <w:rsid w:val="30EF0CD6"/>
    <w:rsid w:val="317C228B"/>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5117AD"/>
    <w:rsid w:val="346C4EC4"/>
    <w:rsid w:val="348B4C53"/>
    <w:rsid w:val="34CC177B"/>
    <w:rsid w:val="354237EC"/>
    <w:rsid w:val="35492DCC"/>
    <w:rsid w:val="354C53DB"/>
    <w:rsid w:val="36140F09"/>
    <w:rsid w:val="365350B6"/>
    <w:rsid w:val="368C2F70"/>
    <w:rsid w:val="370664EA"/>
    <w:rsid w:val="37691503"/>
    <w:rsid w:val="37E4443E"/>
    <w:rsid w:val="38107BD1"/>
    <w:rsid w:val="381C0324"/>
    <w:rsid w:val="383E64EC"/>
    <w:rsid w:val="385C1F83"/>
    <w:rsid w:val="38844711"/>
    <w:rsid w:val="388A7983"/>
    <w:rsid w:val="38BA6025"/>
    <w:rsid w:val="38D46E50"/>
    <w:rsid w:val="390A6409"/>
    <w:rsid w:val="394C2E8B"/>
    <w:rsid w:val="395064D7"/>
    <w:rsid w:val="39AB7BB1"/>
    <w:rsid w:val="39B051C8"/>
    <w:rsid w:val="39B63FEE"/>
    <w:rsid w:val="39EE21C7"/>
    <w:rsid w:val="3A12074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D804EB1"/>
    <w:rsid w:val="3DE051EE"/>
    <w:rsid w:val="3E2372E0"/>
    <w:rsid w:val="3EA70C81"/>
    <w:rsid w:val="3EB92D70"/>
    <w:rsid w:val="3EBA2645"/>
    <w:rsid w:val="3EBA5FC7"/>
    <w:rsid w:val="3F1A0A47"/>
    <w:rsid w:val="3F2C3542"/>
    <w:rsid w:val="3F43263A"/>
    <w:rsid w:val="3F6E5586"/>
    <w:rsid w:val="3FAE21A3"/>
    <w:rsid w:val="3FD87871"/>
    <w:rsid w:val="3FDA11F0"/>
    <w:rsid w:val="3FF57DD8"/>
    <w:rsid w:val="3FF9638C"/>
    <w:rsid w:val="400662A3"/>
    <w:rsid w:val="400B3BB8"/>
    <w:rsid w:val="4013200C"/>
    <w:rsid w:val="40143812"/>
    <w:rsid w:val="401C02CA"/>
    <w:rsid w:val="40490124"/>
    <w:rsid w:val="40920B61"/>
    <w:rsid w:val="40D75730"/>
    <w:rsid w:val="412A0E7A"/>
    <w:rsid w:val="41886A2A"/>
    <w:rsid w:val="41D7745E"/>
    <w:rsid w:val="420432B8"/>
    <w:rsid w:val="425A2175"/>
    <w:rsid w:val="42642FF3"/>
    <w:rsid w:val="426A4FA5"/>
    <w:rsid w:val="42964976"/>
    <w:rsid w:val="42997141"/>
    <w:rsid w:val="42F73E67"/>
    <w:rsid w:val="433B5A32"/>
    <w:rsid w:val="433E1A96"/>
    <w:rsid w:val="435F188A"/>
    <w:rsid w:val="436D237B"/>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8147269"/>
    <w:rsid w:val="48A57EC2"/>
    <w:rsid w:val="48CE566A"/>
    <w:rsid w:val="491646DC"/>
    <w:rsid w:val="49971F00"/>
    <w:rsid w:val="49A5461D"/>
    <w:rsid w:val="49C2425D"/>
    <w:rsid w:val="49FE5ADB"/>
    <w:rsid w:val="4A0140FD"/>
    <w:rsid w:val="4A205A52"/>
    <w:rsid w:val="4A3B4EF1"/>
    <w:rsid w:val="4A3C66FE"/>
    <w:rsid w:val="4A5E7508"/>
    <w:rsid w:val="4A940469"/>
    <w:rsid w:val="4B907D32"/>
    <w:rsid w:val="4B991F60"/>
    <w:rsid w:val="4CBD3A2C"/>
    <w:rsid w:val="4CC34DBA"/>
    <w:rsid w:val="4D0C050F"/>
    <w:rsid w:val="4D4E0B28"/>
    <w:rsid w:val="4DB017E2"/>
    <w:rsid w:val="4E0452F6"/>
    <w:rsid w:val="4E5D1622"/>
    <w:rsid w:val="4E726A98"/>
    <w:rsid w:val="4E9764FE"/>
    <w:rsid w:val="4EAA6232"/>
    <w:rsid w:val="4EB943FF"/>
    <w:rsid w:val="4F021BCA"/>
    <w:rsid w:val="4F2C4E99"/>
    <w:rsid w:val="4F4162CB"/>
    <w:rsid w:val="4F55619D"/>
    <w:rsid w:val="4F825B80"/>
    <w:rsid w:val="4F8610E9"/>
    <w:rsid w:val="4F8E7BBB"/>
    <w:rsid w:val="4F9273F2"/>
    <w:rsid w:val="4FB14184"/>
    <w:rsid w:val="4FB235F0"/>
    <w:rsid w:val="4FEB4D54"/>
    <w:rsid w:val="50487AB0"/>
    <w:rsid w:val="506568B4"/>
    <w:rsid w:val="50964CC0"/>
    <w:rsid w:val="51087240"/>
    <w:rsid w:val="512978E2"/>
    <w:rsid w:val="51962A9D"/>
    <w:rsid w:val="51BA2C30"/>
    <w:rsid w:val="51EE0B2B"/>
    <w:rsid w:val="521C2FA3"/>
    <w:rsid w:val="522B768A"/>
    <w:rsid w:val="52917F8D"/>
    <w:rsid w:val="52923265"/>
    <w:rsid w:val="52BE3679"/>
    <w:rsid w:val="52D74A7E"/>
    <w:rsid w:val="531E71EE"/>
    <w:rsid w:val="533802B0"/>
    <w:rsid w:val="53413127"/>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D62CB"/>
    <w:rsid w:val="566E223B"/>
    <w:rsid w:val="566E5A3F"/>
    <w:rsid w:val="56A62F15"/>
    <w:rsid w:val="56B539C6"/>
    <w:rsid w:val="56B93FA5"/>
    <w:rsid w:val="56C715FB"/>
    <w:rsid w:val="56F1653F"/>
    <w:rsid w:val="576D604E"/>
    <w:rsid w:val="57825F9E"/>
    <w:rsid w:val="57B974E6"/>
    <w:rsid w:val="57C42612"/>
    <w:rsid w:val="58247055"/>
    <w:rsid w:val="58A3441E"/>
    <w:rsid w:val="58AC35AF"/>
    <w:rsid w:val="596A4F3B"/>
    <w:rsid w:val="5972723B"/>
    <w:rsid w:val="59AA17DC"/>
    <w:rsid w:val="59CA3C2C"/>
    <w:rsid w:val="59CF2866"/>
    <w:rsid w:val="5AEC372E"/>
    <w:rsid w:val="5B1A7EA6"/>
    <w:rsid w:val="5B2335F4"/>
    <w:rsid w:val="5B415796"/>
    <w:rsid w:val="5B501F0F"/>
    <w:rsid w:val="5B7E4CCE"/>
    <w:rsid w:val="5BAD55B3"/>
    <w:rsid w:val="5C0160DE"/>
    <w:rsid w:val="5C0E6052"/>
    <w:rsid w:val="5C186ED1"/>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A30D33"/>
    <w:rsid w:val="60CD2CBF"/>
    <w:rsid w:val="60D72A94"/>
    <w:rsid w:val="60EB4BB4"/>
    <w:rsid w:val="60EE0200"/>
    <w:rsid w:val="61252DAF"/>
    <w:rsid w:val="61283254"/>
    <w:rsid w:val="613B0F6B"/>
    <w:rsid w:val="615A7643"/>
    <w:rsid w:val="61686204"/>
    <w:rsid w:val="61B13D89"/>
    <w:rsid w:val="61D12D46"/>
    <w:rsid w:val="62173786"/>
    <w:rsid w:val="621912AD"/>
    <w:rsid w:val="621B3277"/>
    <w:rsid w:val="622F6D22"/>
    <w:rsid w:val="626F5FC1"/>
    <w:rsid w:val="62B31701"/>
    <w:rsid w:val="62D022B3"/>
    <w:rsid w:val="632C14B3"/>
    <w:rsid w:val="6372336A"/>
    <w:rsid w:val="63730E90"/>
    <w:rsid w:val="638A48BF"/>
    <w:rsid w:val="63C96D02"/>
    <w:rsid w:val="63D20880"/>
    <w:rsid w:val="63D47B81"/>
    <w:rsid w:val="64654C7D"/>
    <w:rsid w:val="647608C2"/>
    <w:rsid w:val="647F7922"/>
    <w:rsid w:val="64942E6C"/>
    <w:rsid w:val="651A5A67"/>
    <w:rsid w:val="65286901"/>
    <w:rsid w:val="653F54CE"/>
    <w:rsid w:val="657A02B4"/>
    <w:rsid w:val="659770B8"/>
    <w:rsid w:val="65D57BE0"/>
    <w:rsid w:val="65F71905"/>
    <w:rsid w:val="65F77B57"/>
    <w:rsid w:val="661A3845"/>
    <w:rsid w:val="66252916"/>
    <w:rsid w:val="662B15AE"/>
    <w:rsid w:val="66636F9A"/>
    <w:rsid w:val="668D6F37"/>
    <w:rsid w:val="66FB3677"/>
    <w:rsid w:val="670818F0"/>
    <w:rsid w:val="67627252"/>
    <w:rsid w:val="677D22DE"/>
    <w:rsid w:val="67A42D64"/>
    <w:rsid w:val="67A678BF"/>
    <w:rsid w:val="67BC554A"/>
    <w:rsid w:val="67DC0256"/>
    <w:rsid w:val="68246BFD"/>
    <w:rsid w:val="68252676"/>
    <w:rsid w:val="683C3F47"/>
    <w:rsid w:val="684E502F"/>
    <w:rsid w:val="68555008"/>
    <w:rsid w:val="68753308"/>
    <w:rsid w:val="68CC0866"/>
    <w:rsid w:val="68D45F2D"/>
    <w:rsid w:val="68D66149"/>
    <w:rsid w:val="68DE4FFE"/>
    <w:rsid w:val="68E731FC"/>
    <w:rsid w:val="690A5DF3"/>
    <w:rsid w:val="691C65F4"/>
    <w:rsid w:val="692D388F"/>
    <w:rsid w:val="69750D65"/>
    <w:rsid w:val="69AE49D0"/>
    <w:rsid w:val="69B24F3E"/>
    <w:rsid w:val="69E72135"/>
    <w:rsid w:val="6A024D1C"/>
    <w:rsid w:val="6A0657AB"/>
    <w:rsid w:val="6A590DE0"/>
    <w:rsid w:val="6A6B0B13"/>
    <w:rsid w:val="6AF6662F"/>
    <w:rsid w:val="6AFF300A"/>
    <w:rsid w:val="6B056872"/>
    <w:rsid w:val="6B6E2926"/>
    <w:rsid w:val="6BA5042F"/>
    <w:rsid w:val="6BB838E4"/>
    <w:rsid w:val="6BC1163D"/>
    <w:rsid w:val="6BC62982"/>
    <w:rsid w:val="6BC71D79"/>
    <w:rsid w:val="6BE609BE"/>
    <w:rsid w:val="6C3B62C3"/>
    <w:rsid w:val="6C5B062A"/>
    <w:rsid w:val="6CA43E69"/>
    <w:rsid w:val="6CF43042"/>
    <w:rsid w:val="6CFC1EF7"/>
    <w:rsid w:val="6D042B59"/>
    <w:rsid w:val="6D21195D"/>
    <w:rsid w:val="6D504CBA"/>
    <w:rsid w:val="6D7D3037"/>
    <w:rsid w:val="6DD679D8"/>
    <w:rsid w:val="6DE309C1"/>
    <w:rsid w:val="6DF3366F"/>
    <w:rsid w:val="6DF5118C"/>
    <w:rsid w:val="6E0E3C8F"/>
    <w:rsid w:val="6E0F7D6E"/>
    <w:rsid w:val="6E172AFA"/>
    <w:rsid w:val="6E221470"/>
    <w:rsid w:val="6E340E03"/>
    <w:rsid w:val="6E6E0BD2"/>
    <w:rsid w:val="6E8B1784"/>
    <w:rsid w:val="6EC151A6"/>
    <w:rsid w:val="6EC92EC4"/>
    <w:rsid w:val="6ECB1B80"/>
    <w:rsid w:val="6EF26D5B"/>
    <w:rsid w:val="6F0F327A"/>
    <w:rsid w:val="6F3E1828"/>
    <w:rsid w:val="6F5563F8"/>
    <w:rsid w:val="6F5A6ADB"/>
    <w:rsid w:val="6FB6638D"/>
    <w:rsid w:val="708D66C2"/>
    <w:rsid w:val="7095177A"/>
    <w:rsid w:val="70A95EF1"/>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357639F"/>
    <w:rsid w:val="74793E2D"/>
    <w:rsid w:val="748527D2"/>
    <w:rsid w:val="74A013B9"/>
    <w:rsid w:val="74B135C7"/>
    <w:rsid w:val="753541DE"/>
    <w:rsid w:val="754206C3"/>
    <w:rsid w:val="75B77529"/>
    <w:rsid w:val="75BC66C7"/>
    <w:rsid w:val="75EA6B03"/>
    <w:rsid w:val="75EC6E50"/>
    <w:rsid w:val="767F6B9B"/>
    <w:rsid w:val="76E9789C"/>
    <w:rsid w:val="76EF27A1"/>
    <w:rsid w:val="77310F4C"/>
    <w:rsid w:val="775841CD"/>
    <w:rsid w:val="77A4715B"/>
    <w:rsid w:val="77A613DD"/>
    <w:rsid w:val="77D777E8"/>
    <w:rsid w:val="77E45A61"/>
    <w:rsid w:val="78280044"/>
    <w:rsid w:val="78302F30"/>
    <w:rsid w:val="785410B1"/>
    <w:rsid w:val="7860158C"/>
    <w:rsid w:val="79231413"/>
    <w:rsid w:val="792C393E"/>
    <w:rsid w:val="793D18CD"/>
    <w:rsid w:val="79881869"/>
    <w:rsid w:val="79B17BC5"/>
    <w:rsid w:val="79C8563A"/>
    <w:rsid w:val="7A513882"/>
    <w:rsid w:val="7A6510DB"/>
    <w:rsid w:val="7A6D4434"/>
    <w:rsid w:val="7A9B79C4"/>
    <w:rsid w:val="7ADE0316"/>
    <w:rsid w:val="7AE2097E"/>
    <w:rsid w:val="7AE81059"/>
    <w:rsid w:val="7B334D35"/>
    <w:rsid w:val="7B3B62E0"/>
    <w:rsid w:val="7B597D37"/>
    <w:rsid w:val="7B6F2E5E"/>
    <w:rsid w:val="7B826770"/>
    <w:rsid w:val="7B9A4DB4"/>
    <w:rsid w:val="7BBD0AA3"/>
    <w:rsid w:val="7BE566D0"/>
    <w:rsid w:val="7C1D1D83"/>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15681</Words>
  <Characters>16400</Characters>
  <Lines>101</Lines>
  <Paragraphs>28</Paragraphs>
  <TotalTime>0</TotalTime>
  <ScaleCrop>false</ScaleCrop>
  <LinksUpToDate>false</LinksUpToDate>
  <CharactersWithSpaces>17551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2026-07-02T01:26:39Z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