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01FE8">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1A754CE">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72"/>
          <w:szCs w:val="72"/>
          <w:highlight w:val="none"/>
          <w:u w:color="000000"/>
          <w:lang w:val="en-US" w:eastAsia="zh-CN" w:bidi="ar"/>
        </w:rPr>
      </w:pPr>
      <w:r>
        <w:rPr>
          <w:rFonts w:hint="eastAsia" w:ascii="Times New Roman" w:hAnsi="Times New Roman" w:eastAsia="宋体" w:cs="宋体"/>
          <w:b/>
          <w:bCs w:val="0"/>
          <w:color w:val="000000"/>
          <w:kern w:val="0"/>
          <w:sz w:val="44"/>
          <w:szCs w:val="24"/>
          <w:highlight w:val="none"/>
          <w:u w:color="000000"/>
          <w:lang w:val="en-US" w:eastAsia="zh-CN" w:bidi="ar"/>
        </w:rPr>
        <w:t>滁州至南京城际铁路（滁州段）一期生活用水改造及车辆段加装过滤装置项目（二次）</w:t>
      </w:r>
    </w:p>
    <w:p w14:paraId="2CD5D2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2E1271B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D3A62A7">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6551BB04">
      <w:pPr>
        <w:pStyle w:val="18"/>
        <w:widowControl/>
        <w:rPr>
          <w:highlight w:val="none"/>
          <w:lang w:val="en-US"/>
        </w:rPr>
      </w:pPr>
      <w:r>
        <w:rPr>
          <w:highlight w:val="none"/>
          <w:lang w:val="en-US"/>
        </w:rPr>
        <w:t xml:space="preserve"> </w:t>
      </w:r>
    </w:p>
    <w:p w14:paraId="2265E232">
      <w:pPr>
        <w:pStyle w:val="18"/>
        <w:widowControl/>
        <w:rPr>
          <w:highlight w:val="none"/>
          <w:lang w:val="en-US"/>
        </w:rPr>
      </w:pPr>
      <w:r>
        <w:rPr>
          <w:highlight w:val="none"/>
          <w:lang w:val="en-US"/>
        </w:rPr>
        <w:t xml:space="preserve"> </w:t>
      </w:r>
    </w:p>
    <w:p w14:paraId="313CB13E">
      <w:pPr>
        <w:pStyle w:val="18"/>
        <w:widowControl/>
        <w:rPr>
          <w:highlight w:val="none"/>
          <w:lang w:val="en-US"/>
        </w:rPr>
      </w:pPr>
      <w:r>
        <w:rPr>
          <w:highlight w:val="none"/>
          <w:lang w:val="en-US"/>
        </w:rPr>
        <w:t xml:space="preserve"> </w:t>
      </w:r>
    </w:p>
    <w:p w14:paraId="1B59EE29">
      <w:pPr>
        <w:pStyle w:val="18"/>
        <w:widowControl/>
        <w:rPr>
          <w:highlight w:val="none"/>
          <w:lang w:val="en-US"/>
        </w:rPr>
      </w:pPr>
      <w:r>
        <w:rPr>
          <w:highlight w:val="none"/>
          <w:lang w:val="en-US"/>
        </w:rPr>
        <w:t xml:space="preserve"> </w:t>
      </w:r>
    </w:p>
    <w:p w14:paraId="15F020CD">
      <w:pPr>
        <w:pStyle w:val="18"/>
        <w:widowControl/>
        <w:ind w:left="0" w:leftChars="0" w:firstLine="0" w:firstLineChars="0"/>
        <w:rPr>
          <w:highlight w:val="none"/>
          <w:lang w:val="en-US"/>
        </w:rPr>
      </w:pPr>
    </w:p>
    <w:p w14:paraId="13060FF7">
      <w:pPr>
        <w:pStyle w:val="18"/>
        <w:widowControl/>
        <w:rPr>
          <w:rFonts w:eastAsia="宋体"/>
          <w:highlight w:val="none"/>
          <w:lang w:val="en-US"/>
        </w:rPr>
      </w:pPr>
      <w:r>
        <w:rPr>
          <w:highlight w:val="none"/>
          <w:lang w:val="en-US"/>
        </w:rPr>
        <w:t xml:space="preserve"> </w:t>
      </w:r>
    </w:p>
    <w:p w14:paraId="72405FB7">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lang w:eastAsia="zh-CN"/>
        </w:rPr>
        <w:t>滁州市滁宁城际铁路开发建设有限公司</w:t>
      </w:r>
      <w:r>
        <w:rPr>
          <w:rFonts w:hint="eastAsia" w:ascii="宋体" w:hAnsi="宋体"/>
          <w:b/>
          <w:sz w:val="32"/>
          <w:highlight w:val="none"/>
          <w:u w:val="thick"/>
        </w:rPr>
        <w:t xml:space="preserve"> </w:t>
      </w:r>
    </w:p>
    <w:p w14:paraId="3A101657">
      <w:pPr>
        <w:adjustRightInd w:val="0"/>
        <w:snapToGrid w:val="0"/>
        <w:ind w:firstLine="302" w:firstLineChars="94"/>
        <w:rPr>
          <w:rFonts w:hint="eastAsia" w:ascii="宋体" w:hAnsi="宋体"/>
          <w:b/>
          <w:sz w:val="32"/>
          <w:highlight w:val="none"/>
          <w:u w:val="thick"/>
        </w:rPr>
      </w:pPr>
    </w:p>
    <w:p w14:paraId="2E9A6BF1">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085CEEDC">
      <w:pPr>
        <w:adjustRightInd w:val="0"/>
        <w:snapToGrid w:val="0"/>
        <w:rPr>
          <w:rFonts w:hint="eastAsia" w:ascii="宋体" w:hAnsi="宋体"/>
          <w:spacing w:val="20"/>
          <w:sz w:val="32"/>
          <w:highlight w:val="none"/>
          <w:u w:val="single"/>
        </w:rPr>
      </w:pPr>
    </w:p>
    <w:p w14:paraId="4B01FC1A">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202</w:t>
      </w:r>
      <w:r>
        <w:rPr>
          <w:rFonts w:hint="eastAsia" w:ascii="宋体" w:hAnsi="宋体"/>
          <w:b/>
          <w:sz w:val="32"/>
          <w:highlight w:val="none"/>
          <w:u w:val="thick"/>
          <w:lang w:val="en-US" w:eastAsia="zh-CN"/>
        </w:rPr>
        <w:t>6</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57DADD6F">
      <w:pPr>
        <w:pStyle w:val="6"/>
        <w:widowControl/>
        <w:spacing w:before="0" w:beforeAutospacing="0" w:after="120" w:afterAutospacing="0"/>
        <w:ind w:leftChars="200" w:right="0"/>
        <w:rPr>
          <w:highlight w:val="none"/>
          <w:lang w:val="en-US"/>
        </w:rPr>
      </w:pPr>
      <w:r>
        <w:rPr>
          <w:highlight w:val="none"/>
          <w:lang w:val="en-US"/>
        </w:rPr>
        <w:t xml:space="preserve"> </w:t>
      </w:r>
    </w:p>
    <w:p w14:paraId="64F2DFD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49D5674">
      <w:pPr>
        <w:jc w:val="center"/>
        <w:rPr>
          <w:rFonts w:hint="eastAsia" w:ascii="宋体" w:hAnsi="宋体" w:eastAsia="宋体" w:cs="宋体"/>
          <w:b/>
          <w:bCs w:val="0"/>
          <w:color w:val="000000"/>
          <w:kern w:val="0"/>
          <w:sz w:val="36"/>
          <w:szCs w:val="36"/>
          <w:highlight w:val="none"/>
          <w:u w:color="000000"/>
          <w:lang w:val="en-US" w:eastAsia="zh-CN" w:bidi="ar"/>
        </w:rPr>
      </w:pPr>
    </w:p>
    <w:p w14:paraId="68C9FD0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0BBA8ED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502395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648B403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第三章  资格审查办法……………………………………………………………14</w:t>
      </w:r>
    </w:p>
    <w:p w14:paraId="6AE266BC">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第四章  评标办法…………………………………………………………………15</w:t>
      </w:r>
    </w:p>
    <w:p w14:paraId="5A66841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用户需求书………………………………………………………………19</w:t>
      </w:r>
    </w:p>
    <w:p w14:paraId="1436ADDF">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合同条款及格式…………………………………………………………50</w:t>
      </w:r>
    </w:p>
    <w:p w14:paraId="36DFDF3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投标文件格式……………………………………………………………59</w:t>
      </w:r>
    </w:p>
    <w:p w14:paraId="7B3A915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招标人、招标代理机构对本招标文件的确认…………………………66</w:t>
      </w:r>
    </w:p>
    <w:p w14:paraId="7C586AB0">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69713157">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bookmarkStart w:id="366"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48014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28359002"/>
      <w:bookmarkEnd w:id="6"/>
      <w:bookmarkStart w:id="7" w:name="_Toc58430305"/>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3112DB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至南京城际铁路（滁州段）一期生活用水改造及车辆段加装过滤装置项目（二次）的潜在投标人应在滁州市滁宁城际铁路开发建设有限公司网站（http://czctgs.cn/）获取招标文件，并于2026年6月4日9时00分（北京时间）前递交投标文件。</w:t>
      </w:r>
    </w:p>
    <w:p w14:paraId="03D1232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9F36FC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项目名称：滁州至南京城际铁路（滁州段）一期生活用水改造及车辆段加装过滤装置项目（二次）</w:t>
      </w:r>
    </w:p>
    <w:p w14:paraId="552C87C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预算金额：55万元</w:t>
      </w:r>
    </w:p>
    <w:p w14:paraId="4AF8BD9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最高限价：本项目最高限价为（人民币）550000元，投标报价不得超过最高限价，否则按无效投标处理。</w:t>
      </w:r>
    </w:p>
    <w:p w14:paraId="7F87A8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滁宁城际铁路（滁州段）汊河站、汊河新城站需在消防泵房内加装变频恒压成套给水设备；相官车辆段食堂总进水管路处加装成套水过滤净化设备；控制中心负二层至一层卫生间需将供水引入管改至主楼2-5层变频加压给水管道，详见用户需求书。</w:t>
      </w:r>
    </w:p>
    <w:p w14:paraId="7C85A1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工期：自签订合同之日起30个日历天内按招标人管理制度完成开工报审；120个日历天内完成全部设备安装、调试及验收工作。</w:t>
      </w:r>
    </w:p>
    <w:p w14:paraId="18D3B2AC">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58C6F4C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申请人的资格要求</w:t>
      </w:r>
    </w:p>
    <w:p w14:paraId="68CA6C6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72B177D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13F522E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 xml:space="preserve"> 2026年5月29日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2026年6月4日</w:t>
      </w:r>
    </w:p>
    <w:p w14:paraId="4C8A0E62">
      <w:pPr>
        <w:keepNext w:val="0"/>
        <w:keepLines w:val="0"/>
        <w:pageBreakBefore w:val="0"/>
        <w:kinsoku/>
        <w:overflowPunct/>
        <w:topLinePunct w:val="0"/>
        <w:autoSpaceDE/>
        <w:autoSpaceDN/>
        <w:bidi w:val="0"/>
        <w:adjustRightInd/>
        <w:snapToGrid/>
        <w:spacing w:line="480" w:lineRule="exact"/>
        <w:ind w:firstLine="540"/>
        <w:textAlignment w:val="auto"/>
        <w:rPr>
          <w:rFonts w:ascii="宋体" w:hAnsi="宋体" w:cs="宋体"/>
          <w:color w:val="auto"/>
          <w:sz w:val="24"/>
          <w:szCs w:val="24"/>
          <w:highlight w:val="none"/>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w:t>
      </w:r>
      <w:r>
        <w:rPr>
          <w:rFonts w:hint="eastAsia" w:ascii="宋体" w:hAnsi="宋体" w:cs="宋体"/>
          <w:color w:val="auto"/>
          <w:sz w:val="24"/>
          <w:szCs w:val="24"/>
          <w:highlight w:val="none"/>
        </w:rPr>
        <w:t>网站</w:t>
      </w:r>
      <w:r>
        <w:rPr>
          <w:rFonts w:hint="eastAsia" w:ascii="宋体" w:hAnsi="宋体" w:cs="宋体"/>
          <w:color w:val="auto"/>
          <w:sz w:val="24"/>
          <w:szCs w:val="24"/>
          <w:highlight w:val="none"/>
          <w:u w:val="single"/>
        </w:rPr>
        <w:t>（</w:t>
      </w:r>
      <w:r>
        <w:rPr>
          <w:rFonts w:hint="eastAsia" w:ascii="宋体" w:hAnsi="宋体" w:cs="宋体"/>
          <w:color w:val="auto"/>
          <w:sz w:val="24"/>
          <w:szCs w:val="24"/>
          <w:highlight w:val="none"/>
          <w:u w:val="single"/>
          <w:lang w:eastAsia="zh-CN"/>
        </w:rPr>
        <w:t>http://czctgs.cn/</w:t>
      </w:r>
      <w:r>
        <w:rPr>
          <w:rFonts w:hint="eastAsia" w:ascii="宋体" w:hAnsi="宋体" w:cs="宋体"/>
          <w:color w:val="auto"/>
          <w:sz w:val="24"/>
          <w:szCs w:val="24"/>
          <w:highlight w:val="none"/>
          <w:u w:val="single"/>
        </w:rPr>
        <w:t>）</w:t>
      </w:r>
    </w:p>
    <w:p w14:paraId="343A6E1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341CE36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12C638E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05"/>
      <w:bookmarkEnd w:id="10"/>
      <w:bookmarkStart w:id="11" w:name="_Toc58430308"/>
      <w:bookmarkEnd w:id="11"/>
      <w:bookmarkStart w:id="12" w:name="_Toc28359082"/>
      <w:bookmarkEnd w:id="12"/>
      <w:bookmarkStart w:id="13" w:name="_Toc35393793"/>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4D4A626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2026年6月4日9时00分</w:t>
      </w:r>
      <w:r>
        <w:rPr>
          <w:rFonts w:hint="eastAsia" w:ascii="宋体" w:hAnsi="宋体" w:eastAsia="宋体" w:cs="宋体"/>
          <w:bCs/>
          <w:color w:val="000000"/>
          <w:kern w:val="0"/>
          <w:sz w:val="24"/>
          <w:szCs w:val="24"/>
          <w:highlight w:val="none"/>
          <w:u w:color="000000"/>
          <w:lang w:val="en-US" w:eastAsia="zh-CN" w:bidi="ar"/>
        </w:rPr>
        <w:t>（北京时间）</w:t>
      </w:r>
    </w:p>
    <w:p w14:paraId="6C3487F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滁州市龙蟠大道109号（房产商务大厦）6楼622会议室投标文件递交方式：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color w:val="000000"/>
          <w:kern w:val="0"/>
          <w:sz w:val="24"/>
          <w:szCs w:val="24"/>
          <w:highlight w:val="none"/>
          <w:u w:color="000000"/>
          <w:lang w:val="en-US" w:eastAsia="zh-CN" w:bidi="ar"/>
        </w:rPr>
        <w:fldChar w:fldCharType="begin"/>
      </w:r>
      <w:r>
        <w:rPr>
          <w:rFonts w:hint="eastAsia" w:ascii="宋体" w:hAnsi="宋体" w:eastAsia="宋体" w:cs="宋体"/>
          <w:color w:val="000000"/>
          <w:kern w:val="0"/>
          <w:sz w:val="24"/>
          <w:szCs w:val="24"/>
          <w:highlight w:val="none"/>
          <w:u w:color="000000"/>
          <w:lang w:val="en-US" w:eastAsia="zh-CN" w:bidi="ar"/>
        </w:rPr>
        <w:instrText xml:space="preserve"> HYPERLINK "mailto:2、在递交截止时间后30分钟内，将解压密码通过邮箱发送至代理机构邮箱（czsctgczx@163.com）" </w:instrText>
      </w:r>
      <w:r>
        <w:rPr>
          <w:rFonts w:hint="eastAsia" w:ascii="宋体" w:hAnsi="宋体" w:eastAsia="宋体" w:cs="宋体"/>
          <w:color w:val="000000"/>
          <w:kern w:val="0"/>
          <w:sz w:val="24"/>
          <w:szCs w:val="24"/>
          <w:highlight w:val="none"/>
          <w:u w:color="000000"/>
          <w:lang w:val="en-US" w:eastAsia="zh-CN" w:bidi="ar"/>
        </w:rPr>
        <w:fldChar w:fldCharType="separate"/>
      </w:r>
      <w:r>
        <w:rPr>
          <w:rFonts w:hint="eastAsia" w:ascii="宋体" w:hAnsi="宋体" w:eastAsia="宋体" w:cs="宋体"/>
          <w:color w:val="000000"/>
          <w:kern w:val="0"/>
          <w:sz w:val="24"/>
          <w:szCs w:val="24"/>
          <w:highlight w:val="none"/>
          <w:u w:color="000000"/>
          <w:lang w:val="en-US" w:eastAsia="zh-CN" w:bidi="ar"/>
        </w:rPr>
        <w:t>②在投标截止时间后30分钟内，将投标文件密码通过邮箱发送至滁州市城投工程咨询管理有限公司邮箱（czsctzx@163.com）</w:t>
      </w:r>
      <w:r>
        <w:rPr>
          <w:rFonts w:hint="eastAsia" w:ascii="宋体" w:hAnsi="宋体" w:eastAsia="宋体" w:cs="宋体"/>
          <w:color w:val="000000"/>
          <w:kern w:val="0"/>
          <w:sz w:val="24"/>
          <w:szCs w:val="24"/>
          <w:highlight w:val="none"/>
          <w:u w:color="000000"/>
          <w:lang w:val="en-US" w:eastAsia="zh-CN" w:bidi="ar"/>
        </w:rPr>
        <w:fldChar w:fldCharType="end"/>
      </w:r>
      <w:r>
        <w:rPr>
          <w:rFonts w:hint="eastAsia" w:ascii="宋体" w:hAnsi="宋体" w:eastAsia="宋体" w:cs="宋体"/>
          <w:color w:val="000000"/>
          <w:kern w:val="0"/>
          <w:sz w:val="24"/>
          <w:szCs w:val="24"/>
          <w:highlight w:val="none"/>
          <w:u w:color="000000"/>
          <w:lang w:val="en-US" w:eastAsia="zh-CN" w:bidi="ar"/>
        </w:rPr>
        <w:t>，未在规定时间内发送密码或发送的密码无法正确打开投标文件的，投标文件将被拒绝。</w:t>
      </w:r>
    </w:p>
    <w:p w14:paraId="186381E6">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kinsoku/>
        <w:overflowPunct/>
        <w:topLinePunct w:val="0"/>
        <w:autoSpaceDE w:val="0"/>
        <w:autoSpaceDN/>
        <w:bidi w:val="0"/>
        <w:adjustRightInd/>
        <w:snapToGrid/>
        <w:spacing w:line="440" w:lineRule="exact"/>
        <w:ind w:firstLine="480" w:firstLineChars="200"/>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w:t>
      </w:r>
      <w:r>
        <w:rPr>
          <w:rFonts w:hint="eastAsia" w:ascii="宋体" w:hAnsi="宋体" w:eastAsia="宋体" w:cs="宋体"/>
          <w:bCs/>
          <w:color w:val="auto"/>
          <w:kern w:val="0"/>
          <w:sz w:val="24"/>
          <w:highlight w:val="none"/>
          <w:u w:color="000000"/>
          <w:lang w:val="en-US" w:eastAsia="zh-CN" w:bidi="ar"/>
        </w:rPr>
        <w:t>不</w:t>
      </w:r>
      <w:r>
        <w:rPr>
          <w:rFonts w:hint="eastAsia" w:ascii="宋体" w:hAnsi="宋体" w:eastAsia="宋体" w:cs="宋体"/>
          <w:bCs/>
          <w:color w:val="auto"/>
          <w:kern w:val="0"/>
          <w:sz w:val="24"/>
          <w:highlight w:val="none"/>
          <w:u w:color="000000"/>
          <w:lang w:bidi="ar"/>
        </w:rPr>
        <w:t>要求。</w:t>
      </w:r>
    </w:p>
    <w:p w14:paraId="0AEACD3B">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77349B1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1.招标人信息</w:t>
      </w:r>
    </w:p>
    <w:p w14:paraId="195CA3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名称：滁州市滁宁城际铁路开发建设有限公司   </w:t>
      </w:r>
    </w:p>
    <w:p w14:paraId="582FFFE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地址：滁州市徽州路与扬子路交叉口东南侧7楼 </w:t>
      </w:r>
    </w:p>
    <w:p w14:paraId="47F8466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联系方式：</w:t>
      </w:r>
      <w:bookmarkStart w:id="14" w:name="_Toc28359010"/>
      <w:bookmarkEnd w:id="14"/>
      <w:bookmarkStart w:id="15" w:name="_Toc28359087"/>
      <w:r>
        <w:rPr>
          <w:rFonts w:hint="eastAsia" w:ascii="宋体" w:hAnsi="宋体" w:eastAsia="宋体" w:cs="宋体"/>
          <w:bCs/>
          <w:color w:val="000000"/>
          <w:kern w:val="0"/>
          <w:sz w:val="24"/>
          <w:highlight w:val="none"/>
          <w:lang w:eastAsia="zh-CN" w:bidi="ar"/>
        </w:rPr>
        <w:t>13339207910</w:t>
      </w:r>
    </w:p>
    <w:p w14:paraId="41CD5F1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5"/>
      <w:r>
        <w:rPr>
          <w:rFonts w:hint="eastAsia" w:ascii="宋体" w:hAnsi="宋体" w:eastAsia="宋体" w:cs="宋体"/>
          <w:bCs/>
          <w:color w:val="000000"/>
          <w:kern w:val="0"/>
          <w:sz w:val="24"/>
          <w:szCs w:val="24"/>
          <w:highlight w:val="none"/>
          <w:u w:color="000000"/>
          <w:lang w:val="en-US" w:eastAsia="zh-CN" w:bidi="ar"/>
        </w:rPr>
        <w:t>代理机构信息</w:t>
      </w:r>
    </w:p>
    <w:p w14:paraId="082FEFF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4DD7911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2BF4BF6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1C43192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2F73EC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 xml:space="preserve">项目联系人：杨雅辰、周蓓蕾    </w:t>
      </w:r>
    </w:p>
    <w:p w14:paraId="1D303122">
      <w:pPr>
        <w:pStyle w:val="21"/>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600" w:lineRule="auto"/>
        <w:ind w:left="0" w:right="0" w:firstLine="480" w:firstLineChars="200"/>
        <w:jc w:val="left"/>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w:t>
      </w:r>
      <w:r>
        <w:rPr>
          <w:rFonts w:hint="eastAsia" w:ascii="宋体" w:hAnsi="宋体" w:eastAsia="宋体" w:cs="宋体"/>
          <w:bCs/>
          <w:color w:val="000000"/>
          <w:kern w:val="0"/>
          <w:sz w:val="24"/>
          <w:highlight w:val="none"/>
          <w:lang w:eastAsia="zh-CN" w:bidi="ar"/>
        </w:rPr>
        <w:t>13339207910</w:t>
      </w:r>
      <w:r>
        <w:rPr>
          <w:rFonts w:hint="eastAsia" w:ascii="宋体" w:hAnsi="宋体" w:eastAsia="宋体" w:cs="宋体"/>
          <w:bCs/>
          <w:color w:val="000000"/>
          <w:kern w:val="0"/>
          <w:sz w:val="24"/>
          <w:szCs w:val="24"/>
          <w:highlight w:val="none"/>
          <w:u w:color="000000"/>
          <w:lang w:val="en-US" w:eastAsia="zh-CN" w:bidi="ar"/>
        </w:rPr>
        <w:t>、18005505728</w:t>
      </w:r>
    </w:p>
    <w:bookmarkEnd w:id="366"/>
    <w:p w14:paraId="15B7BEBE">
      <w:pPr>
        <w:keepNext w:val="0"/>
        <w:keepLines w:val="0"/>
        <w:pageBreakBefore w:val="0"/>
        <w:widowControl/>
        <w:numPr>
          <w:ilvl w:val="0"/>
          <w:numId w:val="1"/>
        </w:numPr>
        <w:suppressLineNumbers w:val="0"/>
        <w:kinsoku/>
        <w:overflowPunct/>
        <w:topLinePunct w:val="0"/>
        <w:autoSpaceDE w:val="0"/>
        <w:autoSpaceDN/>
        <w:bidi w:val="0"/>
        <w:adjustRightInd/>
        <w:snapToGrid/>
        <w:spacing w:before="0" w:beforeAutospacing="0" w:after="0" w:afterAutospacing="0" w:line="480" w:lineRule="exact"/>
        <w:ind w:right="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
          <w:bCs/>
          <w:color w:val="auto"/>
          <w:kern w:val="0"/>
          <w:sz w:val="28"/>
          <w:szCs w:val="28"/>
          <w:highlight w:val="none"/>
          <w:u w:color="000000"/>
          <w:lang w:val="en-US" w:eastAsia="zh-CN" w:bidi="ar"/>
        </w:rPr>
        <w:t>投标人须知</w:t>
      </w:r>
      <w:bookmarkStart w:id="16" w:name="_Toc9559"/>
      <w:bookmarkEnd w:id="16"/>
      <w:bookmarkStart w:id="17" w:name="_Toc28003_WPSOffice_Level2"/>
    </w:p>
    <w:p w14:paraId="46AA4A47">
      <w:pPr>
        <w:keepNext w:val="0"/>
        <w:keepLines w:val="0"/>
        <w:pageBreakBefore w:val="0"/>
        <w:widowControl/>
        <w:numPr>
          <w:ilvl w:val="0"/>
          <w:numId w:val="0"/>
        </w:numPr>
        <w:suppressLineNumbers w:val="0"/>
        <w:kinsoku/>
        <w:overflowPunct/>
        <w:topLinePunct w:val="0"/>
        <w:autoSpaceDE w:val="0"/>
        <w:autoSpaceDN/>
        <w:bidi w:val="0"/>
        <w:adjustRightInd/>
        <w:snapToGrid/>
        <w:spacing w:before="0" w:beforeAutospacing="0" w:after="0" w:afterAutospacing="0" w:line="480" w:lineRule="exact"/>
        <w:ind w:right="0" w:rightChars="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7"/>
    </w:p>
    <w:tbl>
      <w:tblPr>
        <w:tblStyle w:val="23"/>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014B12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79D18432">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2AD19423">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46C92CB0">
            <w:pPr>
              <w:pStyle w:val="13"/>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DEDF6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E3D3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9F79B70">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EB5F2B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cs="Times New Roman"/>
                <w:bCs/>
                <w:highlight w:val="none"/>
                <w:lang w:val="en-US" w:eastAsia="zh-CN"/>
              </w:rPr>
            </w:pPr>
            <w:r>
              <w:rPr>
                <w:rFonts w:hint="eastAsia" w:cs="Times New Roman"/>
                <w:bCs/>
                <w:highlight w:val="none"/>
                <w:lang w:eastAsia="zh-CN"/>
              </w:rPr>
              <w:t>滁州至南京城际铁路（滁州段）一期生活用水改造及车辆段加装过滤装置项目（</w:t>
            </w:r>
            <w:r>
              <w:rPr>
                <w:rFonts w:hint="eastAsia" w:cs="Times New Roman"/>
                <w:bCs/>
                <w:highlight w:val="none"/>
                <w:lang w:val="en-US" w:eastAsia="zh-CN"/>
              </w:rPr>
              <w:t>二次）</w:t>
            </w:r>
          </w:p>
        </w:tc>
      </w:tr>
      <w:tr w14:paraId="41AC808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59888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FDF3EC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供货期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DE0AD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343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7B1A8B0">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206D41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供货地点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7DD6A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Cs/>
                <w:highlight w:val="none"/>
                <w:lang w:val="en-US"/>
              </w:rPr>
            </w:pPr>
            <w:r>
              <w:rPr>
                <w:rFonts w:hint="eastAsia" w:ascii="宋体" w:hAnsi="宋体" w:eastAsia="宋体" w:cs="宋体"/>
                <w:color w:val="000000"/>
                <w:szCs w:val="21"/>
                <w:highlight w:val="none"/>
                <w:lang w:val="en-US" w:eastAsia="zh-CN"/>
              </w:rPr>
              <w:t>招标人指定地点</w:t>
            </w:r>
          </w:p>
        </w:tc>
      </w:tr>
      <w:tr w14:paraId="61021BD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BDF297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F17EF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044EE84">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hint="eastAsia" w:cs="宋体-18030"/>
                <w:color w:val="auto"/>
                <w:sz w:val="21"/>
                <w:szCs w:val="21"/>
                <w:highlight w:val="none"/>
                <w:lang w:val="en-US" w:eastAsia="zh-CN"/>
              </w:rPr>
              <w:t>杨雅</w:t>
            </w:r>
            <w:r>
              <w:rPr>
                <w:rFonts w:hint="eastAsia" w:ascii="宋体" w:hAnsi="宋体" w:eastAsia="宋体" w:cs="宋体-18030"/>
                <w:color w:val="auto"/>
                <w:sz w:val="21"/>
                <w:szCs w:val="21"/>
                <w:highlight w:val="none"/>
                <w:lang w:val="en-US" w:eastAsia="zh-CN"/>
              </w:rPr>
              <w:t>辰  13339207910</w:t>
            </w:r>
          </w:p>
        </w:tc>
      </w:tr>
      <w:tr w14:paraId="6355949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F41DC7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EB5C7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E66BD4B">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宋体"/>
                <w:highlight w:val="none"/>
                <w:lang w:val="en-US"/>
              </w:rPr>
            </w:pPr>
            <w:r>
              <w:rPr>
                <w:rFonts w:cs="宋体"/>
                <w:highlight w:val="none"/>
              </w:rPr>
              <w:t xml:space="preserve">周蓓蕾 </w:t>
            </w:r>
            <w:r>
              <w:rPr>
                <w:rFonts w:hint="eastAsia" w:cs="宋体"/>
                <w:highlight w:val="none"/>
                <w:lang w:val="en-US" w:eastAsia="zh-CN"/>
              </w:rPr>
              <w:t xml:space="preserve"> </w:t>
            </w:r>
            <w:r>
              <w:rPr>
                <w:rFonts w:cs="宋体"/>
                <w:highlight w:val="none"/>
                <w:lang w:val="en-US"/>
              </w:rPr>
              <w:t>0550-3519519  18005505728</w:t>
            </w:r>
          </w:p>
        </w:tc>
      </w:tr>
      <w:tr w14:paraId="10225E0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7B4C7F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12C8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E7429AC">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自筹资金</w:t>
            </w:r>
          </w:p>
        </w:tc>
      </w:tr>
      <w:tr w14:paraId="0634E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7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2FB25F5">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A18DD82">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90BD7E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55万元</w:t>
            </w:r>
          </w:p>
        </w:tc>
      </w:tr>
      <w:tr w14:paraId="722D8D5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CE83B9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2E656D7">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647838">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550000元</w:t>
            </w:r>
            <w:r>
              <w:rPr>
                <w:rFonts w:hint="eastAsia" w:ascii="宋体" w:hAnsi="宋体" w:eastAsia="宋体" w:cs="宋体"/>
                <w:bCs/>
                <w:color w:val="000000"/>
                <w:szCs w:val="21"/>
                <w:highlight w:val="none"/>
                <w:lang w:val="en-US" w:eastAsia="zh-CN"/>
              </w:rPr>
              <w:t>，投标报价不得超过最高限价，否则按无效投标处理。</w:t>
            </w:r>
          </w:p>
        </w:tc>
      </w:tr>
      <w:tr w14:paraId="1EB403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C0106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51771F">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8EC8EA">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6156BB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AE1CB8B">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8A74711">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18EA6D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63E7C5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0C2D4D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5F999B">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150A01E">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2046F9F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61F256">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F75E6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CB316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C30D0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FC1684">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362973">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D11FD">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0EE711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DEB2CC">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123901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F06243">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28C407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D0CDB3D">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C63C30C">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30C485">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cs="Times New Roman"/>
                <w:b w:val="0"/>
                <w:bCs w:val="0"/>
                <w:highlight w:val="none"/>
                <w:lang w:val="en-US"/>
              </w:rPr>
              <w:t>202</w:t>
            </w:r>
            <w:r>
              <w:rPr>
                <w:rFonts w:hint="eastAsia" w:cs="Times New Roman"/>
                <w:b w:val="0"/>
                <w:bCs w:val="0"/>
                <w:highlight w:val="none"/>
                <w:lang w:val="en-US" w:eastAsia="zh-CN"/>
              </w:rPr>
              <w:t>6</w:t>
            </w:r>
            <w:r>
              <w:rPr>
                <w:rFonts w:cs="Times New Roman"/>
                <w:b w:val="0"/>
                <w:bCs w:val="0"/>
                <w:highlight w:val="none"/>
              </w:rPr>
              <w:t>年</w:t>
            </w:r>
            <w:r>
              <w:rPr>
                <w:rFonts w:hint="eastAsia" w:cs="Times New Roman"/>
                <w:b w:val="0"/>
                <w:bCs w:val="0"/>
                <w:highlight w:val="none"/>
                <w:lang w:val="en-US" w:eastAsia="zh-CN"/>
              </w:rPr>
              <w:t>6</w:t>
            </w:r>
            <w:r>
              <w:rPr>
                <w:rFonts w:cs="Times New Roman"/>
                <w:b w:val="0"/>
                <w:bCs w:val="0"/>
                <w:highlight w:val="none"/>
              </w:rPr>
              <w:t>月</w:t>
            </w:r>
            <w:r>
              <w:rPr>
                <w:rFonts w:hint="eastAsia" w:cs="Times New Roman"/>
                <w:b w:val="0"/>
                <w:bCs w:val="0"/>
                <w:highlight w:val="none"/>
                <w:lang w:val="en-US" w:eastAsia="zh-CN"/>
              </w:rPr>
              <w:t>1</w:t>
            </w:r>
            <w:r>
              <w:rPr>
                <w:rFonts w:cs="Times New Roman"/>
                <w:b w:val="0"/>
                <w:bCs w:val="0"/>
                <w:highlight w:val="none"/>
              </w:rPr>
              <w:t>日</w:t>
            </w:r>
            <w:r>
              <w:rPr>
                <w:rFonts w:hint="eastAsia" w:hAnsi="Times New Roman" w:cs="Times New Roman"/>
                <w:b w:val="0"/>
                <w:bCs w:val="0"/>
                <w:highlight w:val="none"/>
                <w:lang w:val="en-US" w:eastAsia="zh-CN"/>
              </w:rPr>
              <w:t>12</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5E7EE6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35E22">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98D3735">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2EA56D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2026年6月1日17时后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5F80614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652E41">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9B80818">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DE0FF9">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542CEA0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4FE3A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AFBE2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5F3F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代理服务费金额：招标代理费4125元，不含专家评审费（专家评审费用以实际支付为准，预计2000元整）。</w:t>
            </w:r>
          </w:p>
          <w:p w14:paraId="0A2D30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代理服务费及专家评审费支付主体：中标单位，中标单位在获取中标通知书时一次性支付给代理机构。</w:t>
            </w:r>
          </w:p>
        </w:tc>
      </w:tr>
      <w:tr w14:paraId="528EA8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97D35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8F7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5F90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6BE6D82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F0CA0EA">
            <w:pPr>
              <w:pStyle w:val="13"/>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A2366D">
            <w:pPr>
              <w:pStyle w:val="13"/>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31B796">
            <w:pPr>
              <w:pStyle w:val="13"/>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65BC998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6AD8CC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AD5D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5905A8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本项目不要求投标人提交投标保证金</w:t>
            </w:r>
          </w:p>
        </w:tc>
      </w:tr>
      <w:tr w14:paraId="6917C9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8E01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987C15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047F5A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89D9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E89E71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51ACA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w:t>
            </w:r>
            <w:r>
              <w:rPr>
                <w:rFonts w:hint="eastAsia" w:ascii="宋体"/>
                <w:color w:val="auto"/>
                <w:sz w:val="21"/>
                <w:szCs w:val="21"/>
                <w:highlight w:val="none"/>
                <w:lang w:val="en-US" w:eastAsia="zh-CN"/>
              </w:rPr>
              <w:t>及样品</w:t>
            </w:r>
            <w:r>
              <w:rPr>
                <w:rFonts w:hint="eastAsia" w:ascii="宋体"/>
                <w:color w:val="auto"/>
                <w:sz w:val="21"/>
                <w:szCs w:val="21"/>
                <w:highlight w:val="none"/>
              </w:rPr>
              <w:t>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AF37A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202</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年</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9</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0C1E36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F042F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C7B0B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D43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7E305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0D0D3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1A102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1B600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开标时间：2026年6月4日9时00分（北京时间）</w:t>
            </w:r>
          </w:p>
          <w:p w14:paraId="3557CC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开标地点：滁州市龙蟠大道109号（房产商务大厦）6楼622会议室</w:t>
            </w:r>
          </w:p>
        </w:tc>
      </w:tr>
      <w:tr w14:paraId="285E65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3065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2457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05D76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4C55DB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1E24F8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D5396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B1AE7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7E0F93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06F7DE7">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4C3F1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是否授权评标委员会确定中标候选人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492EDB">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eastAsia="宋体" w:cs="宋体"/>
                <w:kern w:val="2"/>
                <w:highlight w:val="none"/>
                <w:lang w:val="en-US"/>
              </w:rPr>
            </w:pPr>
            <w:r>
              <w:rPr>
                <w:rFonts w:hint="eastAsia" w:ascii="宋体" w:hAnsi="宋体" w:cs="宋体"/>
                <w:szCs w:val="21"/>
                <w:highlight w:val="none"/>
              </w:rPr>
              <w:t>是，推荐的中标候选人数3名，并标明排序。</w:t>
            </w:r>
          </w:p>
        </w:tc>
      </w:tr>
      <w:tr w14:paraId="73FDF55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0DEA56A">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5D1504E">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129759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33FE59A3">
            <w:pPr>
              <w:pStyle w:val="13"/>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351B89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268D56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F614B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B0F31E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2E06315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E27531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A39A25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65246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要求中标人提交履约</w:t>
            </w:r>
            <w:r>
              <w:rPr>
                <w:rFonts w:hint="eastAsia" w:ascii="宋体" w:hAnsi="宋体" w:eastAsia="宋体" w:cs="宋体"/>
                <w:highlight w:val="none"/>
                <w:lang w:val="en-US" w:eastAsia="zh-CN"/>
              </w:rPr>
              <w:t>担保</w:t>
            </w:r>
            <w:r>
              <w:rPr>
                <w:rFonts w:hint="eastAsia" w:ascii="宋体" w:hAnsi="宋体" w:eastAsia="宋体" w:cs="宋体"/>
                <w:highlight w:val="none"/>
              </w:rPr>
              <w:t>。</w:t>
            </w:r>
          </w:p>
          <w:p w14:paraId="7E606E3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形式：支持银行转账、银行电汇、银行保函、担保机构担保、保证保险使用。</w:t>
            </w:r>
          </w:p>
          <w:p w14:paraId="45F5CF1C">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金额：</w:t>
            </w:r>
            <w:r>
              <w:rPr>
                <w:rFonts w:hint="eastAsia" w:ascii="Times New Roman" w:hAnsi="Times New Roman" w:eastAsia="宋体" w:cs="Times New Roman"/>
                <w:highlight w:val="none"/>
              </w:rPr>
              <w:t>中标合同金额×</w:t>
            </w:r>
            <w:r>
              <w:rPr>
                <w:rFonts w:hint="eastAsia" w:ascii="Times New Roman" w:hAnsi="Times New Roman" w:eastAsia="宋体" w:cs="Times New Roman"/>
                <w:highlight w:val="none"/>
                <w:lang w:val="en-US" w:eastAsia="zh-CN"/>
              </w:rPr>
              <w:t>10</w:t>
            </w:r>
            <w:r>
              <w:rPr>
                <w:rFonts w:hint="eastAsia" w:ascii="Times New Roman" w:hAnsi="Times New Roman" w:eastAsia="宋体" w:cs="Times New Roman"/>
                <w:highlight w:val="none"/>
              </w:rPr>
              <w:t>%</w:t>
            </w:r>
            <w:r>
              <w:rPr>
                <w:rFonts w:hint="eastAsia" w:ascii="宋体" w:hAnsi="宋体" w:eastAsia="宋体" w:cs="宋体"/>
                <w:highlight w:val="none"/>
              </w:rPr>
              <w:t>；</w:t>
            </w:r>
          </w:p>
          <w:p w14:paraId="27FFE6C2">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收款单位：另行通知                  </w:t>
            </w:r>
          </w:p>
          <w:p w14:paraId="00DAAA83">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开户银行：另行通知                 </w:t>
            </w:r>
          </w:p>
          <w:p w14:paraId="60261D19">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 xml:space="preserve">银行账号：另行通知  </w:t>
            </w:r>
          </w:p>
          <w:p w14:paraId="512DFE86">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缴纳时限：中标人须在中标通知书发出后30日内完成履约</w:t>
            </w:r>
            <w:r>
              <w:rPr>
                <w:rFonts w:hint="eastAsia" w:ascii="宋体" w:hAnsi="宋体" w:eastAsia="宋体" w:cs="宋体"/>
                <w:highlight w:val="none"/>
                <w:lang w:val="en-US" w:eastAsia="zh-CN"/>
              </w:rPr>
              <w:t>担保</w:t>
            </w:r>
            <w:r>
              <w:rPr>
                <w:rFonts w:hint="eastAsia" w:ascii="宋体" w:hAnsi="宋体" w:eastAsia="宋体" w:cs="宋体"/>
                <w:highlight w:val="none"/>
              </w:rPr>
              <w:t xml:space="preserve">缴纳及合同签订，如未按期交齐履约保证金或未按期签订合同的，视同放弃中标资格。 </w:t>
            </w:r>
          </w:p>
          <w:p w14:paraId="4FCFC0BD">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退还时限：</w:t>
            </w:r>
            <w:r>
              <w:rPr>
                <w:rFonts w:hint="eastAsia" w:ascii="宋体" w:hAnsi="宋体" w:eastAsia="宋体" w:cs="宋体"/>
                <w:highlight w:val="none"/>
                <w:lang w:val="en-US" w:eastAsia="zh-CN"/>
              </w:rPr>
              <w:t xml:space="preserve">中标人在本合同约定的服务期限届满并经招标人验收合格后30日内办理履约保证金（或履约保函）退还手续。 </w:t>
            </w:r>
          </w:p>
          <w:p w14:paraId="26233B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其他相关要求：</w:t>
            </w:r>
          </w:p>
          <w:p w14:paraId="271302D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1、采用银行保函的具体要求</w:t>
            </w:r>
          </w:p>
          <w:p w14:paraId="6239D505">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①保函形式须为见索即付型（无条件保函）；</w:t>
            </w:r>
          </w:p>
          <w:p w14:paraId="6F24071A">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②须经招标人认可。</w:t>
            </w:r>
          </w:p>
          <w:p w14:paraId="406C052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2、采用担保保函的具体要求：须经招标人认可。</w:t>
            </w:r>
          </w:p>
          <w:p w14:paraId="0089C700">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highlight w:val="none"/>
              </w:rPr>
            </w:pPr>
            <w:r>
              <w:rPr>
                <w:rFonts w:hint="eastAsia" w:ascii="宋体" w:hAnsi="宋体" w:eastAsia="宋体" w:cs="宋体"/>
                <w:highlight w:val="none"/>
              </w:rPr>
              <w:t>3、采用商业保险的具体要求：须经招标人认可。</w:t>
            </w:r>
          </w:p>
          <w:p w14:paraId="455A0B28">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32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highlight w:val="none"/>
              </w:rPr>
              <w:t>4、采用第三方担保的具体要求：须经招标人认可。</w:t>
            </w:r>
          </w:p>
        </w:tc>
      </w:tr>
      <w:tr w14:paraId="7B33C6F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15"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0687B2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7E03B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Times New Roman" w:eastAsia="宋体" w:cs="Times New Roman"/>
                <w:color w:val="auto"/>
                <w:sz w:val="21"/>
                <w:szCs w:val="21"/>
                <w:highlight w:val="none"/>
                <w:lang w:val="en-US" w:eastAsia="zh-CN"/>
              </w:rPr>
            </w:pPr>
            <w:r>
              <w:rPr>
                <w:rFonts w:hint="eastAsia" w:ascii="宋体" w:hAnsi="宋体" w:eastAsia="宋体" w:cs="宋体"/>
                <w:color w:val="000000"/>
                <w:kern w:val="2"/>
                <w:sz w:val="21"/>
                <w:szCs w:val="21"/>
                <w:highlight w:val="none"/>
                <w:u w:color="000000"/>
                <w:lang w:val="en-US" w:eastAsia="zh-CN" w:bidi="ar"/>
              </w:rPr>
              <w:t>工程完工及验收通过后，中标人提交付款申请及工作量清单，招标人审核后并按合同约定扣除索赔款项、违约金等，于30天内向中标人一次性支付结算款的97%，剩余3%待1年质保期满后一次性支付。</w:t>
            </w:r>
          </w:p>
        </w:tc>
      </w:tr>
      <w:tr w14:paraId="1E37181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36417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496049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F77B2B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4857418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0950106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E21E52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5D22E11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63194C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094D81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766F1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3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498CED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1E309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0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w:t>
            </w:r>
            <w:r>
              <w:rPr>
                <w:rFonts w:hint="eastAsia" w:ascii="宋体" w:hAnsi="Times New Roman" w:eastAsia="宋体" w:cs="Times New Roman"/>
                <w:color w:val="auto"/>
                <w:sz w:val="21"/>
                <w:szCs w:val="21"/>
                <w:highlight w:val="none"/>
                <w:lang w:eastAsia="zh-CN"/>
              </w:rPr>
              <w:t>资信标</w:t>
            </w:r>
            <w:r>
              <w:rPr>
                <w:rFonts w:hint="eastAsia" w:ascii="宋体" w:hAnsi="Times New Roman" w:eastAsia="宋体" w:cs="Times New Roman"/>
                <w:color w:val="auto"/>
                <w:sz w:val="21"/>
                <w:szCs w:val="21"/>
                <w:highlight w:val="none"/>
              </w:rPr>
              <w:t>准和要求”等章节中 “发包人”和“承包人”，等同于招标投标阶段的“招标人”和“投标人/中标人”。</w:t>
            </w:r>
          </w:p>
        </w:tc>
      </w:tr>
      <w:tr w14:paraId="4FF1DE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768E2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6A0D4DB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1、本项目采购清单中的技术规格以及参照的品牌或型号、推荐品牌仅起说明作用，并没有任何限制性。投标人在投标过程中可以选用替代标准、品牌/型号，但这些替代要实质上满足或者优于采购清单的相关要求。</w:t>
            </w:r>
          </w:p>
          <w:p w14:paraId="0AC4F7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2、评标委员会只依靠投标人递交的投标文件及其按照招标文件要求提供的所有证明材料进行评审，而不依靠任何外来的证明材料。</w:t>
            </w:r>
          </w:p>
          <w:p w14:paraId="6F63E2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fldChar w:fldCharType="begin"/>
            </w:r>
            <w:r>
              <w:rPr>
                <w:rFonts w:hint="eastAsia"/>
                <w:highlight w:val="none"/>
                <w:lang w:val="en-US" w:eastAsia="zh-CN"/>
              </w:rPr>
              <w:instrText xml:space="preserve"> HYPERLINK "mailto:4、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 </w:instrText>
            </w:r>
            <w:r>
              <w:rPr>
                <w:rFonts w:hint="eastAsia"/>
                <w:highlight w:val="none"/>
                <w:lang w:val="en-US" w:eastAsia="zh-CN"/>
              </w:rPr>
              <w:fldChar w:fldCharType="separate"/>
            </w:r>
            <w:r>
              <w:rPr>
                <w:rFonts w:hint="eastAsia"/>
                <w:highlight w:val="none"/>
                <w:lang w:val="en-US" w:eastAsia="zh-CN"/>
              </w:rPr>
              <w:t>3、投标人须在投标文件截止时间前将投标文件以电子邮件的方式一次性发送至滁州市城投工程咨询管理有限公司邮箱（czsctzx@163.com），投标文件格式限定为PDF格式，将文件命名为“投标单位名称（联系人及联系电话）+项目名称”，在提交投标文件截止时间后送达的投标文件将被拒绝，投标文件送达时间以滁州市城投工程咨询管理有限公司邮箱显示的邮件送达时间为准，投标文件无法打开的，按无效投标处理。</w:t>
            </w:r>
            <w:r>
              <w:rPr>
                <w:rFonts w:hint="eastAsia"/>
                <w:highlight w:val="none"/>
                <w:lang w:val="en-US" w:eastAsia="zh-CN"/>
              </w:rPr>
              <w:fldChar w:fldCharType="end"/>
            </w:r>
          </w:p>
          <w:p w14:paraId="059027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4、中标人提供的所有货物、材料或配件必须是全新的、合格的且未曾使用过的，否则，造成的一切后果由中标人承担。</w:t>
            </w:r>
          </w:p>
          <w:p w14:paraId="24D7D07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5、对于有损坏等未通过招标人验收合格的货物，中标人应自行清理出招标人场地并承担所有相关费用，不增加结算金额。</w:t>
            </w:r>
          </w:p>
          <w:p w14:paraId="4FA8BBF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6、</w:t>
            </w:r>
            <w:r>
              <w:rPr>
                <w:rFonts w:hint="eastAsia" w:ascii="Times New Roman" w:hAnsi="Times New Roman" w:eastAsia="宋体" w:cs="Times New Roman"/>
                <w:highlight w:val="none"/>
                <w:lang w:val="en-US" w:eastAsia="zh-CN"/>
              </w:rPr>
              <w:t>招标人保留变更合同签订主体或增加第三方参与合同签订的权利。</w:t>
            </w:r>
          </w:p>
          <w:p w14:paraId="41EFA2B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highlight w:val="none"/>
                <w:lang w:val="en-US" w:eastAsia="zh-CN"/>
              </w:rPr>
            </w:pPr>
            <w:r>
              <w:rPr>
                <w:rFonts w:hint="eastAsia"/>
                <w:highlight w:val="none"/>
                <w:lang w:val="en-US" w:eastAsia="zh-CN"/>
              </w:rPr>
              <w:t>7、招标人对本项目执行过程中的所有争议拥有最终的裁决权，投标人应无条件地服从招标人的裁决，不得以任何理由提出增加本项目合同费用和延误本项目工期。</w:t>
            </w:r>
          </w:p>
          <w:p w14:paraId="5182688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eastAsia="宋体"/>
                <w:highlight w:val="none"/>
                <w:lang w:val="en-US" w:eastAsia="zh-CN"/>
              </w:rPr>
            </w:pPr>
            <w:r>
              <w:rPr>
                <w:rFonts w:hint="eastAsia"/>
                <w:highlight w:val="none"/>
                <w:lang w:val="en-US" w:eastAsia="zh-CN"/>
              </w:rPr>
              <w:t>8、本项目严禁非法转包，一经发现，招标人依法处理。</w:t>
            </w:r>
          </w:p>
        </w:tc>
      </w:tr>
    </w:tbl>
    <w:p w14:paraId="66FE8003">
      <w:pPr>
        <w:rPr>
          <w:rFonts w:hint="eastAsia" w:ascii="宋体" w:hAnsi="宋体" w:eastAsia="宋体" w:cs="宋体"/>
          <w:b/>
          <w:bCs w:val="0"/>
          <w:color w:val="000000"/>
          <w:kern w:val="0"/>
          <w:sz w:val="28"/>
          <w:szCs w:val="28"/>
          <w:highlight w:val="none"/>
          <w:u w:color="000000"/>
          <w:lang w:val="en-US" w:eastAsia="zh-CN" w:bidi="ar"/>
        </w:rPr>
      </w:pPr>
      <w:bookmarkStart w:id="18" w:name="_Toc122"/>
      <w:bookmarkEnd w:id="18"/>
      <w:r>
        <w:rPr>
          <w:rFonts w:hint="eastAsia" w:ascii="宋体" w:hAnsi="宋体" w:eastAsia="宋体" w:cs="宋体"/>
          <w:b/>
          <w:bCs w:val="0"/>
          <w:color w:val="000000"/>
          <w:kern w:val="0"/>
          <w:sz w:val="28"/>
          <w:szCs w:val="28"/>
          <w:highlight w:val="none"/>
          <w:u w:color="000000"/>
          <w:lang w:val="en-US" w:eastAsia="zh-CN" w:bidi="ar"/>
        </w:rPr>
        <w:br w:type="page"/>
      </w:r>
    </w:p>
    <w:p w14:paraId="17C9A56F">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449D382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19" w:name="_Toc26859"/>
      <w:bookmarkEnd w:id="19"/>
      <w:bookmarkStart w:id="20"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0"/>
    </w:p>
    <w:p w14:paraId="0E3FDF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7415B0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09AD4A6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3187F3C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695365B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3EE3943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4A85545F">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44564A7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662DED8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656B64E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59761A1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11E88C3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769EAC6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2501DB1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705978E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746F3D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4.招标方式</w:t>
      </w:r>
    </w:p>
    <w:p w14:paraId="4AAAB3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1D8BE48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5D0E8E53">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07A887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610F4AD2">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（详见第四章评标办法）</w:t>
      </w:r>
    </w:p>
    <w:p w14:paraId="5742EA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4BEDCB41">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2CEA47E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4384500">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3C9E41F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1" w:name="_Toc144974507"/>
      <w:bookmarkEnd w:id="21"/>
      <w:bookmarkStart w:id="22" w:name="_Toc247513962"/>
      <w:bookmarkEnd w:id="22"/>
      <w:bookmarkStart w:id="23" w:name="_Toc152042315"/>
      <w:bookmarkEnd w:id="23"/>
      <w:bookmarkStart w:id="24" w:name="_Toc247527563"/>
      <w:bookmarkEnd w:id="24"/>
      <w:bookmarkStart w:id="25" w:name="_Toc152045539"/>
      <w:bookmarkEnd w:id="25"/>
      <w:bookmarkStart w:id="26" w:name="_Toc296602429"/>
      <w:bookmarkEnd w:id="26"/>
      <w:bookmarkStart w:id="27"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7"/>
    </w:p>
    <w:p w14:paraId="6ED84257">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D5AD10E">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1943CDED">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49CC04F0">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7664EDE5">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5A9CC7D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2D87B0E3">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667991A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 联合投标</w:t>
      </w:r>
    </w:p>
    <w:p w14:paraId="16C8EE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08F70E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0B5D753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3FFA7F9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23AD1BFF">
      <w:pPr>
        <w:spacing w:line="360" w:lineRule="auto"/>
        <w:ind w:firstLine="420" w:firstLineChars="200"/>
        <w:rPr>
          <w:rFonts w:hint="eastAsia" w:ascii="宋体"/>
          <w:szCs w:val="21"/>
          <w:highlight w:val="none"/>
        </w:rPr>
      </w:pPr>
      <w:bookmarkStart w:id="28" w:name="_Toc10668_WPSOffice_Level3"/>
      <w:bookmarkEnd w:id="28"/>
      <w:bookmarkStart w:id="29" w:name="_Toc24655"/>
      <w:bookmarkEnd w:id="29"/>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154387F7">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02E25687">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17E2E871">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50B1BB6">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5EA21800">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0E199FBD">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1B2FBB4A">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421FD49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3890C355">
      <w:pPr>
        <w:spacing w:line="440" w:lineRule="exact"/>
        <w:ind w:firstLine="525" w:firstLineChars="250"/>
        <w:rPr>
          <w:rFonts w:ascii="宋体"/>
          <w:bCs/>
          <w:color w:val="0000FF"/>
          <w:szCs w:val="21"/>
          <w:highlight w:val="none"/>
        </w:rPr>
      </w:pPr>
      <w:r>
        <w:rPr>
          <w:rFonts w:hint="eastAsia" w:ascii="宋体"/>
          <w:bCs/>
          <w:szCs w:val="21"/>
          <w:highlight w:val="none"/>
        </w:rPr>
        <w:t xml:space="preserve">参与招标投标活动的各方应对招标文件和投标文件中的商业和技术等秘密保密，违者应对由此造成的后果承担法律责任。 </w:t>
      </w:r>
    </w:p>
    <w:p w14:paraId="1E7702FA">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color w:val="000000"/>
          <w:kern w:val="0"/>
          <w:sz w:val="24"/>
          <w:szCs w:val="24"/>
          <w:highlight w:val="none"/>
          <w:u w:color="000000"/>
          <w:lang w:val="en-US" w:eastAsia="zh-CN" w:bidi="ar"/>
        </w:rPr>
      </w:pPr>
    </w:p>
    <w:p w14:paraId="5620FC83">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61211EC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 招标文件的编制依据</w:t>
      </w:r>
    </w:p>
    <w:p w14:paraId="5FF3DC6A">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1A948F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 招标文件的组成</w:t>
      </w:r>
    </w:p>
    <w:p w14:paraId="4B475B0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57A355B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第一章  招标公告</w:t>
      </w:r>
    </w:p>
    <w:p w14:paraId="10B2E017">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第二章  投标须知</w:t>
      </w:r>
    </w:p>
    <w:p w14:paraId="1752288B">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第三章  资格审查办法</w:t>
      </w:r>
    </w:p>
    <w:p w14:paraId="6D10238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第四章  评标办法</w:t>
      </w:r>
    </w:p>
    <w:p w14:paraId="2398EDEE">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第五章  用户需求书</w:t>
      </w:r>
    </w:p>
    <w:p w14:paraId="37B88F6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第六章  合同条款及格式</w:t>
      </w:r>
    </w:p>
    <w:p w14:paraId="187886B2">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第七章  投标文件格式</w:t>
      </w:r>
    </w:p>
    <w:p w14:paraId="38CC658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第八章  招标人、招标代理机构对本文件的确认</w:t>
      </w:r>
    </w:p>
    <w:p w14:paraId="311A98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3F405637">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67D7E6D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6B2BF85">
      <w:pPr>
        <w:spacing w:line="440" w:lineRule="exact"/>
        <w:ind w:firstLine="420" w:firstLineChars="200"/>
        <w:rPr>
          <w:rFonts w:hint="eastAsia" w:ascii="黑体" w:hAnsi="宋体" w:eastAsia="黑体" w:cs="宋体"/>
          <w:b/>
          <w:bCs/>
          <w:highlight w:val="none"/>
          <w:lang w:val="en-US"/>
        </w:rPr>
      </w:pPr>
      <w:r>
        <w:rPr>
          <w:rFonts w:hint="eastAsia" w:ascii="黑体" w:hAnsi="宋体" w:eastAsia="黑体" w:cs="宋体"/>
          <w:b/>
          <w:bCs/>
          <w:color w:val="000000"/>
          <w:kern w:val="0"/>
          <w:sz w:val="21"/>
          <w:szCs w:val="21"/>
          <w:highlight w:val="none"/>
          <w:u w:color="000000"/>
          <w:lang w:val="en-US" w:eastAsia="zh-CN" w:bidi="ar"/>
        </w:rPr>
        <w:t xml:space="preserve">17. </w:t>
      </w:r>
      <w:r>
        <w:rPr>
          <w:rFonts w:hint="eastAsia" w:ascii="宋体" w:hAnsi="Times New Roman" w:eastAsia="宋体" w:cs="Times New Roman"/>
          <w:b/>
          <w:bCs/>
          <w:color w:val="auto"/>
          <w:szCs w:val="21"/>
          <w:highlight w:val="none"/>
        </w:rPr>
        <w:t>招标文件的异议</w:t>
      </w:r>
      <w:r>
        <w:rPr>
          <w:rFonts w:hint="eastAsia" w:ascii="宋体" w:hAnsi="Times New Roman" w:eastAsia="宋体" w:cs="Times New Roman"/>
          <w:b/>
          <w:bCs/>
          <w:color w:val="auto"/>
          <w:szCs w:val="21"/>
          <w:highlight w:val="none"/>
          <w:lang w:eastAsia="zh-CN"/>
        </w:rPr>
        <w:t>、</w:t>
      </w:r>
      <w:r>
        <w:rPr>
          <w:rFonts w:hint="eastAsia" w:ascii="宋体" w:hAnsi="Times New Roman" w:eastAsia="宋体" w:cs="Times New Roman"/>
          <w:b/>
          <w:bCs/>
          <w:color w:val="auto"/>
          <w:szCs w:val="21"/>
          <w:highlight w:val="none"/>
          <w:lang w:val="en-US" w:eastAsia="zh-CN"/>
        </w:rPr>
        <w:t>澄清</w:t>
      </w:r>
    </w:p>
    <w:p w14:paraId="5F643BE0">
      <w:pPr>
        <w:spacing w:line="440" w:lineRule="exact"/>
        <w:ind w:firstLine="420" w:firstLineChars="200"/>
        <w:rPr>
          <w:rFonts w:ascii="宋体" w:hAnsi="Times New Roman" w:eastAsia="宋体" w:cs="Times New Roman"/>
          <w:bCs/>
          <w:szCs w:val="21"/>
          <w:highlight w:val="none"/>
        </w:rPr>
      </w:pPr>
      <w:r>
        <w:rPr>
          <w:rFonts w:hint="eastAsia" w:ascii="宋体" w:hAnsi="宋体" w:eastAsia="宋体" w:cs="宋体"/>
          <w:color w:val="000000"/>
          <w:kern w:val="0"/>
          <w:szCs w:val="21"/>
          <w:highlight w:val="none"/>
          <w:u w:color="000000"/>
          <w:lang w:bidi="ar"/>
        </w:rPr>
        <w:t xml:space="preserve">17.1 </w:t>
      </w:r>
      <w:r>
        <w:rPr>
          <w:rFonts w:hint="eastAsia" w:ascii="宋体" w:hAnsi="Times New Roman" w:eastAsia="宋体" w:cs="Times New Roman"/>
          <w:bCs/>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6CC63017">
      <w:pPr>
        <w:widowControl/>
        <w:spacing w:line="400" w:lineRule="exact"/>
        <w:ind w:firstLine="420" w:firstLineChars="200"/>
        <w:rPr>
          <w:rFonts w:ascii="宋体" w:hAnsi="宋体" w:eastAsia="宋体" w:cs="宋体"/>
          <w:bCs/>
          <w:highlight w:val="none"/>
        </w:rPr>
      </w:pPr>
      <w:r>
        <w:rPr>
          <w:rFonts w:hint="eastAsia" w:ascii="宋体" w:hAnsi="宋体" w:eastAsia="宋体" w:cs="宋体"/>
          <w:bCs/>
          <w:color w:val="000000"/>
          <w:kern w:val="0"/>
          <w:szCs w:val="21"/>
          <w:highlight w:val="none"/>
          <w:u w:color="000000"/>
          <w:lang w:bidi="ar"/>
        </w:rPr>
        <w:t>17.2 投标人应在投标截止时间前关注原采购信息发布媒体上有关本项目有无变更公告，如不及时查看造成后果由投标人自负。</w:t>
      </w:r>
    </w:p>
    <w:p w14:paraId="2AE75A3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 招标文件的发出</w:t>
      </w:r>
    </w:p>
    <w:p w14:paraId="2672C1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77D8513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0" w:name="_Toc1549_WPSOffice_Level3"/>
      <w:bookmarkEnd w:id="30"/>
      <w:bookmarkStart w:id="31" w:name="_Toc9710"/>
      <w:r>
        <w:rPr>
          <w:rFonts w:hint="eastAsia" w:ascii="宋体" w:hAnsi="宋体" w:eastAsia="宋体" w:cs="宋体"/>
          <w:b/>
          <w:bCs w:val="0"/>
          <w:color w:val="000000"/>
          <w:kern w:val="0"/>
          <w:sz w:val="21"/>
          <w:szCs w:val="21"/>
          <w:highlight w:val="none"/>
          <w:u w:color="000000"/>
          <w:lang w:val="en-US" w:eastAsia="zh-CN" w:bidi="ar"/>
        </w:rPr>
        <w:t>19.样品</w:t>
      </w:r>
      <w:bookmarkEnd w:id="31"/>
    </w:p>
    <w:p w14:paraId="20DA793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1E81783C">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1F40CE47">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 投标的语言及度量衡单位</w:t>
      </w:r>
    </w:p>
    <w:p w14:paraId="4E43174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20.1投标人的投标文件、以及投标人与招标人就投标的所有往来函电，均须使用简体中文。</w:t>
      </w:r>
    </w:p>
    <w:p w14:paraId="538CB80F">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Calibri"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20.2除招标文件中另有规定外，投标文件所使用的度量衡均须采用法定计量单位。</w:t>
      </w:r>
    </w:p>
    <w:p w14:paraId="040871EC">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 投标文件的组成</w:t>
      </w:r>
    </w:p>
    <w:p w14:paraId="2A83C70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21.1投标文件</w:t>
      </w:r>
      <w:r>
        <w:rPr>
          <w:rFonts w:hint="default" w:ascii="宋体" w:hAnsi="宋体" w:eastAsia="宋体" w:cs="宋体"/>
          <w:color w:val="000000"/>
          <w:kern w:val="0"/>
          <w:sz w:val="21"/>
          <w:szCs w:val="21"/>
          <w:highlight w:val="none"/>
          <w:u w:color="000000"/>
          <w:lang w:val="en-US" w:eastAsia="zh-CN" w:bidi="ar"/>
        </w:rPr>
        <w:t>须</w:t>
      </w:r>
      <w:r>
        <w:rPr>
          <w:rFonts w:hint="eastAsia" w:ascii="宋体" w:hAnsi="宋体" w:eastAsia="宋体" w:cs="宋体"/>
          <w:color w:val="000000"/>
          <w:kern w:val="0"/>
          <w:sz w:val="21"/>
          <w:szCs w:val="21"/>
          <w:highlight w:val="none"/>
          <w:u w:color="000000"/>
          <w:lang w:val="en-US" w:eastAsia="zh-CN" w:bidi="ar"/>
        </w:rPr>
        <w:t>签字盖章完毕后扫描成一个连续性的整体PDF格式文件。</w:t>
      </w:r>
    </w:p>
    <w:p w14:paraId="34D8DBB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21.2投标文件的编制</w:t>
      </w:r>
    </w:p>
    <w:p w14:paraId="3ED9BAEF">
      <w:pPr>
        <w:keepNext w:val="0"/>
        <w:keepLines w:val="0"/>
        <w:widowControl/>
        <w:numPr>
          <w:ilvl w:val="0"/>
          <w:numId w:val="2"/>
        </w:numPr>
        <w:suppressLineNumbers w:val="0"/>
        <w:spacing w:before="0" w:beforeAutospacing="0" w:after="0" w:afterAutospacing="0" w:line="380" w:lineRule="exact"/>
        <w:ind w:left="0" w:right="0" w:firstLine="424" w:firstLineChars="202"/>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投标文件应按第六章“投标文件格式文本”进行编写，如有必要，可以增加附页，作为投标文件的组成部分。</w:t>
      </w:r>
    </w:p>
    <w:p w14:paraId="3AF4E612">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53765A0D">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22.1投标报价文件中的单价和总价全部采用人民币表示。</w:t>
      </w:r>
    </w:p>
    <w:p w14:paraId="108D8313">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22.2投标人只允许有一个方案、一个报价。</w:t>
      </w:r>
    </w:p>
    <w:p w14:paraId="12D0DBD9">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22.3投标报价包括完成本项目全部供货及服务的一切费用：包括但不限于材料费、装卸费、运输费、管理费、安装费、其他费用（如包装费、仓储费、保管费）、利润、招标代理费、专家评审费、售后服务费、税金、政策性文件规定及合同包含的所有风险和责任等、货物送至招标人指定地点前的各项应有费用。投标时投标人必须保证报价的完整性，如有漏报，则视为优惠，中标后不允许追加费用。</w:t>
      </w:r>
    </w:p>
    <w:p w14:paraId="337A745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22.4投标报价的价格是完成项目全部内容（包括后期的相关服务）的价格，其总价即为履行合同的固定总价。</w:t>
      </w:r>
    </w:p>
    <w:p w14:paraId="67A2F6E6">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22.5投标报价应由法定代表人或被授权人签署。</w:t>
      </w:r>
    </w:p>
    <w:p w14:paraId="57A545A5">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22.6投标人的投标报价不得超过最高限价，否则将作为无效投标处理。</w:t>
      </w:r>
    </w:p>
    <w:p w14:paraId="225928F8">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24B7352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08E2BB90">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54BEF1E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1BF52864">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7F018D6A">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23.3出现特殊情况需要延长投标有效期的，招标人以书面形式通知所有投标人延长投标有效期。投标人同意延长的，不得要求或被允许修改或撤销其投标文件；投标人拒绝延长的，其投标失效。</w:t>
      </w:r>
    </w:p>
    <w:p w14:paraId="6AE99086">
      <w:pPr>
        <w:keepNext w:val="0"/>
        <w:keepLines w:val="0"/>
        <w:widowControl w:val="0"/>
        <w:suppressLineNumbers w:val="0"/>
        <w:spacing w:before="0" w:beforeAutospacing="0" w:after="0" w:afterAutospacing="0" w:line="440" w:lineRule="exact"/>
        <w:ind w:left="0" w:right="0" w:firstLine="514" w:firstLineChars="245"/>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08E9E097">
      <w:pPr>
        <w:keepNext w:val="0"/>
        <w:keepLines w:val="0"/>
        <w:widowControl/>
        <w:suppressLineNumbers w:val="0"/>
        <w:spacing w:before="0" w:beforeAutospacing="0" w:after="0" w:afterAutospacing="0" w:line="312" w:lineRule="auto"/>
        <w:ind w:left="0" w:right="0" w:firstLine="525" w:firstLineChars="25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24.1本项目不要求投标人提交投标保证金。</w:t>
      </w:r>
    </w:p>
    <w:p w14:paraId="7749EDA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bookmarkStart w:id="32" w:name="_Toc6570_WPSOffice_Level3"/>
      <w:bookmarkEnd w:id="32"/>
      <w:bookmarkStart w:id="33"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3"/>
    </w:p>
    <w:p w14:paraId="1B1DB80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b/>
          <w:bCs w:val="0"/>
          <w:highlight w:val="none"/>
          <w:lang w:val="en-US"/>
        </w:rPr>
      </w:pPr>
      <w:bookmarkStart w:id="34" w:name="_Toc30407_WPSOffice_Level3"/>
      <w:bookmarkEnd w:id="34"/>
      <w:bookmarkStart w:id="35" w:name="_Toc490"/>
      <w:bookmarkEnd w:id="35"/>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01571672">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PDF电子版投标文件。投标人中标后须递交与网上电子投标文件完全一致的纸质版投标文件，并按要求加盖公章；份数：正本1份，副本2份；中标单位领取中标通知书时，一并递交给招标代理机构。</w:t>
      </w:r>
    </w:p>
    <w:p w14:paraId="286B56F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7DA5DF4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 投标文件的提交</w:t>
      </w:r>
    </w:p>
    <w:p w14:paraId="4AF9824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宋体" w:hAnsi="宋体" w:eastAsia="宋体" w:cs="宋体"/>
          <w:highlight w:val="none"/>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"mailto:2、在递交截止时间后30分钟内，将解压密码通过邮箱发送至代理机构邮箱（czsctgczx@163.com）" </w:instrText>
      </w:r>
      <w:r>
        <w:rPr>
          <w:rFonts w:hint="eastAsia" w:ascii="宋体" w:hAnsi="宋体" w:eastAsia="宋体" w:cs="宋体"/>
          <w:highlight w:val="none"/>
        </w:rPr>
        <w:fldChar w:fldCharType="separate"/>
      </w:r>
      <w:r>
        <w:rPr>
          <w:rFonts w:hint="eastAsia" w:ascii="宋体" w:hAnsi="宋体" w:eastAsia="宋体" w:cs="宋体"/>
          <w:highlight w:val="none"/>
        </w:rPr>
        <w:t>②在投标截止时间后30分钟内，将投标文件密码通过邮箱发送至滁州市城投工程咨询管理有限公司邮箱（czsctzx@163.com）</w:t>
      </w:r>
      <w:r>
        <w:rPr>
          <w:rFonts w:hint="eastAsia" w:ascii="宋体" w:hAnsi="宋体" w:eastAsia="宋体" w:cs="宋体"/>
          <w:highlight w:val="none"/>
        </w:rPr>
        <w:fldChar w:fldCharType="end"/>
      </w:r>
      <w:r>
        <w:rPr>
          <w:rFonts w:hint="eastAsia" w:ascii="宋体" w:hAnsi="宋体" w:eastAsia="宋体" w:cs="宋体"/>
          <w:highlight w:val="none"/>
        </w:rPr>
        <w:t>，未在规定时间内发送密码或发送的密码无法正确打开投标文件的，投标文件将被拒绝。</w:t>
      </w:r>
    </w:p>
    <w:p w14:paraId="0F241F9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27．投标文件的</w:t>
      </w:r>
      <w:r>
        <w:rPr>
          <w:rFonts w:hint="eastAsia" w:ascii="宋体"/>
          <w:b/>
          <w:szCs w:val="21"/>
          <w:highlight w:val="none"/>
        </w:rPr>
        <w:t>修改与撤回</w:t>
      </w:r>
    </w:p>
    <w:p w14:paraId="34E83124">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7B884CA0">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18CA468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b/>
          <w:bCs w:val="0"/>
          <w:highlight w:val="none"/>
          <w:lang w:val="en-US"/>
        </w:rPr>
      </w:pPr>
      <w:bookmarkStart w:id="36" w:name="_Toc28864"/>
      <w:bookmarkEnd w:id="36"/>
      <w:bookmarkStart w:id="37" w:name="_Toc8453_WPSOffice_Level3"/>
      <w:r>
        <w:rPr>
          <w:rFonts w:hint="eastAsia" w:ascii="宋体" w:hAnsi="宋体" w:eastAsia="宋体" w:cs="宋体"/>
          <w:b/>
          <w:bCs w:val="0"/>
          <w:color w:val="000000"/>
          <w:kern w:val="0"/>
          <w:sz w:val="21"/>
          <w:szCs w:val="21"/>
          <w:highlight w:val="none"/>
          <w:u w:color="000000"/>
          <w:lang w:val="en-US" w:eastAsia="zh-CN" w:bidi="ar"/>
        </w:rPr>
        <w:t>28.</w:t>
      </w:r>
      <w:r>
        <w:rPr>
          <w:rFonts w:hint="eastAsia" w:ascii="黑体" w:hAnsi="宋体" w:eastAsia="黑体" w:cs="宋体"/>
          <w:b/>
          <w:bCs w:val="0"/>
          <w:color w:val="000000"/>
          <w:kern w:val="0"/>
          <w:sz w:val="21"/>
          <w:szCs w:val="21"/>
          <w:highlight w:val="none"/>
          <w:u w:color="000000"/>
          <w:lang w:val="en-US" w:eastAsia="zh-CN" w:bidi="ar"/>
        </w:rPr>
        <w:t>开标</w:t>
      </w:r>
    </w:p>
    <w:p w14:paraId="1E5A5BF2">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2283822C">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722E3AAD">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203BC218">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spacing w:val="-8"/>
          <w:highlight w:val="none"/>
          <w:lang w:val="en-US"/>
        </w:rPr>
      </w:pPr>
      <w:bookmarkStart w:id="38" w:name="_Toc15542_WPSOffice_Level3"/>
      <w:bookmarkEnd w:id="38"/>
      <w:r>
        <w:rPr>
          <w:rFonts w:hint="eastAsia" w:ascii="宋体" w:hAnsi="宋体" w:eastAsia="宋体" w:cs="宋体"/>
          <w:color w:val="000000"/>
          <w:kern w:val="0"/>
          <w:sz w:val="21"/>
          <w:szCs w:val="21"/>
          <w:highlight w:val="none"/>
          <w:u w:color="000000"/>
          <w:lang w:val="en-US" w:eastAsia="zh-CN" w:bidi="ar"/>
        </w:rPr>
        <w:t>28.2.1招标人可以邀请相关监管部门参加。</w:t>
      </w:r>
    </w:p>
    <w:p w14:paraId="0FCD1FA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99F5213">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13DBB84F">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6981901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（2）宣布采购人、代理机构主持人、见证人等有关人员姓名；</w:t>
      </w:r>
    </w:p>
    <w:p w14:paraId="409899A8">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BCB440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6923436">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29.开标异议</w:t>
      </w:r>
    </w:p>
    <w:p w14:paraId="6B92F22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0157C60D">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highlight w:val="none"/>
          <w:lang w:val="en-US"/>
        </w:rPr>
      </w:pPr>
      <w:r>
        <w:rPr>
          <w:rFonts w:hint="eastAsia" w:ascii="黑体" w:hAnsi="宋体" w:eastAsia="黑体" w:cs="宋体"/>
          <w:b/>
          <w:bCs w:val="0"/>
          <w:color w:val="000000"/>
          <w:kern w:val="0"/>
          <w:sz w:val="21"/>
          <w:szCs w:val="21"/>
          <w:highlight w:val="none"/>
          <w:u w:color="000000"/>
          <w:lang w:val="en-US" w:eastAsia="zh-CN" w:bidi="ar"/>
        </w:rPr>
        <w:t>30.评标委员会</w:t>
      </w:r>
    </w:p>
    <w:p w14:paraId="3985D341">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  评标委员会的组成</w:t>
      </w:r>
    </w:p>
    <w:p w14:paraId="0B01EBC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53FA51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5E5AF56">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4C97829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2C98505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73B4E9C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2B1A972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5094578A">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1D37B270">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2BB48C23">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 评标</w:t>
      </w:r>
    </w:p>
    <w:p w14:paraId="750F17A7">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章“评标办法”规定的方法、评审因素、标准和程序对投标文件进行评审。第</w:t>
      </w:r>
      <w:r>
        <w:rPr>
          <w:rFonts w:hint="eastAsia" w:ascii="宋体" w:hAnsi="宋体" w:eastAsia="宋体" w:cs="宋体"/>
          <w:color w:val="auto"/>
          <w:szCs w:val="21"/>
          <w:highlight w:val="none"/>
          <w:lang w:val="en-US" w:eastAsia="zh-CN"/>
        </w:rPr>
        <w:t>四</w:t>
      </w:r>
      <w:r>
        <w:rPr>
          <w:rFonts w:hint="eastAsia" w:ascii="宋体" w:hAnsi="宋体" w:eastAsia="宋体" w:cs="宋体"/>
          <w:color w:val="auto"/>
          <w:szCs w:val="21"/>
          <w:highlight w:val="none"/>
        </w:rPr>
        <w:t>章“评标办法”没有规定的方法、评审因素和标准，不作为评标依据。</w:t>
      </w:r>
    </w:p>
    <w:p w14:paraId="2EF7E832">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17190F33">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757B694E">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7E580809">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F6C751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1BD445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491C263">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5D85599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684098F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6928153F">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41827E7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54DD55BB">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2458768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4AA52FE9">
      <w:pPr>
        <w:keepNext w:val="0"/>
        <w:keepLines w:val="0"/>
        <w:widowControl/>
        <w:suppressLineNumbers w:val="0"/>
        <w:spacing w:before="0" w:beforeAutospacing="0" w:after="0" w:afterAutospacing="0" w:line="420" w:lineRule="exact"/>
        <w:ind w:left="0" w:right="-312" w:rightChars="-149" w:firstLine="420" w:firstLineChars="200"/>
        <w:jc w:val="both"/>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5A226875">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7B5BB3AF">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586DC432">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366BCB5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21471DC7">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01E638B2">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7"/>
    </w:p>
    <w:p w14:paraId="228FC7AF">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34.中标公示</w:t>
      </w:r>
    </w:p>
    <w:p w14:paraId="6B6AFE9C">
      <w:pPr>
        <w:spacing w:line="420" w:lineRule="exact"/>
        <w:ind w:firstLine="420" w:firstLineChars="200"/>
        <w:jc w:val="left"/>
        <w:rPr>
          <w:rFonts w:ascii="宋体" w:hAnsi="宋体" w:eastAsia="宋体" w:cs="宋体"/>
          <w:color w:val="auto"/>
          <w:highlight w:val="none"/>
        </w:rPr>
      </w:pPr>
      <w:r>
        <w:rPr>
          <w:rFonts w:hint="eastAsia" w:ascii="宋体" w:hAnsi="宋体" w:eastAsia="宋体" w:cs="宋体"/>
          <w:color w:val="auto"/>
          <w:kern w:val="0"/>
          <w:szCs w:val="21"/>
          <w:highlight w:val="none"/>
          <w:u w:color="000000"/>
          <w:lang w:bidi="ar"/>
        </w:rPr>
        <w:t>3</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.1</w:t>
      </w:r>
      <w:r>
        <w:rPr>
          <w:rFonts w:hint="eastAsia" w:ascii="宋体" w:hAnsi="Times New Roman" w:eastAsia="宋体" w:cs="Times New Roman"/>
          <w:color w:val="auto"/>
          <w:szCs w:val="21"/>
          <w:highlight w:val="none"/>
        </w:rPr>
        <w:t>招标人在收到评标报告之日起3日内，按照投标人须知前附表规定的公示媒介和期限依法公示。公示期不得少于3日。</w:t>
      </w:r>
    </w:p>
    <w:p w14:paraId="0003EF53">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35.评标结果异议</w:t>
      </w:r>
    </w:p>
    <w:p w14:paraId="1FFD0A6E">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.1投标人或其他利害关系人对评标结果有异议的，应在中标候选人公示期内提出。招标人将在收到异议之日起3日内作出答复；作出答复前，将暂停招标投标活动。</w:t>
      </w:r>
    </w:p>
    <w:p w14:paraId="74E094C7">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36.定标</w:t>
      </w:r>
    </w:p>
    <w:p w14:paraId="50C8098D">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00171E77">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37.中标通知</w:t>
      </w:r>
    </w:p>
    <w:p w14:paraId="76C1D296">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.1在本招标文件规定的投标有效期内，招标人向中标人发出中标通知书，同时将中标结果通知未中标的投标人。</w:t>
      </w:r>
    </w:p>
    <w:p w14:paraId="05F828FE">
      <w:pPr>
        <w:keepNext w:val="0"/>
        <w:keepLines w:val="0"/>
        <w:widowControl/>
        <w:suppressLineNumbers w:val="0"/>
        <w:spacing w:before="0" w:beforeAutospacing="0" w:after="0" w:afterAutospacing="0" w:line="440" w:lineRule="exact"/>
        <w:ind w:left="0" w:right="0" w:firstLine="420" w:firstLineChars="200"/>
        <w:jc w:val="left"/>
        <w:rPr>
          <w:rFonts w:hint="eastAsia" w:ascii="黑体" w:hAnsi="宋体" w:eastAsia="黑体" w:cs="宋体"/>
          <w:b/>
          <w:bCs w:val="0"/>
          <w:color w:val="auto"/>
          <w:kern w:val="0"/>
          <w:sz w:val="21"/>
          <w:szCs w:val="21"/>
          <w:highlight w:val="none"/>
          <w:u w:color="000000"/>
          <w:lang w:val="en-US" w:eastAsia="zh-CN" w:bidi="ar"/>
        </w:rPr>
      </w:pPr>
      <w:r>
        <w:rPr>
          <w:rFonts w:hint="eastAsia" w:ascii="黑体" w:hAnsi="宋体" w:eastAsia="黑体" w:cs="宋体"/>
          <w:b/>
          <w:bCs w:val="0"/>
          <w:color w:val="auto"/>
          <w:kern w:val="0"/>
          <w:sz w:val="21"/>
          <w:szCs w:val="21"/>
          <w:highlight w:val="none"/>
          <w:u w:color="000000"/>
          <w:lang w:val="en-US" w:eastAsia="zh-CN" w:bidi="ar"/>
        </w:rPr>
        <w:t>38.</w:t>
      </w:r>
      <w:bookmarkStart w:id="40" w:name="_Toc217446068"/>
      <w:r>
        <w:rPr>
          <w:rFonts w:hint="eastAsia" w:ascii="黑体" w:hAnsi="宋体" w:eastAsia="黑体" w:cs="宋体"/>
          <w:b/>
          <w:bCs w:val="0"/>
          <w:color w:val="auto"/>
          <w:kern w:val="0"/>
          <w:sz w:val="21"/>
          <w:szCs w:val="21"/>
          <w:highlight w:val="none"/>
          <w:u w:color="000000"/>
          <w:lang w:val="en-US" w:eastAsia="zh-CN" w:bidi="ar"/>
        </w:rPr>
        <w:t>履约保证金</w:t>
      </w:r>
      <w:bookmarkEnd w:id="40"/>
    </w:p>
    <w:p w14:paraId="6CDE1BCF">
      <w:pPr>
        <w:spacing w:line="420" w:lineRule="exact"/>
        <w:ind w:firstLine="420" w:firstLineChars="200"/>
        <w:jc w:val="left"/>
        <w:rPr>
          <w:rFonts w:ascii="宋体" w:hAnsi="Times New Roman" w:eastAsia="宋体" w:cs="Times New Roman"/>
          <w:color w:val="auto"/>
          <w:szCs w:val="21"/>
          <w:highlight w:val="none"/>
        </w:rPr>
      </w:pPr>
      <w:bookmarkStart w:id="41" w:name="_Toc316_WPSOffice_Level3"/>
      <w:bookmarkEnd w:id="41"/>
      <w:bookmarkStart w:id="42" w:name="_Toc23484"/>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w:t>
      </w:r>
      <w:bookmarkEnd w:id="42"/>
      <w:r>
        <w:rPr>
          <w:rFonts w:hint="eastAsia" w:ascii="宋体" w:hAnsi="Times New Roman" w:eastAsia="宋体" w:cs="Times New Roman"/>
          <w:color w:val="auto"/>
          <w:szCs w:val="21"/>
          <w:highlight w:val="none"/>
        </w:rPr>
        <w:t>在签订合同前，中标人应按投标人须知前附表规定的担保形式和招标文件第</w:t>
      </w:r>
      <w:r>
        <w:rPr>
          <w:rFonts w:hint="eastAsia" w:ascii="宋体" w:hAnsi="Times New Roman" w:eastAsia="宋体" w:cs="Times New Roman"/>
          <w:color w:val="auto"/>
          <w:szCs w:val="21"/>
          <w:highlight w:val="none"/>
          <w:lang w:val="en-US" w:eastAsia="zh-CN"/>
        </w:rPr>
        <w:t>六</w:t>
      </w:r>
      <w:r>
        <w:rPr>
          <w:rFonts w:hint="eastAsia" w:ascii="宋体" w:hAnsi="Times New Roman" w:eastAsia="宋体" w:cs="Times New Roman"/>
          <w:color w:val="auto"/>
          <w:szCs w:val="21"/>
          <w:highlight w:val="none"/>
        </w:rPr>
        <w:t>章“合同条款及格式”规定的或者事先经过招标人书面认可的履约担保格式向招标人提交履约担保。</w:t>
      </w:r>
    </w:p>
    <w:p w14:paraId="3E1696E1">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.2中标人不能按本章第3</w:t>
      </w:r>
      <w:r>
        <w:rPr>
          <w:rFonts w:hint="eastAsia" w:ascii="宋体" w:hAnsi="Times New Roman" w:eastAsia="宋体" w:cs="Times New Roman"/>
          <w:color w:val="auto"/>
          <w:szCs w:val="21"/>
          <w:highlight w:val="none"/>
          <w:lang w:val="en-US" w:eastAsia="zh-CN"/>
        </w:rPr>
        <w:t>8.</w:t>
      </w:r>
      <w:r>
        <w:rPr>
          <w:rFonts w:hint="eastAsia" w:ascii="宋体" w:hAnsi="Times New Roman" w:eastAsia="宋体" w:cs="Times New Roman"/>
          <w:color w:val="auto"/>
          <w:szCs w:val="21"/>
          <w:highlight w:val="none"/>
        </w:rPr>
        <w:t>1项要求提交履约担保的，视为放弃中标，给招标人造成的损失，中标人还应当予以赔偿。</w:t>
      </w:r>
    </w:p>
    <w:p w14:paraId="458C332C">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63CC43F8">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3</w:t>
      </w:r>
      <w:r>
        <w:rPr>
          <w:rFonts w:hint="eastAsia" w:ascii="宋体" w:hAnsi="宋体" w:eastAsia="宋体" w:cs="宋体"/>
          <w:b/>
          <w:color w:val="auto"/>
          <w:kern w:val="0"/>
          <w:szCs w:val="21"/>
          <w:highlight w:val="none"/>
          <w:u w:color="000000"/>
          <w:lang w:val="en-US" w:eastAsia="zh-CN" w:bidi="ar"/>
        </w:rPr>
        <w:t>9</w:t>
      </w:r>
      <w:r>
        <w:rPr>
          <w:rFonts w:hint="eastAsia" w:ascii="宋体" w:hAnsi="宋体" w:eastAsia="宋体" w:cs="宋体"/>
          <w:b/>
          <w:color w:val="auto"/>
          <w:kern w:val="0"/>
          <w:szCs w:val="21"/>
          <w:highlight w:val="none"/>
          <w:u w:color="000000"/>
          <w:lang w:bidi="ar"/>
        </w:rPr>
        <w:t xml:space="preserve">.对招标人的纪律要求 </w:t>
      </w:r>
    </w:p>
    <w:p w14:paraId="79688B7C">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 xml:space="preserve">.1招标人不得泄漏招标投标活动中应当保密的情况和资料，不得与投标人串通损害国家利益，社会公共利益或者他人合法权益。 </w:t>
      </w:r>
    </w:p>
    <w:p w14:paraId="6CA2D6DA">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val="en-US" w:eastAsia="zh-CN" w:bidi="ar"/>
        </w:rPr>
        <w:t>40</w:t>
      </w:r>
      <w:r>
        <w:rPr>
          <w:rFonts w:hint="eastAsia" w:ascii="宋体" w:hAnsi="宋体" w:eastAsia="宋体" w:cs="宋体"/>
          <w:b/>
          <w:color w:val="auto"/>
          <w:kern w:val="0"/>
          <w:szCs w:val="21"/>
          <w:highlight w:val="none"/>
          <w:u w:color="000000"/>
          <w:lang w:bidi="ar"/>
        </w:rPr>
        <w:t xml:space="preserve">.对投标人的纪律要求 </w:t>
      </w:r>
    </w:p>
    <w:p w14:paraId="41F6306E">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40</w:t>
      </w:r>
      <w:r>
        <w:rPr>
          <w:rFonts w:hint="eastAsia" w:ascii="宋体" w:hAnsi="Times New Roman" w:eastAsia="宋体" w:cs="Times New Roman"/>
          <w:color w:val="auto"/>
          <w:szCs w:val="21"/>
          <w:highlight w:val="none"/>
        </w:rPr>
        <w:t>.1投标人不得相互串通投标或者与招标人串通投标，不得向招标人或者评标委员会成员行贿谋取中标，不得以他人名义投标或者以其他方式弄虚作假骗取中标；投标人不得以任何方式干扰、影响评标工作。</w:t>
      </w:r>
    </w:p>
    <w:p w14:paraId="05C50E80">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1</w:t>
      </w:r>
      <w:r>
        <w:rPr>
          <w:rFonts w:hint="eastAsia" w:ascii="宋体" w:hAnsi="宋体" w:eastAsia="宋体" w:cs="宋体"/>
          <w:b/>
          <w:color w:val="auto"/>
          <w:kern w:val="0"/>
          <w:szCs w:val="21"/>
          <w:highlight w:val="none"/>
          <w:u w:color="000000"/>
          <w:lang w:bidi="ar"/>
        </w:rPr>
        <w:t xml:space="preserve">.对评标委员会成员的纪律要求 </w:t>
      </w:r>
    </w:p>
    <w:p w14:paraId="3ED1BFE3">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41</w:t>
      </w:r>
      <w:r>
        <w:rPr>
          <w:rFonts w:hint="eastAsia" w:ascii="宋体" w:hAnsi="Times New Roman" w:eastAsia="宋体" w:cs="Times New Roman"/>
          <w:color w:val="auto"/>
          <w:szCs w:val="21"/>
          <w:highlight w:val="none"/>
        </w:rPr>
        <w:t>.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6BEF2903">
      <w:pPr>
        <w:widowControl/>
        <w:spacing w:line="440" w:lineRule="exact"/>
        <w:ind w:left="415" w:leftChars="198"/>
        <w:jc w:val="left"/>
        <w:rPr>
          <w:rFonts w:ascii="宋体" w:hAnsi="宋体" w:eastAsia="宋体" w:cs="宋体"/>
          <w:b/>
          <w:color w:val="auto"/>
          <w:kern w:val="0"/>
          <w:szCs w:val="21"/>
          <w:highlight w:val="none"/>
          <w:u w:color="000000"/>
          <w:lang w:bidi="ar"/>
        </w:rPr>
      </w:pPr>
      <w:r>
        <w:rPr>
          <w:rFonts w:hint="eastAsia" w:ascii="宋体" w:hAnsi="宋体" w:eastAsia="宋体" w:cs="宋体"/>
          <w:b/>
          <w:color w:val="auto"/>
          <w:kern w:val="0"/>
          <w:szCs w:val="21"/>
          <w:highlight w:val="none"/>
          <w:u w:color="000000"/>
          <w:lang w:bidi="ar"/>
        </w:rPr>
        <w:t>4</w:t>
      </w:r>
      <w:r>
        <w:rPr>
          <w:rFonts w:hint="eastAsia" w:ascii="宋体" w:hAnsi="宋体" w:eastAsia="宋体" w:cs="宋体"/>
          <w:b/>
          <w:color w:val="auto"/>
          <w:kern w:val="0"/>
          <w:szCs w:val="21"/>
          <w:highlight w:val="none"/>
          <w:u w:color="000000"/>
          <w:lang w:val="en-US" w:eastAsia="zh-CN" w:bidi="ar"/>
        </w:rPr>
        <w:t>2</w:t>
      </w:r>
      <w:r>
        <w:rPr>
          <w:rFonts w:hint="eastAsia" w:ascii="宋体" w:hAnsi="宋体" w:eastAsia="宋体" w:cs="宋体"/>
          <w:b/>
          <w:color w:val="auto"/>
          <w:kern w:val="0"/>
          <w:szCs w:val="21"/>
          <w:highlight w:val="none"/>
          <w:u w:color="000000"/>
          <w:lang w:bidi="ar"/>
        </w:rPr>
        <w:t xml:space="preserve">.对与评标活动有关的工作人员的纪律要求 </w:t>
      </w:r>
    </w:p>
    <w:p w14:paraId="4EB9F6DF">
      <w:pPr>
        <w:spacing w:line="420" w:lineRule="exact"/>
        <w:ind w:firstLine="420" w:firstLineChars="200"/>
        <w:jc w:val="left"/>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2</w:t>
      </w:r>
      <w:r>
        <w:rPr>
          <w:rFonts w:hint="eastAsia" w:ascii="宋体" w:hAnsi="Times New Roman" w:eastAsia="宋体" w:cs="Times New Roman"/>
          <w:color w:val="auto"/>
          <w:szCs w:val="21"/>
          <w:highlight w:val="none"/>
        </w:rPr>
        <w:t>.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65CF1532">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597F92C7">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4</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.投诉</w:t>
      </w:r>
    </w:p>
    <w:p w14:paraId="48F4632A">
      <w:pPr>
        <w:spacing w:line="420" w:lineRule="exact"/>
        <w:ind w:firstLine="420" w:firstLineChars="200"/>
        <w:jc w:val="left"/>
        <w:rPr>
          <w:rFonts w:hint="eastAsia" w:ascii="宋体"/>
          <w:b/>
          <w:color w:val="auto"/>
          <w:sz w:val="32"/>
          <w:szCs w:val="32"/>
          <w:highlight w:val="none"/>
        </w:rPr>
      </w:pPr>
      <w:r>
        <w:rPr>
          <w:rFonts w:hint="eastAsia" w:ascii="宋体" w:hAnsi="Times New Roman" w:eastAsia="宋体" w:cs="Times New Roman"/>
          <w:color w:val="auto"/>
          <w:szCs w:val="21"/>
          <w:highlight w:val="none"/>
        </w:rPr>
        <w:t>4</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.1投标人或者其他利害关系人认为招标投标活动违反法律、法规和规章规定的，有权向相关行政监督部门投诉。投诉应当有明确的请求和必要的证明材料。</w:t>
      </w:r>
    </w:p>
    <w:p w14:paraId="48771897">
      <w:pPr>
        <w:rPr>
          <w:rFonts w:hint="eastAsia" w:ascii="宋体"/>
          <w:b/>
          <w:color w:val="auto"/>
          <w:sz w:val="32"/>
          <w:szCs w:val="32"/>
          <w:highlight w:val="none"/>
        </w:rPr>
      </w:pPr>
      <w:r>
        <w:rPr>
          <w:rFonts w:hint="eastAsia" w:ascii="宋体"/>
          <w:b/>
          <w:color w:val="auto"/>
          <w:sz w:val="32"/>
          <w:szCs w:val="32"/>
          <w:highlight w:val="none"/>
        </w:rPr>
        <w:br w:type="page"/>
      </w:r>
    </w:p>
    <w:p w14:paraId="168B1AB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4FF62F00">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1E00ACD9">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3"/>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52F4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0CC19D4A">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142266E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7C34AD61">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070F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70356464">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23A24DE5">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7CE7F292">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w:t>
            </w:r>
            <w:r>
              <w:rPr>
                <w:rFonts w:hint="eastAsia"/>
                <w:color w:val="000000"/>
                <w:highlight w:val="none"/>
                <w:lang w:val="en-US" w:eastAsia="zh-CN"/>
              </w:rPr>
              <w:t>1</w:t>
            </w:r>
            <w:r>
              <w:rPr>
                <w:rFonts w:hint="eastAsia"/>
                <w:color w:val="000000"/>
                <w:highlight w:val="none"/>
              </w:rPr>
              <w:t>）法定代表人身份证明和本人有效身份证(或法定代表人授权委托书和委托代理人有效身份证)</w:t>
            </w:r>
          </w:p>
        </w:tc>
        <w:tc>
          <w:tcPr>
            <w:tcW w:w="3929" w:type="dxa"/>
            <w:noWrap w:val="0"/>
            <w:vAlign w:val="center"/>
          </w:tcPr>
          <w:p w14:paraId="76734E10">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7B0A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29DBC90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1673CA47">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008" w:type="dxa"/>
            <w:noWrap w:val="0"/>
            <w:vAlign w:val="center"/>
          </w:tcPr>
          <w:p w14:paraId="546F0711">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7168B65D">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7D073C5">
            <w:pPr>
              <w:keepNext w:val="0"/>
              <w:keepLines w:val="0"/>
              <w:suppressLineNumbers w:val="0"/>
              <w:spacing w:before="0" w:beforeAutospacing="0" w:after="0" w:afterAutospacing="0" w:line="320" w:lineRule="exact"/>
              <w:ind w:left="0" w:right="0"/>
              <w:jc w:val="left"/>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175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7D4EA2C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222B604D">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58C12D70">
            <w:pPr>
              <w:keepNext w:val="0"/>
              <w:keepLines w:val="0"/>
              <w:suppressLineNumbers w:val="0"/>
              <w:spacing w:before="0" w:beforeAutospacing="0" w:after="0" w:afterAutospacing="0" w:line="320" w:lineRule="exact"/>
              <w:ind w:left="0" w:right="0"/>
              <w:jc w:val="left"/>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（3）诚信投标承诺书</w:t>
            </w:r>
          </w:p>
        </w:tc>
        <w:tc>
          <w:tcPr>
            <w:tcW w:w="3929" w:type="dxa"/>
            <w:noWrap w:val="0"/>
            <w:vAlign w:val="center"/>
          </w:tcPr>
          <w:p w14:paraId="75423EB2">
            <w:pPr>
              <w:keepNext w:val="0"/>
              <w:keepLines w:val="0"/>
              <w:suppressLineNumbers w:val="0"/>
              <w:spacing w:before="0" w:beforeAutospacing="0" w:after="0" w:afterAutospacing="0" w:line="360" w:lineRule="exact"/>
              <w:ind w:left="0" w:right="0"/>
              <w:jc w:val="left"/>
              <w:rPr>
                <w:rFonts w:hint="eastAsia" w:ascii="宋体"/>
                <w:b/>
                <w:color w:val="000000"/>
                <w:szCs w:val="21"/>
                <w:highlight w:val="none"/>
              </w:rPr>
            </w:pPr>
            <w:r>
              <w:rPr>
                <w:rFonts w:hint="eastAsia"/>
                <w:color w:val="000000"/>
                <w:highlight w:val="none"/>
              </w:rPr>
              <w:t>格式见附件，检验电子标书</w:t>
            </w:r>
          </w:p>
        </w:tc>
      </w:tr>
      <w:tr w14:paraId="710F3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619BDE92">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BF990DE">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008" w:type="dxa"/>
            <w:noWrap w:val="0"/>
            <w:vAlign w:val="center"/>
          </w:tcPr>
          <w:p w14:paraId="7063ABCB">
            <w:pPr>
              <w:keepNext w:val="0"/>
              <w:keepLines w:val="0"/>
              <w:suppressLineNumbers w:val="0"/>
              <w:spacing w:before="0" w:beforeAutospacing="0" w:after="0" w:afterAutospacing="0" w:line="320" w:lineRule="exact"/>
              <w:ind w:left="0" w:right="0"/>
              <w:jc w:val="left"/>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929" w:type="dxa"/>
            <w:noWrap w:val="0"/>
            <w:vAlign w:val="center"/>
          </w:tcPr>
          <w:p w14:paraId="63E978CD">
            <w:pPr>
              <w:keepNext w:val="0"/>
              <w:keepLines w:val="0"/>
              <w:suppressLineNumbers w:val="0"/>
              <w:spacing w:before="0" w:beforeAutospacing="0" w:after="0" w:afterAutospacing="0" w:line="360" w:lineRule="exact"/>
              <w:ind w:left="0" w:right="0"/>
              <w:jc w:val="left"/>
              <w:rPr>
                <w:rFonts w:hint="eastAsia" w:ascii="宋体"/>
                <w:color w:val="000000"/>
                <w:szCs w:val="21"/>
                <w:highlight w:val="none"/>
              </w:rPr>
            </w:pPr>
            <w:r>
              <w:rPr>
                <w:rFonts w:hint="eastAsia"/>
                <w:color w:val="000000"/>
                <w:highlight w:val="none"/>
              </w:rPr>
              <w:t>格式见附件，检验电子标书</w:t>
            </w:r>
          </w:p>
        </w:tc>
      </w:tr>
    </w:tbl>
    <w:p w14:paraId="415B144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rPr>
      </w:pPr>
      <w:bookmarkStart w:id="43" w:name="_Toc506107320"/>
      <w:bookmarkStart w:id="44" w:name="_Toc95223395"/>
      <w:bookmarkStart w:id="45" w:name="_Toc15058909"/>
      <w:bookmarkStart w:id="46" w:name="_Toc60061492"/>
      <w:r>
        <w:rPr>
          <w:rFonts w:hint="eastAsia" w:ascii="Times New Roman" w:hAnsi="Times New Roman" w:eastAsia="宋体" w:cs="Times New Roman"/>
          <w:color w:val="000000"/>
          <w:highlight w:val="none"/>
        </w:rPr>
        <w:t>重要提示：</w:t>
      </w:r>
    </w:p>
    <w:p w14:paraId="6E3ED633">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1）</w:t>
      </w:r>
      <w:r>
        <w:rPr>
          <w:rFonts w:hint="eastAsia" w:ascii="Times New Roman" w:hAnsi="Times New Roman" w:eastAsia="宋体" w:cs="Times New Roman"/>
          <w:color w:val="000000"/>
          <w:highlight w:val="none"/>
        </w:rPr>
        <w:t>评标专家在检验投标文件过程中，如果由于投标人自身原因导致评标专家无法查看并检验投标文件中相关资料的，视为无效标处理。即使投标人将原件携带至现场的，同样按无效标处理</w:t>
      </w:r>
      <w:r>
        <w:rPr>
          <w:rFonts w:hint="eastAsia" w:ascii="Times New Roman" w:hAnsi="Times New Roman" w:eastAsia="宋体" w:cs="Times New Roman"/>
          <w:color w:val="000000"/>
          <w:highlight w:val="none"/>
          <w:lang w:eastAsia="zh-CN"/>
        </w:rPr>
        <w:t>。</w:t>
      </w:r>
    </w:p>
    <w:p w14:paraId="17802126">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3"/>
      <w:bookmarkEnd w:id="44"/>
      <w:bookmarkEnd w:id="45"/>
      <w:bookmarkEnd w:id="46"/>
    </w:p>
    <w:p w14:paraId="77A0F09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47" w:name="_Toc324404868"/>
      <w:bookmarkStart w:id="48" w:name="_Toc15058910"/>
      <w:bookmarkStart w:id="49" w:name="_Toc506107321"/>
      <w:bookmarkStart w:id="50" w:name="_Toc60061493"/>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AACF25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1" w:name="_Toc95223396"/>
      <w:r>
        <w:rPr>
          <w:rFonts w:hint="eastAsia" w:ascii="Times New Roman" w:hAnsi="Times New Roman" w:eastAsia="宋体" w:cs="Times New Roman"/>
          <w:color w:val="000000"/>
          <w:highlight w:val="none"/>
        </w:rPr>
        <w:t>3.资格审查委员会和审查标准</w:t>
      </w:r>
      <w:bookmarkEnd w:id="47"/>
      <w:bookmarkEnd w:id="48"/>
      <w:bookmarkEnd w:id="49"/>
      <w:bookmarkEnd w:id="50"/>
      <w:bookmarkEnd w:id="51"/>
    </w:p>
    <w:p w14:paraId="7D0D4B12">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0346726D">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E25EDD4">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（1）未</w:t>
      </w:r>
      <w:r>
        <w:rPr>
          <w:rFonts w:hint="eastAsia" w:ascii="Times New Roman" w:hAnsi="Times New Roman" w:eastAsia="宋体" w:cs="Times New Roman"/>
          <w:color w:val="000000"/>
          <w:highlight w:val="none"/>
          <w:lang w:val="en-US" w:eastAsia="zh-CN"/>
        </w:rPr>
        <w:t>发送</w:t>
      </w:r>
      <w:r>
        <w:rPr>
          <w:rFonts w:hint="eastAsia" w:ascii="Times New Roman" w:hAnsi="Times New Roman" w:eastAsia="宋体" w:cs="Times New Roman"/>
          <w:color w:val="000000"/>
          <w:highlight w:val="none"/>
        </w:rPr>
        <w:t>标书或电子标书经审查不合格；</w:t>
      </w:r>
    </w:p>
    <w:p w14:paraId="16E65FD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w:t>
      </w:r>
      <w:r>
        <w:rPr>
          <w:rFonts w:hint="eastAsia" w:ascii="Times New Roman" w:hAnsi="Times New Roman" w:eastAsia="宋体" w:cs="Times New Roman"/>
          <w:color w:val="000000"/>
          <w:highlight w:val="none"/>
          <w:lang w:val="en-US" w:eastAsia="zh-CN"/>
        </w:rPr>
        <w:t>无法打开。</w:t>
      </w:r>
    </w:p>
    <w:p w14:paraId="1FC23E81">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bookmarkStart w:id="52" w:name="_Toc506107322"/>
      <w:bookmarkStart w:id="53" w:name="_Toc60061494"/>
      <w:bookmarkStart w:id="54" w:name="_Toc15058911"/>
      <w:bookmarkStart w:id="55" w:name="_Toc324404869"/>
      <w:bookmarkStart w:id="56" w:name="_Toc95223397"/>
      <w:r>
        <w:rPr>
          <w:rFonts w:hint="eastAsia" w:ascii="Times New Roman" w:hAnsi="Times New Roman" w:eastAsia="宋体" w:cs="Times New Roman"/>
          <w:color w:val="000000"/>
          <w:highlight w:val="none"/>
        </w:rPr>
        <w:t>4.审查结果</w:t>
      </w:r>
      <w:bookmarkEnd w:id="52"/>
      <w:bookmarkEnd w:id="53"/>
      <w:bookmarkEnd w:id="54"/>
      <w:bookmarkEnd w:id="55"/>
      <w:bookmarkEnd w:id="56"/>
    </w:p>
    <w:p w14:paraId="243344E3">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0E854C51">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719145FC">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80B5C20">
      <w:pPr>
        <w:pStyle w:val="6"/>
        <w:numPr>
          <w:ilvl w:val="0"/>
          <w:numId w:val="0"/>
        </w:numPr>
        <w:jc w:val="left"/>
        <w:rPr>
          <w:rFonts w:hint="default" w:eastAsia="宋体"/>
          <w:highlight w:val="none"/>
          <w:lang w:val="en-US" w:eastAsia="zh-CN"/>
        </w:rPr>
      </w:pPr>
      <w:bookmarkStart w:id="57" w:name="_Toc23254"/>
      <w:bookmarkEnd w:id="57"/>
      <w:r>
        <w:rPr>
          <w:rFonts w:hint="eastAsia"/>
          <w:highlight w:val="none"/>
          <w:lang w:val="en-US" w:eastAsia="zh-CN"/>
        </w:rPr>
        <w:t>报价评审：</w:t>
      </w:r>
    </w:p>
    <w:tbl>
      <w:tblPr>
        <w:tblStyle w:val="23"/>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0F50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0" w:hRule="atLeast"/>
        </w:trPr>
        <w:tc>
          <w:tcPr>
            <w:tcW w:w="731" w:type="dxa"/>
            <w:noWrap w:val="0"/>
            <w:vAlign w:val="center"/>
          </w:tcPr>
          <w:p w14:paraId="65EBEB6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58" w:name="_Toc267320058"/>
            <w:bookmarkStart w:id="59" w:name="_Toc58430318"/>
            <w:bookmarkStart w:id="60" w:name="_Toc449028878"/>
            <w:bookmarkStart w:id="61" w:name="_Toc363135205"/>
            <w:bookmarkStart w:id="62" w:name="_Toc362983802"/>
            <w:r>
              <w:rPr>
                <w:rFonts w:hint="eastAsia" w:ascii="黑体" w:eastAsia="黑体" w:cs="黑体"/>
                <w:b/>
                <w:bCs/>
                <w:color w:val="000000"/>
                <w:szCs w:val="21"/>
                <w:highlight w:val="none"/>
              </w:rPr>
              <w:t>序号</w:t>
            </w:r>
          </w:p>
        </w:tc>
        <w:tc>
          <w:tcPr>
            <w:tcW w:w="4135" w:type="dxa"/>
            <w:gridSpan w:val="2"/>
            <w:noWrap w:val="0"/>
            <w:vAlign w:val="center"/>
          </w:tcPr>
          <w:p w14:paraId="05C60607">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006823B2">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4D233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08F49C0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195C2974">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7E8DDCE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7E589D88">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12F01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5C4E6142">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2150379">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13BE1781">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233B2D47">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2F1CD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4096C4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7B56C4A4">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B6E3BBA">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2E55EAD9">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2129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43B19BAC">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2F6C308B">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D61CD2D">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389AC5F7">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09B5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72FD1F7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79010F83">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7D7CF90D">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工</w:t>
            </w:r>
            <w:r>
              <w:rPr>
                <w:rFonts w:hint="eastAsia" w:ascii="宋体" w:hAnsi="宋体" w:cs="宋体"/>
                <w:color w:val="000000"/>
                <w:szCs w:val="21"/>
                <w:highlight w:val="none"/>
              </w:rPr>
              <w:t>期</w:t>
            </w:r>
          </w:p>
        </w:tc>
        <w:tc>
          <w:tcPr>
            <w:tcW w:w="4173" w:type="dxa"/>
            <w:noWrap w:val="0"/>
            <w:vAlign w:val="center"/>
          </w:tcPr>
          <w:p w14:paraId="121FBD3C">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D86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53CDD4A7">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6F5F6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E846037">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2377BB2F">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7C68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38B16003">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40519968">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24465EF8">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w:t>
            </w:r>
            <w:r>
              <w:rPr>
                <w:rFonts w:hint="eastAsia" w:ascii="宋体" w:hAnsi="宋体" w:cs="宋体"/>
                <w:color w:val="000000"/>
                <w:szCs w:val="21"/>
                <w:highlight w:val="none"/>
              </w:rPr>
              <w:t>价评审</w:t>
            </w:r>
          </w:p>
        </w:tc>
        <w:tc>
          <w:tcPr>
            <w:tcW w:w="4173" w:type="dxa"/>
            <w:noWrap w:val="0"/>
            <w:vAlign w:val="center"/>
          </w:tcPr>
          <w:p w14:paraId="72B7C3D4">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170B1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AED6217">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CB4DFA2">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3D4314D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2FDB4EA5">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21D182A">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56C96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6727D85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3C5EBBF">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150A99D">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商务条款响应程度（包括供货期、售后服务、技术培训等）</w:t>
            </w:r>
          </w:p>
        </w:tc>
        <w:tc>
          <w:tcPr>
            <w:tcW w:w="4173" w:type="dxa"/>
            <w:noWrap w:val="0"/>
            <w:vAlign w:val="center"/>
          </w:tcPr>
          <w:p w14:paraId="44800BB4">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bookmarkEnd w:id="58"/>
      <w:bookmarkEnd w:id="59"/>
      <w:bookmarkEnd w:id="60"/>
      <w:bookmarkEnd w:id="61"/>
      <w:bookmarkEnd w:id="62"/>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3"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3"/>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4" w:name="_Toc60061499"/>
      <w:bookmarkStart w:id="65" w:name="_Toc15058916"/>
      <w:r>
        <w:rPr>
          <w:rFonts w:hint="eastAsia" w:ascii="宋体" w:hAnsi="宋体" w:eastAsia="宋体" w:cs="宋体"/>
          <w:color w:val="000000"/>
          <w:highlight w:val="none"/>
        </w:rPr>
        <w:t>托的代理机构编</w:t>
      </w:r>
      <w:bookmarkEnd w:id="64"/>
      <w:bookmarkEnd w:id="65"/>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6" w:name="_Toc15058917"/>
      <w:bookmarkStart w:id="67"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6"/>
      <w:bookmarkEnd w:id="67"/>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68" w:name="_Toc60061501"/>
      <w:bookmarkStart w:id="69"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68"/>
      <w:bookmarkEnd w:id="69"/>
      <w:r>
        <w:rPr>
          <w:rFonts w:hint="eastAsia" w:ascii="宋体" w:hAnsi="宋体" w:cs="宋体"/>
          <w:color w:val="000000"/>
          <w:szCs w:val="21"/>
          <w:highlight w:val="none"/>
        </w:rPr>
        <w:t>后，推荐中标候选人，并标明排序。</w:t>
      </w:r>
    </w:p>
    <w:p w14:paraId="7143A2D1">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0" w:name="_Toc95223405"/>
      <w:r>
        <w:rPr>
          <w:rFonts w:hint="eastAsia" w:ascii="宋体" w:hAnsi="Times New Roman" w:eastAsia="宋体" w:cs="Times New Roman"/>
          <w:b/>
          <w:color w:val="000000"/>
          <w:szCs w:val="21"/>
          <w:highlight w:val="none"/>
          <w:lang w:val="en-US" w:eastAsia="zh-CN"/>
        </w:rPr>
        <w:t>评审内容</w:t>
      </w:r>
      <w:bookmarkEnd w:id="70"/>
    </w:p>
    <w:p w14:paraId="260B4007">
      <w:pPr>
        <w:spacing w:line="440" w:lineRule="exact"/>
        <w:ind w:firstLine="315" w:firstLineChars="150"/>
        <w:jc w:val="left"/>
        <w:rPr>
          <w:rFonts w:hint="eastAsia" w:ascii="宋体" w:hAnsi="宋体" w:eastAsia="宋体" w:cs="宋体"/>
          <w:color w:val="000000"/>
          <w:szCs w:val="21"/>
          <w:highlight w:val="none"/>
        </w:rPr>
      </w:pPr>
      <w:bookmarkStart w:id="71"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1"/>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2" w:name="_Toc15058921"/>
      <w:bookmarkStart w:id="73" w:name="_Toc60061504"/>
      <w:r>
        <w:rPr>
          <w:rFonts w:hint="eastAsia" w:ascii="宋体" w:hAnsi="宋体" w:eastAsia="宋体" w:cs="宋体"/>
          <w:color w:val="000000"/>
          <w:szCs w:val="21"/>
          <w:highlight w:val="none"/>
        </w:rPr>
        <w:t>形式性评审标准：</w:t>
      </w:r>
      <w:bookmarkEnd w:id="72"/>
      <w:bookmarkEnd w:id="73"/>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E7F582F">
      <w:pPr>
        <w:numPr>
          <w:ilvl w:val="0"/>
          <w:numId w:val="3"/>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4"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74"/>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5" w:name="_Toc95223439"/>
      <w:r>
        <w:rPr>
          <w:rFonts w:hint="eastAsia" w:ascii="宋体" w:hAnsi="Times New Roman" w:eastAsia="宋体" w:cs="Times New Roman"/>
          <w:b/>
          <w:color w:val="000000"/>
          <w:szCs w:val="21"/>
          <w:highlight w:val="none"/>
          <w:lang w:val="en-US" w:eastAsia="zh-CN"/>
        </w:rPr>
        <w:t>6.投标文件的澄清和补正</w:t>
      </w:r>
      <w:bookmarkEnd w:id="75"/>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6" w:name="_Toc95223441"/>
      <w:r>
        <w:rPr>
          <w:rFonts w:hint="eastAsia" w:ascii="宋体" w:hAnsi="Times New Roman" w:eastAsia="宋体" w:cs="Times New Roman"/>
          <w:b/>
          <w:color w:val="000000"/>
          <w:szCs w:val="21"/>
          <w:highlight w:val="none"/>
          <w:lang w:val="en-US" w:eastAsia="zh-CN"/>
        </w:rPr>
        <w:t>7.评审结果</w:t>
      </w:r>
      <w:bookmarkEnd w:id="76"/>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42"/>
      <w:r>
        <w:rPr>
          <w:rFonts w:hint="eastAsia" w:ascii="宋体" w:hAnsi="Times New Roman" w:eastAsia="宋体" w:cs="Times New Roman"/>
          <w:b/>
          <w:color w:val="000000"/>
          <w:szCs w:val="21"/>
          <w:highlight w:val="none"/>
          <w:lang w:val="en-US" w:eastAsia="zh-CN"/>
        </w:rPr>
        <w:t>8.其他</w:t>
      </w:r>
      <w:bookmarkEnd w:id="77"/>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6F860D82">
      <w:pPr>
        <w:keepNext w:val="0"/>
        <w:keepLines w:val="0"/>
        <w:pageBreakBefore w:val="0"/>
        <w:widowControl w:val="0"/>
        <w:numPr>
          <w:ilvl w:val="0"/>
          <w:numId w:val="4"/>
        </w:numPr>
        <w:kinsoku/>
        <w:wordWrap/>
        <w:overflowPunct/>
        <w:topLinePunct w:val="0"/>
        <w:autoSpaceDE/>
        <w:autoSpaceDN/>
        <w:bidi w:val="0"/>
        <w:adjustRightInd/>
        <w:snapToGrid w:val="0"/>
        <w:spacing w:before="156" w:beforeLines="50" w:after="156" w:afterLines="50" w:line="520" w:lineRule="exact"/>
        <w:jc w:val="center"/>
        <w:textAlignment w:val="auto"/>
        <w:outlineLvl w:val="0"/>
        <w:rPr>
          <w:rFonts w:hint="eastAsia" w:ascii="宋体" w:cs="宋体"/>
          <w:b/>
          <w:bCs/>
          <w:color w:val="auto"/>
          <w:sz w:val="28"/>
          <w:szCs w:val="28"/>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 xml:space="preserve"> </w:t>
      </w:r>
      <w:r>
        <w:rPr>
          <w:rFonts w:hint="eastAsia" w:ascii="宋体" w:cs="宋体"/>
          <w:b/>
          <w:bCs/>
          <w:color w:val="auto"/>
          <w:sz w:val="28"/>
          <w:szCs w:val="28"/>
          <w:highlight w:val="none"/>
          <w:lang w:eastAsia="zh-CN"/>
        </w:rPr>
        <w:t>用户需求书</w:t>
      </w:r>
    </w:p>
    <w:p w14:paraId="6F5B65F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一、工程</w:t>
      </w:r>
      <w:r>
        <w:rPr>
          <w:rFonts w:hint="eastAsia" w:ascii="宋体" w:hAnsi="宋体" w:eastAsia="宋体" w:cs="宋体"/>
          <w:b/>
          <w:sz w:val="21"/>
          <w:szCs w:val="21"/>
          <w:highlight w:val="none"/>
        </w:rPr>
        <w:t>概况</w:t>
      </w:r>
    </w:p>
    <w:p w14:paraId="307EF8B3">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1.1滁宁城际铁路（滁州段）汊河站、汊河新城站需位于消防泵房内加装变频恒压成套给水设备，以稳定车站内供水管道压力，满足车站生产及生活供水需求。</w:t>
      </w:r>
    </w:p>
    <w:p w14:paraId="2A03931F">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1.2滁宁城际铁路（滁州段）相官车辆段食堂饮用水引自集中地埋式生活水池，需位于食堂总进水管路处加装一套成套水过滤净化设备，以进一步改善食堂饮用水水质质量，满足食用饮水安全需求。</w:t>
      </w:r>
    </w:p>
    <w:p w14:paraId="141304DF">
      <w:pPr>
        <w:keepNext w:val="0"/>
        <w:keepLines w:val="0"/>
        <w:pageBreakBefore w:val="0"/>
        <w:widowControl/>
        <w:suppressLineNumbers w:val="0"/>
        <w:kinsoku/>
        <w:wordWrap/>
        <w:overflowPunct/>
        <w:topLinePunct w:val="0"/>
        <w:autoSpaceDE/>
        <w:autoSpaceDN/>
        <w:bidi w:val="0"/>
        <w:adjustRightInd/>
        <w:snapToGrid/>
        <w:spacing w:line="560" w:lineRule="exact"/>
        <w:ind w:firstLine="420" w:firstLineChars="200"/>
        <w:jc w:val="left"/>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1.3滁宁城际铁路（滁州段）控制中心负二层至一层卫生间原设计采用市政直供用水，常受管道压力波动影响，需位于地下一层停车库内，将该部分卫生间供水引入管更改到主楼2-5层的变频加压给水压力管道上，以稳定卫生间内供水管道压力，满足使用需求。</w:t>
      </w:r>
    </w:p>
    <w:p w14:paraId="4697EBD3">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default"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二、服务内容</w:t>
      </w:r>
    </w:p>
    <w:p w14:paraId="7681A9F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2.1汊河站、汊河新城站变频恒压成套给水设备</w:t>
      </w:r>
    </w:p>
    <w:p w14:paraId="5D58F0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2.1.1工程范围：</w:t>
      </w:r>
    </w:p>
    <w:p w14:paraId="0448BE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包括汊河站、汊河新城站的变频恒压成套给水设备及材料的采购、安装、调试。</w:t>
      </w:r>
    </w:p>
    <w:p w14:paraId="26AD1A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2.1.2加装变频给水设备的工作内容如下：</w:t>
      </w:r>
    </w:p>
    <w:p w14:paraId="5DC54A4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利用汊河站、汊河新城站的消防泵房内的安装空间（约2.0m×4.0m），各安装一套变频给水设备。</w:t>
      </w:r>
    </w:p>
    <w:p w14:paraId="4520A49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2.1.3增加变频给水设备的效果：</w:t>
      </w:r>
    </w:p>
    <w:p w14:paraId="75E4F4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可根据用水量的变化自动调节水泵的运行频率，确保供水压力稳定。</w:t>
      </w:r>
    </w:p>
    <w:p w14:paraId="7939B60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2.2相官车辆段食堂成套水过滤</w:t>
      </w:r>
      <w:r>
        <w:rPr>
          <w:rFonts w:hint="eastAsia" w:ascii="宋体" w:hAnsi="宋体" w:cs="宋体"/>
          <w:b/>
          <w:bCs/>
          <w:szCs w:val="21"/>
          <w:highlight w:val="none"/>
          <w:lang w:val="en-US" w:eastAsia="zh-CN"/>
        </w:rPr>
        <w:t>净化</w:t>
      </w:r>
      <w:r>
        <w:rPr>
          <w:rFonts w:hint="eastAsia" w:ascii="宋体" w:hAnsi="宋体" w:eastAsia="宋体" w:cs="宋体"/>
          <w:b/>
          <w:bCs/>
          <w:szCs w:val="21"/>
          <w:highlight w:val="none"/>
          <w:lang w:val="en-US" w:eastAsia="zh-CN"/>
        </w:rPr>
        <w:t>设备</w:t>
      </w:r>
    </w:p>
    <w:p w14:paraId="0E77332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2.2.1工程范围：</w:t>
      </w:r>
    </w:p>
    <w:p w14:paraId="5564F0B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包含相官车辆段食堂内成套水过滤</w:t>
      </w:r>
      <w:r>
        <w:rPr>
          <w:rFonts w:hint="eastAsia" w:ascii="宋体" w:hAnsi="宋体" w:cs="宋体"/>
          <w:kern w:val="0"/>
          <w:szCs w:val="21"/>
          <w:highlight w:val="none"/>
          <w:lang w:val="en-US" w:eastAsia="zh-CN"/>
        </w:rPr>
        <w:t>净化</w:t>
      </w:r>
      <w:r>
        <w:rPr>
          <w:rFonts w:hint="eastAsia" w:ascii="宋体" w:hAnsi="宋体" w:eastAsia="宋体" w:cs="宋体"/>
          <w:kern w:val="0"/>
          <w:szCs w:val="21"/>
          <w:highlight w:val="none"/>
          <w:lang w:val="en-US" w:eastAsia="zh-CN"/>
        </w:rPr>
        <w:t>设备的采购、安装、调试。</w:t>
      </w:r>
    </w:p>
    <w:p w14:paraId="2F69AAB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2.2.2加装净水器工作内容如下：</w:t>
      </w:r>
    </w:p>
    <w:p w14:paraId="53BD7C8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w:t>
      </w:r>
      <w:r>
        <w:rPr>
          <w:rFonts w:hint="eastAsia" w:ascii="宋体" w:hAnsi="宋体" w:cs="宋体"/>
          <w:kern w:val="0"/>
          <w:szCs w:val="21"/>
          <w:highlight w:val="none"/>
          <w:lang w:val="en-US" w:eastAsia="zh-CN"/>
        </w:rPr>
        <w:t>对</w:t>
      </w:r>
      <w:r>
        <w:rPr>
          <w:rFonts w:hint="eastAsia" w:ascii="宋体" w:hAnsi="宋体" w:eastAsia="宋体" w:cs="宋体"/>
          <w:kern w:val="0"/>
          <w:szCs w:val="21"/>
          <w:highlight w:val="none"/>
          <w:lang w:val="en-US" w:eastAsia="zh-CN"/>
        </w:rPr>
        <w:t>食堂区域对饮用水部分新增工业级净化过滤装置；</w:t>
      </w:r>
    </w:p>
    <w:p w14:paraId="77D43F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（2）对厨房区域给水管路、排水管路、阀门点位进行改造。</w:t>
      </w:r>
    </w:p>
    <w:p w14:paraId="7B86E6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2.2.3增加净水器的效果：</w:t>
      </w:r>
    </w:p>
    <w:p w14:paraId="64249E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（1）对相官车辆段食堂炉灶间及粗加工间区域的日常供水提供水质过滤、净化的功能；</w:t>
      </w:r>
    </w:p>
    <w:p w14:paraId="45CFCB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（2）对相官车辆段食堂炉灶间及粗加工间区域的日常供水增设检修旁通管路，用于日常检修或设备故障时的临时供水。</w:t>
      </w:r>
    </w:p>
    <w:p w14:paraId="62AF2A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2.3控制中心生活水管改造</w:t>
      </w:r>
    </w:p>
    <w:p w14:paraId="711045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2.3.1工程范围：</w:t>
      </w:r>
    </w:p>
    <w:p w14:paraId="21D890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包含控制中心地下一层水</w:t>
      </w:r>
      <w:r>
        <w:rPr>
          <w:rFonts w:hint="eastAsia" w:ascii="宋体" w:hAnsi="宋体" w:cs="宋体"/>
          <w:kern w:val="0"/>
          <w:szCs w:val="21"/>
          <w:highlight w:val="none"/>
          <w:lang w:val="en-US" w:eastAsia="zh-CN"/>
        </w:rPr>
        <w:t>路</w:t>
      </w:r>
      <w:r>
        <w:rPr>
          <w:rFonts w:hint="eastAsia" w:ascii="宋体" w:hAnsi="宋体" w:eastAsia="宋体" w:cs="宋体"/>
          <w:kern w:val="0"/>
          <w:szCs w:val="21"/>
          <w:highlight w:val="none"/>
          <w:lang w:val="en-US" w:eastAsia="zh-CN"/>
        </w:rPr>
        <w:t>改造材料的采购、安装、调试。</w:t>
      </w:r>
    </w:p>
    <w:p w14:paraId="6D75A4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2.3.2控制中心生活水管改造工作内容如下：</w:t>
      </w:r>
    </w:p>
    <w:p w14:paraId="46C3106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（1）自低区加压管道JL-A2</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DN80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增设支管及阀门、水表，接入原有JL-A12</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DN50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管路；</w:t>
      </w:r>
    </w:p>
    <w:p w14:paraId="5FF6148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（2）保留原有JL-A12(DN50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管路增设旁通闸阀。</w:t>
      </w:r>
    </w:p>
    <w:p w14:paraId="4CC5D34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2.3.3控制中心生活水管改造的效果：</w:t>
      </w:r>
    </w:p>
    <w:p w14:paraId="6C8DEF5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保留原有市政供水功能的条件下，增设加压供水方式。确保供水压力稳定。</w:t>
      </w:r>
    </w:p>
    <w:p w14:paraId="4AA217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2.4合同期限</w:t>
      </w:r>
    </w:p>
    <w:p w14:paraId="6CE83D8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自签订合同之日起30个日历天内按招标人管理制度完成开工报审；120个日历天内完成全部设备安装、调试及验收工作。</w:t>
      </w:r>
    </w:p>
    <w:p w14:paraId="0966FAE5">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三、标准技术规范</w:t>
      </w:r>
    </w:p>
    <w:p w14:paraId="091E937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3.1技术标准</w:t>
      </w:r>
    </w:p>
    <w:p w14:paraId="747A6B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本项工程的设计、制造、安装、测试以及使用的材料，均将遵守如下标准：</w:t>
      </w:r>
    </w:p>
    <w:p w14:paraId="3E2F20D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●《地铁设计规范》（GB50157-2013）</w:t>
      </w:r>
    </w:p>
    <w:p w14:paraId="2710C44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●《城市轨道交通工程项目建设标准》（建标104－2008）</w:t>
      </w:r>
    </w:p>
    <w:p w14:paraId="400B545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●《城市轨道交通技术规范》(GB50490-2009)</w:t>
      </w:r>
    </w:p>
    <w:p w14:paraId="11AC0A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●《建筑给水排水设计标准》（GB50015-2019）</w:t>
      </w:r>
    </w:p>
    <w:p w14:paraId="44F2A1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●《建筑设计防火规范》(GB50016-2018)</w:t>
      </w:r>
    </w:p>
    <w:p w14:paraId="5A209DE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●《建设工程施工现场消防安全技术规范》（GB50720-2011）</w:t>
      </w:r>
    </w:p>
    <w:p w14:paraId="447BBA9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●《地下铁道工程施工及验收规范》（GB50299-1999）(2003年版)</w:t>
      </w:r>
    </w:p>
    <w:p w14:paraId="77278B0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●《现场设备、工业管道焊接工程施工及验收规范》（GB50236-2011）</w:t>
      </w:r>
    </w:p>
    <w:p w14:paraId="1EA863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●《给水排水管道工程施工及验收规范》（GB50268-2008）</w:t>
      </w:r>
    </w:p>
    <w:p w14:paraId="09F65E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●《流体输送用不锈钢焊接标准》（GB/T12771—2008）</w:t>
      </w:r>
    </w:p>
    <w:p w14:paraId="09BB1A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●《建筑给水薄壁不锈钢管管道工程技术规程》（CECS277—2010）</w:t>
      </w:r>
    </w:p>
    <w:p w14:paraId="5D441D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●《生活饮用水卫生标准》GB5749-2022</w:t>
      </w:r>
    </w:p>
    <w:p w14:paraId="3147CE4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●《人机界面标志标识的基本和安全规则设备端子、导体终端和导体的标识》（GB/T4026-2025）</w:t>
      </w:r>
    </w:p>
    <w:p w14:paraId="5713C74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●《不锈钢冷轧钢板和钢带》（GB/T328-2015）</w:t>
      </w:r>
    </w:p>
    <w:p w14:paraId="68BD37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●《金属材料熔焊质量要求第3部分：一般质量要求》（GB/T12467.3-2009）</w:t>
      </w:r>
    </w:p>
    <w:p w14:paraId="28BA778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●《城镇机电紫外线消毒设备》（GB/T19837-2019）</w:t>
      </w:r>
    </w:p>
    <w:p w14:paraId="6BB11DF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●《建筑机电工程抗震设计规范》(GB50981）</w:t>
      </w:r>
    </w:p>
    <w:p w14:paraId="612470B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●《机械设备安装工程施工及验收通用规范》(GB50231)</w:t>
      </w:r>
    </w:p>
    <w:p w14:paraId="7C84765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●《生活饮用水卫生标准》（GB5749）</w:t>
      </w:r>
    </w:p>
    <w:p w14:paraId="077FA0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●《生活饮用水外置式膜过滤系统设计规范》GB/T39808-2021；</w:t>
      </w:r>
    </w:p>
    <w:p w14:paraId="79811EC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●《综合布线系统工程验收规范》GB/T50312-2016；</w:t>
      </w:r>
    </w:p>
    <w:p w14:paraId="304D56C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●《家用和类似用途饮用水处理滤芯》GB/T30306—2024；</w:t>
      </w:r>
    </w:p>
    <w:p w14:paraId="47A40E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●《生活饮用水水质处理器卫生安全与功能评价规范》——一般水质处理器；</w:t>
      </w:r>
    </w:p>
    <w:p w14:paraId="059FFE2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●质量安全体系应符合ISO9001标准；</w:t>
      </w:r>
    </w:p>
    <w:p w14:paraId="7166279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●环境管理体系应符合ISO14000标准；</w:t>
      </w:r>
    </w:p>
    <w:p w14:paraId="4CDA4C5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●《电气装置安装工程施工及验收规范》</w:t>
      </w:r>
    </w:p>
    <w:p w14:paraId="3F36C2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●国家最新有关标准；</w:t>
      </w:r>
    </w:p>
    <w:p w14:paraId="3174B5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●本要求中特别指定和制定的标准及技术要求</w:t>
      </w:r>
    </w:p>
    <w:p w14:paraId="10F008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公认的中华人民共和国行业标准（同项规定的，按标准内最高要求执行或按双方商定的标准执行）上述技术标准和规范如有不涉及之处或未能达到国际和国家最新标准时，投标人应使系统符合最新版本的国际和国家标准、规范，并提供所采用的国际和国家标准、规范以及所采用版本的有关技术资料。</w:t>
      </w:r>
    </w:p>
    <w:p w14:paraId="4C26D8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bookmarkStart w:id="78" w:name="_Toc440531487"/>
      <w:r>
        <w:rPr>
          <w:rFonts w:hint="eastAsia" w:ascii="宋体" w:hAnsi="宋体" w:eastAsia="宋体" w:cs="宋体"/>
          <w:b/>
          <w:bCs/>
          <w:color w:val="auto"/>
          <w:sz w:val="21"/>
          <w:szCs w:val="21"/>
          <w:highlight w:val="none"/>
          <w:lang w:val="en-US" w:eastAsia="zh-CN"/>
        </w:rPr>
        <w:t>3.2技术要求</w:t>
      </w:r>
      <w:bookmarkEnd w:id="78"/>
    </w:p>
    <w:p w14:paraId="177581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（一）汊河站、汊河新城站加装变频给水系统</w:t>
      </w:r>
    </w:p>
    <w:p w14:paraId="2145EB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3.2.1变频给水设备</w:t>
      </w:r>
    </w:p>
    <w:p w14:paraId="6C14030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3.2.1.1变频给水设备（以下简称整机）包括气压罐、水泵（含电机）、控制柜（含变频器、可编程控制器及其他元器件）、食品级组合式不锈钢水箱、紫外线消毒设备、压力传感器、蜂鸣器、混凝土基础等部分组成。整机为一体式结构，应高效节能、运行安全可靠、管理方便、供水压力稳定、流量连续可调。整机性能参数符合设计要求。整机配套使用的部件、材料均应选用国家标准（行业标准）的产品。</w:t>
      </w:r>
    </w:p>
    <w:p w14:paraId="11DFAF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3.2.1.2整机内部和构件表面应作防锈和防腐处理，处理方法和要求应符合国家及行业相关标准规定。</w:t>
      </w:r>
    </w:p>
    <w:p w14:paraId="162C94B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3.2.1.3整机表面应无明显的划伤、锈斑和压痕，表面整洁、美观光滑、喷涂层均匀，色调一致，无流痕、气泡和剥落。</w:t>
      </w:r>
    </w:p>
    <w:p w14:paraId="79225E0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3.2.2变频增压泵</w:t>
      </w:r>
    </w:p>
    <w:p w14:paraId="6C65CF3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3.2.2.1水泵参数：380V；流量≥20m³/h；扬程≥30m；功率≥3.0kW。</w:t>
      </w:r>
    </w:p>
    <w:p w14:paraId="3753BBD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3.2.2.2水泵的运转应平稳、自如、无卡阻现象。</w:t>
      </w:r>
    </w:p>
    <w:p w14:paraId="6CBEFED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3.2.2.3水泵的震动值、噪声级以及安全性能的要求应符合国家及行业相关标准规定。</w:t>
      </w:r>
    </w:p>
    <w:p w14:paraId="0419788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3.2.2.4名优产品，应能适应变频器的变频控制要求，且电机转子内应有热敏电阻传感器。电机防护等级IP54及以上，绝缘等级F级。轴承选用精密轴承，泵轴应采用不锈钢420级别以上，</w:t>
      </w:r>
      <w:bookmarkStart w:id="79" w:name="_Toc9074"/>
      <w:bookmarkStart w:id="80" w:name="_Toc6979"/>
      <w:bookmarkStart w:id="81" w:name="_Toc19586"/>
      <w:bookmarkStart w:id="82" w:name="_Toc28235"/>
      <w:bookmarkStart w:id="83" w:name="_Toc6423"/>
      <w:bookmarkStart w:id="84" w:name="_Toc10695"/>
      <w:bookmarkStart w:id="85" w:name="_Toc12889"/>
      <w:bookmarkStart w:id="86" w:name="_Toc12684"/>
      <w:bookmarkStart w:id="87" w:name="_Toc25474"/>
      <w:r>
        <w:rPr>
          <w:rFonts w:hint="eastAsia" w:ascii="宋体" w:hAnsi="宋体" w:eastAsia="宋体" w:cs="宋体"/>
          <w:kern w:val="0"/>
          <w:szCs w:val="21"/>
          <w:highlight w:val="none"/>
          <w:lang w:val="en-US" w:eastAsia="zh-CN"/>
        </w:rPr>
        <w:t>叶轮制造材料应不小于不锈钢304</w:t>
      </w:r>
      <w:r>
        <w:rPr>
          <w:rFonts w:hint="eastAsia" w:ascii="宋体" w:hAnsi="宋体" w:cs="宋体"/>
          <w:kern w:val="0"/>
          <w:szCs w:val="21"/>
          <w:highlight w:val="none"/>
          <w:lang w:val="en-US" w:eastAsia="zh-CN"/>
        </w:rPr>
        <w:t>。</w:t>
      </w:r>
      <w:bookmarkEnd w:id="79"/>
      <w:bookmarkEnd w:id="80"/>
      <w:bookmarkEnd w:id="81"/>
      <w:bookmarkEnd w:id="82"/>
      <w:bookmarkEnd w:id="83"/>
      <w:bookmarkEnd w:id="84"/>
      <w:bookmarkEnd w:id="85"/>
      <w:bookmarkEnd w:id="86"/>
      <w:bookmarkEnd w:id="87"/>
    </w:p>
    <w:p w14:paraId="2998BC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3.2.2.5密封采用机械密封。</w:t>
      </w:r>
    </w:p>
    <w:p w14:paraId="3DDA21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3.2.2.6水泵基座采用碳钢，并做好防锈、防腐处理。</w:t>
      </w:r>
    </w:p>
    <w:p w14:paraId="39ACD4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3.2.2.7现场安装空间环境约2.0m×4.0m，要求设备整体尺寸满足空间条件。</w:t>
      </w:r>
    </w:p>
    <w:p w14:paraId="6BBB12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3.2.2.8水泵应有旋转方向标志</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铭牌应平整光洁，文字、符号、线条应清晰，具体内容及要求应符合《GB/T13306-2011标牌》的规定。</w:t>
      </w:r>
    </w:p>
    <w:p w14:paraId="79EB18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3.2.2.9需配备设备名称标识标贴。</w:t>
      </w:r>
    </w:p>
    <w:p w14:paraId="0991A66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3.2.3控制柜</w:t>
      </w:r>
    </w:p>
    <w:p w14:paraId="53E498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3.2.3.1当一台泵出现故障时，其它水泵自动切换投入运行。每台水泵应由单独开关控制，且主开关和分开关应具有选择性闭锁。</w:t>
      </w:r>
    </w:p>
    <w:p w14:paraId="6A62B9C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3.2.3.2当变频器、PLC机出现故障时，控制柜应有保护措施，并应预留RS485通信接口。</w:t>
      </w:r>
    </w:p>
    <w:p w14:paraId="632608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3.2.3.3控制柜中所用的导线、指示灯和按钮的颜色应符合国家标准《人机界面标志标识的基本和安全规则，设备端子、导体终端和导体的标识》GB/T4026-2025的规定。</w:t>
      </w:r>
    </w:p>
    <w:p w14:paraId="58298C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3.2.3.4控制柜应保证水泵可根据水泵工作次数、工作时间依次自动轮换运行，先启先停。当水泵出现过热、过载、过流、短路、缺相、过压等情况时，控制柜应有保护措施。当出现瞬时断电时控制柜的记忆贮存不能丢失，如何实施请</w:t>
      </w:r>
      <w:r>
        <w:rPr>
          <w:rFonts w:hint="eastAsia" w:ascii="宋体" w:hAnsi="宋体" w:cs="宋体"/>
          <w:kern w:val="0"/>
          <w:szCs w:val="21"/>
          <w:highlight w:val="none"/>
          <w:lang w:val="en-US" w:eastAsia="zh-CN"/>
        </w:rPr>
        <w:t>中标人做好解释</w:t>
      </w:r>
      <w:r>
        <w:rPr>
          <w:rFonts w:hint="eastAsia" w:ascii="宋体" w:hAnsi="宋体" w:eastAsia="宋体" w:cs="宋体"/>
          <w:kern w:val="0"/>
          <w:szCs w:val="21"/>
          <w:highlight w:val="none"/>
          <w:lang w:val="en-US" w:eastAsia="zh-CN"/>
        </w:rPr>
        <w:t>说明。</w:t>
      </w:r>
    </w:p>
    <w:p w14:paraId="6D64F3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3.2.3.5控制柜应能防尘、防潮，防护等级为IP54。控制柜材质为冷轧钢板，钢板表面除锈处理后采用静电喷涂。</w:t>
      </w:r>
    </w:p>
    <w:p w14:paraId="11DA47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3.2.3.6控制柜应有电源指示灯及开关、每台水泵工况（启、停、故障）指示灯及开关、水位指示灯、手/自动状态指示灯及切换开关，且有功能标志。</w:t>
      </w:r>
    </w:p>
    <w:p w14:paraId="549EF7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3.2.3.7变频控制柜变频器和可编程控制器采用优质品牌产品，同时配以优质低压电器。</w:t>
      </w:r>
    </w:p>
    <w:p w14:paraId="7CFD94F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3.2.3.8主要开关、交流接触器、热继电器选用优质品牌产品</w:t>
      </w:r>
      <w:r>
        <w:rPr>
          <w:rFonts w:hint="eastAsia" w:ascii="宋体" w:hAnsi="宋体" w:cs="宋体"/>
          <w:kern w:val="0"/>
          <w:szCs w:val="21"/>
          <w:highlight w:val="none"/>
          <w:lang w:val="en-US" w:eastAsia="zh-CN"/>
        </w:rPr>
        <w:t>。</w:t>
      </w:r>
    </w:p>
    <w:p w14:paraId="19FC08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3.2.3.9</w:t>
      </w:r>
      <w:r>
        <w:rPr>
          <w:rFonts w:hint="eastAsia" w:ascii="宋体" w:hAnsi="宋体" w:cs="宋体"/>
          <w:kern w:val="0"/>
          <w:szCs w:val="21"/>
          <w:highlight w:val="none"/>
          <w:lang w:val="en-US" w:eastAsia="zh-CN"/>
        </w:rPr>
        <w:t>中标人</w:t>
      </w:r>
      <w:r>
        <w:rPr>
          <w:rFonts w:hint="eastAsia" w:ascii="宋体" w:hAnsi="宋体" w:eastAsia="宋体" w:cs="宋体"/>
          <w:kern w:val="0"/>
          <w:szCs w:val="21"/>
          <w:highlight w:val="none"/>
          <w:lang w:val="en-US" w:eastAsia="zh-CN"/>
        </w:rPr>
        <w:t>应提供控制柜控制原理图、端子排图。</w:t>
      </w:r>
    </w:p>
    <w:p w14:paraId="749357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3.2.3.10配水位控制器，满足无水停泵需求。</w:t>
      </w:r>
    </w:p>
    <w:p w14:paraId="6D117DA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3.2.3.11需配备设备名称标识标贴。</w:t>
      </w:r>
    </w:p>
    <w:p w14:paraId="377B780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3.2.4电缆</w:t>
      </w:r>
    </w:p>
    <w:p w14:paraId="6E6F2AF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3.2.4.1新增变频供水设备控制柜采用下进电下出电的接电方式，由AP-XF-1回路接引380V电源，控制电缆接入RI/O-6控制箱（汊河新城站）、RI/O-5控制箱（汊河站），并预留超高、超低水位故障报警、手/自动位、通信状态等报警点位，接入蜂鸣器。</w:t>
      </w:r>
    </w:p>
    <w:p w14:paraId="4CBE39F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3.2.4.2所有供电及控制电缆应为防水、阻燃、低烟、无卤电缆。</w:t>
      </w:r>
    </w:p>
    <w:p w14:paraId="49F1A7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3.2.4.3控制柜与水泵间的控制电缆采用屏蔽电缆。控制电缆的最小截面应≥2.5mm²，控制柜内的导线最小截面≥2.5mm²。</w:t>
      </w:r>
    </w:p>
    <w:p w14:paraId="310535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3.2.4.4控制电缆选用≥10</w:t>
      </w:r>
      <w:r>
        <w:rPr>
          <w:rFonts w:hint="eastAsia" w:ascii="宋体" w:hAnsi="宋体" w:cs="宋体"/>
          <w:kern w:val="0"/>
          <w:szCs w:val="21"/>
          <w:highlight w:val="none"/>
          <w:lang w:val="en-US" w:eastAsia="zh-CN"/>
        </w:rPr>
        <w:t>×</w:t>
      </w:r>
      <w:r>
        <w:rPr>
          <w:rFonts w:hint="eastAsia" w:ascii="宋体" w:hAnsi="宋体" w:eastAsia="宋体" w:cs="宋体"/>
          <w:kern w:val="0"/>
          <w:szCs w:val="21"/>
          <w:highlight w:val="none"/>
          <w:lang w:val="en-US" w:eastAsia="zh-CN"/>
        </w:rPr>
        <w:t>1.5mm²专用电缆。</w:t>
      </w:r>
    </w:p>
    <w:p w14:paraId="44F459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3.2.5气压罐</w:t>
      </w:r>
    </w:p>
    <w:p w14:paraId="50B7B0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3.2.5.1气压罐应为气囊式，隔膜的材质应卫生、无毒，能用于生活饮用水系统。</w:t>
      </w:r>
    </w:p>
    <w:p w14:paraId="634FEE9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3.2.5.2应提供气压罐的</w:t>
      </w:r>
      <w:r>
        <w:rPr>
          <w:rFonts w:hint="eastAsia" w:ascii="宋体" w:hAnsi="宋体" w:cs="宋体"/>
          <w:kern w:val="0"/>
          <w:szCs w:val="21"/>
          <w:highlight w:val="none"/>
          <w:lang w:val="en-US" w:eastAsia="zh-CN"/>
        </w:rPr>
        <w:t>产品合格</w:t>
      </w:r>
      <w:r>
        <w:rPr>
          <w:rFonts w:hint="eastAsia" w:ascii="宋体" w:hAnsi="宋体" w:eastAsia="宋体" w:cs="宋体"/>
          <w:kern w:val="0"/>
          <w:szCs w:val="21"/>
          <w:highlight w:val="none"/>
          <w:lang w:val="en-US" w:eastAsia="zh-CN"/>
        </w:rPr>
        <w:t>证。</w:t>
      </w:r>
    </w:p>
    <w:p w14:paraId="4EB93A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3.2.5.3气压罐内外壁应</w:t>
      </w:r>
      <w:r>
        <w:rPr>
          <w:rFonts w:hint="eastAsia" w:ascii="宋体" w:hAnsi="宋体" w:cs="宋体"/>
          <w:kern w:val="0"/>
          <w:szCs w:val="21"/>
          <w:highlight w:val="none"/>
          <w:lang w:val="en-US" w:eastAsia="zh-CN"/>
        </w:rPr>
        <w:t>做</w:t>
      </w:r>
      <w:r>
        <w:rPr>
          <w:rFonts w:hint="eastAsia" w:ascii="宋体" w:hAnsi="宋体" w:eastAsia="宋体" w:cs="宋体"/>
          <w:kern w:val="0"/>
          <w:szCs w:val="21"/>
          <w:highlight w:val="none"/>
          <w:lang w:val="en-US" w:eastAsia="zh-CN"/>
        </w:rPr>
        <w:t>防腐处理。气压罐罐体材料为A3钢板焊接结构，应有足够的强度和刚度。气压罐的制作及进出口法兰应符合GB150-2011、GB/T17481-2008、GB/T9113-2010等国家及行业相关标准规定。气压罐的顶部应有显示罐内气压压力的显示仪表。</w:t>
      </w:r>
    </w:p>
    <w:p w14:paraId="67905FD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3.2.5.4需配备设备名称标识标贴。</w:t>
      </w:r>
    </w:p>
    <w:p w14:paraId="7E133D9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3.2.6管道附件</w:t>
      </w:r>
    </w:p>
    <w:p w14:paraId="2A75BCE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阀门、管件均采用不锈钢材质，主水管及阀门连接口径为DN100，设备于生活水入户支管处增加两处三通；并于两处三通之间增设维修旁路与旁通阀门；水泵进/出水管道应设检修闸阀；水泵出水管道应设止回阀；安装前均应进行检查，并清除管内、管口杂物。</w:t>
      </w:r>
    </w:p>
    <w:p w14:paraId="4FF6DFE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3.2.6.2不锈钢技术要求产品设计和制造应满足《流体输送用不锈钢焊接标准》（GB/T12771—2008）、《建筑给水薄壁不锈钢管管道工程技术规程》（CECS277—2010）等规范要求。</w:t>
      </w:r>
    </w:p>
    <w:p w14:paraId="78A8F47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3.2.6.3管材及管件应进行检查，检查外观和规格尺寸。</w:t>
      </w:r>
    </w:p>
    <w:p w14:paraId="241639B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3.2.6.4管材及管件应具备质量检测部门的质量合格证，并应有明显标志注明规格和商标。包装上应标有生产厂家的名称、批号、数量、生产日期和检验代号。给水用管材及管件应具备建材管理部门的认证文件。生活饮用水给水管材及管件还应具备卫生管理部门的认证文件。</w:t>
      </w:r>
    </w:p>
    <w:p w14:paraId="037984C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3.2.6.5连接方式：进/出水主管道采用卡压式连接。水泵组件管道可采用卡压或卡箍</w:t>
      </w:r>
      <w:r>
        <w:rPr>
          <w:rFonts w:hint="eastAsia" w:ascii="宋体" w:hAnsi="宋体" w:cs="宋体"/>
          <w:kern w:val="0"/>
          <w:szCs w:val="21"/>
          <w:highlight w:val="none"/>
          <w:lang w:val="en-US" w:eastAsia="zh-CN"/>
        </w:rPr>
        <w:t>连</w:t>
      </w:r>
      <w:r>
        <w:rPr>
          <w:rFonts w:hint="eastAsia" w:ascii="宋体" w:hAnsi="宋体" w:eastAsia="宋体" w:cs="宋体"/>
          <w:kern w:val="0"/>
          <w:szCs w:val="21"/>
          <w:highlight w:val="none"/>
          <w:lang w:val="en-US" w:eastAsia="zh-CN"/>
        </w:rPr>
        <w:t>接等方式。</w:t>
      </w:r>
    </w:p>
    <w:p w14:paraId="7C205C9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3.2.6.6不同管径的连接方式薄壁不锈钢管管道壁厚应不低于《建筑给水薄壁不锈钢管管道工程技术规程》（CECS277—2010）中的要求。</w:t>
      </w:r>
    </w:p>
    <w:p w14:paraId="6555281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3.2.6.7阀门安装前，应</w:t>
      </w:r>
      <w:r>
        <w:rPr>
          <w:rFonts w:hint="eastAsia" w:ascii="宋体" w:hAnsi="宋体" w:cs="宋体"/>
          <w:kern w:val="0"/>
          <w:szCs w:val="21"/>
          <w:highlight w:val="none"/>
          <w:lang w:val="en-US" w:eastAsia="zh-CN"/>
        </w:rPr>
        <w:t>做</w:t>
      </w:r>
      <w:r>
        <w:rPr>
          <w:rFonts w:hint="eastAsia" w:ascii="宋体" w:hAnsi="宋体" w:eastAsia="宋体" w:cs="宋体"/>
          <w:kern w:val="0"/>
          <w:szCs w:val="21"/>
          <w:highlight w:val="none"/>
          <w:lang w:val="en-US" w:eastAsia="zh-CN"/>
        </w:rPr>
        <w:t>耐压强度试验。对于安装在主干管上起切断作用的闭路阀门，应逐个做强度和严密性试验。强度和严密性试验压力应为阀门出厂规定的压力，同时应有试验记录备查。</w:t>
      </w:r>
    </w:p>
    <w:p w14:paraId="6D023E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3.2.6.8阀门安装位置、方向应符合现场要求，阀门、管件的连接应牢固、紧密，不得有渗漏现象。安装后，阀门与管道中心线应垂直，操作机构灵活、准确。</w:t>
      </w:r>
    </w:p>
    <w:p w14:paraId="06888A2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3.2.6.9阀门安装应保证其型号、规格符合设计要求，表面洁净，朝向正确，启闭灵活。</w:t>
      </w:r>
    </w:p>
    <w:p w14:paraId="35ACA34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3.2.6.10管件表面不得有裂纹、重皮和麻面。</w:t>
      </w:r>
    </w:p>
    <w:p w14:paraId="1560FB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3.2.6.11安装的阀门在工程最终验收前不得有漏水痕迹。</w:t>
      </w:r>
    </w:p>
    <w:p w14:paraId="0C1AE0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3.2.6.12阀门具有完备的试验及测试能力等。</w:t>
      </w:r>
    </w:p>
    <w:p w14:paraId="25F2FB3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3.2.6.13阀门上需配备常开、常闭、阀门名称的标识标贴，管件上需配备管道走向的标识标贴。</w:t>
      </w:r>
    </w:p>
    <w:p w14:paraId="07580E1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3.2.7食品级组合式不锈钢水箱</w:t>
      </w:r>
    </w:p>
    <w:p w14:paraId="544FE02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3.2.7.1参数：2m³（2.0m×1.0m×1.0m）</w:t>
      </w:r>
    </w:p>
    <w:p w14:paraId="4623EB9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3.2.7.2外观:水箱外表应整洁、光滑、不和有锋、毛刺及明显的碰撞缺陷，焊缝应平整并涂装饰性覆盖层。</w:t>
      </w:r>
    </w:p>
    <w:p w14:paraId="3CB8C1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3.2.7.3水箱主体结构及内部加固、支撑件必须为SUS304不锈钢材质符合《生活饮用水卫生规范》，其机械性能应符合《不锈钢冷轧钢板和钢带》GB/T328-2015的规定。</w:t>
      </w:r>
    </w:p>
    <w:p w14:paraId="4A6715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3.2.7.4焊接材料应与水池(箱)同材质，加固处及组板焊接处应符合《金属材料熔焊质量要求第3部分：一般质量要求》GB/T12467.3-2009的规定要求，水箱外顶部必须满焊以防灰尘及雨水渗入。焊缝应进行抗氧化处理，焊缝不允许存在裂纹气孔、缩孔、夹渣、未焊透、焊瘤和烧穿等缺陷不锈。水箱内的支撑角铁必须焊接牢靠，并且不得影响日常水池清洗消毒工作。</w:t>
      </w:r>
    </w:p>
    <w:p w14:paraId="7B769F0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3.2.7.5溢流管管径应大于进水管管径，溢流管、通气孔需设不锈钢过滤网。</w:t>
      </w:r>
    </w:p>
    <w:p w14:paraId="3698517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3.2.7.6水箱自身进出水管必须采用SUS304不锈钢的成品给水管制作，水箱每个出水管上加装阀门。</w:t>
      </w:r>
    </w:p>
    <w:p w14:paraId="2EE1C5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3.2.7.7以现场实际环境为标准于水箱内部安装浮球阀。</w:t>
      </w:r>
    </w:p>
    <w:p w14:paraId="1513D89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3.2.7.8水箱外安装液位计，便于观察水箱内部水位情况。</w:t>
      </w:r>
    </w:p>
    <w:p w14:paraId="7470B30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3.2.7.9需配备设备名称标识标贴。</w:t>
      </w:r>
    </w:p>
    <w:p w14:paraId="39CF846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3.2.8紫外线消毒设备</w:t>
      </w:r>
    </w:p>
    <w:p w14:paraId="6605C9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3.2.8.1设备安装应符合《城镇机电紫外线消毒设备》GB/T19837-2019的规定</w:t>
      </w:r>
      <w:r>
        <w:rPr>
          <w:rFonts w:hint="eastAsia" w:ascii="宋体" w:hAnsi="宋体" w:cs="宋体"/>
          <w:kern w:val="0"/>
          <w:szCs w:val="21"/>
          <w:highlight w:val="none"/>
          <w:lang w:val="en-US" w:eastAsia="zh-CN"/>
        </w:rPr>
        <w:t>。</w:t>
      </w:r>
    </w:p>
    <w:p w14:paraId="2449737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3.2.8.2紫外线消毒设备消毒后的水质应符合需要达到《生活饮用水卫生标准》GB5749-2022。</w:t>
      </w:r>
    </w:p>
    <w:p w14:paraId="25ECED1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default"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3.2.8.3设备安装于变频加压水泵出水口处，与整套变频设备形成一体化。要求设备具有独立通断电控制功能，设备进/出水管道增设检修闸阀。</w:t>
      </w:r>
    </w:p>
    <w:p w14:paraId="381C35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3.2.8.4需配备设备名称标识标贴。</w:t>
      </w:r>
    </w:p>
    <w:p w14:paraId="7E9DEE0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3.2.9混凝土基础</w:t>
      </w:r>
    </w:p>
    <w:p w14:paraId="7D0E4B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3.2.9.1水泵、控制柜、水箱、气压罐的混凝土基础尺寸需满足《建筑机电工程抗震设计规范》(GB50981)及《机械设备安装工程施工及验收通用规范》(GB50231)相关规定。</w:t>
      </w:r>
    </w:p>
    <w:p w14:paraId="2DE7577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3.2.9.2基础平面尺寸须超出底座边缘至少200mm，单级泵基础高度不低于400mm。基础顶面需预埋厚度&gt;20mm的钢制垫板，垫板外缘距基础边沿保持50mm间隙。</w:t>
      </w:r>
    </w:p>
    <w:p w14:paraId="109941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3.2.9.3基础配筋采用双层双向Φ12@150构造配筋，顶部300mm范围内加密至Ф14@100。混凝土强度等级不得低于C30，基础表面平整度偏差需控制在3mm/m以内，水平度误差不超过0.1%。</w:t>
      </w:r>
    </w:p>
    <w:p w14:paraId="4CF061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3.2.10蜂鸣器</w:t>
      </w:r>
    </w:p>
    <w:p w14:paraId="0023D13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3.2.10.1额定电压要求与控制柜内的控制电源电压匹配；额定电流要求PLC的输出点或继电器能够带动此负载。</w:t>
      </w:r>
    </w:p>
    <w:p w14:paraId="3D25FC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3.2.10.2驱动方式采用直流电压驱动。由故障继电器的常开触点控制一个中间继电器，再由继电器触点驱动蜂鸣器。</w:t>
      </w:r>
    </w:p>
    <w:p w14:paraId="57AA21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3.2.10.3声压要求≥85dB。</w:t>
      </w:r>
    </w:p>
    <w:p w14:paraId="4CB59A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3.2.10.4发声频率要求2700Hz~4000Hz之间的固定频率。</w:t>
      </w:r>
    </w:p>
    <w:p w14:paraId="5145A7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3.2.10.5采用面板安装式的安装方法，蜂鸣器主体安装在控制柜面板的开孔上，通过面板螺母或固定夹从背后紧固。</w:t>
      </w:r>
    </w:p>
    <w:p w14:paraId="6AD16A8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3.2.10.6蜂鸣器主体应能承受一定的机械振动。</w:t>
      </w:r>
    </w:p>
    <w:p w14:paraId="0930230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3.2.11液位计</w:t>
      </w:r>
    </w:p>
    <w:p w14:paraId="1DB681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采用管式液位计，安装与生活水箱外部，满足水位实时显示需要。</w:t>
      </w:r>
    </w:p>
    <w:p w14:paraId="29FE9C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3.2.12施工场地</w:t>
      </w:r>
    </w:p>
    <w:p w14:paraId="063AA1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（1）汊河新城站消防泵房</w:t>
      </w:r>
    </w:p>
    <w:p w14:paraId="374EF8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 w:val="21"/>
          <w:szCs w:val="21"/>
          <w:highlight w:val="none"/>
          <w:lang w:val="en-US" w:eastAsia="zh-CN"/>
        </w:rPr>
      </w:pPr>
    </w:p>
    <w:p w14:paraId="49EF821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drawing>
          <wp:inline distT="0" distB="0" distL="114300" distR="114300">
            <wp:extent cx="3506470" cy="6243955"/>
            <wp:effectExtent l="0" t="0" r="17780" b="4445"/>
            <wp:docPr id="10" name="图片 1" descr="1cea7ee2c8f82e9cbb27664928477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1cea7ee2c8f82e9cbb2766492847727c"/>
                    <pic:cNvPicPr>
                      <a:picLocks noChangeAspect="1"/>
                    </pic:cNvPicPr>
                  </pic:nvPicPr>
                  <pic:blipFill>
                    <a:blip r:embed="rId6"/>
                    <a:stretch>
                      <a:fillRect/>
                    </a:stretch>
                  </pic:blipFill>
                  <pic:spPr>
                    <a:xfrm>
                      <a:off x="0" y="0"/>
                      <a:ext cx="3506470" cy="6243955"/>
                    </a:xfrm>
                    <a:prstGeom prst="rect">
                      <a:avLst/>
                    </a:prstGeom>
                    <a:noFill/>
                    <a:ln>
                      <a:noFill/>
                    </a:ln>
                  </pic:spPr>
                </pic:pic>
              </a:graphicData>
            </a:graphic>
          </wp:inline>
        </w:drawing>
      </w:r>
    </w:p>
    <w:p w14:paraId="24C3C63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t>（2）汊河站消防泵房</w:t>
      </w:r>
    </w:p>
    <w:p w14:paraId="4294F74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drawing>
          <wp:inline distT="0" distB="0" distL="114300" distR="114300">
            <wp:extent cx="4588510" cy="3442970"/>
            <wp:effectExtent l="0" t="0" r="2540" b="5080"/>
            <wp:docPr id="11" name="图片 2" descr="65645169606f6e47f5c27236cf82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65645169606f6e47f5c27236cf820547"/>
                    <pic:cNvPicPr>
                      <a:picLocks noChangeAspect="1"/>
                    </pic:cNvPicPr>
                  </pic:nvPicPr>
                  <pic:blipFill>
                    <a:blip r:embed="rId7"/>
                    <a:stretch>
                      <a:fillRect/>
                    </a:stretch>
                  </pic:blipFill>
                  <pic:spPr>
                    <a:xfrm>
                      <a:off x="0" y="0"/>
                      <a:ext cx="4588510" cy="3442970"/>
                    </a:xfrm>
                    <a:prstGeom prst="rect">
                      <a:avLst/>
                    </a:prstGeom>
                    <a:noFill/>
                    <a:ln>
                      <a:noFill/>
                    </a:ln>
                  </pic:spPr>
                </pic:pic>
              </a:graphicData>
            </a:graphic>
          </wp:inline>
        </w:drawing>
      </w:r>
    </w:p>
    <w:p w14:paraId="04D9B2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3.2.13设备安装方式（图例仅供参考，实际安装方式效果图由中标人提供）</w:t>
      </w:r>
    </w:p>
    <w:p w14:paraId="3DD45AB6">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986655" cy="3571240"/>
            <wp:effectExtent l="0" t="0" r="4445" b="10160"/>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8">
                      <a:lum bright="-6000"/>
                    </a:blip>
                    <a:stretch>
                      <a:fillRect/>
                    </a:stretch>
                  </pic:blipFill>
                  <pic:spPr>
                    <a:xfrm>
                      <a:off x="0" y="0"/>
                      <a:ext cx="4986655" cy="3571240"/>
                    </a:xfrm>
                    <a:prstGeom prst="rect">
                      <a:avLst/>
                    </a:prstGeom>
                    <a:noFill/>
                    <a:ln>
                      <a:noFill/>
                    </a:ln>
                  </pic:spPr>
                </pic:pic>
              </a:graphicData>
            </a:graphic>
          </wp:inline>
        </w:drawing>
      </w:r>
    </w:p>
    <w:p w14:paraId="6F4785E5">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782185" cy="3662045"/>
            <wp:effectExtent l="0" t="0" r="18415"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9"/>
                    <a:stretch>
                      <a:fillRect/>
                    </a:stretch>
                  </pic:blipFill>
                  <pic:spPr>
                    <a:xfrm>
                      <a:off x="0" y="0"/>
                      <a:ext cx="4782185" cy="3662045"/>
                    </a:xfrm>
                    <a:prstGeom prst="rect">
                      <a:avLst/>
                    </a:prstGeom>
                    <a:noFill/>
                    <a:ln>
                      <a:noFill/>
                    </a:ln>
                  </pic:spPr>
                </pic:pic>
              </a:graphicData>
            </a:graphic>
          </wp:inline>
        </w:drawing>
      </w:r>
    </w:p>
    <w:p w14:paraId="0D94C506">
      <w:pPr>
        <w:keepNext w:val="0"/>
        <w:keepLines w:val="0"/>
        <w:pageBreakBefore w:val="0"/>
        <w:widowControl/>
        <w:numPr>
          <w:ilvl w:val="0"/>
          <w:numId w:val="0"/>
        </w:numPr>
        <w:kinsoku/>
        <w:wordWrap/>
        <w:overflowPunct/>
        <w:topLinePunct w:val="0"/>
        <w:autoSpaceDE/>
        <w:autoSpaceDN/>
        <w:bidi w:val="0"/>
        <w:spacing w:line="560" w:lineRule="exact"/>
        <w:ind w:firstLine="420" w:firstLineChars="200"/>
        <w:jc w:val="left"/>
        <w:textAlignment w:val="auto"/>
        <w:rPr>
          <w:rFonts w:hint="default"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（二）相官车辆段食堂饮用水加装净化器</w:t>
      </w:r>
      <w:r>
        <w:rPr>
          <w:rFonts w:hint="eastAsia" w:ascii="宋体" w:hAnsi="宋体" w:cs="宋体"/>
          <w:b/>
          <w:bCs/>
          <w:color w:val="auto"/>
          <w:kern w:val="2"/>
          <w:sz w:val="21"/>
          <w:szCs w:val="21"/>
          <w:highlight w:val="none"/>
          <w:lang w:val="en-US" w:eastAsia="zh-CN"/>
        </w:rPr>
        <w:t xml:space="preserve"> </w:t>
      </w:r>
    </w:p>
    <w:p w14:paraId="556EA68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3.3净水器项目技术要求</w:t>
      </w:r>
    </w:p>
    <w:p w14:paraId="327D3F7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3.3.1环境要求</w:t>
      </w:r>
    </w:p>
    <w:p w14:paraId="00AC326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本项工程新增设备必须可靠地工作在以下环境条件中：</w:t>
      </w:r>
    </w:p>
    <w:tbl>
      <w:tblPr>
        <w:tblStyle w:val="2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3"/>
        <w:gridCol w:w="4304"/>
        <w:gridCol w:w="2112"/>
      </w:tblGrid>
      <w:tr w14:paraId="3B2E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trPr>
        <w:tc>
          <w:tcPr>
            <w:tcW w:w="2103" w:type="dxa"/>
            <w:noWrap w:val="0"/>
            <w:vAlign w:val="center"/>
          </w:tcPr>
          <w:p w14:paraId="1B3EA4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项目</w:t>
            </w:r>
          </w:p>
        </w:tc>
        <w:tc>
          <w:tcPr>
            <w:tcW w:w="4304" w:type="dxa"/>
            <w:noWrap w:val="0"/>
            <w:vAlign w:val="center"/>
          </w:tcPr>
          <w:p w14:paraId="182134A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范围值</w:t>
            </w:r>
          </w:p>
        </w:tc>
        <w:tc>
          <w:tcPr>
            <w:tcW w:w="2112" w:type="dxa"/>
            <w:noWrap w:val="0"/>
            <w:vAlign w:val="center"/>
          </w:tcPr>
          <w:p w14:paraId="0C0DD05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备注</w:t>
            </w:r>
          </w:p>
        </w:tc>
      </w:tr>
      <w:tr w14:paraId="7258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103" w:type="dxa"/>
            <w:noWrap w:val="0"/>
            <w:vAlign w:val="center"/>
          </w:tcPr>
          <w:p w14:paraId="31C63AD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给水温度</w:t>
            </w:r>
          </w:p>
        </w:tc>
        <w:tc>
          <w:tcPr>
            <w:tcW w:w="4304" w:type="dxa"/>
            <w:noWrap w:val="0"/>
            <w:vAlign w:val="center"/>
          </w:tcPr>
          <w:p w14:paraId="75D9C51D">
            <w:pPr>
              <w:keepNext w:val="0"/>
              <w:keepLines w:val="0"/>
              <w:numPr>
                <w:ilvl w:val="0"/>
                <w:numId w:val="0"/>
              </w:numPr>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5-25℃</w:t>
            </w:r>
          </w:p>
        </w:tc>
        <w:tc>
          <w:tcPr>
            <w:tcW w:w="2112" w:type="dxa"/>
            <w:noWrap w:val="0"/>
            <w:vAlign w:val="center"/>
          </w:tcPr>
          <w:p w14:paraId="1F07AC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4FE2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2103" w:type="dxa"/>
            <w:noWrap w:val="0"/>
            <w:vAlign w:val="center"/>
          </w:tcPr>
          <w:p w14:paraId="79061AE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给水压力</w:t>
            </w:r>
          </w:p>
        </w:tc>
        <w:tc>
          <w:tcPr>
            <w:tcW w:w="4304" w:type="dxa"/>
            <w:noWrap w:val="0"/>
            <w:vAlign w:val="center"/>
          </w:tcPr>
          <w:p w14:paraId="3F4831B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0.2-0.3MPa</w:t>
            </w:r>
          </w:p>
        </w:tc>
        <w:tc>
          <w:tcPr>
            <w:tcW w:w="2112" w:type="dxa"/>
            <w:noWrap w:val="0"/>
            <w:vAlign w:val="center"/>
          </w:tcPr>
          <w:p w14:paraId="43A1A8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7A4A7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2103" w:type="dxa"/>
            <w:noWrap w:val="0"/>
            <w:vAlign w:val="center"/>
          </w:tcPr>
          <w:p w14:paraId="7EF4368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工作环境</w:t>
            </w:r>
          </w:p>
        </w:tc>
        <w:tc>
          <w:tcPr>
            <w:tcW w:w="4304" w:type="dxa"/>
            <w:noWrap w:val="0"/>
            <w:vAlign w:val="center"/>
          </w:tcPr>
          <w:p w14:paraId="187E30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5-40℃</w:t>
            </w:r>
          </w:p>
        </w:tc>
        <w:tc>
          <w:tcPr>
            <w:tcW w:w="2112" w:type="dxa"/>
            <w:noWrap w:val="0"/>
            <w:vAlign w:val="center"/>
          </w:tcPr>
          <w:p w14:paraId="28F4D21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r w14:paraId="719C5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2103" w:type="dxa"/>
            <w:noWrap w:val="0"/>
            <w:vAlign w:val="center"/>
          </w:tcPr>
          <w:p w14:paraId="4423ECF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额定电压</w:t>
            </w:r>
          </w:p>
        </w:tc>
        <w:tc>
          <w:tcPr>
            <w:tcW w:w="4304" w:type="dxa"/>
            <w:noWrap w:val="0"/>
            <w:vAlign w:val="center"/>
          </w:tcPr>
          <w:p w14:paraId="3CF9A4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lang w:val="en-US" w:eastAsia="zh-CN"/>
              </w:rPr>
            </w:pPr>
            <w:r>
              <w:rPr>
                <w:rFonts w:hint="eastAsia" w:ascii="宋体" w:hAnsi="宋体" w:eastAsia="宋体" w:cs="宋体"/>
                <w:color w:val="auto"/>
                <w:kern w:val="0"/>
                <w:sz w:val="22"/>
                <w:szCs w:val="22"/>
                <w:highlight w:val="none"/>
                <w:vertAlign w:val="baseline"/>
                <w:lang w:val="en-US" w:eastAsia="zh-CN"/>
              </w:rPr>
              <w:t>220V</w:t>
            </w:r>
          </w:p>
        </w:tc>
        <w:tc>
          <w:tcPr>
            <w:tcW w:w="2112" w:type="dxa"/>
            <w:noWrap w:val="0"/>
            <w:vAlign w:val="center"/>
          </w:tcPr>
          <w:p w14:paraId="3CBB739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2"/>
                <w:szCs w:val="22"/>
                <w:highlight w:val="none"/>
                <w:vertAlign w:val="baseline"/>
              </w:rPr>
            </w:pPr>
          </w:p>
        </w:tc>
      </w:tr>
    </w:tbl>
    <w:p w14:paraId="005AE4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3.3.2稳定性要求</w:t>
      </w:r>
    </w:p>
    <w:p w14:paraId="74677F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3.3.2.1设备是安全、可靠的，并能适应连续24小时不间断地运行。</w:t>
      </w:r>
    </w:p>
    <w:p w14:paraId="33DD2A2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3.3.2.2设备平稳运行期间，如无外因导致，设备平均故障频率不得高于1次/5000h。</w:t>
      </w:r>
    </w:p>
    <w:p w14:paraId="5C78B59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3.3.3制造工艺要求</w:t>
      </w:r>
    </w:p>
    <w:p w14:paraId="0E903E1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3.3.3.1饮用水净化过滤装置所有与水接触的材料均符合食品级标准。</w:t>
      </w:r>
    </w:p>
    <w:p w14:paraId="2A3E82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3.3.3.2饮用水净化过滤装置应标明额定总净水量和滤芯寿命以及建议的更换周期。</w:t>
      </w:r>
    </w:p>
    <w:p w14:paraId="7D0978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3.3.3.3零部件的布置、固定和排列应使检查、拆除和更换时不影响或损坏连线上的其他零部件。</w:t>
      </w:r>
    </w:p>
    <w:p w14:paraId="70766A6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3.3.3.4设备和仪器的金属构件表面除了加工装配面和电镀表面以外，都进行防锈或喷涂处理。在装配前，对封闭结构的内表面也有必要喷涂或进行防锈处理，处理质量符合SSPC标准。</w:t>
      </w:r>
    </w:p>
    <w:p w14:paraId="01E2D0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3.3.3.5本项目涉及的设备适应厨房日常工作环境，选用体积小、重量轻、耗能少、防尘、防锈、防潮的设备和材料。</w:t>
      </w:r>
    </w:p>
    <w:p w14:paraId="03A1D26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3.3.4设备技术要求</w:t>
      </w:r>
    </w:p>
    <w:p w14:paraId="423AF2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3.3.4.1</w:t>
      </w:r>
      <w:bookmarkStart w:id="88" w:name="_Toc17885"/>
      <w:bookmarkStart w:id="89" w:name="_Toc13347"/>
      <w:r>
        <w:rPr>
          <w:rFonts w:hint="eastAsia" w:ascii="宋体" w:hAnsi="宋体" w:eastAsia="宋体" w:cs="宋体"/>
          <w:color w:val="auto"/>
          <w:kern w:val="0"/>
          <w:sz w:val="21"/>
          <w:szCs w:val="21"/>
          <w:highlight w:val="none"/>
          <w:lang w:val="en-US" w:eastAsia="zh-CN"/>
        </w:rPr>
        <w:t>饮用水净化过滤装置的过滤速率</w:t>
      </w:r>
      <w:bookmarkEnd w:id="88"/>
      <w:bookmarkEnd w:id="89"/>
      <w:r>
        <w:rPr>
          <w:rFonts w:hint="eastAsia" w:ascii="宋体" w:hAnsi="宋体" w:eastAsia="宋体" w:cs="宋体"/>
          <w:color w:val="auto"/>
          <w:kern w:val="0"/>
          <w:sz w:val="21"/>
          <w:szCs w:val="21"/>
          <w:highlight w:val="none"/>
          <w:lang w:val="en-US" w:eastAsia="zh-CN"/>
        </w:rPr>
        <w:t>不得低于2.5m³/h。</w:t>
      </w:r>
    </w:p>
    <w:p w14:paraId="5C6D7A5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3.3.4.2设备过滤后至炉灶间、粗加工区用水水压不得低于0.14MP，不得高于0.35MP。</w:t>
      </w:r>
    </w:p>
    <w:p w14:paraId="31AF0F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3.3.4.3饮用水净化过滤装置应标明额定总净水量和滤芯寿命以及建议的更换周期。</w:t>
      </w:r>
    </w:p>
    <w:p w14:paraId="6EE006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1"/>
          <w:szCs w:val="21"/>
          <w:highlight w:val="none"/>
          <w:lang w:val="en-US" w:eastAsia="zh-CN"/>
        </w:rPr>
        <w:t>3.3.4.3设备过滤后泥沙、重金属、微生物值需要达到以下标准：</w:t>
      </w:r>
    </w:p>
    <w:tbl>
      <w:tblPr>
        <w:tblStyle w:val="24"/>
        <w:tblW w:w="89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7"/>
        <w:gridCol w:w="2481"/>
        <w:gridCol w:w="2622"/>
        <w:gridCol w:w="1699"/>
      </w:tblGrid>
      <w:tr w14:paraId="628E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1F2FF1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项目</w:t>
            </w:r>
          </w:p>
        </w:tc>
        <w:tc>
          <w:tcPr>
            <w:tcW w:w="2481" w:type="dxa"/>
            <w:noWrap w:val="0"/>
            <w:vAlign w:val="center"/>
          </w:tcPr>
          <w:p w14:paraId="0FD8919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单位</w:t>
            </w:r>
          </w:p>
        </w:tc>
        <w:tc>
          <w:tcPr>
            <w:tcW w:w="2622" w:type="dxa"/>
            <w:noWrap w:val="0"/>
            <w:vAlign w:val="center"/>
          </w:tcPr>
          <w:p w14:paraId="0ABCA0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规范要求</w:t>
            </w:r>
          </w:p>
        </w:tc>
        <w:tc>
          <w:tcPr>
            <w:tcW w:w="1699" w:type="dxa"/>
            <w:noWrap w:val="0"/>
            <w:vAlign w:val="center"/>
          </w:tcPr>
          <w:p w14:paraId="181370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bCs/>
                <w:color w:val="auto"/>
                <w:kern w:val="0"/>
                <w:sz w:val="21"/>
                <w:szCs w:val="21"/>
                <w:highlight w:val="none"/>
                <w:vertAlign w:val="baseline"/>
                <w:lang w:val="en-US" w:eastAsia="zh-CN" w:bidi="ar-SA"/>
              </w:rPr>
            </w:pPr>
            <w:r>
              <w:rPr>
                <w:rFonts w:hint="eastAsia" w:ascii="宋体" w:hAnsi="宋体" w:eastAsia="宋体" w:cs="宋体"/>
                <w:b/>
                <w:bCs/>
                <w:color w:val="auto"/>
                <w:kern w:val="0"/>
                <w:sz w:val="21"/>
                <w:szCs w:val="21"/>
                <w:highlight w:val="none"/>
                <w:vertAlign w:val="baseline"/>
                <w:lang w:val="en-US" w:eastAsia="zh-CN" w:bidi="ar-SA"/>
              </w:rPr>
              <w:t>备注</w:t>
            </w:r>
          </w:p>
        </w:tc>
      </w:tr>
      <w:tr w14:paraId="0E25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05EA07D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色度</w:t>
            </w:r>
          </w:p>
        </w:tc>
        <w:tc>
          <w:tcPr>
            <w:tcW w:w="2481" w:type="dxa"/>
            <w:noWrap w:val="0"/>
            <w:vAlign w:val="center"/>
          </w:tcPr>
          <w:p w14:paraId="7E1451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NTU</w:t>
            </w:r>
          </w:p>
        </w:tc>
        <w:tc>
          <w:tcPr>
            <w:tcW w:w="2622" w:type="dxa"/>
            <w:noWrap w:val="0"/>
            <w:vAlign w:val="center"/>
          </w:tcPr>
          <w:p w14:paraId="1E5BB4C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增加量≤5</w:t>
            </w:r>
          </w:p>
        </w:tc>
        <w:tc>
          <w:tcPr>
            <w:tcW w:w="1699" w:type="dxa"/>
            <w:noWrap w:val="0"/>
            <w:vAlign w:val="center"/>
          </w:tcPr>
          <w:p w14:paraId="493A1D5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E58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A5962D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浑浊度</w:t>
            </w:r>
          </w:p>
        </w:tc>
        <w:tc>
          <w:tcPr>
            <w:tcW w:w="2481" w:type="dxa"/>
            <w:noWrap w:val="0"/>
            <w:vAlign w:val="center"/>
          </w:tcPr>
          <w:p w14:paraId="06E2C3D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w:t>
            </w:r>
          </w:p>
        </w:tc>
        <w:tc>
          <w:tcPr>
            <w:tcW w:w="2622" w:type="dxa"/>
            <w:noWrap w:val="0"/>
            <w:vAlign w:val="center"/>
          </w:tcPr>
          <w:p w14:paraId="1C71C79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增加量≤0.5</w:t>
            </w:r>
          </w:p>
        </w:tc>
        <w:tc>
          <w:tcPr>
            <w:tcW w:w="1699" w:type="dxa"/>
            <w:noWrap w:val="0"/>
            <w:vAlign w:val="center"/>
          </w:tcPr>
          <w:p w14:paraId="15FAFA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2A22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678C02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臭和味</w:t>
            </w:r>
          </w:p>
        </w:tc>
        <w:tc>
          <w:tcPr>
            <w:tcW w:w="2481" w:type="dxa"/>
            <w:noWrap w:val="0"/>
            <w:vAlign w:val="center"/>
          </w:tcPr>
          <w:p w14:paraId="5DFB356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w:t>
            </w:r>
          </w:p>
        </w:tc>
        <w:tc>
          <w:tcPr>
            <w:tcW w:w="2622" w:type="dxa"/>
            <w:noWrap w:val="0"/>
            <w:vAlign w:val="center"/>
          </w:tcPr>
          <w:p w14:paraId="5B8AEC3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无异臭和异味</w:t>
            </w:r>
          </w:p>
        </w:tc>
        <w:tc>
          <w:tcPr>
            <w:tcW w:w="1699" w:type="dxa"/>
            <w:noWrap w:val="0"/>
            <w:vAlign w:val="center"/>
          </w:tcPr>
          <w:p w14:paraId="777A75F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FD1D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center"/>
          </w:tcPr>
          <w:p w14:paraId="646C657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肉眼可见物</w:t>
            </w:r>
          </w:p>
        </w:tc>
        <w:tc>
          <w:tcPr>
            <w:tcW w:w="2481" w:type="dxa"/>
            <w:noWrap w:val="0"/>
            <w:vAlign w:val="center"/>
          </w:tcPr>
          <w:p w14:paraId="31E4894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728F4BE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不产生任何肉眼可见碎片杂物等</w:t>
            </w:r>
          </w:p>
        </w:tc>
        <w:tc>
          <w:tcPr>
            <w:tcW w:w="1699" w:type="dxa"/>
            <w:noWrap w:val="0"/>
            <w:vAlign w:val="center"/>
          </w:tcPr>
          <w:p w14:paraId="747714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0837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2117" w:type="dxa"/>
            <w:noWrap w:val="0"/>
            <w:vAlign w:val="center"/>
          </w:tcPr>
          <w:p w14:paraId="1F7973D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高锰酸盐指数</w:t>
            </w:r>
          </w:p>
          <w:p w14:paraId="41F52E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（以O₂计）</w:t>
            </w:r>
          </w:p>
        </w:tc>
        <w:tc>
          <w:tcPr>
            <w:tcW w:w="2481" w:type="dxa"/>
            <w:noWrap w:val="0"/>
            <w:vAlign w:val="center"/>
          </w:tcPr>
          <w:p w14:paraId="7B37EEE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3A5BA8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增加量≤2</w:t>
            </w:r>
          </w:p>
        </w:tc>
        <w:tc>
          <w:tcPr>
            <w:tcW w:w="1699" w:type="dxa"/>
            <w:noWrap w:val="0"/>
            <w:vAlign w:val="center"/>
          </w:tcPr>
          <w:p w14:paraId="7BFA7E6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ADB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4D76912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铅</w:t>
            </w:r>
          </w:p>
        </w:tc>
        <w:tc>
          <w:tcPr>
            <w:tcW w:w="2481" w:type="dxa"/>
            <w:noWrap w:val="0"/>
            <w:vAlign w:val="center"/>
          </w:tcPr>
          <w:p w14:paraId="07649E0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22EC6FA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增加量≤0.001</w:t>
            </w:r>
          </w:p>
        </w:tc>
        <w:tc>
          <w:tcPr>
            <w:tcW w:w="1699" w:type="dxa"/>
            <w:noWrap w:val="0"/>
            <w:vAlign w:val="center"/>
          </w:tcPr>
          <w:p w14:paraId="1B87BA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65D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59148D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镉</w:t>
            </w:r>
          </w:p>
        </w:tc>
        <w:tc>
          <w:tcPr>
            <w:tcW w:w="2481" w:type="dxa"/>
            <w:noWrap w:val="0"/>
            <w:vAlign w:val="center"/>
          </w:tcPr>
          <w:p w14:paraId="49428E7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6AB1935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增加量≤0.0005</w:t>
            </w:r>
          </w:p>
        </w:tc>
        <w:tc>
          <w:tcPr>
            <w:tcW w:w="1699" w:type="dxa"/>
            <w:noWrap w:val="0"/>
            <w:vAlign w:val="center"/>
          </w:tcPr>
          <w:p w14:paraId="322D22A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4288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0A2914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汞</w:t>
            </w:r>
          </w:p>
        </w:tc>
        <w:tc>
          <w:tcPr>
            <w:tcW w:w="2481" w:type="dxa"/>
            <w:noWrap w:val="0"/>
            <w:vAlign w:val="center"/>
          </w:tcPr>
          <w:p w14:paraId="555CD88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3D866F8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增加量≤0.0002</w:t>
            </w:r>
          </w:p>
        </w:tc>
        <w:tc>
          <w:tcPr>
            <w:tcW w:w="1699" w:type="dxa"/>
            <w:noWrap w:val="0"/>
            <w:vAlign w:val="center"/>
          </w:tcPr>
          <w:p w14:paraId="0804867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5EB6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A5D60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铬（六价）</w:t>
            </w:r>
          </w:p>
        </w:tc>
        <w:tc>
          <w:tcPr>
            <w:tcW w:w="2481" w:type="dxa"/>
            <w:noWrap w:val="0"/>
            <w:vAlign w:val="center"/>
          </w:tcPr>
          <w:p w14:paraId="616F714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08D1273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增加量＜0.005</w:t>
            </w:r>
          </w:p>
        </w:tc>
        <w:tc>
          <w:tcPr>
            <w:tcW w:w="1699" w:type="dxa"/>
            <w:noWrap w:val="0"/>
            <w:vAlign w:val="center"/>
          </w:tcPr>
          <w:p w14:paraId="282F39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71A6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56D5931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砷</w:t>
            </w:r>
          </w:p>
        </w:tc>
        <w:tc>
          <w:tcPr>
            <w:tcW w:w="2481" w:type="dxa"/>
            <w:noWrap w:val="0"/>
            <w:vAlign w:val="center"/>
          </w:tcPr>
          <w:p w14:paraId="6E3FD02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043408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增加量＜0.001</w:t>
            </w:r>
          </w:p>
        </w:tc>
        <w:tc>
          <w:tcPr>
            <w:tcW w:w="1699" w:type="dxa"/>
            <w:noWrap w:val="0"/>
            <w:vAlign w:val="center"/>
          </w:tcPr>
          <w:p w14:paraId="2BB88C6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4B06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6D05833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挥发酚类</w:t>
            </w:r>
          </w:p>
        </w:tc>
        <w:tc>
          <w:tcPr>
            <w:tcW w:w="2481" w:type="dxa"/>
            <w:noWrap w:val="0"/>
            <w:vAlign w:val="center"/>
          </w:tcPr>
          <w:p w14:paraId="361990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mg/L</w:t>
            </w:r>
          </w:p>
        </w:tc>
        <w:tc>
          <w:tcPr>
            <w:tcW w:w="2622" w:type="dxa"/>
            <w:noWrap w:val="0"/>
            <w:vAlign w:val="center"/>
          </w:tcPr>
          <w:p w14:paraId="1193E5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增加量≤0.002</w:t>
            </w:r>
          </w:p>
        </w:tc>
        <w:tc>
          <w:tcPr>
            <w:tcW w:w="1699" w:type="dxa"/>
            <w:noWrap w:val="0"/>
            <w:vAlign w:val="center"/>
          </w:tcPr>
          <w:p w14:paraId="404C15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2AA4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2117" w:type="dxa"/>
            <w:noWrap w:val="0"/>
            <w:vAlign w:val="center"/>
          </w:tcPr>
          <w:p w14:paraId="7B9DF0F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菌落总数</w:t>
            </w:r>
          </w:p>
        </w:tc>
        <w:tc>
          <w:tcPr>
            <w:tcW w:w="2481" w:type="dxa"/>
            <w:noWrap w:val="0"/>
            <w:vAlign w:val="center"/>
          </w:tcPr>
          <w:p w14:paraId="652F1ED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MPN/mL</w:t>
            </w:r>
          </w:p>
        </w:tc>
        <w:tc>
          <w:tcPr>
            <w:tcW w:w="2622" w:type="dxa"/>
            <w:noWrap w:val="0"/>
            <w:vAlign w:val="center"/>
          </w:tcPr>
          <w:p w14:paraId="2E69B4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≤100</w:t>
            </w:r>
          </w:p>
        </w:tc>
        <w:tc>
          <w:tcPr>
            <w:tcW w:w="1699" w:type="dxa"/>
            <w:noWrap w:val="0"/>
            <w:vAlign w:val="center"/>
          </w:tcPr>
          <w:p w14:paraId="0A8B715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32DB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2117" w:type="dxa"/>
            <w:noWrap w:val="0"/>
            <w:vAlign w:val="center"/>
          </w:tcPr>
          <w:p w14:paraId="2904FE4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总大肠菌群</w:t>
            </w:r>
          </w:p>
        </w:tc>
        <w:tc>
          <w:tcPr>
            <w:tcW w:w="2481" w:type="dxa"/>
            <w:noWrap w:val="0"/>
            <w:vAlign w:val="center"/>
          </w:tcPr>
          <w:p w14:paraId="18D96E8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MPN/100mL</w:t>
            </w:r>
          </w:p>
        </w:tc>
        <w:tc>
          <w:tcPr>
            <w:tcW w:w="2622" w:type="dxa"/>
            <w:noWrap w:val="0"/>
            <w:vAlign w:val="center"/>
          </w:tcPr>
          <w:p w14:paraId="2DE7443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每100mL水样不得检出</w:t>
            </w:r>
          </w:p>
        </w:tc>
        <w:tc>
          <w:tcPr>
            <w:tcW w:w="1699" w:type="dxa"/>
            <w:noWrap w:val="0"/>
            <w:vAlign w:val="center"/>
          </w:tcPr>
          <w:p w14:paraId="51AC90F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r w14:paraId="67CBC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117" w:type="dxa"/>
            <w:noWrap w:val="0"/>
            <w:vAlign w:val="center"/>
          </w:tcPr>
          <w:p w14:paraId="6DA7BD9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耐热大肠菌群</w:t>
            </w:r>
          </w:p>
        </w:tc>
        <w:tc>
          <w:tcPr>
            <w:tcW w:w="2481" w:type="dxa"/>
            <w:noWrap w:val="0"/>
            <w:vAlign w:val="center"/>
          </w:tcPr>
          <w:p w14:paraId="400108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MPN/100mL</w:t>
            </w:r>
          </w:p>
        </w:tc>
        <w:tc>
          <w:tcPr>
            <w:tcW w:w="2622" w:type="dxa"/>
            <w:noWrap w:val="0"/>
            <w:vAlign w:val="center"/>
          </w:tcPr>
          <w:p w14:paraId="034DEEF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r>
              <w:rPr>
                <w:rFonts w:hint="eastAsia" w:ascii="宋体" w:hAnsi="宋体" w:eastAsia="宋体" w:cs="宋体"/>
                <w:b w:val="0"/>
                <w:bCs w:val="0"/>
                <w:color w:val="auto"/>
                <w:kern w:val="0"/>
                <w:sz w:val="21"/>
                <w:szCs w:val="21"/>
                <w:highlight w:val="none"/>
                <w:vertAlign w:val="baseline"/>
                <w:lang w:val="en-US" w:eastAsia="zh-CN" w:bidi="ar-SA"/>
              </w:rPr>
              <w:t>每100mL水样不得检出</w:t>
            </w:r>
          </w:p>
        </w:tc>
        <w:tc>
          <w:tcPr>
            <w:tcW w:w="1699" w:type="dxa"/>
            <w:noWrap w:val="0"/>
            <w:vAlign w:val="center"/>
          </w:tcPr>
          <w:p w14:paraId="32A3F79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val="0"/>
                <w:bCs w:val="0"/>
                <w:color w:val="auto"/>
                <w:kern w:val="0"/>
                <w:sz w:val="21"/>
                <w:szCs w:val="21"/>
                <w:highlight w:val="none"/>
                <w:vertAlign w:val="baseline"/>
                <w:lang w:val="en-US" w:eastAsia="zh-CN" w:bidi="ar-SA"/>
              </w:rPr>
            </w:pPr>
          </w:p>
        </w:tc>
      </w:tr>
    </w:tbl>
    <w:p w14:paraId="41A3B1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3.3.4.4设备应具备产品标签、使用说明、产品执行的标准编号、卫生许可批准文号、性能参数等信息。</w:t>
      </w:r>
    </w:p>
    <w:p w14:paraId="2F6D673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3.3.4.5设备滤芯应采用通用滤芯或市场可采买的滤芯。</w:t>
      </w:r>
    </w:p>
    <w:p w14:paraId="6598ED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3.3.4.6设备具有故障信息、滤芯使用寿命等相关信息查询或故障报警功能。</w:t>
      </w:r>
    </w:p>
    <w:p w14:paraId="1F4A62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3.3.5设备安装要求</w:t>
      </w:r>
    </w:p>
    <w:p w14:paraId="153611A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3.3.5.1设备计划安装于生活水入户水管支管处（食堂厨房西北角），用于炉灶间及粗加工间区域的供水，不含洗碗间、食堂洗手池及电开水器的供水（如下图标红区域），现场预留1.9m×1m×2.5.空间用于设备安装（含预留及散热），实际安装位置以现场施工为准。</w:t>
      </w:r>
    </w:p>
    <w:p w14:paraId="070A321E">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b w:val="0"/>
          <w:bCs/>
          <w:color w:val="auto"/>
          <w:sz w:val="24"/>
          <w:szCs w:val="24"/>
          <w:highlight w:val="none"/>
          <w:lang w:val="en-US" w:eastAsia="zh-CN"/>
        </w:rPr>
      </w:pPr>
      <w:r>
        <w:rPr>
          <w:rFonts w:hint="eastAsia" w:ascii="方正仿宋_GB2312" w:hAnsi="方正仿宋_GB2312" w:eastAsia="方正仿宋_GB2312" w:cs="方正仿宋_GB2312"/>
          <w:b w:val="0"/>
          <w:bCs/>
          <w:color w:val="auto"/>
          <w:sz w:val="24"/>
          <w:szCs w:val="24"/>
          <w:highlight w:val="none"/>
          <w:lang w:val="en-US" w:eastAsia="zh-CN"/>
        </w:rPr>
        <w:drawing>
          <wp:inline distT="0" distB="0" distL="114300" distR="114300">
            <wp:extent cx="4931410" cy="3256280"/>
            <wp:effectExtent l="0" t="0" r="2540" b="1270"/>
            <wp:docPr id="1" name="图片 5" descr="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001"/>
                    <pic:cNvPicPr>
                      <a:picLocks noChangeAspect="1"/>
                    </pic:cNvPicPr>
                  </pic:nvPicPr>
                  <pic:blipFill>
                    <a:blip r:embed="rId10"/>
                    <a:stretch>
                      <a:fillRect/>
                    </a:stretch>
                  </pic:blipFill>
                  <pic:spPr>
                    <a:xfrm>
                      <a:off x="0" y="0"/>
                      <a:ext cx="4931410" cy="3256280"/>
                    </a:xfrm>
                    <a:prstGeom prst="rect">
                      <a:avLst/>
                    </a:prstGeom>
                    <a:noFill/>
                    <a:ln>
                      <a:noFill/>
                    </a:ln>
                  </pic:spPr>
                </pic:pic>
              </a:graphicData>
            </a:graphic>
          </wp:inline>
        </w:drawing>
      </w:r>
    </w:p>
    <w:p w14:paraId="35D286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3.3.5.2设备安装需牢靠，设备及相关附件不得占用、堵塞、封闭消防通道。</w:t>
      </w:r>
    </w:p>
    <w:p w14:paraId="7AD7A9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3.3.5.3设备于生活水入户支管处增加两处DN50的三通，并于两处三通之间增设维修旁路与旁通阀门，水管采用卡压方式连接。</w:t>
      </w:r>
    </w:p>
    <w:p w14:paraId="519D77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3.3.5.4设备表面要求采用304不锈钢。设备样式参考下图（图片来源于网络，仅供参考）。</w:t>
      </w:r>
    </w:p>
    <w:p w14:paraId="1918EE6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eastAsia" w:ascii="方正仿宋_GB2312" w:hAnsi="方正仿宋_GB2312" w:eastAsia="方正仿宋_GB2312" w:cs="方正仿宋_GB2312"/>
          <w:color w:val="auto"/>
          <w:kern w:val="0"/>
          <w:sz w:val="24"/>
          <w:szCs w:val="24"/>
          <w:highlight w:val="none"/>
          <w:lang w:val="en-US" w:eastAsia="zh-CN"/>
        </w:rPr>
      </w:pPr>
      <w:r>
        <w:rPr>
          <w:rFonts w:hint="eastAsia" w:ascii="方正仿宋_GB2312" w:hAnsi="方正仿宋_GB2312" w:eastAsia="方正仿宋_GB2312" w:cs="方正仿宋_GB2312"/>
          <w:color w:val="auto"/>
          <w:kern w:val="0"/>
          <w:sz w:val="24"/>
          <w:szCs w:val="24"/>
          <w:highlight w:val="none"/>
          <w:lang w:val="en-US" w:eastAsia="zh-CN"/>
        </w:rPr>
        <w:drawing>
          <wp:inline distT="0" distB="0" distL="114300" distR="114300">
            <wp:extent cx="4889500" cy="2750820"/>
            <wp:effectExtent l="0" t="0" r="6350" b="11430"/>
            <wp:docPr id="2" name="图片 6" descr="微信图片_20251028094747_90_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descr="微信图片_20251028094747_90_225"/>
                    <pic:cNvPicPr>
                      <a:picLocks noChangeAspect="1"/>
                    </pic:cNvPicPr>
                  </pic:nvPicPr>
                  <pic:blipFill>
                    <a:blip r:embed="rId11"/>
                    <a:stretch>
                      <a:fillRect/>
                    </a:stretch>
                  </pic:blipFill>
                  <pic:spPr>
                    <a:xfrm>
                      <a:off x="0" y="0"/>
                      <a:ext cx="4889500" cy="2750820"/>
                    </a:xfrm>
                    <a:prstGeom prst="rect">
                      <a:avLst/>
                    </a:prstGeom>
                    <a:noFill/>
                    <a:ln>
                      <a:noFill/>
                    </a:ln>
                  </pic:spPr>
                </pic:pic>
              </a:graphicData>
            </a:graphic>
          </wp:inline>
        </w:drawing>
      </w:r>
    </w:p>
    <w:p w14:paraId="1C8952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3.3.5.5设备结构牢靠，四周有304不锈钢支撑，正面与侧面具304不锈钢罩面，具备防磕碰性能，适当的位置预留检修与维护的柜门。</w:t>
      </w:r>
    </w:p>
    <w:p w14:paraId="767E413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3.3.6设备用电要求</w:t>
      </w:r>
    </w:p>
    <w:p w14:paraId="7B3466F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3.3.6.1设备采用220V交流电源。</w:t>
      </w:r>
    </w:p>
    <w:p w14:paraId="58B2708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3.3.6.2设备额定功率不得高1000W。</w:t>
      </w:r>
    </w:p>
    <w:p w14:paraId="071D6DB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3.3.6.3取电于设备就近的三级负荷插座，引电导线选用WDZB-BYJ-450/750低烟无卤阻燃耐火交联聚乙烯导线。</w:t>
      </w:r>
    </w:p>
    <w:p w14:paraId="1660CB0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3.3.6.4走线须规范，具有牢靠的固定卡扣，线缆不得位于水管下方。</w:t>
      </w:r>
    </w:p>
    <w:p w14:paraId="6E33E331">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20" w:firstLineChars="200"/>
        <w:jc w:val="left"/>
        <w:textAlignment w:val="auto"/>
        <w:rPr>
          <w:rFonts w:hint="default" w:ascii="宋体" w:hAnsi="宋体" w:eastAsia="宋体" w:cs="宋体"/>
          <w:b/>
          <w:bCs/>
          <w:color w:val="auto"/>
          <w:kern w:val="2"/>
          <w:sz w:val="21"/>
          <w:szCs w:val="21"/>
          <w:highlight w:val="none"/>
          <w:lang w:val="en-US" w:eastAsia="zh-CN"/>
        </w:rPr>
      </w:pPr>
      <w:r>
        <w:rPr>
          <w:rFonts w:hint="eastAsia" w:ascii="宋体" w:hAnsi="宋体" w:eastAsia="宋体" w:cs="宋体"/>
          <w:b/>
          <w:bCs/>
          <w:color w:val="auto"/>
          <w:kern w:val="2"/>
          <w:sz w:val="21"/>
          <w:szCs w:val="21"/>
          <w:highlight w:val="none"/>
          <w:lang w:val="en-US" w:eastAsia="zh-CN"/>
        </w:rPr>
        <w:t>（三）改造控制中心生活水管</w:t>
      </w:r>
      <w:r>
        <w:rPr>
          <w:rFonts w:hint="eastAsia" w:ascii="宋体" w:hAnsi="宋体" w:cs="宋体"/>
          <w:b/>
          <w:bCs/>
          <w:color w:val="auto"/>
          <w:kern w:val="2"/>
          <w:sz w:val="21"/>
          <w:szCs w:val="21"/>
          <w:highlight w:val="none"/>
          <w:lang w:val="en-US" w:eastAsia="zh-CN"/>
        </w:rPr>
        <w:t xml:space="preserve"> </w:t>
      </w:r>
    </w:p>
    <w:p w14:paraId="05118F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3.4技术要求：</w:t>
      </w:r>
    </w:p>
    <w:p w14:paraId="619A301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3.4.1低区加压管道JL-A2连接口径为DN80，原管路增设三通，增设管路安装配套阀门、水表，经原有桥架接入JL-A12(DN50)管路。</w:t>
      </w:r>
    </w:p>
    <w:p w14:paraId="38DD966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3.4.2原有JL-A12(DN50)管路增设旁通闸阀。</w:t>
      </w:r>
    </w:p>
    <w:p w14:paraId="1F7B18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3.4.3管路经过桥架需进行固定及减震垫。</w:t>
      </w:r>
    </w:p>
    <w:p w14:paraId="27E218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3.5管道附件</w:t>
      </w:r>
    </w:p>
    <w:p w14:paraId="220D43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3.5.1阀门、管件均采用不锈钢材质，安装前均应进行检查，并清除管内、管口杂物。</w:t>
      </w:r>
    </w:p>
    <w:p w14:paraId="1D33815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3.5.2不锈钢技术要求产品设计和制造应满足《流体输送用不锈钢焊接标准》（GB/T12771—2008）、《建筑给水薄壁不锈钢管管道工程技术规程》（CECS277—2010）等规范要求。</w:t>
      </w:r>
    </w:p>
    <w:p w14:paraId="3F3F334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3.5.3管材及管件应具备质量检测部门的质量合格证，并应有明显标志注明规格和商标。包装上应标有生产厂家的名称、批号、数量、生产日期和检验代号。给水用管材及管件应具备建材管理部门的认证文件。生活饮用水给水管材及管件还应具备卫生管理部门的认证文件。</w:t>
      </w:r>
    </w:p>
    <w:p w14:paraId="37FCD7D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3.5.4连接方式：卡压式连接。</w:t>
      </w:r>
    </w:p>
    <w:p w14:paraId="32306B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3.5.5不同管径的卡压连接方式薄壁不锈钢管管道壁厚应不低于《建筑给水薄壁不锈钢管管道工程技术规程》（CECS277—2010）中的要求。</w:t>
      </w:r>
    </w:p>
    <w:p w14:paraId="72C3CE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3.5.6阀门安装前，应作耐压强度试验。对于安装在主干管上起切断作用的闭路阀门，应逐个做强度和严密性试验。强度和严密性试验压力应为阀门出厂规定的压力，同时应有试验记录备查。</w:t>
      </w:r>
    </w:p>
    <w:p w14:paraId="65030A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3.5.7阀门安装位置、方向应符合现场要求，阀门、管件的连接应牢固、紧密，不得有渗漏现象。安装后，阀门与管道中心线应垂直，操作机构灵活、准确。</w:t>
      </w:r>
    </w:p>
    <w:p w14:paraId="2DC9F26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3.5.8阀门安装应保证其型号、规格符合设计要求，表面洁净，朝向正确，启闭灵活。</w:t>
      </w:r>
    </w:p>
    <w:p w14:paraId="055881D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3.6施工现场图</w:t>
      </w:r>
    </w:p>
    <w:p w14:paraId="207FDB69">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方正仿宋_GB2312" w:hAnsi="方正仿宋_GB2312" w:eastAsia="方正仿宋_GB2312" w:cs="方正仿宋_GB2312"/>
          <w:color w:val="auto"/>
          <w:sz w:val="24"/>
          <w:szCs w:val="24"/>
          <w:highlight w:val="none"/>
        </w:rPr>
        <w:drawing>
          <wp:inline distT="0" distB="0" distL="114300" distR="114300">
            <wp:extent cx="5230495" cy="3936365"/>
            <wp:effectExtent l="0" t="0" r="8255" b="698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5230495" cy="3936365"/>
                    </a:xfrm>
                    <a:prstGeom prst="rect">
                      <a:avLst/>
                    </a:prstGeom>
                    <a:noFill/>
                    <a:ln>
                      <a:noFill/>
                    </a:ln>
                  </pic:spPr>
                </pic:pic>
              </a:graphicData>
            </a:graphic>
          </wp:inline>
        </w:drawing>
      </w:r>
    </w:p>
    <w:p w14:paraId="73AA825F">
      <w:pPr>
        <w:numPr>
          <w:ilvl w:val="0"/>
          <w:numId w:val="0"/>
        </w:num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现场环境图</w:t>
      </w:r>
    </w:p>
    <w:p w14:paraId="1E779FD6">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2955925" cy="3888105"/>
            <wp:effectExtent l="0" t="0" r="15875" b="17145"/>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pic:cNvPicPr>
                  </pic:nvPicPr>
                  <pic:blipFill>
                    <a:blip r:embed="rId13"/>
                    <a:stretch>
                      <a:fillRect/>
                    </a:stretch>
                  </pic:blipFill>
                  <pic:spPr>
                    <a:xfrm>
                      <a:off x="0" y="0"/>
                      <a:ext cx="2955925" cy="3888105"/>
                    </a:xfrm>
                    <a:prstGeom prst="rect">
                      <a:avLst/>
                    </a:prstGeom>
                    <a:noFill/>
                    <a:ln>
                      <a:noFill/>
                    </a:ln>
                  </pic:spPr>
                </pic:pic>
              </a:graphicData>
            </a:graphic>
          </wp:inline>
        </w:drawing>
      </w:r>
    </w:p>
    <w:p w14:paraId="7F1858FE">
      <w:pPr>
        <w:numPr>
          <w:ilvl w:val="0"/>
          <w:numId w:val="0"/>
        </w:numPr>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二至五层JL-A2加压供水管</w:t>
      </w:r>
    </w:p>
    <w:p w14:paraId="3F1FD562">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985385" cy="3733800"/>
            <wp:effectExtent l="0" t="0" r="5715" b="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pic:cNvPicPr>
                  </pic:nvPicPr>
                  <pic:blipFill>
                    <a:blip r:embed="rId14"/>
                    <a:stretch>
                      <a:fillRect/>
                    </a:stretch>
                  </pic:blipFill>
                  <pic:spPr>
                    <a:xfrm>
                      <a:off x="0" y="0"/>
                      <a:ext cx="4985385" cy="3733800"/>
                    </a:xfrm>
                    <a:prstGeom prst="rect">
                      <a:avLst/>
                    </a:prstGeom>
                    <a:noFill/>
                    <a:ln>
                      <a:noFill/>
                    </a:ln>
                  </pic:spPr>
                </pic:pic>
              </a:graphicData>
            </a:graphic>
          </wp:inline>
        </w:drawing>
      </w:r>
    </w:p>
    <w:p w14:paraId="7F01449A">
      <w:pPr>
        <w:numPr>
          <w:ilvl w:val="0"/>
          <w:numId w:val="0"/>
        </w:numPr>
        <w:spacing w:line="24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负二至一层JL-12生活水管</w:t>
      </w:r>
    </w:p>
    <w:p w14:paraId="23652FB4">
      <w:pPr>
        <w:numPr>
          <w:ilvl w:val="0"/>
          <w:numId w:val="0"/>
        </w:num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3.7地下二层设计平面图</w:t>
      </w:r>
    </w:p>
    <w:p w14:paraId="186F2AAE">
      <w:pPr>
        <w:keepNext w:val="0"/>
        <w:keepLines w:val="0"/>
        <w:pageBreakBefore w:val="0"/>
        <w:widowControl w:val="0"/>
        <w:tabs>
          <w:tab w:val="left" w:pos="420"/>
        </w:tabs>
        <w:kinsoku/>
        <w:wordWrap/>
        <w:overflowPunct/>
        <w:topLinePunct w:val="0"/>
        <w:autoSpaceDE/>
        <w:autoSpaceDN/>
        <w:bidi w:val="0"/>
        <w:adjustRightInd w:val="0"/>
        <w:snapToGrid w:val="0"/>
        <w:spacing w:line="240" w:lineRule="auto"/>
        <w:ind w:firstLine="480" w:firstLineChars="200"/>
        <w:jc w:val="center"/>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drawing>
          <wp:inline distT="0" distB="0" distL="114300" distR="114300">
            <wp:extent cx="4666615" cy="5895340"/>
            <wp:effectExtent l="0" t="0" r="635" b="1016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15"/>
                    <a:stretch>
                      <a:fillRect/>
                    </a:stretch>
                  </pic:blipFill>
                  <pic:spPr>
                    <a:xfrm>
                      <a:off x="0" y="0"/>
                      <a:ext cx="4666615" cy="5895340"/>
                    </a:xfrm>
                    <a:prstGeom prst="rect">
                      <a:avLst/>
                    </a:prstGeom>
                    <a:noFill/>
                    <a:ln>
                      <a:noFill/>
                    </a:ln>
                  </pic:spPr>
                </pic:pic>
              </a:graphicData>
            </a:graphic>
          </wp:inline>
        </w:drawing>
      </w:r>
    </w:p>
    <w:p w14:paraId="03D3B08C">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四、服务要求与条件</w:t>
      </w:r>
    </w:p>
    <w:p w14:paraId="6B7AF6C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4.1项目人员要求</w:t>
      </w:r>
    </w:p>
    <w:p w14:paraId="4A6992A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项目负责人1名：大专以上学历，机电相关专业，具有机电工程项目的项目负责人业绩经验。</w:t>
      </w:r>
    </w:p>
    <w:p w14:paraId="25B245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安全负责人1名：大专以上学历，持有安全员C证。</w:t>
      </w:r>
    </w:p>
    <w:p w14:paraId="7ED3F9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一般作业人员</w:t>
      </w:r>
      <w:r>
        <w:rPr>
          <w:rFonts w:hint="eastAsia" w:ascii="宋体" w:hAnsi="宋体" w:cs="宋体"/>
          <w:color w:val="auto"/>
          <w:kern w:val="0"/>
          <w:sz w:val="21"/>
          <w:szCs w:val="21"/>
          <w:highlight w:val="none"/>
          <w:lang w:val="en-US" w:eastAsia="zh-CN"/>
        </w:rPr>
        <w:t>不低于3人</w:t>
      </w:r>
      <w:r>
        <w:rPr>
          <w:rFonts w:hint="eastAsia" w:ascii="宋体" w:hAnsi="宋体" w:eastAsia="宋体" w:cs="宋体"/>
          <w:color w:val="auto"/>
          <w:kern w:val="0"/>
          <w:sz w:val="21"/>
          <w:szCs w:val="21"/>
          <w:highlight w:val="none"/>
          <w:lang w:val="en-US" w:eastAsia="zh-CN"/>
        </w:rPr>
        <w:t>：具备机电工程项目施工工作经验。</w:t>
      </w:r>
    </w:p>
    <w:p w14:paraId="0848614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特种作业人员</w:t>
      </w:r>
      <w:r>
        <w:rPr>
          <w:rFonts w:hint="eastAsia" w:ascii="宋体" w:hAnsi="宋体" w:cs="宋体"/>
          <w:color w:val="auto"/>
          <w:kern w:val="0"/>
          <w:sz w:val="21"/>
          <w:szCs w:val="21"/>
          <w:highlight w:val="none"/>
          <w:lang w:val="en-US" w:eastAsia="zh-CN"/>
        </w:rPr>
        <w:t>不低于3人</w:t>
      </w:r>
      <w:r>
        <w:rPr>
          <w:rFonts w:hint="eastAsia" w:ascii="宋体" w:hAnsi="宋体" w:eastAsia="宋体" w:cs="宋体"/>
          <w:color w:val="auto"/>
          <w:kern w:val="0"/>
          <w:sz w:val="21"/>
          <w:szCs w:val="21"/>
          <w:highlight w:val="none"/>
          <w:lang w:val="en-US" w:eastAsia="zh-CN"/>
        </w:rPr>
        <w:t>：登高作业人员、焊切割人员须持有相应证书。</w:t>
      </w:r>
    </w:p>
    <w:p w14:paraId="4FCDC3D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注：合同签订后项目实施前提交</w:t>
      </w:r>
      <w:r>
        <w:rPr>
          <w:rFonts w:hint="eastAsia" w:ascii="宋体" w:hAnsi="宋体" w:cs="宋体"/>
          <w:color w:val="auto"/>
          <w:kern w:val="0"/>
          <w:sz w:val="21"/>
          <w:szCs w:val="21"/>
          <w:highlight w:val="none"/>
          <w:lang w:val="en-US" w:eastAsia="zh-CN"/>
        </w:rPr>
        <w:t>所有</w:t>
      </w:r>
      <w:r>
        <w:rPr>
          <w:rFonts w:hint="eastAsia" w:ascii="宋体" w:hAnsi="宋体" w:eastAsia="宋体" w:cs="宋体"/>
          <w:color w:val="auto"/>
          <w:kern w:val="0"/>
          <w:sz w:val="21"/>
          <w:szCs w:val="21"/>
          <w:highlight w:val="none"/>
          <w:lang w:val="en-US" w:eastAsia="zh-CN"/>
        </w:rPr>
        <w:t>人员资料报招标人核查</w:t>
      </w:r>
      <w:r>
        <w:rPr>
          <w:rFonts w:hint="eastAsia" w:ascii="宋体" w:hAnsi="宋体" w:cs="宋体"/>
          <w:color w:val="auto"/>
          <w:kern w:val="0"/>
          <w:sz w:val="21"/>
          <w:szCs w:val="21"/>
          <w:highlight w:val="none"/>
          <w:lang w:val="en-US" w:eastAsia="zh-CN"/>
        </w:rPr>
        <w:t>，</w:t>
      </w:r>
      <w:r>
        <w:rPr>
          <w:rFonts w:hint="eastAsia" w:ascii="宋体" w:hAnsi="宋体" w:eastAsia="宋体" w:cs="宋体"/>
          <w:color w:val="auto"/>
          <w:kern w:val="0"/>
          <w:sz w:val="21"/>
          <w:szCs w:val="21"/>
          <w:highlight w:val="none"/>
          <w:lang w:val="en-US" w:eastAsia="zh-CN"/>
        </w:rPr>
        <w:t>中标人须按照上述要求配置人员，否则招标人报监督管理部门依法处理。</w:t>
      </w:r>
    </w:p>
    <w:p w14:paraId="0333309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4.2中标人施工过程所发生的一切交通（含地铁卡）、通信费用由中标人承担，项目所需的工器具、办公用品、管理用具、劳保用品、安全防护用具、工作服（工作服的式样、标识需征得招标人同意）等均由中标人自行解决。</w:t>
      </w:r>
    </w:p>
    <w:p w14:paraId="4027980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4.3实施人员要求具备一定的消防设备施工作业经验，作业前要了解工程项目的内容和性质、服务对象及安装位置，实施人员要熟悉技术、质量要求，强化技术管理及安全保护措施。</w:t>
      </w:r>
    </w:p>
    <w:p w14:paraId="6BFE88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方正仿宋_GB2312" w:hAnsi="方正仿宋_GB2312" w:eastAsia="方正仿宋_GB2312" w:cs="方正仿宋_GB2312"/>
          <w:color w:val="auto"/>
          <w:kern w:val="0"/>
          <w:sz w:val="24"/>
          <w:szCs w:val="24"/>
          <w:highlight w:val="none"/>
          <w:lang w:val="en-US" w:eastAsia="zh-CN"/>
        </w:rPr>
      </w:pPr>
      <w:r>
        <w:rPr>
          <w:rFonts w:hint="eastAsia" w:ascii="宋体" w:hAnsi="宋体" w:eastAsia="宋体" w:cs="宋体"/>
          <w:color w:val="auto"/>
          <w:kern w:val="0"/>
          <w:sz w:val="21"/>
          <w:szCs w:val="21"/>
          <w:highlight w:val="none"/>
          <w:lang w:val="en-US" w:eastAsia="zh-CN"/>
        </w:rPr>
        <w:t>4.4必须无条件遵守运营公司所有的制度及相关管理规定。所有作业时间、作业人员资质要求、作业人员进场安全培训要求均按招标人有关规定。</w:t>
      </w:r>
    </w:p>
    <w:p w14:paraId="3F99DCD2">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五、工作内容（工程量）</w:t>
      </w:r>
    </w:p>
    <w:p w14:paraId="592E70D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5.1项目一：工作量清单</w:t>
      </w:r>
    </w:p>
    <w:tbl>
      <w:tblPr>
        <w:tblStyle w:val="23"/>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00"/>
        <w:gridCol w:w="1548"/>
        <w:gridCol w:w="700"/>
        <w:gridCol w:w="700"/>
        <w:gridCol w:w="2524"/>
        <w:gridCol w:w="3078"/>
      </w:tblGrid>
      <w:tr w14:paraId="33918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49" w:hRule="atLeast"/>
          <w:tblHeader/>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45D6962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序号</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B1649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名称</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83D78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709C7E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单位</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7FE2C0D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技术规格或工程特性</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2E92467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备注</w:t>
            </w:r>
          </w:p>
        </w:tc>
      </w:tr>
      <w:tr w14:paraId="2C338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7E0B23F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F9949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变频增压泵</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69C5B8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4AFE8DE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1ADF942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5C5DE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一站2台，一主一备</w:t>
            </w:r>
          </w:p>
        </w:tc>
      </w:tr>
      <w:tr w14:paraId="58A1E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874E8D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2</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95FA4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变频增压泵控制柜</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8C5CD4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9DA6BC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040785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3</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3334E1E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一站一台</w:t>
            </w:r>
          </w:p>
        </w:tc>
      </w:tr>
      <w:tr w14:paraId="3C097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2DDE55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3</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791A1D2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电力电缆</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66405B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05AB24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米</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6F9BB2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rPr>
            </w:pPr>
            <w:r>
              <w:rPr>
                <w:rFonts w:hint="eastAsia" w:ascii="宋体" w:hAnsi="宋体" w:eastAsia="宋体" w:cs="宋体"/>
                <w:color w:val="auto"/>
                <w:sz w:val="21"/>
                <w:szCs w:val="21"/>
                <w:highlight w:val="none"/>
                <w:lang w:val="en-US" w:eastAsia="zh-CN"/>
              </w:rPr>
              <w:t>≥2.5mm²</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B279C8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以现场实际环境为主</w:t>
            </w:r>
          </w:p>
          <w:p w14:paraId="0F5FE78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（要求配钢套管或电缆桥架）</w:t>
            </w:r>
          </w:p>
        </w:tc>
      </w:tr>
      <w:tr w14:paraId="3B3A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70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02B4125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4</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448C80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控制电缆</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AE1193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50</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E04F8F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米</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56F9661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en-US" w:eastAsia="zh-CN"/>
              </w:rPr>
              <w:t>≥10X1.5mm²</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25313D7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以现场实际环境为主</w:t>
            </w:r>
          </w:p>
          <w:p w14:paraId="0EA0869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（要求配钢套管或电缆桥架）</w:t>
            </w:r>
          </w:p>
        </w:tc>
      </w:tr>
      <w:tr w14:paraId="18DCD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538"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2A53FFF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5</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2D4A45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气压罐</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DA9C88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927A9C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4AE4D04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参考3.2.5</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F4B47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4725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0D79A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13D7C3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食品级组合式不锈钢水箱</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ED879D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367A2E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0AEF5CA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7</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D747F6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22BA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3435A4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7</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0CAE4AA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紫外线消毒设备</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191CA6C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4B48EC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台</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194FB1C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8</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7B65FE7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一站一台</w:t>
            </w:r>
          </w:p>
        </w:tc>
      </w:tr>
      <w:tr w14:paraId="1E5FA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633"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618DB8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50AB082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混凝土基础</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4D3670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7693E54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座</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2630F02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参考3.2.9</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0528251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可采用整体式基础</w:t>
            </w:r>
          </w:p>
        </w:tc>
      </w:tr>
      <w:tr w14:paraId="7E0F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354" w:hRule="atLeast"/>
          <w:jc w:val="center"/>
        </w:trPr>
        <w:tc>
          <w:tcPr>
            <w:tcW w:w="700" w:type="dxa"/>
            <w:tcBorders>
              <w:top w:val="single" w:color="auto" w:sz="4" w:space="0"/>
              <w:left w:val="single" w:color="auto" w:sz="4" w:space="0"/>
              <w:bottom w:val="single" w:color="auto" w:sz="4" w:space="0"/>
              <w:right w:val="single" w:color="auto" w:sz="4" w:space="0"/>
            </w:tcBorders>
            <w:noWrap w:val="0"/>
            <w:vAlign w:val="center"/>
          </w:tcPr>
          <w:p w14:paraId="51E165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548" w:type="dxa"/>
            <w:tcBorders>
              <w:top w:val="single" w:color="auto" w:sz="4" w:space="0"/>
              <w:left w:val="single" w:color="auto" w:sz="4" w:space="0"/>
              <w:bottom w:val="single" w:color="auto" w:sz="4" w:space="0"/>
              <w:right w:val="single" w:color="auto" w:sz="4" w:space="0"/>
            </w:tcBorders>
            <w:noWrap w:val="0"/>
            <w:vAlign w:val="center"/>
          </w:tcPr>
          <w:p w14:paraId="63EBEA7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管道辅材</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6BA6555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若干</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5C89496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个</w:t>
            </w:r>
          </w:p>
        </w:tc>
        <w:tc>
          <w:tcPr>
            <w:tcW w:w="2524" w:type="dxa"/>
            <w:tcBorders>
              <w:top w:val="single" w:color="auto" w:sz="4" w:space="0"/>
              <w:left w:val="single" w:color="auto" w:sz="4" w:space="0"/>
              <w:bottom w:val="single" w:color="auto" w:sz="4" w:space="0"/>
              <w:right w:val="single" w:color="auto" w:sz="4" w:space="0"/>
            </w:tcBorders>
            <w:noWrap w:val="0"/>
            <w:vAlign w:val="center"/>
          </w:tcPr>
          <w:p w14:paraId="5872900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参考</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2.6</w:t>
            </w:r>
          </w:p>
        </w:tc>
        <w:tc>
          <w:tcPr>
            <w:tcW w:w="3078" w:type="dxa"/>
            <w:tcBorders>
              <w:top w:val="single" w:color="auto" w:sz="4" w:space="0"/>
              <w:left w:val="single" w:color="auto" w:sz="4" w:space="0"/>
              <w:bottom w:val="single" w:color="auto" w:sz="4" w:space="0"/>
              <w:right w:val="single" w:color="auto" w:sz="4" w:space="0"/>
            </w:tcBorders>
            <w:noWrap w:val="0"/>
            <w:vAlign w:val="center"/>
          </w:tcPr>
          <w:p w14:paraId="34DC1E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以现场实际环境为主</w:t>
            </w:r>
          </w:p>
        </w:tc>
      </w:tr>
    </w:tbl>
    <w:p w14:paraId="447A45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注：以上工作量清单表为需求参考工作量，投标人投标前应组织现场勘查，实际情况以现场勘查为准。如投标人未进行现场勘查，招标人则认为，投标人已完成掌握了解现场设备实际情况。</w:t>
      </w:r>
    </w:p>
    <w:p w14:paraId="0EC017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80" w:firstLineChars="20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lang w:val="en-US" w:eastAsia="zh-CN"/>
        </w:rPr>
        <w:t>2</w:t>
      </w:r>
      <w:r>
        <w:rPr>
          <w:rFonts w:hint="eastAsia" w:ascii="宋体" w:hAnsi="宋体" w:eastAsia="宋体" w:cs="宋体"/>
          <w:color w:val="auto"/>
          <w:kern w:val="0"/>
          <w:sz w:val="21"/>
          <w:szCs w:val="21"/>
          <w:highlight w:val="none"/>
          <w:lang w:val="en-US" w:eastAsia="zh-CN"/>
        </w:rPr>
        <w:t>项目二：工作量清单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904"/>
        <w:gridCol w:w="735"/>
        <w:gridCol w:w="1095"/>
        <w:gridCol w:w="2985"/>
        <w:gridCol w:w="1921"/>
      </w:tblGrid>
      <w:tr w14:paraId="7B501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8D9608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序号</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8BDC8F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7F71E7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数量</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517652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单位</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5B12CF7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技术规格或工程特性</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BBC64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4"/>
                <w:szCs w:val="24"/>
                <w:highlight w:val="none"/>
                <w:lang w:eastAsia="zh-CN"/>
              </w:rPr>
            </w:pPr>
            <w:r>
              <w:rPr>
                <w:rFonts w:hint="eastAsia" w:ascii="宋体" w:hAnsi="宋体" w:eastAsia="宋体" w:cs="宋体"/>
                <w:b/>
                <w:color w:val="auto"/>
                <w:kern w:val="0"/>
                <w:sz w:val="24"/>
                <w:szCs w:val="24"/>
                <w:highlight w:val="none"/>
                <w:lang w:eastAsia="zh-CN"/>
              </w:rPr>
              <w:t>备注</w:t>
            </w:r>
          </w:p>
        </w:tc>
      </w:tr>
      <w:tr w14:paraId="2EF44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D0BF00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B99E17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净水器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431E1C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A9047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套</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980DBA0">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参考3.3.6.3</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14370A9">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11AA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9DA3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40DE85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阀门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E8595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94EC4A3">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27E653F2">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304不锈钢；DN50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A9E855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3341D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6B929C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4990E1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金属水管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41B6F8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7404C0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4C1EC2B">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薄壁304不锈钢；DN50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06E041F">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1B35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216E3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299E71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线缆</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A17BA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1E8A3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6003C80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WDZB-BYJ-450/750低烟无卤阻燃耐火交联聚乙烯导线</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E6A014E">
            <w:pPr>
              <w:keepNext w:val="0"/>
              <w:keepLines w:val="0"/>
              <w:suppressLineNumbers w:val="0"/>
              <w:tabs>
                <w:tab w:val="left" w:pos="420"/>
              </w:tabs>
              <w:adjustRightInd w:val="0"/>
              <w:snapToGrid w:val="0"/>
              <w:spacing w:before="0" w:beforeAutospacing="0" w:after="0" w:afterAutospacing="0" w:line="240" w:lineRule="auto"/>
              <w:ind w:left="0" w:right="0" w:firstLine="480" w:firstLineChars="200"/>
              <w:jc w:val="left"/>
              <w:rPr>
                <w:rFonts w:hint="eastAsia" w:ascii="宋体" w:hAnsi="宋体" w:eastAsia="宋体" w:cs="宋体"/>
                <w:color w:val="auto"/>
                <w:kern w:val="0"/>
                <w:sz w:val="24"/>
                <w:szCs w:val="24"/>
                <w:highlight w:val="none"/>
              </w:rPr>
            </w:pPr>
          </w:p>
        </w:tc>
      </w:tr>
      <w:tr w14:paraId="76E9A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2386F6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5</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FFD79E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排水管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28A49AF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B46979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0C94F1B5">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PVC材质</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DAAB19E">
            <w:pPr>
              <w:keepNext w:val="0"/>
              <w:keepLines w:val="0"/>
              <w:suppressLineNumbers w:val="0"/>
              <w:tabs>
                <w:tab w:val="left" w:pos="420"/>
              </w:tabs>
              <w:adjustRightInd w:val="0"/>
              <w:snapToGrid w:val="0"/>
              <w:spacing w:before="0" w:beforeAutospacing="0" w:after="0" w:afterAutospacing="0" w:line="240" w:lineRule="auto"/>
              <w:ind w:left="0" w:right="0" w:firstLine="480" w:firstLineChars="200"/>
              <w:jc w:val="left"/>
              <w:rPr>
                <w:rFonts w:hint="eastAsia" w:ascii="宋体" w:hAnsi="宋体" w:eastAsia="宋体" w:cs="宋体"/>
                <w:color w:val="auto"/>
                <w:kern w:val="0"/>
                <w:sz w:val="24"/>
                <w:szCs w:val="24"/>
                <w:highlight w:val="none"/>
              </w:rPr>
            </w:pPr>
          </w:p>
        </w:tc>
      </w:tr>
      <w:tr w14:paraId="63E3B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3A6DE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6</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45F9D26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U型卡箍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9ADE6C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6</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7CA180B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4152384">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M8或M10；不锈钢材质</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6F4D8AC8">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rPr>
            </w:pPr>
          </w:p>
        </w:tc>
      </w:tr>
      <w:tr w14:paraId="7CDC1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8B8703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840DF1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辅材</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35B12B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若干</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D6F12F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EF38A8A">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8E2FEA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4"/>
                <w:szCs w:val="24"/>
                <w:highlight w:val="none"/>
                <w:lang w:val="en-US" w:eastAsia="zh-CN"/>
              </w:rPr>
            </w:pPr>
          </w:p>
        </w:tc>
      </w:tr>
    </w:tbl>
    <w:p w14:paraId="7CD3AFC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jc w:val="left"/>
        <w:textAlignment w:val="auto"/>
        <w:rPr>
          <w:rFonts w:hint="eastAsia" w:ascii="宋体" w:hAnsi="宋体" w:eastAsia="宋体" w:cs="宋体"/>
          <w:b/>
          <w:color w:val="auto"/>
          <w:kern w:val="0"/>
          <w:sz w:val="21"/>
          <w:szCs w:val="21"/>
          <w:highlight w:val="none"/>
        </w:rPr>
      </w:pPr>
      <w:r>
        <w:rPr>
          <w:rFonts w:hint="eastAsia" w:ascii="方正仿宋_GB2312" w:hAnsi="方正仿宋_GB2312" w:eastAsia="方正仿宋_GB2312" w:cs="方正仿宋_GB2312"/>
          <w:b/>
          <w:color w:val="auto"/>
          <w:kern w:val="0"/>
          <w:sz w:val="24"/>
          <w:szCs w:val="24"/>
          <w:highlight w:val="none"/>
        </w:rPr>
        <w:tab/>
      </w:r>
      <w:r>
        <w:rPr>
          <w:rFonts w:hint="eastAsia" w:ascii="宋体" w:hAnsi="宋体" w:eastAsia="宋体" w:cs="宋体"/>
          <w:b/>
          <w:color w:val="auto"/>
          <w:kern w:val="0"/>
          <w:sz w:val="21"/>
          <w:szCs w:val="21"/>
          <w:highlight w:val="none"/>
        </w:rPr>
        <w:t>注：以上工作量清单表为需求参考工作量，投标人投标前应组织现场勘查，实际情况以现场勘查为准。如投标人未进行现场勘查，招标人则认为，投标人已完成掌握了解现场设备实际情况。</w:t>
      </w:r>
    </w:p>
    <w:p w14:paraId="46D5AC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5.3项目三：工作量清单</w:t>
      </w:r>
    </w:p>
    <w:tbl>
      <w:tblPr>
        <w:tblStyle w:val="23"/>
        <w:tblW w:w="93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668"/>
        <w:gridCol w:w="1904"/>
        <w:gridCol w:w="735"/>
        <w:gridCol w:w="1095"/>
        <w:gridCol w:w="2985"/>
        <w:gridCol w:w="1921"/>
      </w:tblGrid>
      <w:tr w14:paraId="1F08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7E5D9A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序号</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977CC0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名称</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306A41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数量</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ECE5C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单位</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86738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技术规格或工程特性</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BCD230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eastAsia="zh-CN"/>
              </w:rPr>
              <w:t>备注</w:t>
            </w:r>
          </w:p>
        </w:tc>
      </w:tr>
      <w:tr w14:paraId="1CC2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052ED4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1EDB6FA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06CC55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233F32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5D0E5E97">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0178D9E">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63AD1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1777325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31BB27CA">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不锈钢三通</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5990958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209908D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393424E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395CDB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146C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9EAAE0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9CEE7E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不锈钢变径</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35AA469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6871896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99F6E7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DN80转DN50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D5FE767">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464F2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52705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6111909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不锈钢闸阀</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33826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2</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AC3613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F0281B2">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570B81F">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3C6A3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0344A8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5</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37EDED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水表</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4AD37A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75CCD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6DFE2116">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D3DD84A">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44D94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441BA5B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rPr>
              <w:t>6</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1713FE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不锈钢水管</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4BA5175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8</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01699FF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米</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4412647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13AE5AB">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0B7D2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7520B44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7</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9A82E88">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不锈钢三通</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0AF1EB9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1</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3686AAB1">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个</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7C23DBC">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rPr>
              <w:t>DN50</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67C1FAA">
            <w:pPr>
              <w:keepNext w:val="0"/>
              <w:keepLines w:val="0"/>
              <w:suppressLineNumbers w:val="0"/>
              <w:tabs>
                <w:tab w:val="left" w:pos="420"/>
              </w:tabs>
              <w:adjustRightInd w:val="0"/>
              <w:snapToGrid w:val="0"/>
              <w:spacing w:before="0" w:beforeAutospacing="0" w:after="0" w:afterAutospacing="0" w:line="240" w:lineRule="auto"/>
              <w:ind w:left="0" w:right="0" w:firstLine="420" w:firstLineChars="200"/>
              <w:jc w:val="left"/>
              <w:rPr>
                <w:rFonts w:hint="eastAsia" w:ascii="宋体" w:hAnsi="宋体" w:eastAsia="宋体" w:cs="宋体"/>
                <w:color w:val="auto"/>
                <w:kern w:val="0"/>
                <w:sz w:val="21"/>
                <w:szCs w:val="21"/>
                <w:highlight w:val="none"/>
              </w:rPr>
            </w:pPr>
          </w:p>
        </w:tc>
      </w:tr>
      <w:tr w14:paraId="45A23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5222597D">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71BAFE24">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卡箍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72845B1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4</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9CFB4D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106D9B0E">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满足现场桥架需求</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4E18393">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rPr>
            </w:pPr>
          </w:p>
        </w:tc>
      </w:tr>
      <w:tr w14:paraId="135F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668" w:type="dxa"/>
            <w:tcBorders>
              <w:top w:val="single" w:color="auto" w:sz="4" w:space="0"/>
              <w:left w:val="single" w:color="auto" w:sz="4" w:space="0"/>
              <w:bottom w:val="single" w:color="auto" w:sz="4" w:space="0"/>
              <w:right w:val="single" w:color="auto" w:sz="4" w:space="0"/>
            </w:tcBorders>
            <w:noWrap w:val="0"/>
            <w:vAlign w:val="center"/>
          </w:tcPr>
          <w:p w14:paraId="32D42A89">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9</w:t>
            </w:r>
          </w:p>
        </w:tc>
        <w:tc>
          <w:tcPr>
            <w:tcW w:w="1904" w:type="dxa"/>
            <w:tcBorders>
              <w:top w:val="single" w:color="auto" w:sz="4" w:space="0"/>
              <w:left w:val="single" w:color="auto" w:sz="4" w:space="0"/>
              <w:bottom w:val="single" w:color="auto" w:sz="4" w:space="0"/>
              <w:right w:val="single" w:color="auto" w:sz="4" w:space="0"/>
            </w:tcBorders>
            <w:noWrap w:val="0"/>
            <w:vAlign w:val="center"/>
          </w:tcPr>
          <w:p w14:paraId="27B4A025">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lang w:val="en-US" w:eastAsia="zh-CN"/>
              </w:rPr>
              <w:t>辅材</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6202F120">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若干</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50E7EE3F">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件</w:t>
            </w:r>
          </w:p>
        </w:tc>
        <w:tc>
          <w:tcPr>
            <w:tcW w:w="2985" w:type="dxa"/>
            <w:tcBorders>
              <w:top w:val="single" w:color="auto" w:sz="4" w:space="0"/>
              <w:left w:val="single" w:color="auto" w:sz="4" w:space="0"/>
              <w:bottom w:val="single" w:color="auto" w:sz="4" w:space="0"/>
              <w:right w:val="single" w:color="auto" w:sz="4" w:space="0"/>
            </w:tcBorders>
            <w:noWrap w:val="0"/>
            <w:vAlign w:val="center"/>
          </w:tcPr>
          <w:p w14:paraId="7B14810B">
            <w:pPr>
              <w:keepNext w:val="0"/>
              <w:keepLines w:val="0"/>
              <w:suppressLineNumbers w:val="0"/>
              <w:tabs>
                <w:tab w:val="left" w:pos="420"/>
              </w:tabs>
              <w:adjustRightInd w:val="0"/>
              <w:snapToGrid w:val="0"/>
              <w:spacing w:before="0" w:beforeAutospacing="0" w:after="0" w:afterAutospacing="0" w:line="240" w:lineRule="auto"/>
              <w:ind w:left="0" w:right="0"/>
              <w:jc w:val="center"/>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各类直接、弯头、辅材</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D3A96AC">
            <w:pPr>
              <w:keepNext w:val="0"/>
              <w:keepLines w:val="0"/>
              <w:suppressLineNumbers w:val="0"/>
              <w:tabs>
                <w:tab w:val="left" w:pos="420"/>
              </w:tabs>
              <w:adjustRightInd w:val="0"/>
              <w:snapToGrid w:val="0"/>
              <w:spacing w:before="0" w:beforeAutospacing="0" w:after="0" w:afterAutospacing="0" w:line="240" w:lineRule="auto"/>
              <w:ind w:left="0" w:right="0"/>
              <w:jc w:val="left"/>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根据施工现场条件</w:t>
            </w:r>
          </w:p>
        </w:tc>
      </w:tr>
    </w:tbl>
    <w:p w14:paraId="0AE3B9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方正仿宋_GB2312" w:hAnsi="方正仿宋_GB2312" w:eastAsia="方正仿宋_GB2312" w:cs="方正仿宋_GB2312"/>
          <w:color w:val="auto"/>
          <w:kern w:val="0"/>
          <w:sz w:val="24"/>
          <w:szCs w:val="24"/>
          <w:highlight w:val="none"/>
          <w:lang w:eastAsia="zh-CN"/>
        </w:rPr>
      </w:pPr>
      <w:r>
        <w:rPr>
          <w:rFonts w:hint="eastAsia" w:ascii="宋体" w:hAnsi="宋体" w:eastAsia="宋体" w:cs="宋体"/>
          <w:color w:val="auto"/>
          <w:kern w:val="0"/>
          <w:sz w:val="21"/>
          <w:szCs w:val="21"/>
          <w:highlight w:val="none"/>
          <w:lang w:val="en-US" w:eastAsia="zh-CN"/>
        </w:rPr>
        <w:t>5.4</w:t>
      </w:r>
      <w:r>
        <w:rPr>
          <w:rFonts w:hint="eastAsia" w:ascii="宋体" w:hAnsi="宋体" w:eastAsia="宋体" w:cs="宋体"/>
          <w:color w:val="auto"/>
          <w:kern w:val="0"/>
          <w:sz w:val="21"/>
          <w:szCs w:val="21"/>
          <w:highlight w:val="none"/>
        </w:rPr>
        <w:t>投标人应根据本项目实际需求提供设备明细清单。</w:t>
      </w:r>
    </w:p>
    <w:p w14:paraId="2553931F">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90" w:name="_Toc31131"/>
      <w:bookmarkStart w:id="91" w:name="_Toc270689669"/>
      <w:bookmarkStart w:id="92" w:name="_Toc270688006"/>
      <w:bookmarkStart w:id="93" w:name="_Toc203205323"/>
      <w:bookmarkStart w:id="94" w:name="_Toc414004292"/>
      <w:bookmarkStart w:id="95" w:name="_Toc204592777"/>
      <w:bookmarkStart w:id="96" w:name="_Toc270684931"/>
      <w:bookmarkStart w:id="97" w:name="_Toc199246698"/>
      <w:bookmarkStart w:id="98" w:name="_Toc203206424"/>
      <w:bookmarkStart w:id="99" w:name="_Toc270685503"/>
      <w:bookmarkStart w:id="100" w:name="_Toc145927498"/>
      <w:r>
        <w:rPr>
          <w:rFonts w:hint="eastAsia" w:ascii="宋体" w:hAnsi="宋体" w:eastAsia="宋体" w:cs="宋体"/>
          <w:b/>
          <w:sz w:val="21"/>
          <w:szCs w:val="21"/>
          <w:highlight w:val="none"/>
          <w:lang w:val="en-US" w:eastAsia="zh-CN"/>
        </w:rPr>
        <w:t>六、文件</w:t>
      </w:r>
      <w:bookmarkEnd w:id="90"/>
      <w:bookmarkEnd w:id="91"/>
      <w:bookmarkEnd w:id="92"/>
      <w:bookmarkEnd w:id="93"/>
      <w:bookmarkEnd w:id="94"/>
      <w:bookmarkEnd w:id="95"/>
      <w:bookmarkEnd w:id="96"/>
      <w:bookmarkEnd w:id="97"/>
      <w:bookmarkEnd w:id="98"/>
      <w:bookmarkEnd w:id="99"/>
    </w:p>
    <w:p w14:paraId="5AE760C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6.1对于从市场上采购的产品，必须提供产品说明书和合格证，说明书应能满足</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lang w:val="en-US" w:eastAsia="zh-CN"/>
        </w:rPr>
        <w:t>的维修和采购的要求；</w:t>
      </w:r>
    </w:p>
    <w:p w14:paraId="20E2D15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6.2设备应符合国家标准。</w:t>
      </w:r>
    </w:p>
    <w:p w14:paraId="6FD3CB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bookmarkStart w:id="101" w:name="_Toc270688008"/>
      <w:bookmarkStart w:id="102" w:name="_Toc17251"/>
      <w:bookmarkStart w:id="103" w:name="_Toc165541668"/>
      <w:bookmarkStart w:id="104" w:name="_Toc270689671"/>
      <w:bookmarkStart w:id="105" w:name="_Toc161942218"/>
      <w:bookmarkStart w:id="106" w:name="_Toc414004294"/>
      <w:r>
        <w:rPr>
          <w:rFonts w:hint="eastAsia" w:ascii="宋体" w:hAnsi="宋体" w:eastAsia="宋体" w:cs="宋体"/>
          <w:color w:val="auto"/>
          <w:kern w:val="0"/>
          <w:sz w:val="21"/>
          <w:szCs w:val="21"/>
          <w:highlight w:val="none"/>
          <w:lang w:val="en-US" w:eastAsia="zh-CN"/>
        </w:rPr>
        <w:t>6.3手册要求</w:t>
      </w:r>
      <w:bookmarkEnd w:id="101"/>
      <w:bookmarkEnd w:id="102"/>
      <w:bookmarkEnd w:id="103"/>
      <w:bookmarkEnd w:id="104"/>
      <w:bookmarkEnd w:id="105"/>
      <w:bookmarkEnd w:id="106"/>
    </w:p>
    <w:p w14:paraId="3E0F585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6.3.1安装手册：安装手册应由所需之全部图纸和文件组成，应定义：</w:t>
      </w:r>
    </w:p>
    <w:p w14:paraId="5BD31B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●电源、数据、控制和通信接口的配线规程；</w:t>
      </w:r>
    </w:p>
    <w:p w14:paraId="7CFE520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●为设备就位所需之地板、导轨、支架的安装、钻孔和上螺丝的方法；</w:t>
      </w:r>
    </w:p>
    <w:p w14:paraId="1E8313C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●安全警告或注意事项；</w:t>
      </w:r>
    </w:p>
    <w:p w14:paraId="7F99348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●接地及其连接规程；</w:t>
      </w:r>
    </w:p>
    <w:p w14:paraId="245FC5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●测试和校准方法；</w:t>
      </w:r>
    </w:p>
    <w:p w14:paraId="6E8FBF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●气候防护、灰尘防护和其他的环境防护；</w:t>
      </w:r>
    </w:p>
    <w:p w14:paraId="289253C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●正确安装设备所需要的其他规程；</w:t>
      </w:r>
    </w:p>
    <w:p w14:paraId="498AB4D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●安装所需工具的功能及建议数量。</w:t>
      </w:r>
    </w:p>
    <w:p w14:paraId="71BD2B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.2操作手册：操作手册应为</w:t>
      </w:r>
      <w:r>
        <w:rPr>
          <w:rFonts w:hint="eastAsia" w:ascii="宋体" w:hAnsi="宋体" w:eastAsia="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在系统操作和检查提供指导。</w:t>
      </w:r>
    </w:p>
    <w:p w14:paraId="4E2A82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●系统概述；</w:t>
      </w:r>
    </w:p>
    <w:p w14:paraId="22C7895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●主要功能说明；</w:t>
      </w:r>
    </w:p>
    <w:p w14:paraId="291DA10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●操作指南；</w:t>
      </w:r>
    </w:p>
    <w:p w14:paraId="095AD38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●故障状态；</w:t>
      </w:r>
    </w:p>
    <w:p w14:paraId="04CE62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●供货商提交的说明资料要对所规定的每一种设备及其如何操作予以阐述；</w:t>
      </w:r>
    </w:p>
    <w:p w14:paraId="7562ED0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.3维修手册：</w:t>
      </w:r>
    </w:p>
    <w:p w14:paraId="022318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●维修手册应为系统维修人员的维护提供指导。</w:t>
      </w:r>
    </w:p>
    <w:p w14:paraId="45C9E92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●手册应对各系统各级检修的内容、要求、方法、程序、设备、工具、材料等方面做出详细的说明；对主要的故障部件的更换、调整和测试做出详细的说明。</w:t>
      </w:r>
    </w:p>
    <w:p w14:paraId="62A61B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●维修手册应用中文编制；</w:t>
      </w:r>
    </w:p>
    <w:p w14:paraId="3B480E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.4最终技术文件</w:t>
      </w:r>
    </w:p>
    <w:p w14:paraId="097F31F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最终技术文件应包括所供系统的最终技术参数，它应能清晰规定所有实现子系统要求的硬件和软件，并取得系统集成商和</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的确认。</w:t>
      </w:r>
    </w:p>
    <w:p w14:paraId="09158D7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最终技术文件包括但不限于下列内容：</w:t>
      </w:r>
    </w:p>
    <w:p w14:paraId="18D064E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●系统总说明；</w:t>
      </w:r>
    </w:p>
    <w:p w14:paraId="4A74F31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●系统构成；</w:t>
      </w:r>
    </w:p>
    <w:p w14:paraId="56569C3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●功能详细描述；</w:t>
      </w:r>
    </w:p>
    <w:p w14:paraId="1543F92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●技术参数；</w:t>
      </w:r>
    </w:p>
    <w:bookmarkEnd w:id="100"/>
    <w:p w14:paraId="16B752AD">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107" w:name="_Toc509033984"/>
      <w:bookmarkStart w:id="108" w:name="_Toc204592778"/>
      <w:bookmarkStart w:id="109" w:name="_Toc119140875"/>
      <w:bookmarkStart w:id="110" w:name="_Toc270685504"/>
      <w:bookmarkStart w:id="111" w:name="_Toc20393"/>
      <w:bookmarkStart w:id="112" w:name="_Toc119945225"/>
      <w:bookmarkStart w:id="113" w:name="_Toc270688009"/>
      <w:bookmarkStart w:id="114" w:name="_Toc414004295"/>
      <w:bookmarkStart w:id="115" w:name="_Toc136230048"/>
      <w:bookmarkStart w:id="116" w:name="_Toc130888805"/>
      <w:bookmarkStart w:id="117" w:name="_Toc119945109"/>
      <w:bookmarkStart w:id="118" w:name="_Toc270684932"/>
      <w:bookmarkStart w:id="119" w:name="_Toc203206425"/>
      <w:bookmarkStart w:id="120" w:name="_Toc270689672"/>
      <w:bookmarkStart w:id="121" w:name="_Toc203205324"/>
      <w:r>
        <w:rPr>
          <w:rFonts w:hint="eastAsia" w:ascii="宋体" w:hAnsi="宋体" w:eastAsia="宋体" w:cs="宋体"/>
          <w:b/>
          <w:sz w:val="21"/>
          <w:szCs w:val="21"/>
          <w:highlight w:val="none"/>
          <w:lang w:val="en-US" w:eastAsia="zh-CN"/>
        </w:rPr>
        <w:t>七、培训</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2AFCE09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本项目培训为现场培训（免费，人数不限），要求如下：</w:t>
      </w:r>
    </w:p>
    <w:p w14:paraId="14FACE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派出经验丰富的技术人员对</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的维修、操作人员进行现场培训。</w:t>
      </w:r>
    </w:p>
    <w:p w14:paraId="6F89F82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7.2现场培训在本项目终验之后进行，该培训在控制中心进行，培训的内容包括正常操作程序和如何处理紧急情况。</w:t>
      </w:r>
    </w:p>
    <w:p w14:paraId="780F8ED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7.3现场培训包括安装、调试、维护等项内容，使维护人员掌握操作维护</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提供的设备、专用仪表的能力。</w:t>
      </w:r>
    </w:p>
    <w:p w14:paraId="7589033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7.4</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提供培训人员所需的设备、工具、仪器仪表等。</w:t>
      </w:r>
    </w:p>
    <w:p w14:paraId="5E04200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22" w:name="_Toc198967522"/>
      <w:bookmarkStart w:id="123" w:name="_Toc270688010"/>
      <w:bookmarkStart w:id="124" w:name="_Toc270689673"/>
      <w:bookmarkStart w:id="125" w:name="_Toc414004296"/>
      <w:bookmarkStart w:id="126" w:name="_Toc199246701"/>
      <w:bookmarkStart w:id="127" w:name="_Toc204592783"/>
      <w:bookmarkStart w:id="128" w:name="_Toc203206432"/>
      <w:bookmarkStart w:id="129" w:name="_Toc270685505"/>
      <w:bookmarkStart w:id="130" w:name="_Toc49593672"/>
      <w:bookmarkStart w:id="131" w:name="_Toc22825"/>
      <w:bookmarkStart w:id="132" w:name="_Toc270684933"/>
      <w:bookmarkStart w:id="133" w:name="_Toc48382253"/>
      <w:bookmarkStart w:id="134" w:name="_Toc198968314"/>
      <w:bookmarkStart w:id="135" w:name="_Toc48443677"/>
      <w:r>
        <w:rPr>
          <w:rFonts w:hint="eastAsia" w:ascii="宋体" w:hAnsi="宋体" w:eastAsia="宋体" w:cs="宋体"/>
          <w:color w:val="auto"/>
          <w:kern w:val="0"/>
          <w:sz w:val="21"/>
          <w:szCs w:val="21"/>
          <w:highlight w:val="none"/>
        </w:rPr>
        <w:t>7.5</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提供培训的相关资料及文本。</w:t>
      </w:r>
    </w:p>
    <w:p w14:paraId="01965661">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八、试验、检验、验收</w: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Start w:id="136" w:name="_Toc502480351"/>
      <w:bookmarkStart w:id="137" w:name="_Toc48443679"/>
      <w:bookmarkStart w:id="138" w:name="_Toc508891162"/>
      <w:bookmarkStart w:id="139" w:name="_Toc508089936"/>
      <w:bookmarkStart w:id="140" w:name="_Toc508704371"/>
      <w:bookmarkStart w:id="141" w:name="_Toc49593674"/>
      <w:bookmarkStart w:id="142" w:name="_Toc508685078"/>
      <w:bookmarkStart w:id="143" w:name="_Toc508685005"/>
      <w:bookmarkStart w:id="144" w:name="_Toc39297924"/>
      <w:bookmarkStart w:id="145" w:name="_Toc198968315"/>
      <w:bookmarkStart w:id="146" w:name="_Toc48382255"/>
    </w:p>
    <w:p w14:paraId="0FE4556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47" w:name="_Toc199246702"/>
      <w:bookmarkStart w:id="148" w:name="_Toc270685506"/>
      <w:bookmarkStart w:id="149" w:name="_Toc203206433"/>
      <w:bookmarkStart w:id="150" w:name="_Toc414004297"/>
      <w:bookmarkStart w:id="151" w:name="_Toc270684934"/>
      <w:bookmarkStart w:id="152" w:name="_Toc270689674"/>
      <w:bookmarkStart w:id="153" w:name="_Toc204592784"/>
      <w:bookmarkStart w:id="154" w:name="_Toc417"/>
      <w:bookmarkStart w:id="155" w:name="_Toc270688011"/>
      <w:r>
        <w:rPr>
          <w:rFonts w:hint="eastAsia" w:ascii="宋体" w:hAnsi="宋体" w:eastAsia="宋体" w:cs="宋体"/>
          <w:color w:val="auto"/>
          <w:kern w:val="0"/>
          <w:sz w:val="21"/>
          <w:szCs w:val="21"/>
          <w:highlight w:val="none"/>
        </w:rPr>
        <w:t>8.1到货检查</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14:paraId="31C8470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6" w:name="_Toc203206434"/>
      <w:r>
        <w:rPr>
          <w:rFonts w:hint="eastAsia" w:ascii="宋体" w:hAnsi="宋体" w:eastAsia="宋体" w:cs="宋体"/>
          <w:color w:val="auto"/>
          <w:kern w:val="0"/>
          <w:sz w:val="21"/>
          <w:szCs w:val="21"/>
          <w:highlight w:val="none"/>
        </w:rPr>
        <w:t>合同项下的设备、材料和技术文件运抵规定的交货地点后，买卖双方人员共同对其进行检查，并</w:t>
      </w:r>
      <w:r>
        <w:rPr>
          <w:rFonts w:hint="eastAsia" w:ascii="宋体" w:hAnsi="宋体" w:eastAsia="宋体" w:cs="宋体"/>
          <w:color w:val="auto"/>
          <w:kern w:val="0"/>
          <w:sz w:val="21"/>
          <w:szCs w:val="21"/>
          <w:highlight w:val="none"/>
          <w:lang w:eastAsia="zh-CN"/>
        </w:rPr>
        <w:t>认真做好</w:t>
      </w:r>
      <w:r>
        <w:rPr>
          <w:rFonts w:hint="eastAsia" w:ascii="宋体" w:hAnsi="宋体" w:eastAsia="宋体" w:cs="宋体"/>
          <w:color w:val="auto"/>
          <w:kern w:val="0"/>
          <w:sz w:val="21"/>
          <w:szCs w:val="21"/>
          <w:highlight w:val="none"/>
        </w:rPr>
        <w:t>交接记录，各方签字。</w:t>
      </w:r>
      <w:bookmarkEnd w:id="156"/>
    </w:p>
    <w:p w14:paraId="7CD0F11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7" w:name="_Toc203206435"/>
      <w:r>
        <w:rPr>
          <w:rFonts w:hint="eastAsia" w:ascii="宋体" w:hAnsi="宋体" w:eastAsia="宋体" w:cs="宋体"/>
          <w:color w:val="auto"/>
          <w:kern w:val="0"/>
          <w:sz w:val="21"/>
          <w:szCs w:val="21"/>
          <w:highlight w:val="none"/>
        </w:rPr>
        <w:t>检查的内容主要有：满足合同对包装的要求；外观良好，运输途中未受损；</w:t>
      </w:r>
      <w:bookmarkEnd w:id="157"/>
    </w:p>
    <w:p w14:paraId="7014D5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8" w:name="_Toc203206436"/>
      <w:r>
        <w:rPr>
          <w:rFonts w:hint="eastAsia" w:ascii="宋体" w:hAnsi="宋体" w:eastAsia="宋体" w:cs="宋体"/>
          <w:color w:val="auto"/>
          <w:kern w:val="0"/>
          <w:sz w:val="21"/>
          <w:szCs w:val="21"/>
          <w:highlight w:val="none"/>
        </w:rPr>
        <w:t>编号、数量和名称与合同要求的货物清单核实无误。</w:t>
      </w:r>
      <w:bookmarkEnd w:id="158"/>
    </w:p>
    <w:p w14:paraId="61D275E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59" w:name="_Toc508685079"/>
      <w:bookmarkStart w:id="160" w:name="_Toc203206437"/>
      <w:bookmarkStart w:id="161" w:name="_Toc508891163"/>
      <w:bookmarkStart w:id="162" w:name="_Toc508089937"/>
      <w:bookmarkStart w:id="163" w:name="_Toc48382256"/>
      <w:bookmarkStart w:id="164" w:name="_Toc270688012"/>
      <w:bookmarkStart w:id="165" w:name="_Toc270685507"/>
      <w:bookmarkStart w:id="166" w:name="_Toc508685006"/>
      <w:bookmarkStart w:id="167" w:name="_Toc2437"/>
      <w:bookmarkStart w:id="168" w:name="_Toc199246703"/>
      <w:bookmarkStart w:id="169" w:name="_Toc198968316"/>
      <w:bookmarkStart w:id="170" w:name="_Toc48443680"/>
      <w:bookmarkStart w:id="171" w:name="_Toc508704372"/>
      <w:bookmarkStart w:id="172" w:name="_Toc414004298"/>
      <w:bookmarkStart w:id="173" w:name="_Toc204592785"/>
      <w:bookmarkStart w:id="174" w:name="_Toc39297925"/>
      <w:bookmarkStart w:id="175" w:name="_Toc270689675"/>
      <w:bookmarkStart w:id="176" w:name="_Toc49593675"/>
      <w:bookmarkStart w:id="177" w:name="_Toc270684935"/>
      <w:bookmarkStart w:id="178" w:name="_Toc502480352"/>
      <w:r>
        <w:rPr>
          <w:rFonts w:hint="eastAsia" w:ascii="宋体" w:hAnsi="宋体" w:eastAsia="宋体" w:cs="宋体"/>
          <w:color w:val="auto"/>
          <w:kern w:val="0"/>
          <w:sz w:val="21"/>
          <w:szCs w:val="21"/>
          <w:highlight w:val="none"/>
        </w:rPr>
        <w:t>8.2开箱检验</w: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p>
    <w:p w14:paraId="0F7F25F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79" w:name="_Toc203206438"/>
      <w:r>
        <w:rPr>
          <w:rFonts w:hint="eastAsia" w:ascii="宋体" w:hAnsi="宋体" w:eastAsia="宋体" w:cs="宋体"/>
          <w:color w:val="auto"/>
          <w:kern w:val="0"/>
          <w:sz w:val="21"/>
          <w:szCs w:val="21"/>
          <w:highlight w:val="none"/>
        </w:rPr>
        <w:t>在设备运到现场规定时间内，</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与</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到现场进行开箱检查若发现有诸如数量、型号</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外观与合同不符以及存在的质量问题，均由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负责。开箱检查结果，不免除供应商对产品功能方面的任何责任。</w:t>
      </w:r>
      <w:bookmarkEnd w:id="179"/>
    </w:p>
    <w:p w14:paraId="73E68C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180" w:name="_Toc48443681"/>
      <w:bookmarkStart w:id="181" w:name="_Toc414004299"/>
      <w:bookmarkStart w:id="182" w:name="_Toc203206439"/>
      <w:bookmarkStart w:id="183" w:name="_Toc270685508"/>
      <w:bookmarkStart w:id="184" w:name="_Toc270689676"/>
      <w:bookmarkStart w:id="185" w:name="_Toc270684936"/>
      <w:bookmarkStart w:id="186" w:name="_Toc502480353"/>
      <w:bookmarkStart w:id="187" w:name="_Toc508685080"/>
      <w:bookmarkStart w:id="188" w:name="_Toc270688013"/>
      <w:bookmarkStart w:id="189" w:name="_Toc508685007"/>
      <w:bookmarkStart w:id="190" w:name="_Toc508891164"/>
      <w:bookmarkStart w:id="191" w:name="_Toc508089938"/>
      <w:bookmarkStart w:id="192" w:name="_Toc204592786"/>
      <w:bookmarkStart w:id="193" w:name="_Toc508704373"/>
      <w:bookmarkStart w:id="194" w:name="_Toc49593676"/>
      <w:bookmarkStart w:id="195" w:name="_Toc198968317"/>
      <w:bookmarkStart w:id="196" w:name="_Toc199246704"/>
      <w:bookmarkStart w:id="197" w:name="_Toc15713"/>
      <w:bookmarkStart w:id="198" w:name="_Toc39297926"/>
      <w:bookmarkStart w:id="199" w:name="_Toc48382257"/>
      <w:r>
        <w:rPr>
          <w:rFonts w:hint="eastAsia" w:ascii="宋体" w:hAnsi="宋体" w:eastAsia="宋体" w:cs="宋体"/>
          <w:color w:val="auto"/>
          <w:kern w:val="0"/>
          <w:sz w:val="21"/>
          <w:szCs w:val="21"/>
          <w:highlight w:val="none"/>
        </w:rPr>
        <w:t>8.3竣工验收</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14:paraId="3EB6CE7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00" w:name="_Toc42398431"/>
      <w:bookmarkStart w:id="201" w:name="_Toc48456544"/>
      <w:r>
        <w:rPr>
          <w:rFonts w:hint="eastAsia" w:ascii="宋体" w:hAnsi="宋体" w:eastAsia="宋体" w:cs="宋体"/>
          <w:color w:val="auto"/>
          <w:kern w:val="0"/>
          <w:sz w:val="21"/>
          <w:szCs w:val="21"/>
          <w:highlight w:val="none"/>
        </w:rPr>
        <w:t>8.3.1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应提前根据工程进度要求，制定设备安装、验收计划，提交</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审核，由</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审批、确认。</w:t>
      </w:r>
    </w:p>
    <w:p w14:paraId="78421A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8.3.2安装完成后，</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按照</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制定安装验收计划和行业相关安装验收标准进行竣工验收。</w:t>
      </w:r>
    </w:p>
    <w:p w14:paraId="1DDCB86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竣工验收应包括但不限于以下内容：</w:t>
      </w:r>
    </w:p>
    <w:p w14:paraId="0255F90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（1）所有设备、电缆布线和配电安全、可靠。</w:t>
      </w:r>
    </w:p>
    <w:p w14:paraId="1DC303A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电缆和设备的绝缘电阻要大于IEC规定要求。</w:t>
      </w:r>
    </w:p>
    <w:p w14:paraId="6E15487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所有用于故障指示和报警的电子回路应工作正常。</w:t>
      </w:r>
    </w:p>
    <w:p w14:paraId="036876B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设备外观检查：（现场检查，据图核对）</w:t>
      </w:r>
    </w:p>
    <w:p w14:paraId="05ABA4A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在检查过程中，如发现</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未能满足施工图和</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需求表的功能要求，</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应无条件的按照要求进行整改，直至达到规定的要求。</w:t>
      </w:r>
    </w:p>
    <w:p w14:paraId="4445CF6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（6）相官车辆段食堂饮用水加装净化器中，净水器出水水质需出具第三方机构的水质检测报告，费用由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lang w:val="en-US" w:eastAsia="zh-CN"/>
        </w:rPr>
        <w:t>承担。</w:t>
      </w:r>
    </w:p>
    <w:p w14:paraId="564DA02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8.3.3对未通过验收的安装项目，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向</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发出修改、替换通知，限期修改、替换，由此而发生的费用由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承担。</w:t>
      </w:r>
    </w:p>
    <w:p w14:paraId="4772875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8.3.4竣工验收设备功能需满足</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要求的所有功能，如果系统功能不满足合同规定的技术要求，</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必须在规定的时间内进行解决，由此引起的一切费用由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w:t>
      </w:r>
    </w:p>
    <w:p w14:paraId="7E4838D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02" w:name="_Toc270689677"/>
      <w:bookmarkStart w:id="203" w:name="_Toc204592787"/>
      <w:bookmarkStart w:id="204" w:name="_Toc198968318"/>
      <w:bookmarkStart w:id="205" w:name="_Toc414004300"/>
      <w:bookmarkStart w:id="206" w:name="_Toc199246705"/>
      <w:bookmarkStart w:id="207" w:name="_Toc48462671"/>
      <w:bookmarkStart w:id="208" w:name="_Toc270684937"/>
      <w:bookmarkStart w:id="209" w:name="_Toc270685509"/>
      <w:bookmarkStart w:id="210" w:name="_Toc49593685"/>
      <w:bookmarkStart w:id="211" w:name="_Toc4322"/>
      <w:bookmarkStart w:id="212" w:name="_Toc203206440"/>
      <w:bookmarkStart w:id="213" w:name="_Toc270688014"/>
      <w:r>
        <w:rPr>
          <w:rFonts w:hint="eastAsia" w:ascii="宋体" w:hAnsi="宋体" w:eastAsia="宋体" w:cs="宋体"/>
          <w:color w:val="auto"/>
          <w:kern w:val="0"/>
          <w:sz w:val="21"/>
          <w:szCs w:val="21"/>
          <w:highlight w:val="none"/>
        </w:rPr>
        <w:t>8.4最终验收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14:paraId="37AB0A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质量保证期结束后四十五(45)天内，</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确认设备运行可靠，功能齐全、各项指标及技术参数全部合格，对本工程项目无异议，即可开具最终验收证书。</w:t>
      </w:r>
    </w:p>
    <w:p w14:paraId="318CCE8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若</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认为设备中出现的疏漏和错误不影响最终验收证书的签署，</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应签署最终验收证书并注明存在的疏漏和错误。</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应采取措施对存在的疏漏和错误(包括潜在的)进行修正，直至使</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满意为止。</w:t>
      </w:r>
    </w:p>
    <w:p w14:paraId="2385CD2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在质量保证期内，</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所供设备和产品出现任何质量问题，</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将负责对故障设备或模块元件予以免费维修或更换。</w:t>
      </w:r>
      <w:bookmarkStart w:id="214" w:name="调试"/>
      <w:bookmarkEnd w:id="214"/>
      <w:bookmarkStart w:id="215" w:name="卖方"/>
      <w:bookmarkEnd w:id="215"/>
      <w:bookmarkStart w:id="216" w:name="买方责任"/>
      <w:bookmarkEnd w:id="216"/>
      <w:bookmarkStart w:id="217" w:name="卖方2"/>
      <w:bookmarkEnd w:id="217"/>
      <w:bookmarkStart w:id="218" w:name="安装责任"/>
      <w:bookmarkEnd w:id="218"/>
      <w:bookmarkStart w:id="219" w:name="买方的责任"/>
      <w:bookmarkEnd w:id="219"/>
    </w:p>
    <w:p w14:paraId="0B9579A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220" w:name="_Toc270685510"/>
      <w:bookmarkStart w:id="221" w:name="_Toc145927554"/>
      <w:bookmarkStart w:id="222" w:name="_Toc203206441"/>
      <w:bookmarkStart w:id="223" w:name="_Toc145927649"/>
      <w:bookmarkStart w:id="224" w:name="_Toc270689678"/>
      <w:bookmarkStart w:id="225" w:name="_Toc414004301"/>
      <w:bookmarkStart w:id="226" w:name="_Toc204592788"/>
      <w:bookmarkStart w:id="227" w:name="_Toc270684938"/>
      <w:bookmarkStart w:id="228" w:name="_Toc5134"/>
      <w:bookmarkStart w:id="229" w:name="_Toc145928068"/>
      <w:bookmarkStart w:id="230" w:name="_Toc270688015"/>
      <w:bookmarkStart w:id="231" w:name="_Toc199246710"/>
      <w:bookmarkStart w:id="232" w:name="_Toc141329160"/>
      <w:r>
        <w:rPr>
          <w:rFonts w:hint="eastAsia" w:ascii="宋体" w:hAnsi="宋体" w:eastAsia="宋体" w:cs="宋体"/>
          <w:b/>
          <w:sz w:val="21"/>
          <w:szCs w:val="21"/>
          <w:highlight w:val="none"/>
          <w:lang w:val="en-US" w:eastAsia="zh-CN"/>
        </w:rPr>
        <w:t>九、质保期及后续服务</w:t>
      </w:r>
      <w:bookmarkEnd w:id="220"/>
      <w:bookmarkEnd w:id="221"/>
      <w:bookmarkEnd w:id="222"/>
      <w:bookmarkEnd w:id="223"/>
      <w:bookmarkEnd w:id="224"/>
      <w:bookmarkEnd w:id="225"/>
      <w:bookmarkEnd w:id="226"/>
      <w:bookmarkEnd w:id="227"/>
      <w:bookmarkEnd w:id="228"/>
      <w:bookmarkEnd w:id="229"/>
      <w:bookmarkEnd w:id="230"/>
      <w:bookmarkEnd w:id="231"/>
      <w:bookmarkEnd w:id="232"/>
    </w:p>
    <w:p w14:paraId="22613F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33" w:name="_Toc270684939"/>
      <w:bookmarkStart w:id="234" w:name="_Toc270685511"/>
      <w:bookmarkStart w:id="235" w:name="_Toc119379241"/>
      <w:bookmarkStart w:id="236" w:name="_Toc28847"/>
      <w:bookmarkStart w:id="237" w:name="_Toc119207257"/>
      <w:bookmarkStart w:id="238" w:name="_Toc119945233"/>
      <w:bookmarkStart w:id="239" w:name="_Toc204592789"/>
      <w:bookmarkStart w:id="240" w:name="_Toc130888812"/>
      <w:bookmarkStart w:id="241" w:name="_Toc136685266"/>
      <w:bookmarkStart w:id="242" w:name="_Toc145928069"/>
      <w:bookmarkStart w:id="243" w:name="_Toc414004302"/>
      <w:bookmarkStart w:id="244" w:name="_Toc199246711"/>
      <w:bookmarkStart w:id="245" w:name="_Toc145927650"/>
      <w:bookmarkStart w:id="246" w:name="_Toc203206442"/>
      <w:bookmarkStart w:id="247" w:name="_Toc270689679"/>
      <w:bookmarkStart w:id="248" w:name="_Toc119140924"/>
      <w:bookmarkStart w:id="249" w:name="_Toc270688016"/>
      <w:bookmarkStart w:id="250" w:name="_Toc145927555"/>
      <w:bookmarkStart w:id="251" w:name="_Toc119207184"/>
      <w:r>
        <w:rPr>
          <w:rFonts w:hint="eastAsia" w:ascii="宋体" w:hAnsi="宋体" w:eastAsia="宋体" w:cs="宋体"/>
          <w:color w:val="auto"/>
          <w:kern w:val="0"/>
          <w:sz w:val="21"/>
          <w:szCs w:val="21"/>
          <w:highlight w:val="none"/>
        </w:rPr>
        <w:t>9.1质保期的服务</w:t>
      </w:r>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Start w:id="252" w:name="_Toc132788449"/>
      <w:bookmarkStart w:id="253" w:name="_Toc132788261"/>
    </w:p>
    <w:p w14:paraId="294DD8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54" w:name="_Toc145927556"/>
      <w:bookmarkStart w:id="255" w:name="_Toc145927651"/>
      <w:r>
        <w:rPr>
          <w:rFonts w:hint="eastAsia" w:ascii="宋体" w:hAnsi="宋体" w:eastAsia="宋体" w:cs="宋体"/>
          <w:color w:val="auto"/>
          <w:kern w:val="0"/>
          <w:sz w:val="21"/>
          <w:szCs w:val="21"/>
          <w:highlight w:val="none"/>
        </w:rPr>
        <w:t>9.1.1质量保证期（以下简称“质保期”）从设备安装调试完毕并通过竣工验收之日开始计算。本项目质保期最少为</w:t>
      </w:r>
      <w:r>
        <w:rPr>
          <w:rFonts w:hint="eastAsia" w:ascii="宋体" w:hAnsi="宋体" w:eastAsia="宋体" w:cs="宋体"/>
          <w:color w:val="auto"/>
          <w:kern w:val="0"/>
          <w:sz w:val="21"/>
          <w:szCs w:val="21"/>
          <w:highlight w:val="none"/>
          <w:lang w:val="en-US" w:eastAsia="zh-CN"/>
        </w:rPr>
        <w:t>一</w:t>
      </w:r>
      <w:r>
        <w:rPr>
          <w:rFonts w:hint="eastAsia" w:ascii="宋体" w:hAnsi="宋体" w:eastAsia="宋体" w:cs="宋体"/>
          <w:color w:val="auto"/>
          <w:kern w:val="0"/>
          <w:sz w:val="21"/>
          <w:szCs w:val="21"/>
          <w:highlight w:val="none"/>
        </w:rPr>
        <w:t>年。</w:t>
      </w:r>
    </w:p>
    <w:p w14:paraId="343AE98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9.1.2在质保期内，</w:t>
      </w:r>
      <w:r>
        <w:rPr>
          <w:rFonts w:hint="eastAsia" w:ascii="宋体" w:hAnsi="宋体" w:eastAsia="宋体" w:cs="宋体"/>
          <w:color w:val="auto"/>
          <w:kern w:val="0"/>
          <w:sz w:val="21"/>
          <w:szCs w:val="21"/>
          <w:highlight w:val="none"/>
          <w:lang w:eastAsia="zh-CN"/>
        </w:rPr>
        <w:t>乙方</w:t>
      </w:r>
      <w:r>
        <w:rPr>
          <w:rFonts w:hint="eastAsia" w:ascii="宋体" w:hAnsi="宋体" w:eastAsia="宋体" w:cs="宋体"/>
          <w:color w:val="auto"/>
          <w:kern w:val="0"/>
          <w:sz w:val="21"/>
          <w:szCs w:val="21"/>
          <w:highlight w:val="none"/>
        </w:rPr>
        <w:t>将做到以下几点：</w:t>
      </w:r>
    </w:p>
    <w:p w14:paraId="047607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继续</w:t>
      </w:r>
      <w:r>
        <w:rPr>
          <w:rFonts w:hint="eastAsia" w:ascii="宋体" w:hAnsi="宋体" w:eastAsia="宋体" w:cs="宋体"/>
          <w:color w:val="auto"/>
          <w:kern w:val="0"/>
          <w:sz w:val="21"/>
          <w:szCs w:val="21"/>
          <w:highlight w:val="none"/>
          <w:lang w:eastAsia="zh-CN"/>
        </w:rPr>
        <w:t>记录</w:t>
      </w:r>
      <w:r>
        <w:rPr>
          <w:rFonts w:hint="eastAsia" w:ascii="宋体" w:hAnsi="宋体" w:eastAsia="宋体" w:cs="宋体"/>
          <w:color w:val="auto"/>
          <w:kern w:val="0"/>
          <w:sz w:val="21"/>
          <w:szCs w:val="21"/>
          <w:highlight w:val="none"/>
        </w:rPr>
        <w:t>各子系统和设备运行的所有故障。</w:t>
      </w:r>
    </w:p>
    <w:p w14:paraId="39306E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1相官车辆段食堂饮用水加装净化器中</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提供至少一次全套滤芯更换服务，且提供一年使用量的滤芯备件（不得少于一套）。</w:t>
      </w:r>
    </w:p>
    <w:p w14:paraId="220D3AE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对由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原因引起或造成系统（或设备）故障或板卡等部件损坏，</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将免费修理或更换。修理的时间为：</w:t>
      </w:r>
      <w:r>
        <w:rPr>
          <w:rFonts w:hint="eastAsia" w:ascii="宋体" w:hAnsi="宋体" w:cs="宋体"/>
          <w:color w:val="auto"/>
          <w:kern w:val="0"/>
          <w:sz w:val="21"/>
          <w:szCs w:val="21"/>
          <w:highlight w:val="none"/>
          <w:lang w:val="en-US" w:eastAsia="zh-CN"/>
        </w:rPr>
        <w:t>一个月</w:t>
      </w:r>
      <w:r>
        <w:rPr>
          <w:rFonts w:hint="eastAsia" w:ascii="宋体" w:hAnsi="宋体" w:eastAsia="宋体" w:cs="宋体"/>
          <w:color w:val="auto"/>
          <w:kern w:val="0"/>
          <w:sz w:val="21"/>
          <w:szCs w:val="21"/>
          <w:highlight w:val="none"/>
        </w:rPr>
        <w:t>。如在规定时间未能完成，且无任何原因，</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将视情节根据合同相关条款对其进行经济处罚。</w:t>
      </w:r>
    </w:p>
    <w:p w14:paraId="420075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对维修（或更换）后的设备，</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同时提供设备维修（或更换）书面报告。书面报告的内容包括但不限于以下内容：</w:t>
      </w:r>
    </w:p>
    <w:p w14:paraId="5869EE3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（1）故障报告人（</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w:t>
      </w:r>
    </w:p>
    <w:p w14:paraId="0C00885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（2）故障受理人（</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w:t>
      </w:r>
    </w:p>
    <w:p w14:paraId="4BDD492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（3）故障发生时间；</w:t>
      </w:r>
    </w:p>
    <w:p w14:paraId="09680C0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（4）故障现象；</w:t>
      </w:r>
    </w:p>
    <w:p w14:paraId="266D722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（5）故障产生的原因；</w:t>
      </w:r>
    </w:p>
    <w:p w14:paraId="3DDEF44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（6）处理、解决办法；</w:t>
      </w:r>
    </w:p>
    <w:p w14:paraId="4C49EC1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（7）故障修复时间；</w:t>
      </w:r>
    </w:p>
    <w:p w14:paraId="5467984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（8）处理人签名。</w:t>
      </w:r>
    </w:p>
    <w:p w14:paraId="51D8A8D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2.5</w:t>
      </w:r>
      <w:r>
        <w:rPr>
          <w:rFonts w:hint="eastAsia" w:ascii="宋体" w:hAnsi="宋体" w:eastAsia="宋体" w:cs="宋体"/>
          <w:color w:val="auto"/>
          <w:kern w:val="0"/>
          <w:sz w:val="21"/>
          <w:szCs w:val="21"/>
          <w:highlight w:val="none"/>
        </w:rPr>
        <w:t>对所提供的设备实行“三包”。既包修、包换、包退。</w:t>
      </w:r>
    </w:p>
    <w:p w14:paraId="165D4AE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2.6</w:t>
      </w:r>
      <w:r>
        <w:rPr>
          <w:rFonts w:hint="eastAsia" w:ascii="宋体" w:hAnsi="宋体" w:eastAsia="宋体" w:cs="宋体"/>
          <w:color w:val="auto"/>
          <w:kern w:val="0"/>
          <w:sz w:val="21"/>
          <w:szCs w:val="21"/>
          <w:highlight w:val="none"/>
        </w:rPr>
        <w:t>对所提供的设备免费提供日常维护服务、排除故障及抢修服务、软件升级服务。</w:t>
      </w:r>
    </w:p>
    <w:p w14:paraId="7C0548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2.7</w:t>
      </w:r>
      <w:r>
        <w:rPr>
          <w:rFonts w:hint="eastAsia" w:ascii="宋体" w:hAnsi="宋体" w:eastAsia="宋体" w:cs="宋体"/>
          <w:color w:val="auto"/>
          <w:kern w:val="0"/>
          <w:sz w:val="21"/>
          <w:szCs w:val="21"/>
          <w:highlight w:val="none"/>
        </w:rPr>
        <w:t>如果发生故障的设备或材料需要更换或修理，在修理期间可使用</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的备件，但</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必须购买全新的替换件提供给</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w:t>
      </w:r>
    </w:p>
    <w:p w14:paraId="7B59297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w:t>
      </w:r>
      <w:r>
        <w:rPr>
          <w:rFonts w:hint="eastAsia" w:ascii="宋体" w:hAnsi="宋体" w:eastAsia="宋体" w:cs="宋体"/>
          <w:color w:val="auto"/>
          <w:kern w:val="0"/>
          <w:sz w:val="21"/>
          <w:szCs w:val="21"/>
          <w:highlight w:val="none"/>
          <w:lang w:val="en-US" w:eastAsia="zh-CN"/>
        </w:rPr>
        <w:t>2.8</w:t>
      </w:r>
      <w:r>
        <w:rPr>
          <w:rFonts w:hint="eastAsia" w:ascii="宋体" w:hAnsi="宋体" w:eastAsia="宋体" w:cs="宋体"/>
          <w:color w:val="auto"/>
          <w:kern w:val="0"/>
          <w:sz w:val="21"/>
          <w:szCs w:val="21"/>
          <w:highlight w:val="none"/>
        </w:rPr>
        <w:t>如果</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提供的设备出现的故障在质保期内未能解决，</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将不受质保期制约无条件负责直至故障解决。</w:t>
      </w:r>
      <w:bookmarkEnd w:id="252"/>
      <w:bookmarkEnd w:id="253"/>
      <w:bookmarkEnd w:id="254"/>
      <w:bookmarkEnd w:id="255"/>
      <w:bookmarkStart w:id="256" w:name="_Toc132788263"/>
      <w:bookmarkStart w:id="257" w:name="_Toc132431585"/>
      <w:bookmarkStart w:id="258" w:name="_Toc132788451"/>
    </w:p>
    <w:bookmarkEnd w:id="256"/>
    <w:bookmarkEnd w:id="257"/>
    <w:bookmarkEnd w:id="258"/>
    <w:p w14:paraId="421D24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59" w:name="_Toc414004303"/>
      <w:bookmarkStart w:id="260" w:name="_Toc145927656"/>
      <w:bookmarkStart w:id="261" w:name="_Toc204592790"/>
      <w:bookmarkStart w:id="262" w:name="_Toc270684940"/>
      <w:bookmarkStart w:id="263" w:name="_Toc270688017"/>
      <w:bookmarkStart w:id="264" w:name="_Toc270685512"/>
      <w:bookmarkStart w:id="265" w:name="_Toc270689680"/>
      <w:bookmarkStart w:id="266" w:name="_Toc145928070"/>
      <w:bookmarkStart w:id="267" w:name="_Toc19146"/>
      <w:bookmarkStart w:id="268" w:name="_Toc132788264"/>
      <w:bookmarkStart w:id="269" w:name="_Toc136685267"/>
      <w:bookmarkStart w:id="270" w:name="_Toc203206443"/>
      <w:bookmarkStart w:id="271" w:name="_Toc199246712"/>
      <w:bookmarkStart w:id="272" w:name="_Toc145927561"/>
      <w:bookmarkStart w:id="273" w:name="_Toc132788452"/>
      <w:r>
        <w:rPr>
          <w:rFonts w:hint="eastAsia" w:ascii="宋体" w:hAnsi="宋体" w:eastAsia="宋体" w:cs="宋体"/>
          <w:color w:val="auto"/>
          <w:kern w:val="0"/>
          <w:sz w:val="21"/>
          <w:szCs w:val="21"/>
          <w:highlight w:val="none"/>
        </w:rPr>
        <w:t>9.2质保期责任</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2B80291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74" w:name="_Toc132788453"/>
      <w:bookmarkStart w:id="275" w:name="_Toc132788265"/>
      <w:r>
        <w:rPr>
          <w:rFonts w:hint="eastAsia" w:ascii="宋体" w:hAnsi="宋体" w:eastAsia="宋体" w:cs="宋体"/>
          <w:color w:val="auto"/>
          <w:kern w:val="0"/>
          <w:sz w:val="21"/>
          <w:szCs w:val="21"/>
          <w:highlight w:val="none"/>
        </w:rPr>
        <w:t>9.2.1在质保期内，由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完成任何扫尾工作或履行质保期服务义务所致，或由发生在最终验收日期之前任何</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的风险所致的原因引起的任何损失或损害投保所需的全部保险</w:t>
      </w:r>
      <w:r>
        <w:rPr>
          <w:rFonts w:hint="eastAsia" w:ascii="宋体" w:hAnsi="宋体" w:eastAsia="宋体" w:cs="宋体"/>
          <w:color w:val="auto"/>
          <w:kern w:val="0"/>
          <w:sz w:val="21"/>
          <w:szCs w:val="21"/>
          <w:highlight w:val="none"/>
          <w:lang w:eastAsia="zh-CN"/>
        </w:rPr>
        <w:t>费用</w:t>
      </w:r>
      <w:r>
        <w:rPr>
          <w:rFonts w:hint="eastAsia" w:ascii="宋体" w:hAnsi="宋体" w:eastAsia="宋体" w:cs="宋体"/>
          <w:color w:val="auto"/>
          <w:kern w:val="0"/>
          <w:sz w:val="21"/>
          <w:szCs w:val="21"/>
          <w:highlight w:val="none"/>
        </w:rPr>
        <w:t>均由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支付。</w:t>
      </w:r>
      <w:bookmarkEnd w:id="274"/>
      <w:bookmarkEnd w:id="275"/>
    </w:p>
    <w:p w14:paraId="1E27415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9.2.2在质保期内，供应商应在</w:t>
      </w:r>
      <w:r>
        <w:rPr>
          <w:rFonts w:hint="eastAsia" w:ascii="宋体" w:hAnsi="宋体" w:eastAsia="宋体" w:cs="宋体"/>
          <w:color w:val="auto"/>
          <w:kern w:val="0"/>
          <w:sz w:val="21"/>
          <w:szCs w:val="21"/>
          <w:highlight w:val="none"/>
          <w:lang w:val="en-US" w:eastAsia="zh-CN"/>
        </w:rPr>
        <w:t>项目所在地</w:t>
      </w:r>
      <w:r>
        <w:rPr>
          <w:rFonts w:hint="eastAsia" w:ascii="宋体" w:hAnsi="宋体" w:eastAsia="宋体" w:cs="宋体"/>
          <w:color w:val="auto"/>
          <w:kern w:val="0"/>
          <w:sz w:val="21"/>
          <w:szCs w:val="21"/>
          <w:highlight w:val="none"/>
        </w:rPr>
        <w:t>设置专职售后服务人员，对与设备有关的各类问题要及时回复。</w:t>
      </w:r>
    </w:p>
    <w:p w14:paraId="5754A33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9.2.3在质保期内，供应商应现场指导技术人员对设备进行养护与维修。</w:t>
      </w:r>
    </w:p>
    <w:p w14:paraId="55495F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76" w:name="_Toc145927657"/>
      <w:bookmarkStart w:id="277" w:name="_Toc145928071"/>
      <w:bookmarkStart w:id="278" w:name="_Toc130888814"/>
      <w:bookmarkStart w:id="279" w:name="_Toc204592791"/>
      <w:bookmarkStart w:id="280" w:name="_Toc199246713"/>
      <w:bookmarkStart w:id="281" w:name="_Toc136685268"/>
      <w:bookmarkStart w:id="282" w:name="_Toc414004304"/>
      <w:bookmarkStart w:id="283" w:name="_Toc270684941"/>
      <w:bookmarkStart w:id="284" w:name="_Toc270689681"/>
      <w:bookmarkStart w:id="285" w:name="_Toc270688018"/>
      <w:bookmarkStart w:id="286" w:name="_Toc203206444"/>
      <w:bookmarkStart w:id="287" w:name="_Toc270685513"/>
      <w:bookmarkStart w:id="288" w:name="_Toc17711"/>
      <w:bookmarkStart w:id="289" w:name="_Toc145927562"/>
      <w:r>
        <w:rPr>
          <w:rFonts w:hint="eastAsia" w:ascii="宋体" w:hAnsi="宋体" w:eastAsia="宋体" w:cs="宋体"/>
          <w:color w:val="auto"/>
          <w:kern w:val="0"/>
          <w:sz w:val="21"/>
          <w:szCs w:val="21"/>
          <w:highlight w:val="none"/>
        </w:rPr>
        <w:t>9.3质保期后服务</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p>
    <w:p w14:paraId="79E9D3B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供应商应经常性地进行多种方式的巡检（例如电话），随时了解设备运行情况；定期安排专职技术人员对设备进行现场巡检，并根据需要对设备的主要技术指标进行测试，保证设备的固有性能，同时提供设备检查测试报告，签字确认。</w:t>
      </w:r>
    </w:p>
    <w:p w14:paraId="154B32C5">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十、施工作业要求</w:t>
      </w:r>
    </w:p>
    <w:p w14:paraId="12F3BE2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290" w:name="_Toc29139"/>
      <w:r>
        <w:rPr>
          <w:rFonts w:hint="eastAsia" w:ascii="宋体" w:hAnsi="宋体" w:eastAsia="宋体" w:cs="宋体"/>
          <w:color w:val="auto"/>
          <w:kern w:val="0"/>
          <w:sz w:val="21"/>
          <w:szCs w:val="21"/>
          <w:highlight w:val="none"/>
        </w:rPr>
        <w:t>1</w:t>
      </w:r>
      <w:bookmarkStart w:id="291" w:name="_Toc203205320"/>
      <w:bookmarkStart w:id="292" w:name="_Toc203206421"/>
      <w:bookmarkStart w:id="293" w:name="_Toc270685502"/>
      <w:bookmarkStart w:id="294" w:name="_Toc270689664"/>
      <w:bookmarkStart w:id="295" w:name="_Toc204592772"/>
      <w:bookmarkStart w:id="296" w:name="_Toc270688001"/>
      <w:bookmarkStart w:id="297" w:name="_Toc199246694"/>
      <w:bookmarkStart w:id="298" w:name="_Toc270684930"/>
      <w:bookmarkStart w:id="299" w:name="_Toc415489329"/>
      <w:r>
        <w:rPr>
          <w:rFonts w:hint="eastAsia" w:ascii="宋体" w:hAnsi="宋体" w:eastAsia="宋体" w:cs="宋体"/>
          <w:color w:val="auto"/>
          <w:kern w:val="0"/>
          <w:sz w:val="21"/>
          <w:szCs w:val="21"/>
          <w:highlight w:val="none"/>
        </w:rPr>
        <w:t>0.1施工工艺要求</w:t>
      </w:r>
      <w:bookmarkEnd w:id="290"/>
      <w:bookmarkEnd w:id="291"/>
      <w:bookmarkEnd w:id="292"/>
      <w:bookmarkEnd w:id="293"/>
      <w:bookmarkEnd w:id="294"/>
      <w:bookmarkEnd w:id="295"/>
      <w:bookmarkEnd w:id="296"/>
      <w:bookmarkEnd w:id="297"/>
      <w:bookmarkEnd w:id="298"/>
      <w:bookmarkEnd w:id="299"/>
    </w:p>
    <w:p w14:paraId="06145FE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0" w:name="_Toc13984"/>
      <w:bookmarkStart w:id="301" w:name="_Toc270689665"/>
      <w:bookmarkStart w:id="302" w:name="_Toc415489330"/>
      <w:bookmarkStart w:id="303" w:name="_Toc270688002"/>
      <w:r>
        <w:rPr>
          <w:rFonts w:hint="eastAsia" w:ascii="宋体" w:hAnsi="宋体" w:eastAsia="宋体" w:cs="宋体"/>
          <w:color w:val="auto"/>
          <w:kern w:val="0"/>
          <w:sz w:val="21"/>
          <w:szCs w:val="21"/>
          <w:highlight w:val="none"/>
        </w:rPr>
        <w:t>10.1.1施工场地与条件</w:t>
      </w:r>
      <w:bookmarkEnd w:id="300"/>
      <w:bookmarkEnd w:id="301"/>
      <w:bookmarkEnd w:id="302"/>
      <w:bookmarkEnd w:id="303"/>
    </w:p>
    <w:p w14:paraId="6BDCD8E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全面负责施工范围内的现场施工管理，对施工场地内的用水、用电、施工现场的安全与卫生、场地内的施工协调负有全面的管理责任。</w:t>
      </w:r>
    </w:p>
    <w:p w14:paraId="547CA26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4" w:name="_Toc270688003"/>
      <w:bookmarkStart w:id="305" w:name="_Toc415489331"/>
      <w:bookmarkStart w:id="306" w:name="_Toc28027"/>
      <w:bookmarkStart w:id="307" w:name="_Toc270689666"/>
      <w:r>
        <w:rPr>
          <w:rFonts w:hint="eastAsia" w:ascii="宋体" w:hAnsi="宋体" w:eastAsia="宋体" w:cs="宋体"/>
          <w:color w:val="auto"/>
          <w:kern w:val="0"/>
          <w:sz w:val="21"/>
          <w:szCs w:val="21"/>
          <w:highlight w:val="none"/>
        </w:rPr>
        <w:t>10.1.2施工准备</w:t>
      </w:r>
      <w:bookmarkEnd w:id="304"/>
      <w:bookmarkEnd w:id="305"/>
      <w:bookmarkEnd w:id="306"/>
      <w:bookmarkEnd w:id="307"/>
    </w:p>
    <w:p w14:paraId="7B34FF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充分考虑本工程的特点，包括工期要求和施工时的相互干扰等，提出切实可行的施工方法和施工组织方案。</w:t>
      </w:r>
    </w:p>
    <w:p w14:paraId="58577E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10.1.2.2认真作好施工图交底工作。</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根据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要求做好施工图设计，负责施工图的细化工作。</w:t>
      </w:r>
    </w:p>
    <w:p w14:paraId="3F3292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10.1.2.3</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在开工前派出技术人员，根据</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的要求进行现场勘测。</w:t>
      </w:r>
    </w:p>
    <w:p w14:paraId="63BDD81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10.1.2.4编制施工组织方案，并与其他设备与建筑装修工作相协调。</w:t>
      </w:r>
    </w:p>
    <w:p w14:paraId="71B50AB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10.1.2.5由</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负责所有货物的仓储，工程完毕后向</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进行交接。</w:t>
      </w:r>
    </w:p>
    <w:p w14:paraId="011C3E4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08" w:name="_Toc18647"/>
      <w:bookmarkStart w:id="309" w:name="_Toc415489332"/>
      <w:bookmarkStart w:id="310" w:name="_Toc270689667"/>
      <w:bookmarkStart w:id="311" w:name="_Toc270688004"/>
      <w:r>
        <w:rPr>
          <w:rFonts w:hint="eastAsia" w:ascii="宋体" w:hAnsi="宋体" w:eastAsia="宋体" w:cs="宋体"/>
          <w:color w:val="auto"/>
          <w:kern w:val="0"/>
          <w:sz w:val="21"/>
          <w:szCs w:val="21"/>
          <w:highlight w:val="none"/>
        </w:rPr>
        <w:t>10.1.3开工准备</w:t>
      </w:r>
      <w:bookmarkEnd w:id="308"/>
      <w:bookmarkEnd w:id="309"/>
      <w:bookmarkEnd w:id="310"/>
      <w:bookmarkEnd w:id="311"/>
      <w:bookmarkStart w:id="312" w:name="T1306"/>
      <w:bookmarkEnd w:id="312"/>
    </w:p>
    <w:p w14:paraId="1D3D4EE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为保证工程顺利实施，正式开工前必须具备下列条件：</w:t>
      </w:r>
    </w:p>
    <w:p w14:paraId="0DD01F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在开工前应组织施工调查，并根据合同做好施工组织工作，提出施工组织计划以及质量保证措施。</w:t>
      </w:r>
    </w:p>
    <w:p w14:paraId="0C61F0F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10.1.3.2安装验收规范书</w:t>
      </w:r>
    </w:p>
    <w:p w14:paraId="77DA877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在工程进行安装前2周向</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提供安装工程规范（包括验收工程、标准、方法以及对不合格工程的修理和替换的规定等），经</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批准后，安装验收规范书正式生效。</w:t>
      </w:r>
    </w:p>
    <w:p w14:paraId="72DC927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10.1.3.3用于安装的设计文件及施工图应满足施工需要，</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应核实</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的需求能否满足，工程能否顺利实施，发现问题应及时通知</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。施工人员应熟悉施工图纸及有关资料，包括工程特点、施工方案、工艺要求、施工质量标准等。</w:t>
      </w:r>
    </w:p>
    <w:p w14:paraId="4EA0C2F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10.1.3.4设备、器材供货、货源、规格数量与施工图相吻合，施工机具、仪表（器），劳动力已安排落实，可满足连续施工和阶段施工要求。</w:t>
      </w:r>
    </w:p>
    <w:p w14:paraId="0BB66B9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10.1.3.5乙供的材料型号、规格必须符合设计要求，并有产品合格证书，未经鉴定批准的产品或不合格产品不得在本工程使用，所有乙供材料的试验和检验应执行合同的有关规定。</w:t>
      </w:r>
    </w:p>
    <w:p w14:paraId="3D87818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bookmarkStart w:id="313" w:name="_Toc270688005"/>
      <w:bookmarkStart w:id="314" w:name="_Toc415489333"/>
      <w:bookmarkStart w:id="315" w:name="_Toc18405"/>
      <w:bookmarkStart w:id="316" w:name="_Toc270689668"/>
      <w:r>
        <w:rPr>
          <w:rFonts w:hint="eastAsia" w:ascii="宋体" w:hAnsi="宋体" w:eastAsia="宋体" w:cs="宋体"/>
          <w:color w:val="auto"/>
          <w:kern w:val="0"/>
          <w:sz w:val="21"/>
          <w:szCs w:val="21"/>
          <w:highlight w:val="none"/>
        </w:rPr>
        <w:t>10.2施工技术要求</w:t>
      </w:r>
      <w:bookmarkEnd w:id="313"/>
      <w:bookmarkEnd w:id="314"/>
      <w:bookmarkEnd w:id="315"/>
      <w:bookmarkEnd w:id="316"/>
    </w:p>
    <w:p w14:paraId="205135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10.2.1</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施工中采用和推广经批准的新技术、新材料、新工艺，应制定不低于现行国家或部及行业规范水平的质量标准和工艺要求，并经</w:t>
      </w:r>
      <w:r>
        <w:rPr>
          <w:rFonts w:hint="eastAsia" w:ascii="宋体" w:hAnsi="宋体" w:cs="宋体"/>
          <w:color w:val="auto"/>
          <w:kern w:val="0"/>
          <w:sz w:val="21"/>
          <w:szCs w:val="21"/>
          <w:highlight w:val="none"/>
          <w:lang w:val="en-US" w:eastAsia="zh-CN"/>
        </w:rPr>
        <w:t>招标人</w:t>
      </w:r>
      <w:r>
        <w:rPr>
          <w:rFonts w:hint="eastAsia" w:ascii="宋体" w:hAnsi="宋体" w:eastAsia="宋体" w:cs="宋体"/>
          <w:color w:val="auto"/>
          <w:kern w:val="0"/>
          <w:sz w:val="21"/>
          <w:szCs w:val="21"/>
          <w:highlight w:val="none"/>
        </w:rPr>
        <w:t>代表批准。</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在工程中所用设备、材料及其安装必须符合设计要求及国家现行标准。</w:t>
      </w:r>
    </w:p>
    <w:p w14:paraId="56A6D87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10.2.2在工程施工过程中，如果工程的位置、标高尺寸或准线出现错误，</w:t>
      </w:r>
      <w:r>
        <w:rPr>
          <w:rFonts w:hint="eastAsia" w:ascii="宋体" w:hAnsi="宋体" w:cs="宋体"/>
          <w:color w:val="auto"/>
          <w:kern w:val="0"/>
          <w:sz w:val="21"/>
          <w:szCs w:val="21"/>
          <w:highlight w:val="none"/>
          <w:lang w:val="en-US" w:eastAsia="zh-CN"/>
        </w:rPr>
        <w:t>中标人</w:t>
      </w:r>
      <w:r>
        <w:rPr>
          <w:rFonts w:hint="eastAsia" w:ascii="宋体" w:hAnsi="宋体" w:eastAsia="宋体" w:cs="宋体"/>
          <w:color w:val="auto"/>
          <w:kern w:val="0"/>
          <w:sz w:val="21"/>
          <w:szCs w:val="21"/>
          <w:highlight w:val="none"/>
        </w:rPr>
        <w:t>应修正上述错误并负担修正错误的一切费用。</w:t>
      </w:r>
    </w:p>
    <w:p w14:paraId="50B5104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10.2.3乙供材料的型号、规格、货源、数量符合设计及合同规定。内部设备接(插)件(盘)完整，符合施工图设计。</w:t>
      </w:r>
    </w:p>
    <w:p w14:paraId="30EC99D7">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17" w:name="_Toc440551886"/>
      <w:bookmarkStart w:id="318" w:name="_Toc172623577"/>
      <w:bookmarkStart w:id="319" w:name="_Toc208481056"/>
      <w:bookmarkStart w:id="320" w:name="_Toc294082656"/>
      <w:bookmarkStart w:id="321" w:name="_Toc488238909"/>
      <w:r>
        <w:rPr>
          <w:rFonts w:hint="eastAsia" w:ascii="宋体" w:hAnsi="宋体" w:eastAsia="宋体" w:cs="宋体"/>
          <w:b/>
          <w:sz w:val="21"/>
          <w:szCs w:val="21"/>
          <w:highlight w:val="none"/>
          <w:lang w:val="en-US" w:eastAsia="zh-CN"/>
        </w:rPr>
        <w:t>十一、作业要求</w:t>
      </w:r>
    </w:p>
    <w:p w14:paraId="775AF12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11.1中标人进场前需向招标人缴纳履约保证金及签订安全协议，要通过招标人的安全培训并且合格。</w:t>
      </w:r>
    </w:p>
    <w:p w14:paraId="20D24A3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11.2中标人自行将每日施工所需材料运至现场，并做好未完品保护。</w:t>
      </w:r>
    </w:p>
    <w:p w14:paraId="4EB64B50">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11.3中标人每日作业完成后须经双方检查确认合格后方可撤离现场。</w:t>
      </w:r>
    </w:p>
    <w:p w14:paraId="502633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11.4中标人应严格遵守滁宁城铁的安全施工制度要求，做好现场的作业安全防护，文明施工，保证施工现场工完料清。</w:t>
      </w:r>
    </w:p>
    <w:p w14:paraId="279F080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11.5现场作业人员防护用品必须齐备（反光背心、安全帽、劳保手套、劳保鞋等），否则不予操作，操作时须规范佩戴防护用品。</w:t>
      </w:r>
    </w:p>
    <w:p w14:paraId="2791E0A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11.6施工完成后必须清理现场，做到“三清”，并配合招标人检查完毕后方可撤离现场。</w:t>
      </w:r>
    </w:p>
    <w:p w14:paraId="4CD26B9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11.7密切加强与运营部门的协调工作，并按管理规定对人员、物件及时清场，施工场所要做到工完料尽。</w:t>
      </w:r>
    </w:p>
    <w:p w14:paraId="0BD28C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11.8实施人员工作前不许饮酒，进入施工现场不准嬉笑打闹。实施期间应做好相应的安全保护措施。</w:t>
      </w:r>
    </w:p>
    <w:p w14:paraId="7C6685E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11.9实施前须由项目负责人向操作人员进行技术交底和安全交底，并做好记录（签字确认），未经交底者不得进入现场作业。</w:t>
      </w:r>
    </w:p>
    <w:p w14:paraId="03104D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11.10对既有设施、设备的操作，中标人需在招标人监督下，由相关专业配合完成。</w:t>
      </w:r>
    </w:p>
    <w:bookmarkEnd w:id="317"/>
    <w:bookmarkEnd w:id="318"/>
    <w:bookmarkEnd w:id="319"/>
    <w:bookmarkEnd w:id="320"/>
    <w:bookmarkEnd w:id="321"/>
    <w:p w14:paraId="6B455D98">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22" w:name="_Toc208481057"/>
      <w:bookmarkStart w:id="323" w:name="_Toc488238910"/>
      <w:bookmarkStart w:id="324" w:name="_Toc440551887"/>
      <w:bookmarkStart w:id="325" w:name="_Toc172623578"/>
      <w:bookmarkStart w:id="326" w:name="_Toc294082657"/>
      <w:r>
        <w:rPr>
          <w:rFonts w:hint="eastAsia" w:ascii="宋体" w:hAnsi="宋体" w:eastAsia="宋体" w:cs="宋体"/>
          <w:b/>
          <w:sz w:val="21"/>
          <w:szCs w:val="21"/>
          <w:highlight w:val="none"/>
          <w:lang w:val="en-US" w:eastAsia="zh-CN"/>
        </w:rPr>
        <w:t>十二、保证措施</w:t>
      </w:r>
      <w:bookmarkEnd w:id="322"/>
      <w:bookmarkEnd w:id="323"/>
      <w:bookmarkEnd w:id="324"/>
      <w:bookmarkEnd w:id="325"/>
      <w:bookmarkEnd w:id="326"/>
    </w:p>
    <w:p w14:paraId="5CE316C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12.1严格遵守和执行国家、地方、行业的相关法律、法规、规范、规程、标准及招标人的各项管理制度及规定。</w:t>
      </w:r>
    </w:p>
    <w:p w14:paraId="1AE856D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12.2遵守合同协议，组织足够力量的技术人员、技术工人，完成合同约定。</w:t>
      </w:r>
    </w:p>
    <w:p w14:paraId="59E7BE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12.3对组织机构定岗、定员。队伍人员素质、专业技术结构满足各项要求，并保证人员稳定。</w:t>
      </w:r>
    </w:p>
    <w:p w14:paraId="7A2688D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12.4严格按照招标人管理模式，及招标人审定的工作计划和方案组织实施。</w:t>
      </w:r>
    </w:p>
    <w:p w14:paraId="10CE4AF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12.5按照合同协议认真执行，及时完成初验、问题反馈以及最终验收。</w:t>
      </w:r>
    </w:p>
    <w:p w14:paraId="736A92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12.6同招标人密切配合，有权利也有义务为招标人生产及设备维护提出合理化建议，形成“</w:t>
      </w:r>
      <w:r>
        <w:rPr>
          <w:rFonts w:hint="eastAsia" w:ascii="宋体" w:hAnsi="宋体" w:eastAsia="宋体" w:cs="宋体"/>
          <w:color w:val="auto"/>
          <w:kern w:val="0"/>
          <w:sz w:val="21"/>
          <w:szCs w:val="21"/>
          <w:highlight w:val="none"/>
          <w:lang w:eastAsia="zh-CN"/>
        </w:rPr>
        <w:t>相融</w:t>
      </w:r>
      <w:r>
        <w:rPr>
          <w:rFonts w:hint="eastAsia" w:ascii="宋体" w:hAnsi="宋体" w:eastAsia="宋体" w:cs="宋体"/>
          <w:color w:val="auto"/>
          <w:kern w:val="0"/>
          <w:sz w:val="21"/>
          <w:szCs w:val="21"/>
          <w:highlight w:val="none"/>
        </w:rPr>
        <w:t>、相敬、互通、互助”的局面。</w:t>
      </w:r>
    </w:p>
    <w:p w14:paraId="744AA0C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12.7强化对工期的检查、监督。</w:t>
      </w:r>
    </w:p>
    <w:p w14:paraId="13A5553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12.8严格控制质量。认真做好每一项工作任务，做到工作不留尾项，不留隐患，不出现返工，降低总体成本，提高经济效益。</w:t>
      </w:r>
    </w:p>
    <w:p w14:paraId="23625BF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12.9加强安全管理力度，杜绝各类事故的发生。</w:t>
      </w:r>
    </w:p>
    <w:p w14:paraId="7C2F363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12.10团队人员的病假、事假、调休轮休、探亲等各种假期，中标人必须在定编不缺员的情况下合理安排，并经招标人批准。</w:t>
      </w:r>
    </w:p>
    <w:p w14:paraId="0EF89C3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12.11项目负责人及主要技术骨干休息，离开岗位，必须向招标人办理请假手续。岗位缺员，招标人有权另行临时聘员或工作外协，所发生的费用由中标人承担。</w:t>
      </w:r>
    </w:p>
    <w:p w14:paraId="5F7A2DBE">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27" w:name="_Toc488238911"/>
      <w:bookmarkStart w:id="328" w:name="_Toc294082658"/>
      <w:bookmarkStart w:id="329" w:name="_Toc440551888"/>
      <w:bookmarkStart w:id="330" w:name="_Toc208481058"/>
      <w:bookmarkStart w:id="331" w:name="_Toc172623579"/>
      <w:r>
        <w:rPr>
          <w:rFonts w:hint="eastAsia" w:ascii="宋体" w:hAnsi="宋体" w:eastAsia="宋体" w:cs="宋体"/>
          <w:b/>
          <w:sz w:val="21"/>
          <w:szCs w:val="21"/>
          <w:highlight w:val="none"/>
          <w:lang w:val="en-US" w:eastAsia="zh-CN"/>
        </w:rPr>
        <w:t>十三、质量管理</w:t>
      </w:r>
      <w:bookmarkEnd w:id="327"/>
      <w:bookmarkEnd w:id="328"/>
      <w:bookmarkEnd w:id="329"/>
      <w:bookmarkEnd w:id="330"/>
      <w:bookmarkEnd w:id="331"/>
    </w:p>
    <w:p w14:paraId="16DB8F3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.1中标人必须有明确的项目质量方针、质量目标并按此进行质量管理。</w:t>
      </w:r>
    </w:p>
    <w:p w14:paraId="16C99B5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.2中标人必须认真贯彻执行GB/T19001-ISO9001质量保证标准。以完整的质量管理体系对待每一项检测工作，从准备到交工的各个环节都要做到精心组织，科学管理，对检测质量严格要求。</w:t>
      </w:r>
    </w:p>
    <w:p w14:paraId="16A9B61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.3质量保证</w:t>
      </w:r>
    </w:p>
    <w:p w14:paraId="16B1106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.3.1认真贯彻执行国家、地方、行业及招标人有关部门对设备质量的有关规范、规定和《质量管理和质量保证》体系等有关规定。</w:t>
      </w:r>
    </w:p>
    <w:p w14:paraId="13F5EB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.3.2坚持把“质量第一，用户至上”作为质量控制的基本原则。</w:t>
      </w:r>
    </w:p>
    <w:p w14:paraId="7E161FA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.3.3针对质量目标编制质量检验与管理体制实施细则，编制工作关键项目的施工（检修）作业技术措施或作业指导书，并严格执行，做好预防措施、控制质量通病。</w:t>
      </w:r>
    </w:p>
    <w:p w14:paraId="69C8FC1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.3.4选派作业水平较高且有丰富经验的专业人员上岗，并组织学习滁宁城铁设备特性和技术标准以及要求，努力提高人员的业务素质，避免人为失误。以人的工作质量保工序质量、促工程质量，确保作业质量。</w:t>
      </w:r>
    </w:p>
    <w:p w14:paraId="466FA1B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.3.5“以人为核心”，加强对员工的质量意识教育，充分调动所有施工人员的积极性，增强人的责任感，抓好施工过程中的质量控制，加大质量管理和质量检验力度，虚心接受招标人意见。</w:t>
      </w:r>
    </w:p>
    <w:p w14:paraId="6603F42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.3.6项目保证资料真实、完整、规范、及时、满足要求。</w:t>
      </w:r>
    </w:p>
    <w:p w14:paraId="5D74F2A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.3.7检测管理标准化，检测操作规范化。</w:t>
      </w:r>
    </w:p>
    <w:p w14:paraId="715DD43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.3.8强化全过程的质量管理，在工作准备阶段主动与招标人取得联系，确保质量和工期。</w:t>
      </w:r>
    </w:p>
    <w:p w14:paraId="7C63C84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.3.9加强隐蔽工程的质量管理，隐蔽工程施工必须经招标人检查，并办好签字手续后方可隐蔽。</w:t>
      </w:r>
    </w:p>
    <w:p w14:paraId="0AB199E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.3.10坚持预防为主，确保工程的内在质量和外观质量均符合要求。</w:t>
      </w:r>
    </w:p>
    <w:p w14:paraId="0A716DA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.3.11对施工（检修）用机具、设备、计量器具严格管理。对施工（检修）用检验、测量和试验设备分类按期进行校验、校准，使用前进行仔细检查，保证使用合格的计量器具。</w:t>
      </w:r>
    </w:p>
    <w:p w14:paraId="1500247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.3.12认真填写记录，做到不合格工序不转序，不合格项目不移交。尤其是对关键工序和特殊过程严加控制，确保工序质量。</w:t>
      </w:r>
    </w:p>
    <w:p w14:paraId="6B8648C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.3.13认真做好每次开工作业前的准备，工作结束的质量总结。</w:t>
      </w:r>
    </w:p>
    <w:p w14:paraId="7B9859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.3.14过程中发生的质量问题或质量事故要及时报告招标人，中标人必须及时制定处理方案，经招标人和有关部门审批后</w:t>
      </w:r>
      <w:r>
        <w:rPr>
          <w:rFonts w:hint="eastAsia" w:ascii="宋体" w:hAnsi="宋体" w:cs="宋体"/>
          <w:color w:val="auto"/>
          <w:kern w:val="0"/>
          <w:sz w:val="21"/>
          <w:szCs w:val="21"/>
          <w:highlight w:val="none"/>
          <w:lang w:eastAsia="zh-CN"/>
        </w:rPr>
        <w:t>实施</w:t>
      </w:r>
      <w:r>
        <w:rPr>
          <w:rFonts w:hint="eastAsia" w:ascii="宋体" w:hAnsi="宋体" w:eastAsia="宋体" w:cs="宋体"/>
          <w:color w:val="auto"/>
          <w:kern w:val="0"/>
          <w:sz w:val="21"/>
          <w:szCs w:val="21"/>
          <w:highlight w:val="none"/>
        </w:rPr>
        <w:t>。</w:t>
      </w:r>
    </w:p>
    <w:p w14:paraId="59F7CFD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.3.15中标人应对工作内容认真自检，确认合格后，再报招标人确认。</w:t>
      </w:r>
    </w:p>
    <w:p w14:paraId="4102D1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.3.16中标人必须对现场跟踪检查，发现问题及时组织处理。</w:t>
      </w:r>
    </w:p>
    <w:p w14:paraId="4AA262F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.3.17工作完成后，及时整理完工资料，并交付招标人审核、确认。</w:t>
      </w:r>
    </w:p>
    <w:p w14:paraId="6DE4A9B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.4质量管理组织机构及主要职责</w:t>
      </w:r>
    </w:p>
    <w:p w14:paraId="5EB235A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中标人必须提供该项目的质量管理组织架构图及各岗位的主要职责。</w:t>
      </w:r>
    </w:p>
    <w:p w14:paraId="405CD2E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.5中标人必须有明确的安全质量检验标准及技术规范并参照执行。</w:t>
      </w:r>
    </w:p>
    <w:p w14:paraId="74E5A5F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6除非另有规定，本项目应按中国技术规范和标准设计及施工（检修）作业。如遇遗漏所需项目实施的作业规范，应征得招标人同意，补充规范以满足合同要求。原则上没有国家标准、规范的，适用行业标准、规范；没有国家和行业标准、规范的，适用工程所在地地方标准、规范；国内没有相应标准、规范的，由招标人向中标人提出施工（检修）作业技术要求，中标人提出施工（检修）工艺，经招标人批准后执行。</w:t>
      </w:r>
    </w:p>
    <w:p w14:paraId="63534AD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.7文件资料控制</w:t>
      </w:r>
    </w:p>
    <w:p w14:paraId="10ED1D9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.7.1所有与检测相关文件和记录应分别进行编号、分类、登记、发放、传递、保管和回收，必须与招标人管理同步。</w:t>
      </w:r>
    </w:p>
    <w:p w14:paraId="4CCA290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.7.2图纸及计划、任务单、各类会议纪要（记录）按程序文件的要求统一编号、分类、登记、标识、存档，按招标人批准的范围发放、传递。</w:t>
      </w:r>
    </w:p>
    <w:p w14:paraId="13F6A17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.7.3如项目修改原设计，中标人必须征得招标人同意并在资料相应位置明确标识，并将修改存档，同时将修改指令复印件附在图中。对作废图纸应及时回收，交招标人统一处理。</w:t>
      </w:r>
    </w:p>
    <w:p w14:paraId="6B8F2DB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.7.4有一整套检修规范、标准等文件，对于标准的更新及规程、规范的变化应及时报告招标人，并在相应部位做代替说明，待业方批准后执行。</w:t>
      </w:r>
    </w:p>
    <w:p w14:paraId="054DC780">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32" w:name="_Toc172623580"/>
      <w:bookmarkStart w:id="333" w:name="_Toc208481059"/>
      <w:bookmarkStart w:id="334" w:name="_Toc488238912"/>
      <w:bookmarkStart w:id="335" w:name="_Toc440551889"/>
      <w:bookmarkStart w:id="336" w:name="_Toc294082659"/>
      <w:r>
        <w:rPr>
          <w:rFonts w:hint="eastAsia" w:ascii="宋体" w:hAnsi="宋体" w:eastAsia="宋体" w:cs="宋体"/>
          <w:b/>
          <w:sz w:val="21"/>
          <w:szCs w:val="21"/>
          <w:highlight w:val="none"/>
          <w:lang w:val="en-US" w:eastAsia="zh-CN"/>
        </w:rPr>
        <w:t>十四、安全管理</w:t>
      </w:r>
      <w:bookmarkEnd w:id="332"/>
      <w:bookmarkEnd w:id="333"/>
      <w:bookmarkEnd w:id="334"/>
      <w:bookmarkEnd w:id="335"/>
      <w:bookmarkEnd w:id="336"/>
    </w:p>
    <w:p w14:paraId="728B550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.1中标人必须有明确的该项目的安全目标、安全指标并进行安全管理。</w:t>
      </w:r>
    </w:p>
    <w:p w14:paraId="25ED657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.2中标人必须提供该项目的安全控制组织架构及主要岗位职责。</w:t>
      </w:r>
    </w:p>
    <w:p w14:paraId="77B8932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.3安全控制管理制度</w:t>
      </w:r>
    </w:p>
    <w:p w14:paraId="3DD359F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.3.1在作业过程中，首先牢固树立“安全第一、预防为主”的思想。</w:t>
      </w:r>
    </w:p>
    <w:p w14:paraId="7D49921A">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.3.2全面执行中标人发布的安全管理制度：</w:t>
      </w:r>
    </w:p>
    <w:p w14:paraId="56ADAB5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.4安全组织、技术措施</w:t>
      </w:r>
    </w:p>
    <w:p w14:paraId="5F79A8A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遵照现行国家及有关部门的安全法规、规范、规定对本项目进行安全管理、健康管理、环境管理，确保安全施工（检修），杜绝一切人身伤亡事故。要有完整的安全管理组织体制，有专兼职安全干部，安全员负责设备检测和日常的安全、防火工作等。</w:t>
      </w:r>
    </w:p>
    <w:p w14:paraId="7D7CDD93">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实行“三级”安全管理，坚持“管施工（检修）的同时必须抓安全”，“项目负责人是第一安全责任人”的原则，开展好正常的安全活动。中标人对本合同工作范围内的安全、消防等负责，对本单位进场人员治安保卫工作负责。</w:t>
      </w:r>
    </w:p>
    <w:p w14:paraId="230CE6D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.4.3强化各级安全监察网络，一级抓一级，层层落实安全生产责任制，抓好安全基础工作，重点放在预防上，有针对性的开展好作业前的安全预想预防工作，在布置工作的同时也要布置安全，认真做好内部的各种</w:t>
      </w:r>
      <w:r>
        <w:rPr>
          <w:rFonts w:hint="eastAsia" w:ascii="宋体" w:hAnsi="宋体" w:cs="宋体"/>
          <w:color w:val="auto"/>
          <w:kern w:val="0"/>
          <w:sz w:val="21"/>
          <w:szCs w:val="21"/>
          <w:highlight w:val="none"/>
          <w:lang w:eastAsia="zh-CN"/>
        </w:rPr>
        <w:t>安全管理台账</w:t>
      </w:r>
      <w:r>
        <w:rPr>
          <w:rFonts w:hint="eastAsia" w:ascii="宋体" w:hAnsi="宋体" w:eastAsia="宋体" w:cs="宋体"/>
          <w:color w:val="auto"/>
          <w:kern w:val="0"/>
          <w:sz w:val="21"/>
          <w:szCs w:val="21"/>
          <w:highlight w:val="none"/>
        </w:rPr>
        <w:t>。</w:t>
      </w:r>
    </w:p>
    <w:p w14:paraId="5D912A5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.4.4执行招标人制定的安全管理制度、安全操作规程及安全奖惩办法等规章制度，强化安全管理。</w:t>
      </w:r>
    </w:p>
    <w:p w14:paraId="5EA9E8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.4.5推行安全风险</w:t>
      </w:r>
      <w:r>
        <w:rPr>
          <w:rFonts w:hint="eastAsia" w:ascii="宋体" w:hAnsi="宋体" w:cs="宋体"/>
          <w:color w:val="auto"/>
          <w:kern w:val="0"/>
          <w:sz w:val="21"/>
          <w:szCs w:val="21"/>
          <w:highlight w:val="none"/>
          <w:lang w:eastAsia="zh-CN"/>
        </w:rPr>
        <w:t>制度</w:t>
      </w:r>
      <w:r>
        <w:rPr>
          <w:rFonts w:hint="eastAsia" w:ascii="宋体" w:hAnsi="宋体" w:eastAsia="宋体" w:cs="宋体"/>
          <w:color w:val="auto"/>
          <w:kern w:val="0"/>
          <w:sz w:val="21"/>
          <w:szCs w:val="21"/>
          <w:highlight w:val="none"/>
        </w:rPr>
        <w:t>，执行《“安全风险抵押金”制度》，从负责人到施工（检修）人员，逐级签订安全风险责任合同。</w:t>
      </w:r>
    </w:p>
    <w:p w14:paraId="68F94DB2">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.4.6专、兼职安全员固定在作业现场，掌握安全动态，加强安全监督管理，抓好安全措施的落实，及时向负责人提供安全信息，协助抓好整个项目的安全工作。</w:t>
      </w:r>
    </w:p>
    <w:p w14:paraId="6337EBDC">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.4.7项目负责人、安全员都有责任搞好本单位的施工（检修）安全。凡</w:t>
      </w:r>
      <w:r>
        <w:rPr>
          <w:rFonts w:hint="eastAsia" w:ascii="宋体" w:hAnsi="宋体" w:cs="宋体"/>
          <w:color w:val="auto"/>
          <w:kern w:val="0"/>
          <w:sz w:val="21"/>
          <w:szCs w:val="21"/>
          <w:highlight w:val="none"/>
          <w:lang w:eastAsia="zh-CN"/>
        </w:rPr>
        <w:t>发现</w:t>
      </w:r>
      <w:r>
        <w:rPr>
          <w:rFonts w:hint="eastAsia" w:ascii="宋体" w:hAnsi="宋体" w:eastAsia="宋体" w:cs="宋体"/>
          <w:color w:val="auto"/>
          <w:kern w:val="0"/>
          <w:sz w:val="21"/>
          <w:szCs w:val="21"/>
          <w:highlight w:val="none"/>
        </w:rPr>
        <w:t>违反安全操作规程者，有权令其停止工作。</w:t>
      </w:r>
    </w:p>
    <w:p w14:paraId="495FB98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.4.8加强对职工的安全教育，定期组织安全学习</w:t>
      </w:r>
      <w:r>
        <w:rPr>
          <w:rFonts w:hint="eastAsia" w:ascii="宋体" w:hAnsi="宋体" w:cs="宋体"/>
          <w:color w:val="auto"/>
          <w:kern w:val="0"/>
          <w:sz w:val="21"/>
          <w:szCs w:val="21"/>
          <w:highlight w:val="none"/>
          <w:lang w:eastAsia="zh-CN"/>
        </w:rPr>
        <w:t>，在</w:t>
      </w:r>
      <w:r>
        <w:rPr>
          <w:rFonts w:hint="eastAsia" w:ascii="宋体" w:hAnsi="宋体" w:eastAsia="宋体" w:cs="宋体"/>
          <w:color w:val="auto"/>
          <w:kern w:val="0"/>
          <w:sz w:val="21"/>
          <w:szCs w:val="21"/>
          <w:highlight w:val="none"/>
        </w:rPr>
        <w:t>施工（检修）中严格执行安全措施和安全规程，狠抓安全措施的落实，防患于未然。</w:t>
      </w:r>
    </w:p>
    <w:p w14:paraId="6197AF09">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15.4.9在危险作业区域和交叉作业区域，增加临时性安全监察岗，加强预控和监督。</w:t>
      </w:r>
    </w:p>
    <w:p w14:paraId="5D2E7C0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.4.10各级领导和业务部门定期深入作业现场，进行安全大检查，查思想、查管理、查落实，查隐患，对安全上的薄弱环节决不放过。</w:t>
      </w:r>
    </w:p>
    <w:p w14:paraId="31EA701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.4.11坚持文明施工（检修），保证施工（检修）机械、设备完好和清洁，安全操作规程齐全，持证上岗，施工（检修）现场的安全管理、安全设施、安全工器具要符合规定。</w:t>
      </w:r>
    </w:p>
    <w:p w14:paraId="78EDAB3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.4.12作业现场设置安全标志，安全员上岗监督，作业人员一律戴安全帽，闲杂人员不得进入作业现场；登高时必须佩好安全带及安全绳后才能进行高空作业，严禁高空落物。</w:t>
      </w:r>
    </w:p>
    <w:p w14:paraId="78AFA6AF">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4.13施工（检修）中严格按照安规办事，施工（检修）现场坚持特殊工种100%持有效证件上岗作业的准则；所有检测人员应办理招标人场地出入证，进入招标人场地必须执行招标人有关安全、消防和治安管理制度。所有检测人员均要有操作证及经过安全培训，并向招标人提供详细的操作技术等级证书和操作证的复印件供招标人备案。</w:t>
      </w:r>
    </w:p>
    <w:p w14:paraId="10A3C51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.4.14各分项作业都制定明确的安全保证措施，贯彻执行于作业的全过程。</w:t>
      </w:r>
    </w:p>
    <w:p w14:paraId="4BEA17B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.4.15加强对机具设备的维护管理，操作前检查；操作人员必须经考试合格，才能上岗，其它人员不能顶岗操作。</w:t>
      </w:r>
    </w:p>
    <w:p w14:paraId="1912D2C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.4.16加强对车辆使用的管理，加强车辆保养和司机安全意识教育；加强所有作业人员在地铁隧道中行走的安全教育，防止行车伤害，杜绝交通事故发生。</w:t>
      </w:r>
    </w:p>
    <w:p w14:paraId="7FAEA06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.4.17作业用临时电源箱，下班后应将闸刀拉开上锁，所有机电设备都应设接地接零等保护装置，严禁乱拉、乱接电源线。</w:t>
      </w:r>
    </w:p>
    <w:p w14:paraId="1DE9961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.4.1</w:t>
      </w:r>
      <w:r>
        <w:rPr>
          <w:rFonts w:hint="eastAsia" w:ascii="宋体" w:hAnsi="宋体" w:eastAsia="宋体" w:cs="宋体"/>
          <w:color w:val="auto"/>
          <w:kern w:val="0"/>
          <w:sz w:val="21"/>
          <w:szCs w:val="21"/>
          <w:highlight w:val="none"/>
          <w:lang w:val="en-US" w:eastAsia="zh-CN"/>
        </w:rPr>
        <w:t>8</w:t>
      </w:r>
      <w:r>
        <w:rPr>
          <w:rFonts w:hint="eastAsia" w:ascii="宋体" w:hAnsi="宋体" w:eastAsia="宋体" w:cs="宋体"/>
          <w:color w:val="auto"/>
          <w:kern w:val="0"/>
          <w:sz w:val="21"/>
          <w:szCs w:val="21"/>
          <w:highlight w:val="none"/>
        </w:rPr>
        <w:t>工作负责人</w:t>
      </w:r>
      <w:r>
        <w:rPr>
          <w:rFonts w:hint="eastAsia" w:ascii="宋体" w:hAnsi="宋体" w:cs="宋体"/>
          <w:color w:val="auto"/>
          <w:kern w:val="0"/>
          <w:sz w:val="21"/>
          <w:szCs w:val="21"/>
          <w:highlight w:val="none"/>
          <w:lang w:eastAsia="zh-CN"/>
        </w:rPr>
        <w:t>必须</w:t>
      </w:r>
      <w:r>
        <w:rPr>
          <w:rFonts w:hint="eastAsia" w:ascii="宋体" w:hAnsi="宋体" w:eastAsia="宋体" w:cs="宋体"/>
          <w:color w:val="auto"/>
          <w:kern w:val="0"/>
          <w:sz w:val="21"/>
          <w:szCs w:val="21"/>
          <w:highlight w:val="none"/>
        </w:rPr>
        <w:t>办理许可手续后方可带领工作人员进入工作现场。</w:t>
      </w:r>
    </w:p>
    <w:p w14:paraId="3AD6845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w:t>
      </w:r>
      <w:r>
        <w:rPr>
          <w:rFonts w:hint="eastAsia" w:ascii="宋体" w:hAnsi="宋体" w:eastAsia="宋体" w:cs="宋体"/>
          <w:color w:val="auto"/>
          <w:kern w:val="0"/>
          <w:sz w:val="21"/>
          <w:szCs w:val="21"/>
          <w:highlight w:val="none"/>
          <w:lang w:val="en-US" w:eastAsia="zh-CN"/>
        </w:rPr>
        <w:t>19</w:t>
      </w:r>
      <w:r>
        <w:rPr>
          <w:rFonts w:hint="eastAsia" w:ascii="宋体" w:hAnsi="宋体" w:eastAsia="宋体" w:cs="宋体"/>
          <w:color w:val="auto"/>
          <w:kern w:val="0"/>
          <w:sz w:val="21"/>
          <w:szCs w:val="21"/>
          <w:highlight w:val="none"/>
        </w:rPr>
        <w:t>在危险区域动火必须到招标人安保部办理动火证。并派专人监护，方可实施。</w:t>
      </w:r>
    </w:p>
    <w:p w14:paraId="4E6CECE6">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0</w:t>
      </w:r>
      <w:r>
        <w:rPr>
          <w:rFonts w:hint="eastAsia" w:ascii="宋体" w:hAnsi="宋体" w:eastAsia="宋体" w:cs="宋体"/>
          <w:color w:val="auto"/>
          <w:kern w:val="0"/>
          <w:sz w:val="21"/>
          <w:szCs w:val="21"/>
          <w:highlight w:val="none"/>
        </w:rPr>
        <w:t>对设备缺陷的处理工作，必须在工作前将缺陷发生的原因、处理的方法以及处理工作时对现场条件的要求、工作中的安全注意事项等核查清楚。</w:t>
      </w:r>
    </w:p>
    <w:p w14:paraId="17D87228">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对大型作业等较为复杂的施工（检修）作业项目，有关人员必须在施工（检修）前</w:t>
      </w:r>
      <w:r>
        <w:rPr>
          <w:rFonts w:hint="eastAsia" w:ascii="宋体" w:hAnsi="宋体" w:cs="宋体"/>
          <w:color w:val="auto"/>
          <w:kern w:val="0"/>
          <w:sz w:val="21"/>
          <w:szCs w:val="21"/>
          <w:highlight w:val="none"/>
          <w:lang w:eastAsia="zh-CN"/>
        </w:rPr>
        <w:t>深入</w:t>
      </w:r>
      <w:r>
        <w:rPr>
          <w:rFonts w:hint="eastAsia" w:ascii="宋体" w:hAnsi="宋体" w:eastAsia="宋体" w:cs="宋体"/>
          <w:color w:val="auto"/>
          <w:kern w:val="0"/>
          <w:sz w:val="21"/>
          <w:szCs w:val="21"/>
          <w:highlight w:val="none"/>
        </w:rPr>
        <w:t>现场，对大型施工（检修）机械的行走路线和工作位置以及对施工（检修）构成障碍的物体等核查清楚，以确定可行的施工（检修）方案和作业中的不安全因素，制定可靠的安全防范措施。</w:t>
      </w:r>
    </w:p>
    <w:p w14:paraId="2A09FA0D">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保证作业区内的清洁卫生。</w:t>
      </w:r>
    </w:p>
    <w:p w14:paraId="4FC1ADD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爱护招标人的消防设施，按招标人有关规定及时到指定地点调换使用过的灭火器材。</w:t>
      </w:r>
    </w:p>
    <w:p w14:paraId="3AB43145">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中标人必须严格遵守招标人及中标人规定的劳动纪律，中标人规定的劳动纪律及各类规章制度、规程不得与招标人的规章制度、规程相违背。</w:t>
      </w:r>
    </w:p>
    <w:p w14:paraId="2A4F09B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.4.2</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中标人必须严格遵守招标人所在地的“社会治安管理条例”。</w:t>
      </w:r>
    </w:p>
    <w:p w14:paraId="09C017F0">
      <w:pPr>
        <w:pStyle w:val="39"/>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420" w:firstLineChars="200"/>
        <w:textAlignment w:val="auto"/>
        <w:rPr>
          <w:rFonts w:hint="eastAsia" w:ascii="宋体" w:hAnsi="宋体" w:eastAsia="宋体" w:cs="宋体"/>
          <w:b/>
          <w:sz w:val="21"/>
          <w:szCs w:val="21"/>
          <w:highlight w:val="none"/>
          <w:lang w:val="en-US" w:eastAsia="zh-CN"/>
        </w:rPr>
      </w:pPr>
      <w:bookmarkStart w:id="337" w:name="_Toc488238913"/>
      <w:bookmarkStart w:id="338" w:name="_Toc172623581"/>
      <w:bookmarkStart w:id="339" w:name="_Toc440551890"/>
      <w:bookmarkStart w:id="340" w:name="_Toc294082660"/>
      <w:bookmarkStart w:id="341" w:name="_Toc208481060"/>
      <w:r>
        <w:rPr>
          <w:rFonts w:hint="eastAsia" w:ascii="宋体" w:hAnsi="宋体" w:eastAsia="宋体" w:cs="宋体"/>
          <w:b/>
          <w:sz w:val="21"/>
          <w:szCs w:val="21"/>
          <w:highlight w:val="none"/>
          <w:lang w:val="en-US" w:eastAsia="zh-CN"/>
        </w:rPr>
        <w:t>十五、文明管理</w:t>
      </w:r>
      <w:bookmarkEnd w:id="337"/>
      <w:bookmarkEnd w:id="338"/>
      <w:bookmarkEnd w:id="339"/>
      <w:bookmarkEnd w:id="340"/>
      <w:bookmarkEnd w:id="341"/>
    </w:p>
    <w:p w14:paraId="7470F06E">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.1作业过程中，严格按照“规范化管理、标准化作业”规定要求，实施文明管理。</w:t>
      </w:r>
    </w:p>
    <w:p w14:paraId="320EC96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.2作业过程中，中标人应合理地保持作业</w:t>
      </w:r>
      <w:r>
        <w:rPr>
          <w:rFonts w:hint="eastAsia" w:ascii="宋体" w:hAnsi="宋体" w:cs="宋体"/>
          <w:color w:val="auto"/>
          <w:kern w:val="0"/>
          <w:sz w:val="21"/>
          <w:szCs w:val="21"/>
          <w:highlight w:val="none"/>
          <w:lang w:eastAsia="zh-CN"/>
        </w:rPr>
        <w:t>现场</w:t>
      </w:r>
      <w:r>
        <w:rPr>
          <w:rFonts w:hint="eastAsia" w:ascii="宋体" w:hAnsi="宋体" w:eastAsia="宋体" w:cs="宋体"/>
          <w:color w:val="auto"/>
          <w:kern w:val="0"/>
          <w:sz w:val="21"/>
          <w:szCs w:val="21"/>
          <w:highlight w:val="none"/>
        </w:rPr>
        <w:t>不出现不必要的障碍，处置好作业设备及多余材料，保持现场整洁和道路畅通。</w:t>
      </w:r>
    </w:p>
    <w:p w14:paraId="65157F27">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3保护作业区域内各种管线、输电及通信线路、控制开关、生产通道、测量标点等，不得随意破坏、操作、占用。如与其他作业平面发生矛盾，应事先通报招标人，在得到招标人同意后方可按要求执行。如发现未经请示同意而擅自行事，将视其具体情况给予罚款处理。</w:t>
      </w:r>
    </w:p>
    <w:p w14:paraId="5CFE300B">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.4必须负责作业现场日常卫生清理工作，保证公共环境整洁。</w:t>
      </w:r>
    </w:p>
    <w:p w14:paraId="4FEC81B4">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.5运至作业现场的备品备件，剩余部分由中标人及时回收，并放到招标人指定的地点。</w:t>
      </w:r>
    </w:p>
    <w:p w14:paraId="3EC7F401">
      <w:pPr>
        <w:keepNext w:val="0"/>
        <w:keepLines w:val="0"/>
        <w:pageBreakBefore w:val="0"/>
        <w:widowControl w:val="0"/>
        <w:tabs>
          <w:tab w:val="left" w:pos="420"/>
        </w:tabs>
        <w:kinsoku/>
        <w:wordWrap/>
        <w:overflowPunct/>
        <w:topLinePunct w:val="0"/>
        <w:autoSpaceDE/>
        <w:autoSpaceDN/>
        <w:bidi w:val="0"/>
        <w:adjustRightInd w:val="0"/>
        <w:snapToGrid w:val="0"/>
        <w:spacing w:line="560" w:lineRule="exact"/>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.6作业现场讲文明、讲礼貌，遇事商量解决，严禁打架、斗殴。</w:t>
      </w:r>
    </w:p>
    <w:p w14:paraId="368CA9D5">
      <w:pPr>
        <w:rPr>
          <w:rFonts w:hint="eastAsia" w:ascii="宋体" w:hAnsi="宋体" w:eastAsia="宋体" w:cs="宋体"/>
          <w:kern w:val="0"/>
          <w:szCs w:val="21"/>
          <w:highlight w:val="none"/>
          <w:lang w:val="en-US" w:eastAsia="zh-CN"/>
        </w:rPr>
      </w:pPr>
      <w:r>
        <w:rPr>
          <w:rFonts w:hint="eastAsia" w:ascii="宋体" w:hAnsi="宋体" w:eastAsia="宋体" w:cs="宋体"/>
          <w:kern w:val="0"/>
          <w:szCs w:val="21"/>
          <w:highlight w:val="none"/>
          <w:lang w:val="en-US" w:eastAsia="zh-CN"/>
        </w:rPr>
        <w:br w:type="page"/>
      </w:r>
    </w:p>
    <w:p w14:paraId="2880BDC6">
      <w:pPr>
        <w:numPr>
          <w:ilvl w:val="0"/>
          <w:numId w:val="5"/>
        </w:numPr>
        <w:jc w:val="cente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25206C00">
      <w:pPr>
        <w:numPr>
          <w:ilvl w:val="0"/>
          <w:numId w:val="0"/>
        </w:numPr>
        <w:jc w:val="left"/>
        <w:rPr>
          <w:rFonts w:hint="eastAsia" w:eastAsia="仿宋"/>
          <w:b/>
          <w:highlight w:val="none"/>
          <w:lang w:eastAsia="zh-CN"/>
        </w:rPr>
      </w:pPr>
      <w:r>
        <w:rPr>
          <w:rFonts w:hint="eastAsia" w:eastAsia="仿宋"/>
          <w:b/>
          <w:highlight w:val="none"/>
        </w:rPr>
        <w:t>甲方：</w:t>
      </w:r>
    </w:p>
    <w:p w14:paraId="441AFBEF">
      <w:pPr>
        <w:spacing w:line="360" w:lineRule="auto"/>
        <w:rPr>
          <w:rFonts w:eastAsia="仿宋"/>
          <w:b/>
          <w:highlight w:val="none"/>
          <w:u w:val="single"/>
        </w:rPr>
      </w:pPr>
      <w:r>
        <w:rPr>
          <w:rFonts w:hint="eastAsia" w:eastAsia="仿宋"/>
          <w:b/>
          <w:highlight w:val="none"/>
        </w:rPr>
        <w:t>乙方：</w:t>
      </w:r>
    </w:p>
    <w:p w14:paraId="7B550967">
      <w:pPr>
        <w:spacing w:line="360" w:lineRule="auto"/>
        <w:ind w:firstLine="420" w:firstLineChars="200"/>
        <w:rPr>
          <w:rFonts w:eastAsia="仿宋"/>
          <w:highlight w:val="none"/>
        </w:rPr>
      </w:pPr>
      <w:r>
        <w:rPr>
          <w:rFonts w:eastAsia="仿宋"/>
          <w:highlight w:val="none"/>
        </w:rPr>
        <w:t>根据有关法律</w:t>
      </w:r>
      <w:r>
        <w:rPr>
          <w:rFonts w:hint="eastAsia" w:eastAsia="仿宋"/>
          <w:highlight w:val="none"/>
        </w:rPr>
        <w:t>法规</w:t>
      </w:r>
      <w:r>
        <w:rPr>
          <w:rFonts w:eastAsia="仿宋"/>
          <w:highlight w:val="none"/>
        </w:rPr>
        <w:t>规定，遵循平等、自愿、公平和诚信的原则，</w:t>
      </w:r>
      <w:r>
        <w:rPr>
          <w:rFonts w:hint="eastAsia" w:eastAsia="仿宋"/>
          <w:highlight w:val="none"/>
        </w:rPr>
        <w:t>甲、乙</w:t>
      </w:r>
      <w:r>
        <w:rPr>
          <w:rFonts w:eastAsia="仿宋"/>
          <w:highlight w:val="none"/>
        </w:rPr>
        <w:t>双方就</w:t>
      </w:r>
      <w:r>
        <w:rPr>
          <w:rFonts w:hint="eastAsia" w:eastAsia="仿宋"/>
          <w:highlight w:val="none"/>
          <w:u w:val="single"/>
          <w:lang w:eastAsia="zh-CN"/>
        </w:rPr>
        <w:t>滁州至南京城际铁路（滁州段）一期生活用水改造及车辆段加装过滤装置项目</w:t>
      </w:r>
      <w:r>
        <w:rPr>
          <w:rFonts w:hint="eastAsia" w:eastAsia="仿宋"/>
          <w:highlight w:val="none"/>
        </w:rPr>
        <w:t>（以下称“本项目”）的实施</w:t>
      </w:r>
      <w:r>
        <w:rPr>
          <w:rFonts w:eastAsia="仿宋"/>
          <w:highlight w:val="none"/>
        </w:rPr>
        <w:t>及有关事项协商一致</w:t>
      </w:r>
      <w:r>
        <w:rPr>
          <w:rFonts w:hint="eastAsia" w:eastAsia="仿宋"/>
          <w:highlight w:val="none"/>
        </w:rPr>
        <w:t>，</w:t>
      </w:r>
      <w:r>
        <w:rPr>
          <w:rFonts w:eastAsia="仿宋"/>
          <w:highlight w:val="none"/>
        </w:rPr>
        <w:t>共同达成如下协议：</w:t>
      </w:r>
    </w:p>
    <w:p w14:paraId="0789248B">
      <w:pPr>
        <w:pStyle w:val="39"/>
        <w:numPr>
          <w:ilvl w:val="0"/>
          <w:numId w:val="0"/>
        </w:numPr>
        <w:spacing w:line="360" w:lineRule="auto"/>
        <w:ind w:leftChars="0"/>
        <w:rPr>
          <w:rFonts w:eastAsia="仿宋"/>
          <w:b/>
          <w:highlight w:val="none"/>
        </w:rPr>
      </w:pPr>
      <w:bookmarkStart w:id="342" w:name="_Toc351203486"/>
      <w:r>
        <w:rPr>
          <w:rFonts w:hint="eastAsia" w:eastAsia="仿宋"/>
          <w:b/>
          <w:highlight w:val="none"/>
          <w:lang w:val="en-US" w:eastAsia="zh-CN"/>
        </w:rPr>
        <w:t>一、</w:t>
      </w:r>
      <w:r>
        <w:rPr>
          <w:rFonts w:eastAsia="仿宋"/>
          <w:b/>
          <w:highlight w:val="none"/>
        </w:rPr>
        <w:t>合同文件构成</w:t>
      </w:r>
      <w:bookmarkEnd w:id="342"/>
    </w:p>
    <w:p w14:paraId="040B1419">
      <w:pPr>
        <w:spacing w:line="360" w:lineRule="auto"/>
        <w:rPr>
          <w:rFonts w:eastAsia="仿宋"/>
          <w:bCs/>
          <w:highlight w:val="none"/>
        </w:rPr>
      </w:pPr>
      <w:bookmarkStart w:id="343" w:name="_Hlk14188859"/>
      <w:r>
        <w:rPr>
          <w:rFonts w:eastAsia="仿宋"/>
          <w:bCs/>
          <w:highlight w:val="none"/>
        </w:rPr>
        <w:t>本</w:t>
      </w:r>
      <w:r>
        <w:rPr>
          <w:rFonts w:hint="eastAsia" w:eastAsia="仿宋"/>
          <w:bCs/>
          <w:highlight w:val="none"/>
          <w:lang w:eastAsia="zh-CN"/>
        </w:rPr>
        <w:t>合同</w:t>
      </w:r>
      <w:r>
        <w:rPr>
          <w:rFonts w:eastAsia="仿宋"/>
          <w:bCs/>
          <w:highlight w:val="none"/>
        </w:rPr>
        <w:t>书与下列文件一起构成合同文件：</w:t>
      </w:r>
    </w:p>
    <w:p w14:paraId="4E0A9042">
      <w:pPr>
        <w:pStyle w:val="39"/>
        <w:numPr>
          <w:ilvl w:val="0"/>
          <w:numId w:val="6"/>
        </w:numPr>
        <w:spacing w:line="360" w:lineRule="auto"/>
        <w:ind w:firstLineChars="0"/>
        <w:rPr>
          <w:rFonts w:eastAsia="仿宋"/>
          <w:highlight w:val="none"/>
        </w:rPr>
      </w:pPr>
      <w:r>
        <w:rPr>
          <w:rFonts w:hint="eastAsia" w:eastAsia="仿宋"/>
          <w:highlight w:val="none"/>
        </w:rPr>
        <w:t>招标文件、投标文件、</w:t>
      </w:r>
      <w:r>
        <w:rPr>
          <w:rFonts w:eastAsia="仿宋"/>
          <w:highlight w:val="none"/>
        </w:rPr>
        <w:t>中标通知书（如有）；</w:t>
      </w:r>
    </w:p>
    <w:p w14:paraId="739DD1EF">
      <w:pPr>
        <w:pStyle w:val="39"/>
        <w:numPr>
          <w:ilvl w:val="0"/>
          <w:numId w:val="6"/>
        </w:numPr>
        <w:spacing w:line="360" w:lineRule="auto"/>
        <w:ind w:firstLineChars="0"/>
        <w:rPr>
          <w:rFonts w:eastAsia="仿宋"/>
          <w:highlight w:val="none"/>
        </w:rPr>
      </w:pPr>
      <w:bookmarkStart w:id="344" w:name="_Hlk14189050"/>
      <w:r>
        <w:rPr>
          <w:rFonts w:hint="eastAsia" w:eastAsia="仿宋"/>
          <w:highlight w:val="none"/>
        </w:rPr>
        <w:t>竞争性磋商</w:t>
      </w:r>
      <w:r>
        <w:rPr>
          <w:rFonts w:hint="eastAsia" w:eastAsia="仿宋"/>
          <w:highlight w:val="none"/>
          <w:lang w:val="en-US" w:eastAsia="zh-CN"/>
        </w:rPr>
        <w:t>文件</w:t>
      </w:r>
      <w:r>
        <w:rPr>
          <w:rFonts w:hint="eastAsia" w:eastAsia="仿宋"/>
          <w:highlight w:val="none"/>
        </w:rPr>
        <w:t>、谈判文件及申请文件（如有）</w:t>
      </w:r>
      <w:r>
        <w:rPr>
          <w:rFonts w:eastAsia="仿宋"/>
          <w:highlight w:val="none"/>
        </w:rPr>
        <w:t>；</w:t>
      </w:r>
    </w:p>
    <w:p w14:paraId="4EBDBF58">
      <w:pPr>
        <w:numPr>
          <w:ilvl w:val="0"/>
          <w:numId w:val="6"/>
        </w:numPr>
        <w:spacing w:line="360" w:lineRule="auto"/>
        <w:ind w:left="720" w:leftChars="0" w:hanging="720" w:firstLineChars="0"/>
        <w:rPr>
          <w:rFonts w:eastAsia="仿宋"/>
          <w:highlight w:val="none"/>
        </w:rPr>
      </w:pPr>
      <w:r>
        <w:rPr>
          <w:rFonts w:eastAsia="仿宋"/>
          <w:highlight w:val="none"/>
        </w:rPr>
        <w:t>技术标准和要求</w:t>
      </w:r>
      <w:r>
        <w:rPr>
          <w:rFonts w:hint="eastAsia" w:eastAsia="仿宋"/>
          <w:highlight w:val="none"/>
          <w:lang w:eastAsia="zh-CN"/>
        </w:rPr>
        <w:t>（</w:t>
      </w:r>
      <w:r>
        <w:rPr>
          <w:rFonts w:hint="eastAsia" w:eastAsia="仿宋"/>
          <w:highlight w:val="none"/>
          <w:lang w:val="en-US" w:eastAsia="zh-CN"/>
        </w:rPr>
        <w:t>用户需求书</w:t>
      </w:r>
      <w:r>
        <w:rPr>
          <w:rFonts w:hint="eastAsia" w:eastAsia="仿宋"/>
          <w:highlight w:val="none"/>
          <w:lang w:eastAsia="zh-CN"/>
        </w:rPr>
        <w:t>）</w:t>
      </w:r>
      <w:r>
        <w:rPr>
          <w:rFonts w:eastAsia="仿宋"/>
          <w:highlight w:val="none"/>
        </w:rPr>
        <w:t>；</w:t>
      </w:r>
      <w:bookmarkEnd w:id="344"/>
    </w:p>
    <w:p w14:paraId="681E10EE">
      <w:pPr>
        <w:numPr>
          <w:ilvl w:val="0"/>
          <w:numId w:val="6"/>
        </w:numPr>
        <w:spacing w:line="360" w:lineRule="auto"/>
        <w:ind w:left="720" w:leftChars="0" w:hanging="720" w:firstLineChars="0"/>
        <w:rPr>
          <w:rFonts w:eastAsia="仿宋"/>
          <w:highlight w:val="none"/>
        </w:rPr>
      </w:pPr>
      <w:r>
        <w:rPr>
          <w:rFonts w:eastAsia="仿宋"/>
          <w:highlight w:val="none"/>
        </w:rPr>
        <w:t>图纸</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p>
    <w:p w14:paraId="070942C0">
      <w:pPr>
        <w:numPr>
          <w:ilvl w:val="0"/>
          <w:numId w:val="6"/>
        </w:numPr>
        <w:spacing w:line="360" w:lineRule="auto"/>
        <w:ind w:left="720" w:leftChars="0" w:hanging="720" w:firstLineChars="0"/>
        <w:rPr>
          <w:rFonts w:eastAsia="仿宋"/>
          <w:highlight w:val="none"/>
        </w:rPr>
      </w:pPr>
      <w:r>
        <w:rPr>
          <w:rFonts w:eastAsia="仿宋"/>
          <w:highlight w:val="none"/>
        </w:rPr>
        <w:t>已标价工程量清单或预算书</w:t>
      </w:r>
      <w:r>
        <w:rPr>
          <w:rFonts w:hint="eastAsia" w:eastAsia="仿宋"/>
          <w:highlight w:val="none"/>
          <w:lang w:eastAsia="zh-CN"/>
        </w:rPr>
        <w:t>（</w:t>
      </w:r>
      <w:r>
        <w:rPr>
          <w:rFonts w:hint="eastAsia" w:eastAsia="仿宋"/>
          <w:highlight w:val="none"/>
          <w:lang w:val="en-US" w:eastAsia="zh-CN"/>
        </w:rPr>
        <w:t>如有</w:t>
      </w:r>
      <w:r>
        <w:rPr>
          <w:rFonts w:hint="eastAsia" w:eastAsia="仿宋"/>
          <w:highlight w:val="none"/>
          <w:lang w:eastAsia="zh-CN"/>
        </w:rPr>
        <w:t>）</w:t>
      </w:r>
      <w:r>
        <w:rPr>
          <w:rFonts w:eastAsia="仿宋"/>
          <w:highlight w:val="none"/>
        </w:rPr>
        <w:t>；</w:t>
      </w:r>
      <w:bookmarkStart w:id="345" w:name="_Hlk14189066"/>
    </w:p>
    <w:p w14:paraId="3B8D39D1">
      <w:pPr>
        <w:numPr>
          <w:ilvl w:val="0"/>
          <w:numId w:val="6"/>
        </w:numPr>
        <w:spacing w:line="360" w:lineRule="auto"/>
        <w:ind w:left="720" w:leftChars="0" w:hanging="720" w:firstLineChars="0"/>
        <w:rPr>
          <w:rFonts w:eastAsia="仿宋"/>
          <w:highlight w:val="none"/>
        </w:rPr>
      </w:pPr>
      <w:r>
        <w:rPr>
          <w:rFonts w:hint="eastAsia" w:eastAsia="仿宋"/>
          <w:highlight w:val="none"/>
        </w:rPr>
        <w:t>其他文件：_</w:t>
      </w:r>
      <w:r>
        <w:rPr>
          <w:rFonts w:eastAsia="仿宋"/>
          <w:highlight w:val="none"/>
        </w:rPr>
        <w:t>____________________</w:t>
      </w:r>
      <w:bookmarkEnd w:id="343"/>
      <w:bookmarkEnd w:id="345"/>
    </w:p>
    <w:p w14:paraId="39501BA3">
      <w:pPr>
        <w:spacing w:line="360" w:lineRule="auto"/>
        <w:ind w:firstLine="420" w:firstLineChars="200"/>
        <w:rPr>
          <w:rFonts w:eastAsia="仿宋"/>
          <w:highlight w:val="none"/>
        </w:rPr>
      </w:pPr>
      <w:r>
        <w:rPr>
          <w:rFonts w:eastAsia="仿宋"/>
          <w:highlight w:val="none"/>
        </w:rPr>
        <w:t>上述各项合同文件包括合同当事人就该项合同文件所作出的补充和修改，属于同一类内容的文件，应以最新签署的为准。</w:t>
      </w:r>
    </w:p>
    <w:p w14:paraId="19EEF47B">
      <w:pPr>
        <w:spacing w:line="360" w:lineRule="auto"/>
        <w:outlineLvl w:val="0"/>
        <w:rPr>
          <w:rFonts w:eastAsia="仿宋"/>
          <w:b/>
          <w:bCs/>
          <w:highlight w:val="none"/>
        </w:rPr>
      </w:pPr>
      <w:r>
        <w:rPr>
          <w:rFonts w:hint="eastAsia" w:eastAsia="仿宋"/>
          <w:b/>
          <w:bCs/>
          <w:highlight w:val="none"/>
        </w:rPr>
        <w:t>二、项目概况</w:t>
      </w:r>
    </w:p>
    <w:p w14:paraId="13059FA8">
      <w:pPr>
        <w:spacing w:line="360" w:lineRule="auto"/>
        <w:rPr>
          <w:rFonts w:eastAsia="仿宋"/>
          <w:highlight w:val="none"/>
        </w:rPr>
      </w:pPr>
      <w:r>
        <w:rPr>
          <w:rFonts w:hint="eastAsia" w:eastAsia="仿宋"/>
          <w:highlight w:val="none"/>
        </w:rPr>
        <w:t>2</w:t>
      </w:r>
      <w:r>
        <w:rPr>
          <w:rFonts w:eastAsia="仿宋"/>
          <w:highlight w:val="none"/>
        </w:rPr>
        <w:t>.1</w:t>
      </w:r>
      <w:r>
        <w:rPr>
          <w:rFonts w:hint="eastAsia" w:eastAsia="仿宋"/>
          <w:highlight w:val="none"/>
          <w:lang w:val="en-US" w:eastAsia="zh-CN"/>
        </w:rPr>
        <w:t xml:space="preserve"> </w:t>
      </w:r>
      <w:r>
        <w:rPr>
          <w:rFonts w:hint="eastAsia" w:eastAsia="仿宋"/>
          <w:highlight w:val="none"/>
        </w:rPr>
        <w:t>项目实施</w:t>
      </w:r>
      <w:r>
        <w:rPr>
          <w:rFonts w:eastAsia="仿宋"/>
          <w:highlight w:val="none"/>
        </w:rPr>
        <w:t>地点：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highlight w:val="none"/>
          <w:u w:val="single"/>
          <w:lang w:val="en-US" w:eastAsia="zh-CN"/>
        </w:rPr>
        <w:t xml:space="preserve">         </w:t>
      </w:r>
      <w:r>
        <w:rPr>
          <w:rFonts w:eastAsia="仿宋"/>
          <w:highlight w:val="none"/>
          <w:u w:val="single"/>
        </w:rPr>
        <w:t xml:space="preserve">   </w:t>
      </w:r>
    </w:p>
    <w:p w14:paraId="075C2815">
      <w:pPr>
        <w:spacing w:line="360" w:lineRule="auto"/>
        <w:rPr>
          <w:rFonts w:eastAsia="仿宋"/>
          <w:color w:val="auto"/>
          <w:highlight w:val="none"/>
        </w:rPr>
      </w:pPr>
      <w:r>
        <w:rPr>
          <w:rFonts w:hint="eastAsia" w:eastAsia="仿宋"/>
          <w:highlight w:val="none"/>
        </w:rPr>
        <w:t>2</w:t>
      </w:r>
      <w:r>
        <w:rPr>
          <w:rFonts w:eastAsia="仿宋"/>
          <w:highlight w:val="none"/>
        </w:rPr>
        <w:t xml:space="preserve">.2 </w:t>
      </w:r>
      <w:r>
        <w:rPr>
          <w:rFonts w:hint="eastAsia" w:eastAsia="仿宋"/>
          <w:highlight w:val="none"/>
        </w:rPr>
        <w:t>项目内容：</w:t>
      </w:r>
      <w:r>
        <w:rPr>
          <w:rFonts w:hint="eastAsia" w:eastAsia="仿宋"/>
          <w:highlight w:val="none"/>
          <w:u w:val="single"/>
          <w:lang w:val="en-US" w:eastAsia="zh-CN"/>
        </w:rPr>
        <w:t xml:space="preserve"> </w:t>
      </w:r>
      <w:r>
        <w:rPr>
          <w:rFonts w:eastAsia="仿宋"/>
          <w:highlight w:val="none"/>
          <w:u w:val="single"/>
        </w:rPr>
        <w:t xml:space="preserve"> </w:t>
      </w:r>
      <w:r>
        <w:rPr>
          <w:rFonts w:hint="eastAsia" w:eastAsia="仿宋"/>
          <w:color w:val="auto"/>
          <w:highlight w:val="none"/>
          <w:u w:val="single"/>
          <w:lang w:val="en-US" w:eastAsia="zh-CN"/>
        </w:rPr>
        <w:t>详见用户需求书</w:t>
      </w:r>
      <w:r>
        <w:rPr>
          <w:rFonts w:eastAsia="仿宋"/>
          <w:color w:val="auto"/>
          <w:highlight w:val="none"/>
          <w:u w:val="single"/>
        </w:rPr>
        <w:t xml:space="preserve">     </w:t>
      </w:r>
    </w:p>
    <w:p w14:paraId="035981DF">
      <w:pPr>
        <w:spacing w:line="360" w:lineRule="auto"/>
        <w:outlineLvl w:val="0"/>
        <w:rPr>
          <w:rFonts w:hint="eastAsia" w:eastAsia="仿宋"/>
          <w:b/>
          <w:bCs/>
          <w:color w:val="auto"/>
          <w:highlight w:val="none"/>
        </w:rPr>
      </w:pPr>
      <w:r>
        <w:rPr>
          <w:rFonts w:hint="eastAsia" w:eastAsia="仿宋"/>
          <w:b/>
          <w:bCs/>
          <w:color w:val="auto"/>
          <w:highlight w:val="none"/>
        </w:rPr>
        <w:t>三、合同工期</w:t>
      </w:r>
    </w:p>
    <w:p w14:paraId="75E6596F">
      <w:pPr>
        <w:spacing w:line="360" w:lineRule="auto"/>
        <w:rPr>
          <w:rFonts w:eastAsia="仿宋"/>
          <w:color w:val="auto"/>
          <w:highlight w:val="none"/>
          <w:u w:val="single"/>
        </w:rPr>
      </w:pPr>
      <w:r>
        <w:rPr>
          <w:rFonts w:hint="eastAsia" w:eastAsia="仿宋"/>
          <w:color w:val="auto"/>
          <w:highlight w:val="none"/>
          <w:lang w:val="en-US" w:eastAsia="zh-CN"/>
        </w:rPr>
        <w:t xml:space="preserve">3.1 </w:t>
      </w:r>
      <w:r>
        <w:rPr>
          <w:rFonts w:hint="eastAsia" w:eastAsia="仿宋"/>
          <w:color w:val="auto"/>
          <w:highlight w:val="none"/>
        </w:rPr>
        <w:t>本项目工期为</w:t>
      </w:r>
      <w:r>
        <w:rPr>
          <w:rFonts w:hint="eastAsia" w:eastAsia="仿宋"/>
          <w:color w:val="auto"/>
          <w:highlight w:val="none"/>
          <w:u w:val="single"/>
          <w:lang w:val="en-US" w:eastAsia="zh-CN"/>
        </w:rPr>
        <w:t xml:space="preserve">     </w:t>
      </w:r>
      <w:r>
        <w:rPr>
          <w:rFonts w:hint="eastAsia" w:eastAsia="仿宋"/>
          <w:color w:val="auto"/>
          <w:highlight w:val="none"/>
        </w:rPr>
        <w:t>天（日历天），自</w:t>
      </w:r>
      <w:r>
        <w:rPr>
          <w:rFonts w:hint="eastAsia" w:eastAsia="仿宋"/>
          <w:color w:val="auto"/>
          <w:highlight w:val="none"/>
          <w:u w:val="single"/>
        </w:rPr>
        <w:t>甲方下达开工通知书之日起计算</w:t>
      </w:r>
      <w:r>
        <w:rPr>
          <w:rFonts w:hint="eastAsia" w:eastAsia="仿宋"/>
          <w:color w:val="auto"/>
          <w:highlight w:val="none"/>
          <w:u w:val="none"/>
        </w:rPr>
        <w:t>。</w:t>
      </w:r>
    </w:p>
    <w:p w14:paraId="6AA8635C">
      <w:pPr>
        <w:spacing w:line="360" w:lineRule="auto"/>
        <w:rPr>
          <w:rFonts w:hint="default" w:eastAsia="仿宋"/>
          <w:b/>
          <w:color w:val="auto"/>
          <w:highlight w:val="none"/>
          <w:lang w:val="en-US" w:eastAsia="zh-CN"/>
        </w:rPr>
      </w:pPr>
      <w:bookmarkStart w:id="346" w:name="_Toc351203484"/>
      <w:r>
        <w:rPr>
          <w:rFonts w:hint="eastAsia" w:eastAsia="仿宋"/>
          <w:b/>
          <w:color w:val="auto"/>
          <w:highlight w:val="none"/>
        </w:rPr>
        <w:t>四</w:t>
      </w:r>
      <w:r>
        <w:rPr>
          <w:rFonts w:eastAsia="仿宋"/>
          <w:b/>
          <w:color w:val="auto"/>
          <w:highlight w:val="none"/>
        </w:rPr>
        <w:t>、合同价</w:t>
      </w:r>
      <w:bookmarkEnd w:id="346"/>
      <w:r>
        <w:rPr>
          <w:rFonts w:hint="eastAsia" w:eastAsia="仿宋"/>
          <w:b/>
          <w:color w:val="auto"/>
          <w:highlight w:val="none"/>
        </w:rPr>
        <w:t>款</w:t>
      </w:r>
      <w:r>
        <w:rPr>
          <w:rFonts w:hint="eastAsia" w:eastAsia="仿宋"/>
          <w:b/>
          <w:color w:val="auto"/>
          <w:highlight w:val="none"/>
          <w:lang w:val="en-US" w:eastAsia="zh-CN"/>
        </w:rPr>
        <w:t>及付款方式</w:t>
      </w:r>
    </w:p>
    <w:p w14:paraId="11554297">
      <w:pPr>
        <w:keepNext w:val="0"/>
        <w:keepLines w:val="0"/>
        <w:pageBreakBefore w:val="0"/>
        <w:widowControl w:val="0"/>
        <w:kinsoku/>
        <w:wordWrap/>
        <w:overflowPunct/>
        <w:topLinePunct w:val="0"/>
        <w:autoSpaceDE/>
        <w:autoSpaceDN/>
        <w:bidi w:val="0"/>
        <w:adjustRightInd/>
        <w:snapToGrid/>
        <w:spacing w:line="520" w:lineRule="exact"/>
        <w:textAlignment w:val="auto"/>
        <w:rPr>
          <w:rFonts w:ascii="仿宋" w:hAnsi="仿宋" w:eastAsia="仿宋"/>
          <w:b/>
          <w:bCs/>
          <w:color w:val="auto"/>
          <w:sz w:val="21"/>
          <w:szCs w:val="21"/>
          <w:highlight w:val="none"/>
        </w:rPr>
      </w:pPr>
      <w:r>
        <w:rPr>
          <w:rFonts w:hint="eastAsia" w:eastAsia="仿宋"/>
          <w:color w:val="auto"/>
          <w:sz w:val="21"/>
          <w:szCs w:val="21"/>
          <w:highlight w:val="none"/>
        </w:rPr>
        <w:t>4</w:t>
      </w:r>
      <w:r>
        <w:rPr>
          <w:rFonts w:eastAsia="仿宋"/>
          <w:color w:val="auto"/>
          <w:sz w:val="21"/>
          <w:szCs w:val="21"/>
          <w:highlight w:val="none"/>
        </w:rPr>
        <w:t xml:space="preserve">.1 </w:t>
      </w:r>
      <w:r>
        <w:rPr>
          <w:rFonts w:ascii="仿宋" w:hAnsi="仿宋" w:eastAsia="仿宋"/>
          <w:color w:val="auto"/>
          <w:sz w:val="21"/>
          <w:szCs w:val="21"/>
          <w:highlight w:val="none"/>
        </w:rPr>
        <w:t>本合同不含税价</w:t>
      </w:r>
      <w:r>
        <w:rPr>
          <w:rFonts w:hint="eastAsia" w:ascii="仿宋" w:hAnsi="仿宋" w:eastAsia="仿宋"/>
          <w:color w:val="auto"/>
          <w:sz w:val="21"/>
          <w:szCs w:val="21"/>
          <w:highlight w:val="none"/>
          <w:lang w:val="en-US" w:eastAsia="zh-CN"/>
        </w:rPr>
        <w:t>款</w:t>
      </w:r>
      <w:r>
        <w:rPr>
          <w:rFonts w:ascii="仿宋" w:hAnsi="仿宋" w:eastAsia="仿宋"/>
          <w:color w:val="auto"/>
          <w:sz w:val="21"/>
          <w:szCs w:val="21"/>
          <w:highlight w:val="none"/>
        </w:rPr>
        <w:t>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w:t>
      </w:r>
      <w:r>
        <w:rPr>
          <w:rFonts w:ascii="仿宋" w:hAnsi="仿宋" w:eastAsia="仿宋"/>
          <w:color w:val="auto"/>
          <w:sz w:val="21"/>
          <w:szCs w:val="21"/>
          <w:highlight w:val="none"/>
        </w:rPr>
        <w:t>，含税总价共计为</w:t>
      </w:r>
      <w:r>
        <w:rPr>
          <w:rFonts w:hint="eastAsia" w:ascii="仿宋" w:hAnsi="仿宋" w:eastAsia="仿宋"/>
          <w:color w:val="auto"/>
          <w:sz w:val="21"/>
          <w:szCs w:val="21"/>
          <w:highlight w:val="none"/>
        </w:rPr>
        <w:t>人民币（大写）</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w:t>
      </w:r>
      <w:r>
        <w:rPr>
          <w:rFonts w:hint="eastAsia" w:ascii="仿宋" w:hAnsi="仿宋" w:eastAsia="仿宋"/>
          <w:color w:val="auto"/>
          <w:sz w:val="21"/>
          <w:szCs w:val="21"/>
          <w:highlight w:val="none"/>
          <w:u w:val="single"/>
        </w:rPr>
        <w:t xml:space="preserve">           </w:t>
      </w:r>
      <w:r>
        <w:rPr>
          <w:rFonts w:hint="eastAsia" w:ascii="仿宋" w:hAnsi="仿宋" w:eastAsia="仿宋"/>
          <w:color w:val="auto"/>
          <w:sz w:val="21"/>
          <w:szCs w:val="21"/>
          <w:highlight w:val="none"/>
        </w:rPr>
        <w:t>元）,税率为_</w:t>
      </w:r>
      <w:r>
        <w:rPr>
          <w:rFonts w:ascii="仿宋" w:hAnsi="仿宋" w:eastAsia="仿宋"/>
          <w:color w:val="auto"/>
          <w:sz w:val="21"/>
          <w:szCs w:val="21"/>
          <w:highlight w:val="none"/>
        </w:rPr>
        <w:t>____%。</w:t>
      </w:r>
    </w:p>
    <w:p w14:paraId="5440D66E">
      <w:pPr>
        <w:spacing w:line="360" w:lineRule="auto"/>
        <w:rPr>
          <w:rFonts w:eastAsia="仿宋"/>
          <w:color w:val="auto"/>
          <w:highlight w:val="none"/>
        </w:rPr>
      </w:pPr>
      <w:r>
        <w:rPr>
          <w:rFonts w:hint="eastAsia" w:eastAsia="仿宋"/>
          <w:color w:val="auto"/>
          <w:highlight w:val="none"/>
        </w:rPr>
        <w:t>4</w:t>
      </w:r>
      <w:r>
        <w:rPr>
          <w:rFonts w:eastAsia="仿宋"/>
          <w:color w:val="auto"/>
          <w:highlight w:val="none"/>
        </w:rPr>
        <w:t xml:space="preserve">.2 </w:t>
      </w:r>
      <w:r>
        <w:rPr>
          <w:rFonts w:hint="eastAsia" w:eastAsia="仿宋"/>
          <w:color w:val="auto"/>
          <w:highlight w:val="none"/>
        </w:rPr>
        <w:t>本合同采用以下第</w:t>
      </w:r>
      <w:r>
        <w:rPr>
          <w:rFonts w:hint="eastAsia" w:eastAsia="仿宋"/>
          <w:color w:val="auto"/>
          <w:highlight w:val="none"/>
          <w:u w:val="single"/>
          <w:lang w:val="en-US" w:eastAsia="zh-CN"/>
        </w:rPr>
        <w:t>1</w:t>
      </w:r>
      <w:r>
        <w:rPr>
          <w:rFonts w:hint="eastAsia" w:eastAsia="仿宋"/>
          <w:color w:val="auto"/>
          <w:highlight w:val="none"/>
        </w:rPr>
        <w:t>种价格形式：</w:t>
      </w:r>
    </w:p>
    <w:p w14:paraId="352F481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1.总价合同形式</w:t>
      </w:r>
    </w:p>
    <w:p w14:paraId="1E8F7F8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olor w:val="auto"/>
          <w:highlight w:val="none"/>
        </w:rPr>
        <w:t>（1）合同价款包括合同项目范围内的合同设备（含合同规定的各种材料、备品备件、专用工具）、设计、土建、安装、保管、调试、试验、验收、并网、技术服务等费用。</w:t>
      </w:r>
    </w:p>
    <w:p w14:paraId="3F8128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highlight w:val="none"/>
        </w:rPr>
      </w:pPr>
      <w:r>
        <w:rPr>
          <w:rFonts w:hint="eastAsia" w:eastAsia="仿宋"/>
          <w:color w:val="auto"/>
          <w:highlight w:val="none"/>
        </w:rPr>
        <w:t>（</w:t>
      </w:r>
      <w:r>
        <w:rPr>
          <w:rFonts w:eastAsia="仿宋"/>
          <w:color w:val="auto"/>
          <w:highlight w:val="none"/>
        </w:rPr>
        <w:t>2</w:t>
      </w:r>
      <w:r>
        <w:rPr>
          <w:rFonts w:hint="eastAsia" w:eastAsia="仿宋"/>
          <w:color w:val="auto"/>
          <w:highlight w:val="none"/>
        </w:rPr>
        <w:t>）以甲方提供的工程量清单包干，在合同约定的范围内合同</w:t>
      </w:r>
      <w:r>
        <w:rPr>
          <w:rFonts w:hint="eastAsia" w:eastAsia="仿宋"/>
          <w:highlight w:val="none"/>
        </w:rPr>
        <w:t>总价原则上不作任何调整。</w:t>
      </w:r>
    </w:p>
    <w:p w14:paraId="5A5B2FE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w:t>
      </w:r>
      <w:r>
        <w:rPr>
          <w:rFonts w:eastAsia="仿宋"/>
          <w:highlight w:val="none"/>
        </w:rPr>
        <w:t>本合同总价在合同有效期内为不变价</w:t>
      </w:r>
      <w:r>
        <w:rPr>
          <w:rFonts w:hint="eastAsia" w:eastAsia="仿宋"/>
          <w:highlight w:val="none"/>
        </w:rPr>
        <w:t>，除非发生下列情形可作调整外，不会因为其他情形发生任何调整：</w:t>
      </w:r>
    </w:p>
    <w:p w14:paraId="1BC8E5C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a</w:t>
      </w:r>
      <w:r>
        <w:rPr>
          <w:rFonts w:eastAsia="仿宋"/>
          <w:highlight w:val="none"/>
        </w:rPr>
        <w:t xml:space="preserve">. </w:t>
      </w:r>
      <w:r>
        <w:rPr>
          <w:rFonts w:hint="eastAsia" w:eastAsia="仿宋"/>
          <w:highlight w:val="none"/>
        </w:rPr>
        <w:t>按照甲方要求或指示的设计变更，导致不包含在合同范围内的工程量或费用的增加，或者导致合同范围内的工程量或费用的减少；</w:t>
      </w:r>
    </w:p>
    <w:p w14:paraId="3AD7367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b</w:t>
      </w:r>
      <w:r>
        <w:rPr>
          <w:rFonts w:eastAsia="仿宋"/>
          <w:highlight w:val="none"/>
        </w:rPr>
        <w:t>.</w:t>
      </w:r>
      <w:r>
        <w:rPr>
          <w:rFonts w:hint="eastAsia" w:eastAsia="仿宋"/>
          <w:highlight w:val="none"/>
        </w:rPr>
        <w:t>经甲方签证确认的非乙方原因导致的合同工程现场签证事项。</w:t>
      </w:r>
    </w:p>
    <w:p w14:paraId="7937A90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2.单价合同形式</w:t>
      </w:r>
    </w:p>
    <w:p w14:paraId="4D656823">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14:paraId="046642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（2）构成合同价款的项目单价一经甲方和乙方签订合同确定后不作调整。</w:t>
      </w:r>
    </w:p>
    <w:p w14:paraId="03609C4C">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3.其他形式</w:t>
      </w:r>
    </w:p>
    <w:p w14:paraId="7C01B5B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hint="eastAsia" w:eastAsia="仿宋" w:cs="仿宋"/>
          <w:highlight w:val="none"/>
        </w:rPr>
        <w:t>本项目中的</w:t>
      </w:r>
      <w:r>
        <w:rPr>
          <w:rFonts w:hint="eastAsia" w:eastAsia="仿宋"/>
          <w:highlight w:val="none"/>
        </w:rPr>
        <w:t>_____</w:t>
      </w:r>
      <w:r>
        <w:rPr>
          <w:rFonts w:hint="eastAsia" w:eastAsia="仿宋"/>
          <w:color w:val="auto"/>
          <w:highlight w:val="none"/>
        </w:rPr>
        <w:t>_____(</w:t>
      </w:r>
      <w:r>
        <w:rPr>
          <w:rFonts w:hint="eastAsia" w:eastAsia="仿宋" w:cs="仿宋"/>
          <w:color w:val="auto"/>
          <w:highlight w:val="none"/>
        </w:rPr>
        <w:t>工程量确定的子项目名称</w:t>
      </w:r>
      <w:r>
        <w:rPr>
          <w:rFonts w:hint="eastAsia" w:eastAsia="仿宋"/>
          <w:color w:val="auto"/>
          <w:highlight w:val="none"/>
        </w:rPr>
        <w:t>)</w:t>
      </w:r>
      <w:r>
        <w:rPr>
          <w:rFonts w:hint="eastAsia" w:eastAsia="仿宋" w:cs="仿宋"/>
          <w:color w:val="auto"/>
          <w:highlight w:val="none"/>
        </w:rPr>
        <w:t>以双方确认的</w:t>
      </w:r>
      <w:r>
        <w:rPr>
          <w:rFonts w:hint="eastAsia" w:eastAsia="仿宋"/>
          <w:color w:val="auto"/>
          <w:highlight w:val="none"/>
        </w:rPr>
        <w:t>/</w:t>
      </w:r>
      <w:r>
        <w:rPr>
          <w:rFonts w:hint="eastAsia" w:eastAsia="仿宋" w:cs="仿宋"/>
          <w:color w:val="auto"/>
          <w:highlight w:val="none"/>
        </w:rPr>
        <w:t>甲方提供的报价清单中固定总价包干，这部分项目的合同价款在约定的范围内原则上不作任何调整；本项目中的</w:t>
      </w:r>
      <w:r>
        <w:rPr>
          <w:rFonts w:hint="eastAsia" w:eastAsia="仿宋"/>
          <w:color w:val="auto"/>
          <w:highlight w:val="none"/>
        </w:rPr>
        <w:t>__________(</w:t>
      </w:r>
      <w:r>
        <w:rPr>
          <w:rFonts w:hint="eastAsia" w:eastAsia="仿宋" w:cs="仿宋"/>
          <w:color w:val="auto"/>
          <w:highlight w:val="none"/>
        </w:rPr>
        <w:t>工程量预估的子项目名称</w:t>
      </w:r>
      <w:r>
        <w:rPr>
          <w:rFonts w:hint="eastAsia" w:eastAsia="仿宋"/>
          <w:color w:val="auto"/>
          <w:highlight w:val="none"/>
        </w:rPr>
        <w:t>)</w:t>
      </w:r>
      <w:r>
        <w:rPr>
          <w:rFonts w:hint="eastAsia" w:eastAsia="仿宋" w:cs="仿宋"/>
          <w:color w:val="auto"/>
          <w:highlight w:val="none"/>
        </w:rPr>
        <w:t>工程量为预估，以双方或者甲方确认的报价清单中的固定单价包干，这部分项目的合同价款按双方最终确认的工程量据实计算，固定单价原则上不作任何调整。</w:t>
      </w:r>
    </w:p>
    <w:p w14:paraId="438592D4">
      <w:pPr>
        <w:spacing w:line="360" w:lineRule="auto"/>
        <w:rPr>
          <w:rFonts w:eastAsia="仿宋"/>
          <w:highlight w:val="none"/>
        </w:rPr>
      </w:pPr>
      <w:r>
        <w:rPr>
          <w:rFonts w:hint="eastAsia" w:eastAsia="仿宋"/>
          <w:color w:val="auto"/>
          <w:highlight w:val="none"/>
        </w:rPr>
        <w:t>4</w:t>
      </w:r>
      <w:r>
        <w:rPr>
          <w:rFonts w:eastAsia="仿宋"/>
          <w:color w:val="auto"/>
          <w:highlight w:val="none"/>
        </w:rPr>
        <w:t xml:space="preserve">.3 </w:t>
      </w:r>
      <w:r>
        <w:rPr>
          <w:rFonts w:hint="eastAsia" w:eastAsia="仿宋"/>
          <w:color w:val="auto"/>
          <w:highlight w:val="none"/>
        </w:rPr>
        <w:t>出现合同约定的合同价款调增事项后的七个工作日内，乙方应向甲方提交合同价款调增报告并附上相关资料，若乙方在七个工作日内未提交合同价款调增报</w:t>
      </w:r>
      <w:r>
        <w:rPr>
          <w:rFonts w:hint="eastAsia" w:eastAsia="仿宋"/>
          <w:highlight w:val="none"/>
        </w:rPr>
        <w:t>告的，视为乙方对该事项不存在调整价款。</w:t>
      </w:r>
    </w:p>
    <w:p w14:paraId="688B0130">
      <w:pPr>
        <w:spacing w:line="360" w:lineRule="auto"/>
        <w:rPr>
          <w:rFonts w:eastAsia="仿宋"/>
          <w:highlight w:val="none"/>
        </w:rPr>
      </w:pPr>
      <w:r>
        <w:rPr>
          <w:rFonts w:hint="eastAsia" w:eastAsia="仿宋"/>
          <w:highlight w:val="none"/>
        </w:rPr>
        <w:t>4</w:t>
      </w:r>
      <w:r>
        <w:rPr>
          <w:rFonts w:eastAsia="仿宋"/>
          <w:highlight w:val="none"/>
        </w:rPr>
        <w:t xml:space="preserve">.4 </w:t>
      </w:r>
      <w:r>
        <w:rPr>
          <w:rFonts w:hint="eastAsia" w:eastAsia="仿宋"/>
          <w:highlight w:val="none"/>
        </w:rPr>
        <w:t>甲方应</w:t>
      </w:r>
      <w:r>
        <w:rPr>
          <w:rFonts w:eastAsia="仿宋"/>
          <w:highlight w:val="none"/>
        </w:rPr>
        <w:t>在收到</w:t>
      </w:r>
      <w:r>
        <w:rPr>
          <w:rFonts w:hint="eastAsia" w:eastAsia="仿宋"/>
          <w:highlight w:val="none"/>
        </w:rPr>
        <w:t>乙方</w:t>
      </w:r>
      <w:r>
        <w:rPr>
          <w:rFonts w:eastAsia="仿宋"/>
          <w:highlight w:val="none"/>
        </w:rPr>
        <w:t>合同价款调增报告及相关资料之日起</w:t>
      </w:r>
      <w:r>
        <w:rPr>
          <w:rFonts w:eastAsia="仿宋"/>
          <w:highlight w:val="none"/>
          <w:u w:val="single"/>
        </w:rPr>
        <w:t>14</w:t>
      </w:r>
      <w:r>
        <w:rPr>
          <w:rFonts w:hint="eastAsia" w:eastAsia="仿宋"/>
          <w:highlight w:val="none"/>
          <w:u w:val="none"/>
          <w:lang w:val="en-US" w:eastAsia="zh-CN"/>
        </w:rPr>
        <w:t>个</w:t>
      </w:r>
      <w:r>
        <w:rPr>
          <w:rFonts w:hint="eastAsia" w:eastAsia="仿宋"/>
          <w:highlight w:val="none"/>
        </w:rPr>
        <w:t>工作日内</w:t>
      </w:r>
      <w:r>
        <w:rPr>
          <w:rFonts w:eastAsia="仿宋"/>
          <w:highlight w:val="none"/>
        </w:rPr>
        <w:t>对其核实，予以确认的</w:t>
      </w:r>
      <w:r>
        <w:rPr>
          <w:rFonts w:hint="eastAsia" w:eastAsia="仿宋"/>
          <w:highlight w:val="none"/>
        </w:rPr>
        <w:t>，</w:t>
      </w:r>
      <w:r>
        <w:rPr>
          <w:rFonts w:eastAsia="仿宋"/>
          <w:highlight w:val="none"/>
        </w:rPr>
        <w:t>应书面通知</w:t>
      </w:r>
      <w:r>
        <w:rPr>
          <w:rFonts w:hint="eastAsia" w:eastAsia="仿宋"/>
          <w:highlight w:val="none"/>
        </w:rPr>
        <w:t>乙方</w:t>
      </w:r>
      <w:r>
        <w:rPr>
          <w:rFonts w:eastAsia="仿宋"/>
          <w:highlight w:val="none"/>
        </w:rPr>
        <w:t>。</w:t>
      </w:r>
      <w:r>
        <w:rPr>
          <w:rFonts w:hint="eastAsia" w:eastAsia="仿宋"/>
          <w:highlight w:val="none"/>
        </w:rPr>
        <w:t>甲方未予确认的部分，乙方不得擅自变更或增加。</w:t>
      </w:r>
    </w:p>
    <w:p w14:paraId="6D992FED">
      <w:pPr>
        <w:spacing w:line="360" w:lineRule="auto"/>
        <w:rPr>
          <w:rFonts w:eastAsia="仿宋"/>
          <w:highlight w:val="none"/>
        </w:rPr>
      </w:pPr>
      <w:r>
        <w:rPr>
          <w:rFonts w:hint="eastAsia" w:eastAsia="仿宋"/>
          <w:highlight w:val="none"/>
        </w:rPr>
        <w:t>4</w:t>
      </w:r>
      <w:r>
        <w:rPr>
          <w:rFonts w:eastAsia="仿宋"/>
          <w:highlight w:val="none"/>
        </w:rPr>
        <w:t xml:space="preserve">.5 </w:t>
      </w:r>
      <w:r>
        <w:rPr>
          <w:rFonts w:hint="eastAsia" w:eastAsia="仿宋"/>
          <w:highlight w:val="none"/>
        </w:rPr>
        <w:t>出现合同约定的合同价款调减事项后的</w:t>
      </w:r>
      <w:r>
        <w:rPr>
          <w:rFonts w:hint="eastAsia" w:eastAsia="仿宋"/>
          <w:highlight w:val="none"/>
          <w:u w:val="single"/>
        </w:rPr>
        <w:t>7</w:t>
      </w:r>
      <w:r>
        <w:rPr>
          <w:rFonts w:hint="eastAsia" w:eastAsia="仿宋"/>
          <w:highlight w:val="none"/>
        </w:rPr>
        <w:t>个工作日内，甲方应向乙方提交合同价款调减报告并说明理由。乙方在收到甲方合同价款调减报告及相关资料之日起</w:t>
      </w:r>
      <w:r>
        <w:rPr>
          <w:rFonts w:hint="eastAsia" w:eastAsia="仿宋"/>
          <w:highlight w:val="none"/>
          <w:u w:val="single"/>
          <w:lang w:val="en-US" w:eastAsia="zh-CN"/>
        </w:rPr>
        <w:t>7</w:t>
      </w:r>
      <w:r>
        <w:rPr>
          <w:rFonts w:hint="eastAsia" w:eastAsia="仿宋"/>
          <w:highlight w:val="none"/>
        </w:rPr>
        <w:t>个工作日内不予确认也未提出不同意见的，视为乙方认可甲方的价款调减请求。</w:t>
      </w:r>
    </w:p>
    <w:p w14:paraId="1A2254B5">
      <w:pPr>
        <w:spacing w:line="360" w:lineRule="auto"/>
        <w:rPr>
          <w:rFonts w:hint="eastAsia" w:eastAsia="仿宋"/>
          <w:highlight w:val="none"/>
        </w:rPr>
      </w:pPr>
      <w:r>
        <w:rPr>
          <w:rFonts w:hint="eastAsia" w:eastAsia="仿宋"/>
          <w:highlight w:val="none"/>
        </w:rPr>
        <w:t>4</w:t>
      </w:r>
      <w:r>
        <w:rPr>
          <w:rFonts w:eastAsia="仿宋"/>
          <w:highlight w:val="none"/>
        </w:rPr>
        <w:t xml:space="preserve">.6 </w:t>
      </w:r>
      <w:r>
        <w:rPr>
          <w:rFonts w:hint="eastAsia" w:eastAsia="仿宋"/>
          <w:highlight w:val="none"/>
        </w:rPr>
        <w:t>经过甲乙双方确认调整的合同价款，作为追加（减）合同价款，与工程进度款或结算款同期支付。</w:t>
      </w:r>
    </w:p>
    <w:p w14:paraId="75330161">
      <w:pPr>
        <w:spacing w:line="360" w:lineRule="auto"/>
        <w:rPr>
          <w:rFonts w:eastAsia="仿宋"/>
          <w:highlight w:val="none"/>
        </w:rPr>
      </w:pPr>
      <w:r>
        <w:rPr>
          <w:rFonts w:hint="eastAsia" w:eastAsia="仿宋"/>
          <w:highlight w:val="none"/>
          <w:lang w:val="en-US" w:eastAsia="zh-CN"/>
        </w:rPr>
        <w:t>4.7 本合同款项应按</w:t>
      </w:r>
      <w:r>
        <w:rPr>
          <w:rFonts w:hint="eastAsia" w:eastAsia="仿宋"/>
          <w:highlight w:val="none"/>
        </w:rPr>
        <w:t>下列第</w:t>
      </w:r>
      <w:r>
        <w:rPr>
          <w:rFonts w:hint="eastAsia" w:eastAsia="仿宋"/>
          <w:highlight w:val="none"/>
          <w:u w:val="single"/>
          <w:lang w:val="en-US" w:eastAsia="zh-CN"/>
        </w:rPr>
        <w:t>1</w:t>
      </w:r>
      <w:r>
        <w:rPr>
          <w:rFonts w:hint="eastAsia" w:eastAsia="仿宋"/>
          <w:highlight w:val="none"/>
        </w:rPr>
        <w:t>种方式</w:t>
      </w:r>
      <w:r>
        <w:rPr>
          <w:rFonts w:hint="eastAsia" w:eastAsia="仿宋"/>
          <w:highlight w:val="none"/>
          <w:lang w:val="en-US" w:eastAsia="zh-CN"/>
        </w:rPr>
        <w:t>支付</w:t>
      </w:r>
      <w:r>
        <w:rPr>
          <w:rFonts w:hint="eastAsia" w:eastAsia="仿宋"/>
          <w:highlight w:val="none"/>
        </w:rPr>
        <w:t>：</w:t>
      </w:r>
    </w:p>
    <w:p w14:paraId="4CB7E36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olor w:val="auto"/>
          <w:highlight w:val="none"/>
        </w:rPr>
      </w:pPr>
      <w:r>
        <w:rPr>
          <w:rFonts w:eastAsia="仿宋"/>
          <w:color w:val="auto"/>
          <w:highlight w:val="none"/>
        </w:rPr>
        <w:t>1</w:t>
      </w:r>
      <w:r>
        <w:rPr>
          <w:rFonts w:hint="eastAsia" w:eastAsia="仿宋"/>
          <w:color w:val="auto"/>
          <w:highlight w:val="none"/>
        </w:rPr>
        <w:t>.一次性付款</w:t>
      </w:r>
    </w:p>
    <w:p w14:paraId="0699C98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eastAsia="仿宋"/>
          <w:highlight w:val="none"/>
          <w:lang w:val="en-US" w:eastAsia="zh-CN"/>
        </w:rPr>
      </w:pPr>
      <w:r>
        <w:rPr>
          <w:rFonts w:hint="eastAsia" w:eastAsia="仿宋"/>
          <w:highlight w:val="none"/>
          <w:lang w:val="en-US" w:eastAsia="zh-CN"/>
        </w:rPr>
        <w:t>工程完工及验收通过后，乙方提交付款申请及工作量清单，甲方审核后并按合同约定扣除索赔款项、违约金等，于30天内向乙方一次性支付结算款的97%，剩余3%待1年质保期满后一次性支付。</w:t>
      </w:r>
    </w:p>
    <w:p w14:paraId="1C42198A">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eastAsia="仿宋"/>
          <w:highlight w:val="none"/>
        </w:rPr>
        <w:t>2.</w:t>
      </w:r>
      <w:r>
        <w:rPr>
          <w:rFonts w:hint="eastAsia" w:eastAsia="仿宋"/>
          <w:highlight w:val="none"/>
        </w:rPr>
        <w:t>分阶段付款：</w:t>
      </w:r>
    </w:p>
    <w:p w14:paraId="22238C1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（1）首期付款：【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438C4032">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（2）第二期付款：【</w:t>
      </w:r>
      <w:r>
        <w:rPr>
          <w:rFonts w:hint="eastAsia" w:eastAsia="仿宋"/>
          <w:highlight w:val="none"/>
          <w:u w:val="single"/>
        </w:rPr>
        <w:t>付款条件</w:t>
      </w:r>
      <w:r>
        <w:rPr>
          <w:rFonts w:hint="eastAsia" w:eastAsia="仿宋"/>
          <w:highlight w:val="none"/>
        </w:rPr>
        <w:t>】，【</w:t>
      </w:r>
      <w:r>
        <w:rPr>
          <w:rFonts w:hint="eastAsia" w:eastAsia="仿宋"/>
          <w:highlight w:val="none"/>
          <w:u w:val="single"/>
        </w:rPr>
        <w:t>付款时间</w:t>
      </w:r>
      <w:r>
        <w:rPr>
          <w:rFonts w:hint="eastAsia" w:eastAsia="仿宋"/>
          <w:highlight w:val="none"/>
        </w:rPr>
        <w:t>】，【</w:t>
      </w:r>
      <w:r>
        <w:rPr>
          <w:rFonts w:hint="eastAsia" w:eastAsia="仿宋"/>
          <w:highlight w:val="none"/>
          <w:u w:val="single"/>
        </w:rPr>
        <w:t>付款比例</w:t>
      </w:r>
      <w:r>
        <w:rPr>
          <w:rFonts w:hint="eastAsia" w:eastAsia="仿宋"/>
          <w:highlight w:val="none"/>
        </w:rPr>
        <w:t>】%，即人民币（大写）_____元(￥_____元)；</w:t>
      </w:r>
    </w:p>
    <w:p w14:paraId="2E31D884">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（3）末期付款：在本</w:t>
      </w:r>
      <w:r>
        <w:rPr>
          <w:rFonts w:eastAsia="仿宋"/>
          <w:highlight w:val="none"/>
        </w:rPr>
        <w:t>项目</w:t>
      </w:r>
      <w:r>
        <w:rPr>
          <w:rFonts w:hint="eastAsia" w:eastAsia="仿宋"/>
          <w:highlight w:val="none"/>
        </w:rPr>
        <w:t>竣工验收通过后（如果存在项目变更，须完成结算审计）</w:t>
      </w:r>
      <w:r>
        <w:rPr>
          <w:rFonts w:eastAsia="仿宋"/>
          <w:highlight w:val="none"/>
        </w:rPr>
        <w:t>，甲方</w:t>
      </w:r>
      <w:r>
        <w:rPr>
          <w:rFonts w:hint="eastAsia" w:eastAsia="仿宋"/>
          <w:highlight w:val="none"/>
        </w:rPr>
        <w:t>收到</w:t>
      </w:r>
      <w:r>
        <w:rPr>
          <w:rFonts w:eastAsia="仿宋"/>
          <w:highlight w:val="none"/>
        </w:rPr>
        <w:t>乙方提供的有效</w:t>
      </w:r>
      <w:r>
        <w:rPr>
          <w:rFonts w:hint="eastAsia" w:eastAsia="仿宋"/>
          <w:highlight w:val="none"/>
        </w:rPr>
        <w:t>增值税专用发票后三十日内，甲方向乙方</w:t>
      </w:r>
      <w:r>
        <w:rPr>
          <w:rFonts w:eastAsia="仿宋"/>
          <w:highlight w:val="none"/>
        </w:rPr>
        <w:t>支付至结算价的</w:t>
      </w:r>
      <w:r>
        <w:rPr>
          <w:rFonts w:hint="eastAsia" w:eastAsia="仿宋"/>
          <w:highlight w:val="none"/>
          <w:u w:val="single"/>
        </w:rPr>
        <w:t>97</w:t>
      </w:r>
      <w:r>
        <w:rPr>
          <w:rFonts w:eastAsia="仿宋"/>
          <w:highlight w:val="none"/>
        </w:rPr>
        <w:t>%</w:t>
      </w:r>
      <w:r>
        <w:rPr>
          <w:rFonts w:hint="eastAsia" w:eastAsia="仿宋"/>
          <w:highlight w:val="none"/>
        </w:rPr>
        <w:t>；</w:t>
      </w:r>
    </w:p>
    <w:p w14:paraId="4AE5BB5D">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highlight w:val="none"/>
        </w:rPr>
      </w:pPr>
      <w:r>
        <w:rPr>
          <w:rFonts w:hint="eastAsia" w:eastAsia="仿宋"/>
          <w:highlight w:val="none"/>
        </w:rPr>
        <w:t>（4）</w:t>
      </w:r>
      <w:r>
        <w:rPr>
          <w:rFonts w:eastAsia="仿宋"/>
          <w:highlight w:val="none"/>
        </w:rPr>
        <w:t>余下</w:t>
      </w:r>
      <w:r>
        <w:rPr>
          <w:rFonts w:hint="eastAsia" w:eastAsia="仿宋"/>
          <w:highlight w:val="none"/>
          <w:u w:val="single"/>
        </w:rPr>
        <w:t>3</w:t>
      </w:r>
      <w:r>
        <w:rPr>
          <w:rFonts w:eastAsia="仿宋"/>
          <w:highlight w:val="none"/>
        </w:rPr>
        <w:t>%</w:t>
      </w:r>
      <w:r>
        <w:rPr>
          <w:rFonts w:hint="eastAsia" w:eastAsia="仿宋"/>
          <w:highlight w:val="none"/>
        </w:rPr>
        <w:t>的</w:t>
      </w:r>
      <w:r>
        <w:rPr>
          <w:rFonts w:eastAsia="仿宋"/>
          <w:highlight w:val="none"/>
        </w:rPr>
        <w:t>合同</w:t>
      </w:r>
      <w:r>
        <w:rPr>
          <w:rFonts w:hint="eastAsia" w:eastAsia="仿宋"/>
          <w:highlight w:val="none"/>
        </w:rPr>
        <w:t>价款</w:t>
      </w:r>
      <w:r>
        <w:rPr>
          <w:rFonts w:eastAsia="仿宋"/>
          <w:highlight w:val="none"/>
        </w:rPr>
        <w:t>作为质保金</w:t>
      </w:r>
      <w:r>
        <w:rPr>
          <w:rFonts w:hint="eastAsia" w:eastAsia="仿宋"/>
          <w:highlight w:val="none"/>
        </w:rPr>
        <w:t>，</w:t>
      </w:r>
      <w:r>
        <w:rPr>
          <w:rFonts w:eastAsia="仿宋"/>
          <w:highlight w:val="none"/>
        </w:rPr>
        <w:t>在</w:t>
      </w:r>
      <w:r>
        <w:rPr>
          <w:rFonts w:hint="eastAsia" w:eastAsia="仿宋"/>
          <w:highlight w:val="none"/>
        </w:rPr>
        <w:t>本</w:t>
      </w:r>
      <w:r>
        <w:rPr>
          <w:rFonts w:eastAsia="仿宋"/>
          <w:highlight w:val="none"/>
        </w:rPr>
        <w:t>项目</w:t>
      </w:r>
      <w:r>
        <w:rPr>
          <w:rFonts w:hint="eastAsia" w:eastAsia="仿宋"/>
          <w:highlight w:val="none"/>
        </w:rPr>
        <w:t>质保期结束并经</w:t>
      </w:r>
      <w:r>
        <w:rPr>
          <w:rFonts w:eastAsia="仿宋"/>
          <w:highlight w:val="none"/>
        </w:rPr>
        <w:t>验收</w:t>
      </w:r>
      <w:r>
        <w:rPr>
          <w:rFonts w:hint="eastAsia" w:eastAsia="仿宋"/>
          <w:highlight w:val="none"/>
        </w:rPr>
        <w:t>合格后三十日内，</w:t>
      </w:r>
      <w:r>
        <w:rPr>
          <w:rFonts w:eastAsia="仿宋"/>
          <w:highlight w:val="none"/>
        </w:rPr>
        <w:t>乙方提供（甲方</w:t>
      </w:r>
      <w:r>
        <w:rPr>
          <w:rFonts w:hint="eastAsia" w:eastAsia="仿宋"/>
          <w:highlight w:val="none"/>
        </w:rPr>
        <w:t>出具</w:t>
      </w:r>
      <w:r>
        <w:rPr>
          <w:rFonts w:eastAsia="仿宋"/>
          <w:highlight w:val="none"/>
        </w:rPr>
        <w:t>的）验收证明文件，由甲方支付给乙方。</w:t>
      </w:r>
    </w:p>
    <w:p w14:paraId="29642C90">
      <w:pPr>
        <w:spacing w:line="360" w:lineRule="auto"/>
        <w:rPr>
          <w:rFonts w:hint="eastAsia" w:eastAsia="仿宋"/>
          <w:highlight w:val="none"/>
          <w:lang w:val="en-US" w:eastAsia="zh-CN"/>
        </w:rPr>
      </w:pPr>
      <w:r>
        <w:rPr>
          <w:rFonts w:hint="eastAsia" w:eastAsia="仿宋"/>
          <w:highlight w:val="none"/>
          <w:lang w:val="en-US" w:eastAsia="zh-CN"/>
        </w:rPr>
        <w:t>4.8 合同价款以</w:t>
      </w:r>
      <w:r>
        <w:rPr>
          <w:rFonts w:hint="eastAsia" w:eastAsia="仿宋"/>
          <w:highlight w:val="none"/>
          <w:u w:val="single"/>
          <w:lang w:val="en-US" w:eastAsia="zh-CN"/>
        </w:rPr>
        <w:t xml:space="preserve"> 银行转账 </w:t>
      </w:r>
      <w:r>
        <w:rPr>
          <w:rFonts w:hint="eastAsia" w:eastAsia="仿宋"/>
          <w:highlight w:val="none"/>
          <w:lang w:val="en-US" w:eastAsia="zh-CN"/>
        </w:rPr>
        <w:t>的方式支付。</w:t>
      </w:r>
    </w:p>
    <w:p w14:paraId="4018C542">
      <w:pPr>
        <w:spacing w:line="360" w:lineRule="auto"/>
        <w:rPr>
          <w:rFonts w:hint="eastAsia" w:eastAsia="仿宋"/>
          <w:highlight w:val="none"/>
          <w:lang w:val="en-US" w:eastAsia="zh-CN"/>
        </w:rPr>
      </w:pPr>
      <w:r>
        <w:rPr>
          <w:rFonts w:hint="eastAsia" w:eastAsia="仿宋"/>
          <w:highlight w:val="none"/>
          <w:lang w:val="en-US" w:eastAsia="zh-CN"/>
        </w:rPr>
        <w:t>乙方银行账户信息确认如下：</w:t>
      </w:r>
    </w:p>
    <w:p w14:paraId="65C45F78">
      <w:pPr>
        <w:spacing w:line="360" w:lineRule="auto"/>
        <w:rPr>
          <w:rFonts w:hint="eastAsia" w:eastAsia="仿宋"/>
          <w:highlight w:val="none"/>
          <w:u w:val="none"/>
          <w:lang w:val="en-US" w:eastAsia="zh-CN"/>
        </w:rPr>
      </w:pPr>
      <w:r>
        <w:rPr>
          <w:rFonts w:hint="eastAsia" w:eastAsia="仿宋"/>
          <w:highlight w:val="none"/>
          <w:lang w:val="en-US" w:eastAsia="zh-CN"/>
        </w:rPr>
        <w:t>账户名：_____________________</w:t>
      </w:r>
      <w:r>
        <w:rPr>
          <w:rFonts w:hint="eastAsia" w:eastAsia="仿宋"/>
          <w:highlight w:val="none"/>
          <w:u w:val="none"/>
          <w:lang w:val="en-US" w:eastAsia="zh-CN"/>
        </w:rPr>
        <w:t xml:space="preserve">  </w:t>
      </w:r>
    </w:p>
    <w:p w14:paraId="59C5C8A9">
      <w:pPr>
        <w:spacing w:line="360" w:lineRule="auto"/>
        <w:rPr>
          <w:rFonts w:hint="default" w:eastAsia="仿宋"/>
          <w:highlight w:val="none"/>
          <w:lang w:val="en-US" w:eastAsia="zh-CN"/>
        </w:rPr>
      </w:pPr>
      <w:r>
        <w:rPr>
          <w:rFonts w:hint="eastAsia" w:eastAsia="仿宋"/>
          <w:highlight w:val="none"/>
          <w:lang w:val="en-US" w:eastAsia="zh-CN"/>
        </w:rPr>
        <w:t xml:space="preserve">开户行：_____________________                                   </w:t>
      </w:r>
    </w:p>
    <w:p w14:paraId="68B4FBE4">
      <w:pPr>
        <w:spacing w:line="360" w:lineRule="auto"/>
        <w:rPr>
          <w:rFonts w:hint="default" w:eastAsia="仿宋"/>
          <w:highlight w:val="none"/>
          <w:lang w:val="en-US" w:eastAsia="zh-CN"/>
        </w:rPr>
      </w:pPr>
      <w:r>
        <w:rPr>
          <w:rFonts w:hint="eastAsia" w:eastAsia="仿宋"/>
          <w:highlight w:val="none"/>
          <w:lang w:val="en-US" w:eastAsia="zh-CN"/>
        </w:rPr>
        <w:t xml:space="preserve">账号： ______________________                                         </w:t>
      </w:r>
    </w:p>
    <w:p w14:paraId="293CCCD3">
      <w:pPr>
        <w:spacing w:line="360" w:lineRule="auto"/>
        <w:rPr>
          <w:rFonts w:hint="eastAsia" w:eastAsia="仿宋"/>
          <w:highlight w:val="none"/>
          <w:lang w:val="en-US" w:eastAsia="zh-CN"/>
        </w:rPr>
      </w:pPr>
      <w:r>
        <w:rPr>
          <w:rFonts w:hint="eastAsia" w:eastAsia="仿宋"/>
          <w:highlight w:val="none"/>
          <w:lang w:val="en-US" w:eastAsia="zh-CN"/>
        </w:rPr>
        <w:t>甲方开票信息确认如下：</w:t>
      </w:r>
    </w:p>
    <w:p w14:paraId="14A355E7">
      <w:pPr>
        <w:spacing w:line="360" w:lineRule="auto"/>
        <w:rPr>
          <w:rFonts w:hint="eastAsia" w:eastAsia="仿宋"/>
          <w:highlight w:val="none"/>
          <w:lang w:val="en-US" w:eastAsia="zh-CN"/>
        </w:rPr>
      </w:pPr>
      <w:r>
        <w:rPr>
          <w:rFonts w:hint="eastAsia" w:eastAsia="仿宋"/>
          <w:highlight w:val="none"/>
          <w:lang w:val="en-US" w:eastAsia="zh-CN"/>
        </w:rPr>
        <w:t xml:space="preserve">单位名称：                                    </w:t>
      </w:r>
    </w:p>
    <w:p w14:paraId="7E7ACC75">
      <w:pPr>
        <w:spacing w:line="360" w:lineRule="auto"/>
        <w:rPr>
          <w:rFonts w:hint="eastAsia" w:eastAsia="仿宋"/>
          <w:highlight w:val="none"/>
          <w:lang w:val="en-US" w:eastAsia="zh-CN"/>
        </w:rPr>
      </w:pPr>
      <w:r>
        <w:rPr>
          <w:rFonts w:hint="eastAsia" w:eastAsia="仿宋"/>
          <w:highlight w:val="none"/>
          <w:lang w:val="en-US" w:eastAsia="zh-CN"/>
        </w:rPr>
        <w:t xml:space="preserve">纳税人识别号：                             </w:t>
      </w:r>
    </w:p>
    <w:p w14:paraId="1FCF13D4">
      <w:pPr>
        <w:spacing w:line="360" w:lineRule="auto"/>
        <w:rPr>
          <w:rFonts w:hint="eastAsia" w:eastAsia="仿宋"/>
          <w:highlight w:val="none"/>
          <w:lang w:val="en-US" w:eastAsia="zh-CN"/>
        </w:rPr>
      </w:pPr>
      <w:r>
        <w:rPr>
          <w:rFonts w:hint="eastAsia" w:eastAsia="仿宋"/>
          <w:highlight w:val="none"/>
          <w:lang w:val="en-US" w:eastAsia="zh-CN"/>
        </w:rPr>
        <w:t xml:space="preserve">地址、电话：                                  </w:t>
      </w:r>
    </w:p>
    <w:p w14:paraId="6F8E176E">
      <w:pPr>
        <w:spacing w:line="360" w:lineRule="auto"/>
        <w:rPr>
          <w:rFonts w:hint="eastAsia" w:eastAsia="仿宋"/>
          <w:highlight w:val="none"/>
          <w:lang w:val="en-US" w:eastAsia="zh-CN"/>
        </w:rPr>
      </w:pPr>
      <w:r>
        <w:rPr>
          <w:rFonts w:hint="eastAsia" w:eastAsia="仿宋"/>
          <w:highlight w:val="none"/>
          <w:lang w:val="en-US" w:eastAsia="zh-CN"/>
        </w:rPr>
        <w:t>开户行、账号：</w:t>
      </w:r>
    </w:p>
    <w:p w14:paraId="79E5541A">
      <w:pPr>
        <w:spacing w:line="360" w:lineRule="auto"/>
        <w:rPr>
          <w:rFonts w:eastAsia="仿宋"/>
          <w:highlight w:val="none"/>
        </w:rPr>
      </w:pPr>
      <w:r>
        <w:rPr>
          <w:rFonts w:hint="eastAsia" w:eastAsia="仿宋"/>
          <w:highlight w:val="none"/>
          <w:lang w:val="en-US" w:eastAsia="zh-CN"/>
        </w:rPr>
        <w:t xml:space="preserve">4.9 </w:t>
      </w:r>
      <w:r>
        <w:rPr>
          <w:rFonts w:hint="eastAsia" w:eastAsia="仿宋"/>
          <w:highlight w:val="none"/>
        </w:rPr>
        <w:t>乙方应支付的违约金、损失赔偿金等均可由甲方直接从未付的合同价款、履约保证金或质保金中扣除。如不足以赔付，甲方有权向乙方另行主张赔偿。</w:t>
      </w:r>
    </w:p>
    <w:p w14:paraId="083F2074">
      <w:pPr>
        <w:spacing w:line="360" w:lineRule="auto"/>
        <w:rPr>
          <w:rFonts w:hint="eastAsia" w:eastAsia="仿宋"/>
          <w:highlight w:val="none"/>
        </w:rPr>
      </w:pPr>
      <w:r>
        <w:rPr>
          <w:rFonts w:hint="eastAsia" w:eastAsia="仿宋"/>
          <w:highlight w:val="none"/>
          <w:lang w:val="en-US" w:eastAsia="zh-CN"/>
        </w:rPr>
        <w:t xml:space="preserve">4.10 </w:t>
      </w:r>
      <w:r>
        <w:rPr>
          <w:rFonts w:hint="eastAsia" w:eastAsia="仿宋"/>
          <w:highlight w:val="none"/>
        </w:rPr>
        <w:t>本合同约定的为含税合同价款。在合同履行期间，如遇国家的税率调整或其他政策影响税率的，税率随变化而变化，则合同价款及综合单价金额不做调整。</w:t>
      </w:r>
    </w:p>
    <w:p w14:paraId="51E95700">
      <w:pPr>
        <w:spacing w:line="360" w:lineRule="auto"/>
        <w:rPr>
          <w:rFonts w:eastAsia="仿宋"/>
          <w:highlight w:val="none"/>
        </w:rPr>
      </w:pPr>
      <w:r>
        <w:rPr>
          <w:rFonts w:hint="eastAsia" w:eastAsia="仿宋"/>
          <w:highlight w:val="none"/>
          <w:lang w:val="en-US" w:eastAsia="zh-CN"/>
        </w:rPr>
        <w:t xml:space="preserve">4.11 </w:t>
      </w:r>
      <w:r>
        <w:rPr>
          <w:rFonts w:hint="eastAsia" w:eastAsia="仿宋"/>
          <w:highlight w:val="none"/>
        </w:rPr>
        <w:t>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6DE4F9A">
      <w:pPr>
        <w:spacing w:line="360" w:lineRule="auto"/>
        <w:rPr>
          <w:rFonts w:eastAsia="仿宋"/>
          <w:b/>
          <w:highlight w:val="none"/>
        </w:rPr>
      </w:pPr>
      <w:r>
        <w:rPr>
          <w:rFonts w:hint="eastAsia" w:eastAsia="仿宋"/>
          <w:b/>
          <w:highlight w:val="none"/>
        </w:rPr>
        <w:t>五、甲方权利义务</w:t>
      </w:r>
    </w:p>
    <w:p w14:paraId="323C04E8">
      <w:pPr>
        <w:spacing w:line="360" w:lineRule="auto"/>
        <w:rPr>
          <w:rFonts w:eastAsia="仿宋"/>
          <w:highlight w:val="none"/>
        </w:rPr>
      </w:pPr>
      <w:r>
        <w:rPr>
          <w:rFonts w:hint="eastAsia" w:eastAsia="仿宋"/>
          <w:highlight w:val="none"/>
        </w:rPr>
        <w:t>5</w:t>
      </w:r>
      <w:r>
        <w:rPr>
          <w:rFonts w:eastAsia="仿宋"/>
          <w:highlight w:val="none"/>
        </w:rPr>
        <w:t>.1</w:t>
      </w:r>
      <w:r>
        <w:rPr>
          <w:rFonts w:hint="eastAsia" w:eastAsia="仿宋"/>
          <w:highlight w:val="none"/>
          <w:lang w:val="en-US" w:eastAsia="zh-CN"/>
        </w:rPr>
        <w:t xml:space="preserve"> </w:t>
      </w:r>
      <w:r>
        <w:rPr>
          <w:rFonts w:hint="eastAsia" w:eastAsia="仿宋"/>
          <w:highlight w:val="none"/>
        </w:rPr>
        <w:t>负责按照本合同约定向乙方支付相应的费用。</w:t>
      </w:r>
    </w:p>
    <w:p w14:paraId="2B7F3C97">
      <w:pPr>
        <w:spacing w:line="360" w:lineRule="auto"/>
        <w:rPr>
          <w:rFonts w:eastAsia="仿宋"/>
          <w:highlight w:val="none"/>
        </w:rPr>
      </w:pPr>
      <w:r>
        <w:rPr>
          <w:rFonts w:hint="eastAsia" w:eastAsia="仿宋"/>
          <w:highlight w:val="none"/>
        </w:rPr>
        <w:t>5</w:t>
      </w:r>
      <w:r>
        <w:rPr>
          <w:rFonts w:eastAsia="仿宋"/>
          <w:highlight w:val="none"/>
        </w:rPr>
        <w:t>.2</w:t>
      </w:r>
      <w:r>
        <w:rPr>
          <w:rFonts w:hint="eastAsia" w:eastAsia="仿宋"/>
          <w:highlight w:val="none"/>
          <w:lang w:val="en-US" w:eastAsia="zh-CN"/>
        </w:rPr>
        <w:t xml:space="preserve"> </w:t>
      </w:r>
      <w:r>
        <w:rPr>
          <w:rFonts w:hint="eastAsia" w:eastAsia="仿宋"/>
          <w:highlight w:val="none"/>
        </w:rPr>
        <w:t>负责向乙方提供本项目相关的图纸和资料，并审批乙方提供的施工方案和计划。</w:t>
      </w:r>
    </w:p>
    <w:p w14:paraId="5FA7BC9C">
      <w:pPr>
        <w:spacing w:line="360" w:lineRule="auto"/>
        <w:rPr>
          <w:rFonts w:eastAsia="仿宋"/>
          <w:highlight w:val="none"/>
        </w:rPr>
      </w:pPr>
      <w:r>
        <w:rPr>
          <w:rFonts w:hint="eastAsia" w:eastAsia="仿宋"/>
          <w:highlight w:val="none"/>
        </w:rPr>
        <w:t>5</w:t>
      </w:r>
      <w:r>
        <w:rPr>
          <w:rFonts w:eastAsia="仿宋"/>
          <w:highlight w:val="none"/>
        </w:rPr>
        <w:t xml:space="preserve">.3 </w:t>
      </w:r>
      <w:r>
        <w:rPr>
          <w:rFonts w:hint="eastAsia" w:eastAsia="仿宋"/>
          <w:highlight w:val="none"/>
        </w:rPr>
        <w:t>对乙方维修中的项目的施工质量、工程进度、安全生产、文明、环保施工等有协调、监督、监察的权利。</w:t>
      </w:r>
    </w:p>
    <w:p w14:paraId="19E9C4D1">
      <w:pPr>
        <w:spacing w:line="360" w:lineRule="auto"/>
        <w:rPr>
          <w:rFonts w:eastAsia="仿宋"/>
          <w:highlight w:val="none"/>
        </w:rPr>
      </w:pPr>
      <w:r>
        <w:rPr>
          <w:rFonts w:hint="eastAsia" w:eastAsia="仿宋"/>
          <w:highlight w:val="none"/>
        </w:rPr>
        <w:t>5.</w:t>
      </w:r>
      <w:r>
        <w:rPr>
          <w:rFonts w:eastAsia="仿宋"/>
          <w:highlight w:val="none"/>
        </w:rPr>
        <w:t>4</w:t>
      </w:r>
      <w:r>
        <w:rPr>
          <w:rFonts w:hint="eastAsia" w:eastAsia="仿宋"/>
          <w:highlight w:val="none"/>
          <w:lang w:val="en-US" w:eastAsia="zh-CN"/>
        </w:rPr>
        <w:t xml:space="preserve"> </w:t>
      </w:r>
      <w:r>
        <w:rPr>
          <w:rFonts w:hint="eastAsia" w:eastAsia="仿宋"/>
          <w:highlight w:val="none"/>
        </w:rPr>
        <w:t>负责本项目的完工验收，并办理项目结算。</w:t>
      </w:r>
    </w:p>
    <w:p w14:paraId="1CE8B7FE">
      <w:pPr>
        <w:spacing w:line="360" w:lineRule="auto"/>
        <w:rPr>
          <w:rFonts w:eastAsia="仿宋"/>
          <w:b/>
          <w:highlight w:val="none"/>
        </w:rPr>
      </w:pPr>
      <w:r>
        <w:rPr>
          <w:rFonts w:hint="eastAsia" w:eastAsia="仿宋"/>
          <w:b/>
          <w:highlight w:val="none"/>
        </w:rPr>
        <w:t>六、乙方权利义务</w:t>
      </w:r>
    </w:p>
    <w:p w14:paraId="4050084B">
      <w:pPr>
        <w:spacing w:line="360" w:lineRule="auto"/>
        <w:rPr>
          <w:rFonts w:eastAsia="仿宋"/>
          <w:highlight w:val="none"/>
        </w:rPr>
      </w:pPr>
      <w:r>
        <w:rPr>
          <w:rFonts w:hint="eastAsia" w:eastAsia="仿宋"/>
          <w:highlight w:val="none"/>
        </w:rPr>
        <w:t>6</w:t>
      </w:r>
      <w:r>
        <w:rPr>
          <w:rFonts w:eastAsia="仿宋"/>
          <w:highlight w:val="none"/>
        </w:rPr>
        <w:t>.1</w:t>
      </w:r>
      <w:r>
        <w:rPr>
          <w:rFonts w:hint="eastAsia" w:eastAsia="仿宋"/>
          <w:highlight w:val="none"/>
          <w:lang w:val="en-US" w:eastAsia="zh-CN"/>
        </w:rPr>
        <w:t xml:space="preserve"> </w:t>
      </w:r>
      <w:r>
        <w:rPr>
          <w:rFonts w:hint="eastAsia" w:eastAsia="仿宋"/>
          <w:highlight w:val="none"/>
        </w:rPr>
        <w:t>乙方应具有完成本项目的施工资质，在施工前应向甲方提供符合要求的施工计划、施工方案以及施工设计图纸等材料。</w:t>
      </w:r>
    </w:p>
    <w:p w14:paraId="2E8A6ADE">
      <w:pPr>
        <w:spacing w:line="360" w:lineRule="auto"/>
        <w:rPr>
          <w:rFonts w:eastAsia="仿宋"/>
          <w:highlight w:val="none"/>
        </w:rPr>
      </w:pPr>
      <w:r>
        <w:rPr>
          <w:rFonts w:hint="eastAsia" w:eastAsia="仿宋"/>
          <w:highlight w:val="none"/>
        </w:rPr>
        <w:t>6</w:t>
      </w:r>
      <w:r>
        <w:rPr>
          <w:rFonts w:eastAsia="仿宋"/>
          <w:highlight w:val="none"/>
        </w:rPr>
        <w:t>.2</w:t>
      </w:r>
      <w:r>
        <w:rPr>
          <w:rFonts w:hint="eastAsia" w:eastAsia="仿宋"/>
          <w:highlight w:val="none"/>
          <w:lang w:val="en-US" w:eastAsia="zh-CN"/>
        </w:rPr>
        <w:t xml:space="preserve"> </w:t>
      </w:r>
      <w:r>
        <w:rPr>
          <w:rFonts w:hint="eastAsia" w:eastAsia="仿宋"/>
          <w:highlight w:val="none"/>
        </w:rPr>
        <w:t>乙方指派项目经理负责组织施工，保质、保量、按期完成施工任务。</w:t>
      </w:r>
    </w:p>
    <w:p w14:paraId="5B9C4442">
      <w:pPr>
        <w:spacing w:line="360" w:lineRule="auto"/>
        <w:rPr>
          <w:rFonts w:eastAsia="仿宋"/>
          <w:highlight w:val="none"/>
        </w:rPr>
      </w:pPr>
      <w:r>
        <w:rPr>
          <w:rFonts w:hint="eastAsia" w:eastAsia="仿宋"/>
          <w:highlight w:val="none"/>
        </w:rPr>
        <w:t>6</w:t>
      </w:r>
      <w:r>
        <w:rPr>
          <w:rFonts w:eastAsia="仿宋"/>
          <w:highlight w:val="none"/>
        </w:rPr>
        <w:t>.3</w:t>
      </w:r>
      <w:r>
        <w:rPr>
          <w:rFonts w:hint="eastAsia" w:eastAsia="仿宋"/>
          <w:highlight w:val="none"/>
          <w:lang w:val="en-US" w:eastAsia="zh-CN"/>
        </w:rPr>
        <w:t xml:space="preserve"> </w:t>
      </w:r>
      <w:r>
        <w:rPr>
          <w:rFonts w:hint="eastAsia" w:eastAsia="仿宋"/>
          <w:highlight w:val="none"/>
        </w:rPr>
        <w:t>在项目实施前向甲方提交一份现场主要施工人员和施工设备的清单，严格执行施工规范、安全操作规程，遵守防火安全、环境保护等规定，做好各项质量检查记录。</w:t>
      </w:r>
    </w:p>
    <w:p w14:paraId="78AACF17">
      <w:pPr>
        <w:spacing w:line="360" w:lineRule="auto"/>
        <w:rPr>
          <w:rFonts w:eastAsia="仿宋"/>
          <w:highlight w:val="none"/>
        </w:rPr>
      </w:pPr>
      <w:r>
        <w:rPr>
          <w:rFonts w:hint="eastAsia" w:eastAsia="仿宋"/>
          <w:highlight w:val="none"/>
        </w:rPr>
        <w:t>6</w:t>
      </w:r>
      <w:r>
        <w:rPr>
          <w:rFonts w:eastAsia="仿宋"/>
          <w:highlight w:val="none"/>
        </w:rPr>
        <w:t>.4</w:t>
      </w:r>
      <w:r>
        <w:rPr>
          <w:rFonts w:hint="eastAsia" w:eastAsia="仿宋"/>
          <w:highlight w:val="none"/>
          <w:lang w:val="en-US" w:eastAsia="zh-CN"/>
        </w:rPr>
        <w:t xml:space="preserve"> </w:t>
      </w:r>
      <w:r>
        <w:rPr>
          <w:rFonts w:hint="eastAsia" w:eastAsia="仿宋"/>
          <w:highlight w:val="none"/>
        </w:rPr>
        <w:t>本项目实施过程中，应接受甲方的检查、检验，并为检查、检验提供便利条件。</w:t>
      </w:r>
    </w:p>
    <w:p w14:paraId="279B723A">
      <w:pPr>
        <w:spacing w:line="360" w:lineRule="auto"/>
        <w:rPr>
          <w:rFonts w:eastAsia="仿宋"/>
          <w:highlight w:val="none"/>
        </w:rPr>
      </w:pPr>
      <w:r>
        <w:rPr>
          <w:rFonts w:hint="eastAsia" w:eastAsia="仿宋"/>
          <w:highlight w:val="none"/>
        </w:rPr>
        <w:t>6</w:t>
      </w:r>
      <w:r>
        <w:rPr>
          <w:rFonts w:eastAsia="仿宋"/>
          <w:highlight w:val="none"/>
        </w:rPr>
        <w:t>.5</w:t>
      </w:r>
      <w:r>
        <w:rPr>
          <w:rFonts w:hint="eastAsia" w:eastAsia="仿宋"/>
          <w:highlight w:val="none"/>
          <w:lang w:val="en-US" w:eastAsia="zh-CN"/>
        </w:rPr>
        <w:t xml:space="preserve"> </w:t>
      </w:r>
      <w:r>
        <w:rPr>
          <w:rFonts w:hint="eastAsia" w:eastAsia="仿宋"/>
          <w:highlight w:val="none"/>
        </w:rPr>
        <w:t>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14:paraId="09B954DC">
      <w:pPr>
        <w:spacing w:line="360" w:lineRule="auto"/>
        <w:rPr>
          <w:rFonts w:eastAsia="仿宋"/>
          <w:highlight w:val="none"/>
        </w:rPr>
      </w:pPr>
      <w:r>
        <w:rPr>
          <w:rFonts w:hint="eastAsia" w:eastAsia="仿宋"/>
          <w:highlight w:val="none"/>
        </w:rPr>
        <w:t>6</w:t>
      </w:r>
      <w:r>
        <w:rPr>
          <w:rFonts w:eastAsia="仿宋"/>
          <w:highlight w:val="none"/>
        </w:rPr>
        <w:t>.6</w:t>
      </w:r>
      <w:r>
        <w:rPr>
          <w:rFonts w:hint="eastAsia" w:eastAsia="仿宋"/>
          <w:highlight w:val="none"/>
          <w:lang w:val="en-US" w:eastAsia="zh-CN"/>
        </w:rPr>
        <w:t xml:space="preserve"> </w:t>
      </w:r>
      <w:r>
        <w:rPr>
          <w:rFonts w:hint="eastAsia" w:eastAsia="仿宋"/>
          <w:highlight w:val="none"/>
        </w:rPr>
        <w:t>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14:paraId="0D633E09">
      <w:pPr>
        <w:spacing w:line="360" w:lineRule="auto"/>
        <w:rPr>
          <w:rFonts w:eastAsia="仿宋"/>
          <w:highlight w:val="none"/>
        </w:rPr>
      </w:pPr>
      <w:r>
        <w:rPr>
          <w:rFonts w:hint="eastAsia" w:eastAsia="仿宋"/>
          <w:highlight w:val="none"/>
        </w:rPr>
        <w:t>6</w:t>
      </w:r>
      <w:r>
        <w:rPr>
          <w:rFonts w:eastAsia="仿宋"/>
          <w:highlight w:val="none"/>
        </w:rPr>
        <w:t>.7</w:t>
      </w:r>
      <w:r>
        <w:rPr>
          <w:rFonts w:hint="eastAsia" w:eastAsia="仿宋"/>
          <w:highlight w:val="none"/>
          <w:lang w:val="en-US" w:eastAsia="zh-CN"/>
        </w:rPr>
        <w:t xml:space="preserve"> </w:t>
      </w:r>
      <w:r>
        <w:rPr>
          <w:rFonts w:hint="eastAsia" w:eastAsia="仿宋"/>
          <w:highlight w:val="none"/>
        </w:rPr>
        <w:t>本项目完工未移交甲方之前，乙方应负责保管现场的一切设施和工程成品。</w:t>
      </w:r>
    </w:p>
    <w:p w14:paraId="19AD62F2">
      <w:pPr>
        <w:spacing w:line="360" w:lineRule="auto"/>
        <w:rPr>
          <w:rFonts w:eastAsia="仿宋"/>
          <w:highlight w:val="none"/>
        </w:rPr>
      </w:pPr>
      <w:r>
        <w:rPr>
          <w:rFonts w:hint="eastAsia" w:eastAsia="仿宋"/>
          <w:highlight w:val="none"/>
        </w:rPr>
        <w:t>6</w:t>
      </w:r>
      <w:r>
        <w:rPr>
          <w:rFonts w:eastAsia="仿宋"/>
          <w:highlight w:val="none"/>
        </w:rPr>
        <w:t>.8</w:t>
      </w:r>
      <w:r>
        <w:rPr>
          <w:rFonts w:hint="eastAsia" w:eastAsia="仿宋"/>
          <w:highlight w:val="none"/>
          <w:lang w:val="en-US" w:eastAsia="zh-CN"/>
        </w:rPr>
        <w:t xml:space="preserve"> </w:t>
      </w:r>
      <w:r>
        <w:rPr>
          <w:rFonts w:hint="eastAsia" w:eastAsia="仿宋"/>
          <w:highlight w:val="none"/>
        </w:rPr>
        <w:t>未经甲方的书面同意，乙方不得将其在本合同项下的权利和义务转让给第三方。</w:t>
      </w:r>
    </w:p>
    <w:p w14:paraId="0569550B">
      <w:pPr>
        <w:spacing w:line="360" w:lineRule="auto"/>
        <w:rPr>
          <w:rFonts w:hint="eastAsia" w:eastAsia="仿宋"/>
          <w:highlight w:val="none"/>
        </w:rPr>
      </w:pPr>
      <w:r>
        <w:rPr>
          <w:rFonts w:hint="eastAsia" w:eastAsia="仿宋"/>
          <w:highlight w:val="none"/>
        </w:rPr>
        <w:t>6</w:t>
      </w:r>
      <w:r>
        <w:rPr>
          <w:rFonts w:eastAsia="仿宋"/>
          <w:highlight w:val="none"/>
        </w:rPr>
        <w:t>.9</w:t>
      </w:r>
      <w:r>
        <w:rPr>
          <w:rFonts w:hint="eastAsia" w:eastAsia="仿宋"/>
          <w:highlight w:val="none"/>
          <w:lang w:val="en-US" w:eastAsia="zh-CN"/>
        </w:rPr>
        <w:t xml:space="preserve"> </w:t>
      </w:r>
      <w:r>
        <w:rPr>
          <w:rFonts w:hint="eastAsia" w:eastAsia="仿宋"/>
          <w:highlight w:val="none"/>
        </w:rPr>
        <w:t>负责办理</w:t>
      </w:r>
      <w:r>
        <w:rPr>
          <w:rFonts w:hint="eastAsia" w:eastAsia="仿宋"/>
          <w:highlight w:val="none"/>
          <w:lang w:val="en-US" w:eastAsia="zh-CN"/>
        </w:rPr>
        <w:t>项目</w:t>
      </w:r>
      <w:r>
        <w:rPr>
          <w:rFonts w:hint="eastAsia" w:eastAsia="仿宋"/>
          <w:highlight w:val="none"/>
        </w:rPr>
        <w:t>施工期间乙方相关雇员的工伤保险、意外伤害保险、第三者责任保险及工程设备保险等事宜并承担相关费用，并负责处理与其雇员、员工之间的劳动人事争议。</w:t>
      </w:r>
    </w:p>
    <w:p w14:paraId="6D4FF2E7">
      <w:pPr>
        <w:spacing w:line="360" w:lineRule="auto"/>
        <w:rPr>
          <w:rFonts w:hint="eastAsia" w:eastAsia="仿宋" w:cs="Times New Roman (正文 CS 字体)"/>
          <w:highlight w:val="none"/>
        </w:rPr>
      </w:pPr>
      <w:r>
        <w:rPr>
          <w:rFonts w:hint="eastAsia" w:eastAsia="仿宋"/>
          <w:highlight w:val="none"/>
          <w:lang w:val="en-US" w:eastAsia="zh-CN"/>
        </w:rPr>
        <w:t xml:space="preserve">6.10 </w:t>
      </w:r>
      <w:r>
        <w:rPr>
          <w:rFonts w:hint="eastAsia" w:eastAsia="仿宋"/>
          <w:highlight w:val="none"/>
        </w:rPr>
        <w:t>乙方承诺严格规范劳动用工，</w:t>
      </w:r>
      <w:r>
        <w:rPr>
          <w:rFonts w:hint="eastAsia" w:eastAsia="仿宋"/>
          <w:highlight w:val="none"/>
          <w:lang w:val="en-US" w:eastAsia="zh-CN"/>
        </w:rPr>
        <w:t>并</w:t>
      </w:r>
      <w:r>
        <w:rPr>
          <w:rFonts w:hint="eastAsia" w:eastAsia="仿宋"/>
          <w:highlight w:val="none"/>
        </w:rPr>
        <w:t>不得发生任何拖欠第三方材料款、拖欠农民工工资或集体聚集、上访、打架等群体事件，</w:t>
      </w:r>
      <w:r>
        <w:rPr>
          <w:rFonts w:hint="eastAsia" w:eastAsia="仿宋"/>
          <w:highlight w:val="none"/>
          <w:lang w:val="en-US" w:eastAsia="zh-CN"/>
        </w:rPr>
        <w:t>否则甲方有权解除合同，并有权从应付未付的合同款项、履约保证金中扣除因</w:t>
      </w:r>
      <w:r>
        <w:rPr>
          <w:rFonts w:hint="eastAsia" w:eastAsia="仿宋" w:cs="Times New Roman (正文 CS 字体)"/>
          <w:highlight w:val="none"/>
        </w:rPr>
        <w:t>乙方</w:t>
      </w:r>
      <w:r>
        <w:rPr>
          <w:rFonts w:hint="eastAsia" w:eastAsia="仿宋" w:cs="Times New Roman (正文 CS 字体)"/>
          <w:highlight w:val="none"/>
          <w:lang w:val="en-US" w:eastAsia="zh-CN"/>
        </w:rPr>
        <w:t>原因</w:t>
      </w:r>
      <w:r>
        <w:rPr>
          <w:rFonts w:hint="eastAsia" w:eastAsia="仿宋" w:cs="Times New Roman (正文 CS 字体)"/>
          <w:highlight w:val="none"/>
        </w:rPr>
        <w:t>导致的任何费用支出、违约金、损失或损害赔偿金。</w:t>
      </w:r>
    </w:p>
    <w:p w14:paraId="4D12B00B">
      <w:pPr>
        <w:spacing w:line="360" w:lineRule="auto"/>
        <w:rPr>
          <w:rFonts w:hint="eastAsia" w:eastAsia="仿宋"/>
          <w:highlight w:val="none"/>
          <w:lang w:val="en-US" w:eastAsia="zh-CN"/>
        </w:rPr>
      </w:pPr>
      <w:r>
        <w:rPr>
          <w:rFonts w:hint="default" w:eastAsia="仿宋"/>
          <w:highlight w:val="none"/>
          <w:lang w:eastAsia="zh-CN"/>
        </w:rPr>
        <w:t>6.11</w:t>
      </w:r>
      <w:r>
        <w:rPr>
          <w:rFonts w:hint="eastAsia" w:eastAsia="仿宋"/>
          <w:highlight w:val="none"/>
          <w:lang w:val="en-US" w:eastAsia="zh-CN"/>
        </w:rPr>
        <w:t xml:space="preserve"> 乙方</w:t>
      </w:r>
      <w:r>
        <w:rPr>
          <w:rFonts w:hint="eastAsia" w:eastAsia="仿宋"/>
          <w:highlight w:val="none"/>
          <w:lang w:val="en-US" w:eastAsia="zh-Hans"/>
        </w:rPr>
        <w:t>如</w:t>
      </w:r>
      <w:r>
        <w:rPr>
          <w:rFonts w:hint="eastAsia" w:eastAsia="仿宋"/>
          <w:highlight w:val="none"/>
          <w:lang w:val="en-US" w:eastAsia="zh-CN"/>
        </w:rPr>
        <w:t>在中标后</w:t>
      </w:r>
      <w:r>
        <w:rPr>
          <w:rFonts w:hint="eastAsia" w:eastAsia="仿宋"/>
          <w:highlight w:val="none"/>
          <w:lang w:val="en-US" w:eastAsia="zh-Hans"/>
        </w:rPr>
        <w:t>或者合同履行期间发生</w:t>
      </w:r>
      <w:r>
        <w:rPr>
          <w:rFonts w:hint="eastAsia" w:eastAsia="仿宋"/>
          <w:highlight w:val="none"/>
          <w:lang w:val="en-US" w:eastAsia="zh-CN"/>
        </w:rPr>
        <w:t>被人民法院列为失信被执行人、影响合同履约能力的重大行政处罚等情形，应及时向</w:t>
      </w:r>
      <w:r>
        <w:rPr>
          <w:rFonts w:hint="eastAsia" w:eastAsia="仿宋"/>
          <w:highlight w:val="none"/>
          <w:lang w:val="en-US" w:eastAsia="zh-Hans"/>
        </w:rPr>
        <w:t>甲方的</w:t>
      </w:r>
      <w:r>
        <w:rPr>
          <w:rFonts w:hint="eastAsia" w:eastAsia="仿宋"/>
          <w:highlight w:val="none"/>
          <w:lang w:val="en-US" w:eastAsia="zh-CN"/>
        </w:rPr>
        <w:t>履约管理单位</w:t>
      </w:r>
      <w:r>
        <w:rPr>
          <w:rFonts w:hint="eastAsia" w:eastAsia="仿宋"/>
          <w:highlight w:val="none"/>
          <w:lang w:val="en-US" w:eastAsia="zh-Hans"/>
        </w:rPr>
        <w:t>、</w:t>
      </w:r>
      <w:r>
        <w:rPr>
          <w:rFonts w:hint="eastAsia" w:eastAsia="仿宋"/>
          <w:highlight w:val="none"/>
          <w:lang w:val="en-US" w:eastAsia="zh-CN"/>
        </w:rPr>
        <w:t>物资部报备。</w:t>
      </w:r>
    </w:p>
    <w:p w14:paraId="7CBADB6F">
      <w:pPr>
        <w:spacing w:line="360" w:lineRule="auto"/>
        <w:rPr>
          <w:rFonts w:eastAsia="仿宋"/>
          <w:b/>
          <w:highlight w:val="none"/>
        </w:rPr>
      </w:pPr>
      <w:r>
        <w:rPr>
          <w:rFonts w:hint="eastAsia" w:eastAsia="仿宋"/>
          <w:b/>
          <w:highlight w:val="none"/>
          <w:lang w:val="en-US" w:eastAsia="zh-CN"/>
        </w:rPr>
        <w:t>七</w:t>
      </w:r>
      <w:r>
        <w:rPr>
          <w:rFonts w:hint="eastAsia" w:eastAsia="仿宋"/>
          <w:b/>
          <w:highlight w:val="none"/>
        </w:rPr>
        <w:t>、质量及验收要求</w:t>
      </w:r>
    </w:p>
    <w:p w14:paraId="24592128">
      <w:pPr>
        <w:spacing w:line="360" w:lineRule="auto"/>
        <w:rPr>
          <w:rFonts w:eastAsia="仿宋"/>
          <w:highlight w:val="none"/>
        </w:rPr>
      </w:pPr>
      <w:r>
        <w:rPr>
          <w:rFonts w:hint="eastAsia" w:eastAsia="仿宋"/>
          <w:highlight w:val="none"/>
        </w:rPr>
        <w:t>7</w:t>
      </w:r>
      <w:r>
        <w:rPr>
          <w:rFonts w:eastAsia="仿宋"/>
          <w:highlight w:val="none"/>
        </w:rPr>
        <w:t>.1</w:t>
      </w:r>
      <w:r>
        <w:rPr>
          <w:rFonts w:hint="eastAsia" w:eastAsia="仿宋"/>
          <w:highlight w:val="none"/>
          <w:lang w:val="en-US" w:eastAsia="zh-CN"/>
        </w:rPr>
        <w:t xml:space="preserve"> </w:t>
      </w:r>
      <w:r>
        <w:rPr>
          <w:rFonts w:hint="eastAsia" w:eastAsia="仿宋"/>
          <w:highlight w:val="none"/>
        </w:rPr>
        <w:t>乙方为本项目提供的材料均须符合国家标准，有质量合格证明，主要材料的品种、规格等经甲方认可后方可使用。</w:t>
      </w:r>
    </w:p>
    <w:p w14:paraId="232BC6F9">
      <w:pPr>
        <w:spacing w:line="360" w:lineRule="auto"/>
        <w:rPr>
          <w:rFonts w:eastAsia="仿宋"/>
          <w:highlight w:val="none"/>
        </w:rPr>
      </w:pPr>
      <w:r>
        <w:rPr>
          <w:rFonts w:hint="eastAsia" w:eastAsia="仿宋"/>
          <w:highlight w:val="none"/>
        </w:rPr>
        <w:t>7</w:t>
      </w:r>
      <w:r>
        <w:rPr>
          <w:rFonts w:eastAsia="仿宋"/>
          <w:highlight w:val="none"/>
        </w:rPr>
        <w:t>.2</w:t>
      </w:r>
      <w:r>
        <w:rPr>
          <w:rFonts w:hint="eastAsia" w:eastAsia="仿宋"/>
          <w:highlight w:val="none"/>
          <w:lang w:val="en-US" w:eastAsia="zh-CN"/>
        </w:rPr>
        <w:t xml:space="preserve"> </w:t>
      </w:r>
      <w:r>
        <w:rPr>
          <w:rFonts w:hint="eastAsia" w:eastAsia="仿宋"/>
          <w:highlight w:val="none"/>
        </w:rPr>
        <w:t>本项目施工质量应符合</w:t>
      </w:r>
      <w:r>
        <w:rPr>
          <w:rFonts w:eastAsia="仿宋"/>
          <w:highlight w:val="none"/>
        </w:rPr>
        <w:t>国家标准、行业标准、工程所在地的地方性标准</w:t>
      </w:r>
      <w:r>
        <w:rPr>
          <w:rFonts w:hint="eastAsia" w:eastAsia="仿宋"/>
          <w:highlight w:val="none"/>
        </w:rPr>
        <w:t>，并达到合同规定要求，各项技术指标符合施工图纸中所列举的指标要求。</w:t>
      </w:r>
    </w:p>
    <w:p w14:paraId="5F170DCF">
      <w:pPr>
        <w:spacing w:line="360" w:lineRule="auto"/>
        <w:rPr>
          <w:rFonts w:eastAsia="仿宋"/>
          <w:highlight w:val="none"/>
        </w:rPr>
      </w:pPr>
      <w:r>
        <w:rPr>
          <w:rFonts w:hint="eastAsia" w:eastAsia="仿宋"/>
          <w:highlight w:val="none"/>
        </w:rPr>
        <w:t>7.3</w:t>
      </w:r>
      <w:r>
        <w:rPr>
          <w:rFonts w:hint="eastAsia" w:eastAsia="仿宋"/>
          <w:highlight w:val="none"/>
          <w:lang w:val="en-US" w:eastAsia="zh-CN"/>
        </w:rPr>
        <w:t xml:space="preserve"> </w:t>
      </w:r>
      <w:r>
        <w:rPr>
          <w:rFonts w:hint="eastAsia" w:eastAsia="仿宋"/>
          <w:highlight w:val="none"/>
        </w:rPr>
        <w:t>原则上没有国家标准、规范的，适用行业标准、规范；没有国家和行业标准、规范的，适用项目所在地的地方标准、规范；国内没有相应标准、规范的，由甲方向乙方提出技术要求，乙方提出维修方案，经甲方批准后执行。</w:t>
      </w:r>
    </w:p>
    <w:p w14:paraId="52A1C298">
      <w:pPr>
        <w:spacing w:line="360" w:lineRule="auto"/>
        <w:rPr>
          <w:rFonts w:eastAsia="仿宋"/>
          <w:highlight w:val="none"/>
        </w:rPr>
      </w:pPr>
      <w:r>
        <w:rPr>
          <w:rFonts w:hint="eastAsia" w:eastAsia="仿宋"/>
          <w:highlight w:val="none"/>
        </w:rPr>
        <w:t>7.4</w:t>
      </w:r>
      <w:r>
        <w:rPr>
          <w:rFonts w:hint="eastAsia" w:eastAsia="仿宋"/>
          <w:highlight w:val="none"/>
          <w:lang w:val="en-US" w:eastAsia="zh-CN"/>
        </w:rPr>
        <w:t xml:space="preserve"> </w:t>
      </w:r>
      <w:r>
        <w:rPr>
          <w:rFonts w:hint="eastAsia" w:eastAsia="仿宋"/>
          <w:highlight w:val="none"/>
        </w:rPr>
        <w:t>如遇规范、标准、技术规程对同一问题的处理出现相互矛盾的情况时，乙方应通知甲方，提出解决办法并征得甲方的同意。本项目所用的规范及标准应采用双方最新确定的方案。</w:t>
      </w:r>
    </w:p>
    <w:p w14:paraId="6B2E976F">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14:paraId="67B86106">
      <w:pPr>
        <w:spacing w:line="360" w:lineRule="auto"/>
        <w:rPr>
          <w:rFonts w:eastAsia="仿宋"/>
          <w:highlight w:val="none"/>
        </w:rPr>
      </w:pPr>
      <w:r>
        <w:rPr>
          <w:rFonts w:hint="eastAsia" w:eastAsia="仿宋"/>
          <w:highlight w:val="none"/>
        </w:rPr>
        <w:t>7</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甲乙双方对工程质量有争议，应协商确定第三方工程质量检验机构进行鉴定，所需费用及由此造成的损失，由责任方承担。</w:t>
      </w:r>
    </w:p>
    <w:p w14:paraId="79C4323B">
      <w:pPr>
        <w:spacing w:line="360" w:lineRule="auto"/>
        <w:rPr>
          <w:rFonts w:eastAsia="仿宋"/>
          <w:b/>
          <w:highlight w:val="none"/>
        </w:rPr>
      </w:pPr>
      <w:r>
        <w:rPr>
          <w:rFonts w:hint="eastAsia" w:eastAsia="仿宋"/>
          <w:b/>
          <w:highlight w:val="none"/>
        </w:rPr>
        <w:t>八、质量保证</w:t>
      </w:r>
    </w:p>
    <w:p w14:paraId="1E4CDD10">
      <w:pPr>
        <w:spacing w:line="360" w:lineRule="auto"/>
        <w:ind w:firstLine="420" w:firstLineChars="200"/>
        <w:rPr>
          <w:rFonts w:eastAsia="仿宋"/>
          <w:highlight w:val="none"/>
        </w:rPr>
      </w:pPr>
      <w:r>
        <w:rPr>
          <w:rFonts w:hint="eastAsia" w:eastAsia="仿宋"/>
          <w:highlight w:val="none"/>
        </w:rPr>
        <w:t>乙方应按法律法规及本合同约定，对交付甲方使用的工程或设备在质量保证期内承担质量保证责任。</w:t>
      </w:r>
    </w:p>
    <w:p w14:paraId="2D3A36F6">
      <w:pPr>
        <w:spacing w:line="360" w:lineRule="auto"/>
        <w:rPr>
          <w:rFonts w:eastAsia="仿宋"/>
          <w:highlight w:val="none"/>
        </w:rPr>
      </w:pPr>
      <w:r>
        <w:rPr>
          <w:rFonts w:hint="eastAsia" w:eastAsia="仿宋"/>
          <w:highlight w:val="none"/>
        </w:rPr>
        <w:t>8</w:t>
      </w:r>
      <w:r>
        <w:rPr>
          <w:rFonts w:eastAsia="仿宋"/>
          <w:highlight w:val="none"/>
        </w:rPr>
        <w:t>.1</w:t>
      </w:r>
      <w:r>
        <w:rPr>
          <w:rFonts w:hint="eastAsia" w:eastAsia="仿宋"/>
          <w:highlight w:val="none"/>
          <w:lang w:val="en-US" w:eastAsia="zh-CN"/>
        </w:rPr>
        <w:t xml:space="preserve"> </w:t>
      </w:r>
      <w:r>
        <w:rPr>
          <w:rFonts w:hint="eastAsia" w:eastAsia="仿宋"/>
          <w:highlight w:val="none"/>
        </w:rPr>
        <w:t>质量保证范围</w:t>
      </w:r>
    </w:p>
    <w:p w14:paraId="40E14083">
      <w:pPr>
        <w:keepNext w:val="0"/>
        <w:keepLines w:val="0"/>
        <w:pageBreakBefore w:val="0"/>
        <w:widowControl/>
        <w:kinsoku/>
        <w:wordWrap/>
        <w:overflowPunct/>
        <w:topLinePunct w:val="0"/>
        <w:autoSpaceDE/>
        <w:autoSpaceDN/>
        <w:bidi w:val="0"/>
        <w:adjustRightInd/>
        <w:snapToGrid/>
        <w:spacing w:line="360" w:lineRule="auto"/>
        <w:textAlignment w:val="auto"/>
        <w:rPr>
          <w:rFonts w:eastAsia="仿宋"/>
          <w:highlight w:val="none"/>
        </w:rPr>
      </w:pPr>
      <w:r>
        <w:rPr>
          <w:rFonts w:hint="eastAsia" w:eastAsia="仿宋"/>
          <w:highlight w:val="none"/>
        </w:rPr>
        <w:t>质量保证范围包括乙方承担的本项目一切工作和合同约定的其他工作。</w:t>
      </w:r>
    </w:p>
    <w:p w14:paraId="5CEE4F48">
      <w:pPr>
        <w:spacing w:line="360" w:lineRule="auto"/>
        <w:rPr>
          <w:rFonts w:eastAsia="仿宋"/>
          <w:highlight w:val="none"/>
        </w:rPr>
      </w:pPr>
      <w:r>
        <w:rPr>
          <w:rFonts w:hint="eastAsia" w:eastAsia="仿宋"/>
          <w:highlight w:val="none"/>
        </w:rPr>
        <w:t>8</w:t>
      </w:r>
      <w:r>
        <w:rPr>
          <w:rFonts w:eastAsia="仿宋"/>
          <w:highlight w:val="none"/>
        </w:rPr>
        <w:t>.2</w:t>
      </w:r>
      <w:r>
        <w:rPr>
          <w:rFonts w:hint="eastAsia" w:eastAsia="仿宋"/>
          <w:highlight w:val="none"/>
          <w:lang w:val="en-US" w:eastAsia="zh-CN"/>
        </w:rPr>
        <w:t xml:space="preserve"> </w:t>
      </w:r>
      <w:r>
        <w:rPr>
          <w:rFonts w:hint="eastAsia" w:eastAsia="仿宋"/>
          <w:highlight w:val="none"/>
        </w:rPr>
        <w:t>质量保证期限</w:t>
      </w:r>
    </w:p>
    <w:p w14:paraId="3CA964A3">
      <w:pPr>
        <w:spacing w:line="360" w:lineRule="auto"/>
        <w:rPr>
          <w:rFonts w:eastAsia="仿宋"/>
          <w:highlight w:val="none"/>
        </w:rPr>
      </w:pPr>
      <w:r>
        <w:rPr>
          <w:rFonts w:hint="eastAsia" w:eastAsia="仿宋"/>
          <w:highlight w:val="none"/>
        </w:rPr>
        <w:t>乙方对本项目承担质量保证责任的期限为</w:t>
      </w:r>
      <w:r>
        <w:rPr>
          <w:rFonts w:hint="eastAsia" w:ascii="宋体" w:hAnsi="宋体" w:eastAsia="宋体" w:cs="宋体"/>
          <w:highlight w:val="none"/>
          <w:u w:val="single"/>
          <w:lang w:val="en-US" w:eastAsia="zh-CN"/>
        </w:rPr>
        <w:t>1</w:t>
      </w:r>
      <w:r>
        <w:rPr>
          <w:rFonts w:hint="eastAsia" w:ascii="宋体" w:hAnsi="宋体" w:eastAsia="宋体" w:cs="宋体"/>
          <w:highlight w:val="none"/>
          <w:u w:val="single"/>
        </w:rPr>
        <w:t>年</w:t>
      </w:r>
      <w:r>
        <w:rPr>
          <w:rFonts w:eastAsia="仿宋"/>
          <w:highlight w:val="none"/>
        </w:rPr>
        <w:t>，</w:t>
      </w:r>
      <w:r>
        <w:rPr>
          <w:rFonts w:hint="eastAsia" w:eastAsia="仿宋"/>
          <w:highlight w:val="none"/>
        </w:rPr>
        <w:t>从验收合格之日起计算。</w:t>
      </w:r>
    </w:p>
    <w:p w14:paraId="10D4A0D2">
      <w:pPr>
        <w:spacing w:line="360" w:lineRule="auto"/>
        <w:rPr>
          <w:rFonts w:eastAsia="仿宋"/>
          <w:highlight w:val="none"/>
        </w:rPr>
      </w:pPr>
      <w:r>
        <w:rPr>
          <w:rFonts w:hint="eastAsia" w:eastAsia="仿宋"/>
          <w:highlight w:val="none"/>
        </w:rPr>
        <w:t>8</w:t>
      </w:r>
      <w:r>
        <w:rPr>
          <w:rFonts w:eastAsia="仿宋"/>
          <w:highlight w:val="none"/>
        </w:rPr>
        <w:t>.3</w:t>
      </w:r>
      <w:r>
        <w:rPr>
          <w:rFonts w:hint="eastAsia" w:eastAsia="仿宋"/>
          <w:highlight w:val="none"/>
          <w:lang w:val="en-US" w:eastAsia="zh-CN"/>
        </w:rPr>
        <w:t xml:space="preserve"> </w:t>
      </w:r>
      <w:r>
        <w:rPr>
          <w:rFonts w:hint="eastAsia" w:eastAsia="仿宋"/>
          <w:highlight w:val="none"/>
        </w:rPr>
        <w:t>质量保证责任承担</w:t>
      </w:r>
    </w:p>
    <w:p w14:paraId="661B6560">
      <w:pPr>
        <w:spacing w:line="360" w:lineRule="auto"/>
        <w:rPr>
          <w:rFonts w:eastAsia="仿宋"/>
          <w:highlight w:val="none"/>
        </w:rPr>
      </w:pPr>
      <w:r>
        <w:rPr>
          <w:rFonts w:eastAsia="仿宋"/>
          <w:highlight w:val="none"/>
        </w:rPr>
        <w:t>1）</w:t>
      </w:r>
      <w:r>
        <w:rPr>
          <w:rFonts w:hint="eastAsia" w:eastAsia="仿宋"/>
          <w:highlight w:val="none"/>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14:paraId="4AFA0C8F">
      <w:pPr>
        <w:spacing w:line="360" w:lineRule="auto"/>
        <w:rPr>
          <w:rFonts w:eastAsia="仿宋"/>
          <w:highlight w:val="none"/>
        </w:rPr>
      </w:pPr>
      <w:r>
        <w:rPr>
          <w:rFonts w:eastAsia="仿宋"/>
          <w:highlight w:val="none"/>
        </w:rPr>
        <w:t>2</w:t>
      </w:r>
      <w:r>
        <w:rPr>
          <w:rFonts w:hint="eastAsia" w:eastAsia="仿宋"/>
          <w:highlight w:val="none"/>
        </w:rPr>
        <w:t>）发生须紧急抢修的事故时，乙方接到通知后，应立即到达事故现场抢修。非乙方作业质量引起的事故，抢修费用由甲方承担（属于合同工作范围的在该合同项下支付）。</w:t>
      </w:r>
    </w:p>
    <w:p w14:paraId="706DBF66">
      <w:pPr>
        <w:spacing w:line="360" w:lineRule="auto"/>
        <w:rPr>
          <w:rFonts w:eastAsia="仿宋"/>
          <w:highlight w:val="none"/>
        </w:rPr>
      </w:pPr>
      <w:r>
        <w:rPr>
          <w:rFonts w:eastAsia="仿宋"/>
          <w:highlight w:val="none"/>
        </w:rPr>
        <w:t>3</w:t>
      </w:r>
      <w:r>
        <w:rPr>
          <w:rFonts w:hint="eastAsia" w:eastAsia="仿宋"/>
          <w:highlight w:val="none"/>
        </w:rPr>
        <w:t>）在国家规定的合理使用期限内，因乙方作业质量原因致使本项目在合理使用期限内造成人身伤亡和财产损害的，由乙方承担损害赔偿责任。</w:t>
      </w:r>
    </w:p>
    <w:p w14:paraId="7CAAA652">
      <w:pPr>
        <w:spacing w:line="360" w:lineRule="auto"/>
        <w:rPr>
          <w:rFonts w:eastAsia="仿宋"/>
          <w:b/>
          <w:highlight w:val="none"/>
        </w:rPr>
      </w:pPr>
      <w:r>
        <w:rPr>
          <w:rFonts w:hint="eastAsia" w:eastAsia="仿宋"/>
          <w:b/>
          <w:highlight w:val="none"/>
        </w:rPr>
        <w:t>九、履约担保</w:t>
      </w:r>
    </w:p>
    <w:p w14:paraId="702A23F7">
      <w:pPr>
        <w:spacing w:line="360" w:lineRule="auto"/>
        <w:rPr>
          <w:rFonts w:eastAsia="仿宋"/>
          <w:highlight w:val="none"/>
        </w:rPr>
      </w:pPr>
      <w:r>
        <w:rPr>
          <w:rFonts w:hint="eastAsia" w:eastAsia="仿宋"/>
          <w:highlight w:val="none"/>
        </w:rPr>
        <w:t>9</w:t>
      </w:r>
      <w:r>
        <w:rPr>
          <w:rFonts w:eastAsia="仿宋"/>
          <w:highlight w:val="none"/>
        </w:rPr>
        <w:t>.1</w:t>
      </w:r>
      <w:bookmarkStart w:id="347" w:name="_Toc198693812"/>
      <w:bookmarkStart w:id="348" w:name="_Toc198694697"/>
      <w:r>
        <w:rPr>
          <w:rFonts w:hint="eastAsia" w:eastAsia="仿宋"/>
          <w:highlight w:val="none"/>
          <w:lang w:val="en-US" w:eastAsia="zh-CN"/>
        </w:rPr>
        <w:t xml:space="preserve"> </w:t>
      </w:r>
      <w:r>
        <w:rPr>
          <w:rFonts w:hint="eastAsia" w:eastAsia="仿宋"/>
          <w:highlight w:val="none"/>
        </w:rPr>
        <w:t>履约担保</w:t>
      </w:r>
    </w:p>
    <w:p w14:paraId="03EB424E">
      <w:pPr>
        <w:spacing w:line="360" w:lineRule="auto"/>
        <w:rPr>
          <w:rFonts w:eastAsia="仿宋" w:cs="Times New Roman (正文 CS 字体)"/>
          <w:highlight w:val="none"/>
        </w:rPr>
      </w:pPr>
      <w:r>
        <w:rPr>
          <w:rFonts w:hint="eastAsia" w:eastAsia="仿宋" w:cs="Times New Roman (正文 CS 字体)"/>
          <w:highlight w:val="none"/>
        </w:rPr>
        <w:t>1</w:t>
      </w:r>
      <w:r>
        <w:rPr>
          <w:rFonts w:eastAsia="仿宋" w:cs="Times New Roman (正文 CS 字体)"/>
          <w:highlight w:val="none"/>
        </w:rPr>
        <w:t>.在本合同签订时，乙方应向甲方提交履约保证金，本项目履约保证金的金额为合同总价款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13F07B54">
      <w:pPr>
        <w:spacing w:line="360" w:lineRule="auto"/>
        <w:rPr>
          <w:rFonts w:eastAsia="仿宋" w:cs="Times New Roman (正文 CS 字体)"/>
          <w:highlight w:val="none"/>
        </w:rPr>
      </w:pPr>
      <w:r>
        <w:rPr>
          <w:rFonts w:eastAsia="仿宋" w:cs="Times New Roman (正文 CS 字体)"/>
          <w:highlight w:val="none"/>
        </w:rPr>
        <w:t>2.履约保证金由甲方持有，甲方有权在该保证金内扣除任何乙方应付而未付之任何款项</w:t>
      </w:r>
      <w:r>
        <w:rPr>
          <w:rFonts w:hint="eastAsia" w:eastAsia="仿宋" w:cs="Times New Roman (正文 CS 字体)"/>
          <w:highlight w:val="none"/>
        </w:rPr>
        <w:t>（包括但不限于合同约定的乙方应支付款项、甲方垫付的其他费用等），及任何因乙方在不遵守或不履行本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r>
        <w:rPr>
          <w:rFonts w:eastAsia="仿宋" w:cs="Times New Roman (正文 CS 字体)"/>
          <w:highlight w:val="none"/>
        </w:rPr>
        <w:t>如甲方根据</w:t>
      </w:r>
      <w:r>
        <w:rPr>
          <w:rFonts w:hint="eastAsia" w:eastAsia="仿宋" w:cs="Times New Roman (正文 CS 字体)"/>
          <w:highlight w:val="none"/>
        </w:rPr>
        <w:t>上述</w:t>
      </w:r>
      <w:r>
        <w:rPr>
          <w:rFonts w:eastAsia="仿宋" w:cs="Times New Roman (正文 CS 字体)"/>
          <w:highlight w:val="none"/>
        </w:rPr>
        <w:t>情况扣除保证金，乙方必须在扣款后七个工作日内，补足相等于该扣除款额的履约保证金，以保证合同履行期间履约保证金的完整。如履约保证金尚不能弥补甲方的损失，甲方有权另行向乙方主张赔偿。</w:t>
      </w:r>
    </w:p>
    <w:p w14:paraId="06A7B3F3">
      <w:pPr>
        <w:spacing w:line="360" w:lineRule="auto"/>
        <w:ind w:firstLine="105" w:firstLineChars="50"/>
        <w:rPr>
          <w:rFonts w:eastAsia="仿宋" w:cs="Times New Roman (正文 CS 字体)"/>
          <w:highlight w:val="none"/>
        </w:rPr>
      </w:pPr>
      <w:r>
        <w:rPr>
          <w:rFonts w:hint="eastAsia" w:eastAsia="仿宋" w:cs="Times New Roman (正文 CS 字体)"/>
          <w:highlight w:val="none"/>
        </w:rPr>
        <w:t>（采用履约保证金的方式时选用）</w:t>
      </w:r>
    </w:p>
    <w:p w14:paraId="2659DB8A">
      <w:pPr>
        <w:spacing w:line="360" w:lineRule="auto"/>
        <w:rPr>
          <w:rFonts w:eastAsia="仿宋" w:cs="Times New Roman (正文 CS 字体)"/>
          <w:b/>
          <w:highlight w:val="none"/>
        </w:rPr>
      </w:pPr>
      <w:r>
        <w:rPr>
          <w:rFonts w:hint="eastAsia" w:eastAsia="仿宋" w:cs="Times New Roman (正文 CS 字体)"/>
          <w:b/>
          <w:highlight w:val="none"/>
        </w:rPr>
        <w:t>或</w:t>
      </w:r>
    </w:p>
    <w:p w14:paraId="40F0A449">
      <w:pPr>
        <w:spacing w:line="360" w:lineRule="auto"/>
        <w:rPr>
          <w:rFonts w:eastAsia="仿宋" w:cs="Times New Roman (正文 CS 字体)"/>
          <w:highlight w:val="none"/>
        </w:rPr>
      </w:pPr>
      <w:r>
        <w:rPr>
          <w:rFonts w:eastAsia="仿宋" w:cs="Times New Roman (正文 CS 字体)"/>
          <w:highlight w:val="none"/>
        </w:rPr>
        <w:t>1.在本合同签订时，乙方应</w:t>
      </w:r>
      <w:r>
        <w:rPr>
          <w:rFonts w:hint="eastAsia" w:eastAsia="仿宋" w:cs="Times New Roman (正文 CS 字体)"/>
          <w:highlight w:val="none"/>
        </w:rPr>
        <w:t>提交经甲方认可的银行履约保函，保函金</w:t>
      </w:r>
      <w:r>
        <w:rPr>
          <w:rFonts w:eastAsia="仿宋" w:cs="Times New Roman (正文 CS 字体)"/>
          <w:highlight w:val="none"/>
        </w:rPr>
        <w:t>额为合同总价款</w:t>
      </w:r>
      <w:r>
        <w:rPr>
          <w:rFonts w:hint="eastAsia" w:eastAsia="仿宋" w:cs="Times New Roman (正文 CS 字体)"/>
          <w:highlight w:val="none"/>
          <w:u w:val="single"/>
          <w:lang w:val="en-US" w:eastAsia="zh-CN"/>
        </w:rPr>
        <w:t>10</w:t>
      </w:r>
      <w:r>
        <w:rPr>
          <w:rFonts w:eastAsia="仿宋" w:cs="Times New Roman (正文 CS 字体)"/>
          <w:highlight w:val="none"/>
          <w:u w:val="single"/>
        </w:rPr>
        <w:t>%</w:t>
      </w:r>
      <w:r>
        <w:rPr>
          <w:rFonts w:eastAsia="仿宋" w:cs="Times New Roman (正文 CS 字体)"/>
          <w:highlight w:val="none"/>
        </w:rPr>
        <w:t>。</w:t>
      </w:r>
    </w:p>
    <w:p w14:paraId="4F0155FF">
      <w:pPr>
        <w:spacing w:line="360" w:lineRule="auto"/>
        <w:rPr>
          <w:rFonts w:eastAsia="仿宋" w:cs="Times New Roman (正文 CS 字体)"/>
          <w:highlight w:val="none"/>
        </w:rPr>
      </w:pPr>
      <w:r>
        <w:rPr>
          <w:rFonts w:hint="eastAsia" w:eastAsia="仿宋" w:cs="Times New Roman (正文 CS 字体)"/>
          <w:highlight w:val="none"/>
        </w:rPr>
        <w:t>2</w:t>
      </w:r>
      <w:r>
        <w:rPr>
          <w:rFonts w:eastAsia="仿宋" w:cs="Times New Roman (正文 CS 字体)"/>
          <w:highlight w:val="none"/>
        </w:rPr>
        <w:t>.甲方有权在履约保函内提取任何乙方应付而未付之任何款项</w:t>
      </w:r>
      <w:bookmarkStart w:id="349" w:name="_Hlk18247249"/>
      <w:r>
        <w:rPr>
          <w:rFonts w:hint="eastAsia" w:eastAsia="仿宋" w:cs="Times New Roman (正文 CS 字体)"/>
          <w:highlight w:val="none"/>
        </w:rPr>
        <w:t>（包括但不限于合同约定的乙方应支付款项、甲方垫付的其他费用等），</w:t>
      </w:r>
      <w:bookmarkStart w:id="350" w:name="_Hlk17966884"/>
      <w:r>
        <w:rPr>
          <w:rFonts w:hint="eastAsia" w:eastAsia="仿宋" w:cs="Times New Roman (正文 CS 字体)"/>
          <w:highlight w:val="none"/>
        </w:rPr>
        <w:t>及任何因乙方在不遵守或不履行本</w:t>
      </w:r>
      <w:r>
        <w:rPr>
          <w:rFonts w:hint="eastAsia" w:eastAsia="仿宋" w:cs="Times New Roman (正文 CS 字体)"/>
          <w:highlight w:val="none"/>
          <w:lang w:eastAsia="zh-CN"/>
        </w:rPr>
        <w:t>合同</w:t>
      </w:r>
      <w:r>
        <w:rPr>
          <w:rFonts w:hint="eastAsia" w:eastAsia="仿宋" w:cs="Times New Roman (正文 CS 字体)"/>
          <w:highlight w:val="none"/>
        </w:rPr>
        <w:t>条款之任何部分而导致的任何费用支出、违约金、损失或损害赔偿金。</w:t>
      </w:r>
      <w:bookmarkEnd w:id="349"/>
      <w:bookmarkEnd w:id="350"/>
      <w:r>
        <w:rPr>
          <w:rFonts w:eastAsia="仿宋" w:cs="Times New Roman (正文 CS 字体)"/>
          <w:highlight w:val="none"/>
        </w:rPr>
        <w:t>如甲方根据上述情况提取保函金额，乙方必须在该项提取发生之日起七个工作日内，补足至原履约保函金额</w:t>
      </w:r>
      <w:r>
        <w:rPr>
          <w:rFonts w:hint="eastAsia" w:eastAsia="仿宋" w:cs="Times New Roman (正文 CS 字体)"/>
          <w:highlight w:val="none"/>
        </w:rPr>
        <w:t>即元</w:t>
      </w:r>
      <w:r>
        <w:rPr>
          <w:rFonts w:eastAsia="仿宋" w:cs="Times New Roman (正文 CS 字体)"/>
          <w:highlight w:val="none"/>
        </w:rPr>
        <w:t>整，以保证合同履行期间履约保函的完整。如履约保函金额全部提取尚不能弥补甲方的损失，甲方有权另行向乙方主张赔偿。</w:t>
      </w:r>
      <w:r>
        <w:rPr>
          <w:rFonts w:hint="eastAsia" w:eastAsia="仿宋" w:cs="Times New Roman (正文 CS 字体)"/>
          <w:highlight w:val="none"/>
        </w:rPr>
        <w:t>（采用履约保函的方式时选用）</w:t>
      </w:r>
    </w:p>
    <w:p w14:paraId="19B7ADA3">
      <w:pPr>
        <w:spacing w:line="360" w:lineRule="auto"/>
        <w:rPr>
          <w:rFonts w:eastAsia="仿宋" w:cs="Times New Roman (正文 CS 字体)"/>
          <w:highlight w:val="none"/>
        </w:rPr>
      </w:pPr>
      <w:r>
        <w:rPr>
          <w:rFonts w:eastAsia="仿宋" w:cs="Times New Roman (正文 CS 字体)"/>
          <w:highlight w:val="none"/>
        </w:rPr>
        <w:t>3</w:t>
      </w:r>
      <w:r>
        <w:rPr>
          <w:rFonts w:hint="eastAsia" w:eastAsia="仿宋" w:cs="Times New Roman (正文 CS 字体)"/>
          <w:highlight w:val="none"/>
        </w:rPr>
        <w:t>.</w:t>
      </w:r>
      <w:r>
        <w:rPr>
          <w:rFonts w:eastAsia="仿宋" w:cs="Times New Roman (正文 CS 字体)"/>
          <w:highlight w:val="none"/>
        </w:rPr>
        <w:t>履约担保的有效期</w:t>
      </w:r>
      <w:r>
        <w:rPr>
          <w:rFonts w:hint="eastAsia" w:eastAsia="仿宋" w:cs="Times New Roman (正文 CS 字体)"/>
          <w:highlight w:val="none"/>
        </w:rPr>
        <w:t>（采用履约保函的方式时选用）</w:t>
      </w:r>
    </w:p>
    <w:p w14:paraId="6DB9DEE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eastAsia="仿宋" w:cs="Times New Roman (正文 CS 字体)"/>
          <w:highlight w:val="none"/>
        </w:rPr>
      </w:pPr>
      <w:r>
        <w:rPr>
          <w:rFonts w:eastAsia="仿宋" w:cs="Times New Roman (正文 CS 字体)"/>
          <w:highlight w:val="none"/>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14:paraId="2DEA6A2F">
      <w:pPr>
        <w:spacing w:line="360" w:lineRule="auto"/>
        <w:rPr>
          <w:rFonts w:eastAsia="仿宋" w:cs="Times New Roman (正文 CS 字体)"/>
          <w:highlight w:val="none"/>
        </w:rPr>
      </w:pPr>
      <w:r>
        <w:rPr>
          <w:rFonts w:hint="eastAsia" w:eastAsia="仿宋" w:cs="Times New Roman (正文 CS 字体)"/>
          <w:highlight w:val="none"/>
          <w:lang w:val="en-US" w:eastAsia="zh-CN"/>
        </w:rPr>
        <w:t xml:space="preserve">9.2 </w:t>
      </w:r>
      <w:r>
        <w:rPr>
          <w:rFonts w:hint="eastAsia" w:eastAsia="仿宋" w:cs="Times New Roman (正文 CS 字体)"/>
          <w:highlight w:val="none"/>
        </w:rPr>
        <w:t>履约担保</w:t>
      </w:r>
      <w:r>
        <w:rPr>
          <w:rFonts w:eastAsia="仿宋" w:cs="Times New Roman (正文 CS 字体)"/>
          <w:highlight w:val="none"/>
        </w:rPr>
        <w:t>的</w:t>
      </w:r>
      <w:r>
        <w:rPr>
          <w:rFonts w:hint="eastAsia" w:eastAsia="仿宋" w:cs="Times New Roman (正文 CS 字体)"/>
          <w:highlight w:val="none"/>
        </w:rPr>
        <w:t>退</w:t>
      </w:r>
      <w:r>
        <w:rPr>
          <w:rFonts w:eastAsia="仿宋" w:cs="Times New Roman (正文 CS 字体)"/>
          <w:highlight w:val="none"/>
        </w:rPr>
        <w:t>还</w:t>
      </w:r>
    </w:p>
    <w:bookmarkEnd w:id="347"/>
    <w:bookmarkEnd w:id="348"/>
    <w:p w14:paraId="2C0241D9">
      <w:pPr>
        <w:spacing w:line="360" w:lineRule="auto"/>
        <w:ind w:firstLine="420" w:firstLineChars="200"/>
        <w:rPr>
          <w:rFonts w:eastAsia="仿宋" w:cs="Times New Roman (正文 CS 字体)"/>
          <w:highlight w:val="none"/>
        </w:rPr>
      </w:pPr>
      <w:r>
        <w:rPr>
          <w:rFonts w:hint="eastAsia" w:eastAsia="仿宋" w:cs="Times New Roman (正文 CS 字体)"/>
          <w:highlight w:val="none"/>
          <w:lang w:val="en-US" w:eastAsia="zh-CN"/>
        </w:rPr>
        <w:t xml:space="preserve">乙方在本合同约定的服务期限届满并经甲方验收合格后30日内办理履约保证金（或履约保函）退还手续。 </w:t>
      </w:r>
    </w:p>
    <w:p w14:paraId="22A2AF58">
      <w:pPr>
        <w:spacing w:line="360" w:lineRule="auto"/>
        <w:rPr>
          <w:rFonts w:eastAsia="仿宋"/>
          <w:b/>
          <w:highlight w:val="none"/>
        </w:rPr>
      </w:pPr>
      <w:r>
        <w:rPr>
          <w:rFonts w:hint="eastAsia" w:eastAsia="仿宋"/>
          <w:b/>
          <w:highlight w:val="none"/>
        </w:rPr>
        <w:t>十、违约责任</w:t>
      </w:r>
    </w:p>
    <w:p w14:paraId="32217B45">
      <w:pPr>
        <w:spacing w:line="360" w:lineRule="auto"/>
        <w:rPr>
          <w:rFonts w:eastAsia="仿宋"/>
          <w:highlight w:val="none"/>
        </w:rPr>
      </w:pPr>
      <w:r>
        <w:rPr>
          <w:rFonts w:hint="eastAsia" w:eastAsia="仿宋"/>
          <w:highlight w:val="none"/>
        </w:rPr>
        <w:t>10</w:t>
      </w:r>
      <w:r>
        <w:rPr>
          <w:rFonts w:eastAsia="仿宋"/>
          <w:highlight w:val="none"/>
        </w:rPr>
        <w:t>.1</w:t>
      </w:r>
      <w:r>
        <w:rPr>
          <w:rFonts w:hint="eastAsia" w:eastAsia="仿宋"/>
          <w:highlight w:val="none"/>
          <w:lang w:val="en-US" w:eastAsia="zh-CN"/>
        </w:rPr>
        <w:t xml:space="preserve"> </w:t>
      </w:r>
      <w:r>
        <w:rPr>
          <w:rFonts w:hint="eastAsia" w:eastAsia="仿宋"/>
          <w:highlight w:val="none"/>
        </w:rPr>
        <w:t>在合同履行中，乙方不按照甲方的管理规定以及现场检查人员的施工管理要求进行施工的，每发现一次应向甲方支付1000元作为违约金，如同时给甲方造成损失的，乙方还应承担赔偿责任。</w:t>
      </w:r>
    </w:p>
    <w:p w14:paraId="308393AE">
      <w:pPr>
        <w:spacing w:line="360" w:lineRule="auto"/>
        <w:rPr>
          <w:rFonts w:hint="eastAsia" w:eastAsia="仿宋"/>
          <w:highlight w:val="none"/>
        </w:rPr>
      </w:pPr>
      <w:r>
        <w:rPr>
          <w:rFonts w:eastAsia="仿宋"/>
          <w:highlight w:val="none"/>
        </w:rPr>
        <w:t>10.2</w:t>
      </w:r>
      <w:r>
        <w:rPr>
          <w:rFonts w:hint="eastAsia" w:eastAsia="仿宋"/>
          <w:highlight w:val="none"/>
          <w:lang w:val="en-US" w:eastAsia="zh-CN"/>
        </w:rPr>
        <w:t xml:space="preserve"> </w:t>
      </w:r>
      <w:r>
        <w:rPr>
          <w:rFonts w:hint="eastAsia" w:eastAsia="仿宋"/>
          <w:highlight w:val="none"/>
        </w:rPr>
        <w:t>违反本合同第</w:t>
      </w:r>
      <w:r>
        <w:rPr>
          <w:rFonts w:eastAsia="仿宋"/>
          <w:highlight w:val="none"/>
        </w:rPr>
        <w:t>6.9</w:t>
      </w:r>
      <w:r>
        <w:rPr>
          <w:rFonts w:hint="eastAsia" w:eastAsia="仿宋"/>
          <w:highlight w:val="none"/>
        </w:rPr>
        <w:t>条规定，每发</w:t>
      </w:r>
      <w:r>
        <w:rPr>
          <w:rFonts w:hint="eastAsia" w:eastAsia="仿宋"/>
          <w:highlight w:val="none"/>
          <w:lang w:val="en-US" w:eastAsia="zh-CN"/>
        </w:rPr>
        <w:t>生一次</w:t>
      </w:r>
      <w:r>
        <w:rPr>
          <w:rFonts w:hint="eastAsia" w:eastAsia="仿宋"/>
          <w:highlight w:val="none"/>
        </w:rPr>
        <w:t>应向甲方支付</w:t>
      </w:r>
      <w:r>
        <w:rPr>
          <w:rFonts w:eastAsia="仿宋"/>
          <w:highlight w:val="none"/>
        </w:rPr>
        <w:t>1000</w:t>
      </w:r>
      <w:r>
        <w:rPr>
          <w:rFonts w:hint="eastAsia" w:eastAsia="仿宋"/>
          <w:highlight w:val="none"/>
        </w:rPr>
        <w:t>元作为违约金，如同时给甲方造成损失的，乙方还应承担赔偿责任。</w:t>
      </w:r>
    </w:p>
    <w:p w14:paraId="4A817B87">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乙方未能按照甲方审查确认的施工图纸或做法说明进行施工而造成的工程量变更，乙方不得提出费用增加的要求，甲方也不需为此支付额外的费用。</w:t>
      </w:r>
    </w:p>
    <w:p w14:paraId="5C873073">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4</w:t>
      </w:r>
      <w:r>
        <w:rPr>
          <w:rFonts w:hint="eastAsia" w:eastAsia="仿宋"/>
          <w:highlight w:val="none"/>
          <w:lang w:val="en-US" w:eastAsia="zh-CN"/>
        </w:rPr>
        <w:t xml:space="preserve"> </w:t>
      </w:r>
      <w:r>
        <w:rPr>
          <w:rFonts w:hint="eastAsia" w:eastAsia="仿宋"/>
          <w:highlight w:val="none"/>
        </w:rPr>
        <w:t>由于乙方原因造成工程质量不合格或设计不符合双方约定的，乙方应按合同价款的</w:t>
      </w:r>
      <w:r>
        <w:rPr>
          <w:rFonts w:hint="eastAsia" w:eastAsia="仿宋"/>
          <w:highlight w:val="none"/>
          <w:u w:val="single"/>
        </w:rPr>
        <w:t>10%</w:t>
      </w:r>
      <w:r>
        <w:rPr>
          <w:rFonts w:hint="eastAsia" w:eastAsia="仿宋"/>
          <w:highlight w:val="none"/>
        </w:rPr>
        <w:t>向甲方支付违约金，并负责在本合同规定工期内返工至约定的质量标准要求，若违约金不足以弥补甲方的损失，乙方应足额赔偿甲方的损失。</w:t>
      </w:r>
    </w:p>
    <w:p w14:paraId="09CA3538">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5</w:t>
      </w:r>
      <w:r>
        <w:rPr>
          <w:rFonts w:hint="eastAsia" w:eastAsia="仿宋"/>
          <w:highlight w:val="none"/>
          <w:lang w:val="en-US" w:eastAsia="zh-CN"/>
        </w:rPr>
        <w:t xml:space="preserve"> </w:t>
      </w:r>
      <w:r>
        <w:rPr>
          <w:rFonts w:hint="eastAsia" w:eastAsia="仿宋"/>
          <w:highlight w:val="none"/>
        </w:rPr>
        <w:t>乙方未能在规定日期内竣工验收并交付甲方使用的，每逾期一日，乙方须按合同价款的</w:t>
      </w:r>
      <w:r>
        <w:rPr>
          <w:rFonts w:hint="eastAsia" w:eastAsia="仿宋"/>
          <w:highlight w:val="none"/>
          <w:u w:val="single"/>
        </w:rPr>
        <w:t>0.5%</w:t>
      </w:r>
      <w:r>
        <w:rPr>
          <w:rFonts w:hint="eastAsia" w:eastAsia="仿宋"/>
          <w:highlight w:val="none"/>
        </w:rPr>
        <w:t>向甲方支付违约金。</w:t>
      </w:r>
    </w:p>
    <w:p w14:paraId="06CE7E5C">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6</w:t>
      </w:r>
      <w:r>
        <w:rPr>
          <w:rFonts w:hint="eastAsia" w:eastAsia="仿宋"/>
          <w:highlight w:val="none"/>
          <w:lang w:val="en-US" w:eastAsia="zh-CN"/>
        </w:rPr>
        <w:t xml:space="preserve"> </w:t>
      </w:r>
      <w:r>
        <w:rPr>
          <w:rFonts w:hint="eastAsia" w:eastAsia="仿宋"/>
          <w:highlight w:val="none"/>
        </w:rPr>
        <w:t>乙方发生下列情形之一，甲方有权解除本合同</w:t>
      </w:r>
      <w:r>
        <w:rPr>
          <w:rFonts w:hint="eastAsia" w:eastAsia="仿宋"/>
          <w:highlight w:val="none"/>
          <w:lang w:val="en-US" w:eastAsia="zh-CN"/>
        </w:rPr>
        <w:t>并不予退还履约保证金，</w:t>
      </w:r>
      <w:r>
        <w:rPr>
          <w:rFonts w:hint="eastAsia" w:eastAsia="仿宋"/>
          <w:highlight w:val="none"/>
        </w:rPr>
        <w:t>甲方因合同解除而遭受损失的，乙方</w:t>
      </w:r>
      <w:r>
        <w:rPr>
          <w:rFonts w:hint="eastAsia" w:eastAsia="仿宋"/>
          <w:highlight w:val="none"/>
          <w:lang w:val="en-US" w:eastAsia="zh-CN"/>
        </w:rPr>
        <w:t>还</w:t>
      </w:r>
      <w:r>
        <w:rPr>
          <w:rFonts w:hint="eastAsia" w:eastAsia="仿宋"/>
          <w:highlight w:val="none"/>
        </w:rPr>
        <w:t>应承担赔偿责任：</w:t>
      </w:r>
    </w:p>
    <w:p w14:paraId="5F3FBCD4">
      <w:pPr>
        <w:spacing w:line="360" w:lineRule="auto"/>
        <w:rPr>
          <w:rFonts w:eastAsia="仿宋"/>
          <w:highlight w:val="none"/>
        </w:rPr>
      </w:pPr>
      <w:r>
        <w:rPr>
          <w:rFonts w:hint="eastAsia" w:eastAsia="仿宋"/>
          <w:highlight w:val="none"/>
        </w:rPr>
        <w:t>1）因乙方未能按照本合同规定，导致工程开工延误</w:t>
      </w:r>
      <w:r>
        <w:rPr>
          <w:rFonts w:hint="eastAsia" w:eastAsia="仿宋"/>
          <w:highlight w:val="none"/>
          <w:u w:val="single"/>
        </w:rPr>
        <w:t>20日</w:t>
      </w:r>
      <w:r>
        <w:rPr>
          <w:rFonts w:hint="eastAsia" w:eastAsia="仿宋"/>
          <w:highlight w:val="none"/>
        </w:rPr>
        <w:t>以上；</w:t>
      </w:r>
    </w:p>
    <w:p w14:paraId="57CC1CE5">
      <w:pPr>
        <w:spacing w:line="360" w:lineRule="auto"/>
        <w:rPr>
          <w:rFonts w:eastAsia="仿宋"/>
          <w:highlight w:val="none"/>
        </w:rPr>
      </w:pPr>
      <w:r>
        <w:rPr>
          <w:rFonts w:hint="eastAsia" w:eastAsia="仿宋"/>
          <w:highlight w:val="none"/>
        </w:rPr>
        <w:t>2）因乙方原因导致工程未能在本合同约定的期限内完工，且工期延误</w:t>
      </w:r>
      <w:r>
        <w:rPr>
          <w:rFonts w:hint="eastAsia" w:eastAsia="仿宋"/>
          <w:highlight w:val="none"/>
          <w:u w:val="single"/>
        </w:rPr>
        <w:t>30日</w:t>
      </w:r>
      <w:r>
        <w:rPr>
          <w:rFonts w:hint="eastAsia" w:eastAsia="仿宋"/>
          <w:highlight w:val="none"/>
        </w:rPr>
        <w:t>以上；</w:t>
      </w:r>
    </w:p>
    <w:p w14:paraId="581A71E4">
      <w:pPr>
        <w:spacing w:line="360" w:lineRule="auto"/>
        <w:rPr>
          <w:rFonts w:eastAsia="仿宋"/>
          <w:highlight w:val="none"/>
        </w:rPr>
      </w:pPr>
      <w:r>
        <w:rPr>
          <w:rFonts w:hint="eastAsia" w:eastAsia="仿宋"/>
          <w:highlight w:val="none"/>
        </w:rPr>
        <w:t>3）乙方违反本合同第六条的规定，导致发生安全事故的；</w:t>
      </w:r>
    </w:p>
    <w:p w14:paraId="377EB593">
      <w:pPr>
        <w:spacing w:line="360" w:lineRule="auto"/>
        <w:rPr>
          <w:rFonts w:eastAsia="仿宋"/>
          <w:highlight w:val="none"/>
        </w:rPr>
      </w:pPr>
      <w:r>
        <w:rPr>
          <w:rFonts w:hint="eastAsia" w:eastAsia="仿宋"/>
          <w:highlight w:val="none"/>
        </w:rPr>
        <w:t>4）乙方违反本合同项下的其他义务，并且在甲方发出违约通知后</w:t>
      </w:r>
      <w:r>
        <w:rPr>
          <w:rFonts w:hint="eastAsia" w:eastAsia="仿宋"/>
          <w:highlight w:val="none"/>
          <w:u w:val="single"/>
        </w:rPr>
        <w:t>10</w:t>
      </w:r>
      <w:r>
        <w:rPr>
          <w:rFonts w:hint="eastAsia" w:eastAsia="仿宋"/>
          <w:highlight w:val="none"/>
        </w:rPr>
        <w:t>天内或在违约通知限定的期限内仍未纠正，或纠正后仍不符合本合同的约定或甲方要求。</w:t>
      </w:r>
    </w:p>
    <w:p w14:paraId="46F65E24">
      <w:pPr>
        <w:spacing w:line="360" w:lineRule="auto"/>
        <w:rPr>
          <w:rFonts w:eastAsia="仿宋"/>
          <w:highlight w:val="none"/>
        </w:rPr>
      </w:pPr>
      <w:r>
        <w:rPr>
          <w:rFonts w:hint="eastAsia" w:eastAsia="仿宋"/>
          <w:highlight w:val="none"/>
        </w:rPr>
        <w:t>10</w:t>
      </w:r>
      <w:r>
        <w:rPr>
          <w:rFonts w:eastAsia="仿宋"/>
          <w:highlight w:val="none"/>
        </w:rPr>
        <w:t>.</w:t>
      </w:r>
      <w:r>
        <w:rPr>
          <w:rFonts w:hint="eastAsia" w:eastAsia="仿宋"/>
          <w:highlight w:val="none"/>
        </w:rPr>
        <w:t>7</w:t>
      </w:r>
      <w:r>
        <w:rPr>
          <w:rFonts w:hint="eastAsia" w:eastAsia="仿宋"/>
          <w:highlight w:val="none"/>
          <w:lang w:val="en-US" w:eastAsia="zh-CN"/>
        </w:rPr>
        <w:t xml:space="preserve"> </w:t>
      </w:r>
      <w:r>
        <w:rPr>
          <w:rFonts w:hint="eastAsia" w:eastAsia="仿宋"/>
          <w:highlight w:val="none"/>
        </w:rPr>
        <w:t>在合同履行期间，擅自解除合同方，应按合同总金额的20％作为违约金付给</w:t>
      </w:r>
      <w:r>
        <w:rPr>
          <w:rFonts w:hint="eastAsia" w:eastAsia="仿宋"/>
          <w:highlight w:val="none"/>
          <w:lang w:val="en-US" w:eastAsia="zh-CN"/>
        </w:rPr>
        <w:t>守约</w:t>
      </w:r>
      <w:r>
        <w:rPr>
          <w:rFonts w:hint="eastAsia" w:eastAsia="仿宋"/>
          <w:highlight w:val="none"/>
        </w:rPr>
        <w:t>方。因擅自解除合同，使对方造成的实际损失超过违约金的，责任方应足额赔偿另一方损失。</w:t>
      </w:r>
    </w:p>
    <w:p w14:paraId="26ED1767">
      <w:pPr>
        <w:pageBreakBefore w:val="0"/>
        <w:kinsoku/>
        <w:wordWrap/>
        <w:overflowPunct/>
        <w:topLinePunct w:val="0"/>
        <w:bidi w:val="0"/>
        <w:snapToGrid/>
        <w:spacing w:line="360" w:lineRule="auto"/>
        <w:textAlignment w:val="auto"/>
        <w:rPr>
          <w:rFonts w:hint="eastAsia" w:eastAsia="仿宋"/>
          <w:highlight w:val="none"/>
        </w:rPr>
      </w:pPr>
      <w:r>
        <w:rPr>
          <w:rFonts w:hint="eastAsia" w:eastAsia="仿宋"/>
          <w:highlight w:val="none"/>
        </w:rPr>
        <w:t>10</w:t>
      </w:r>
      <w:r>
        <w:rPr>
          <w:rFonts w:eastAsia="仿宋"/>
          <w:highlight w:val="none"/>
        </w:rPr>
        <w:t>.</w:t>
      </w:r>
      <w:r>
        <w:rPr>
          <w:rFonts w:hint="eastAsia" w:eastAsia="仿宋"/>
          <w:highlight w:val="none"/>
        </w:rPr>
        <w:t>8</w:t>
      </w:r>
      <w:r>
        <w:rPr>
          <w:rFonts w:hint="eastAsia" w:eastAsia="仿宋"/>
          <w:highlight w:val="none"/>
          <w:lang w:val="en-US" w:eastAsia="zh-CN"/>
        </w:rPr>
        <w:t xml:space="preserve"> </w:t>
      </w:r>
      <w:r>
        <w:rPr>
          <w:rFonts w:hint="eastAsia" w:ascii="仿宋" w:hAnsi="仿宋" w:eastAsia="仿宋" w:cs="仿宋"/>
          <w:sz w:val="24"/>
          <w:szCs w:val="24"/>
          <w:highlight w:val="none"/>
          <w:lang w:eastAsia="zh-CN"/>
        </w:rPr>
        <w:t>本合同所称不可抗力事件指合同当事人不能预见、不能避免、不能克服的客观情况，包括但不限于地震、</w:t>
      </w:r>
      <w:r>
        <w:rPr>
          <w:rFonts w:hint="eastAsia" w:ascii="仿宋" w:hAnsi="仿宋" w:eastAsia="仿宋" w:cs="仿宋"/>
          <w:sz w:val="24"/>
          <w:szCs w:val="24"/>
          <w:highlight w:val="none"/>
          <w:lang w:val="en-US" w:eastAsia="zh-CN"/>
        </w:rPr>
        <w:t>火灾、</w:t>
      </w:r>
      <w:r>
        <w:rPr>
          <w:rFonts w:hint="eastAsia" w:ascii="仿宋" w:hAnsi="仿宋" w:eastAsia="仿宋" w:cs="仿宋"/>
          <w:sz w:val="24"/>
          <w:szCs w:val="24"/>
          <w:highlight w:val="none"/>
          <w:lang w:eastAsia="zh-CN"/>
        </w:rPr>
        <w:t>水灾、雷击、雪灾等天灾，战争、恐怖袭击、内乱、</w:t>
      </w:r>
      <w:r>
        <w:rPr>
          <w:rFonts w:hint="eastAsia" w:ascii="仿宋" w:hAnsi="仿宋" w:eastAsia="仿宋" w:cs="仿宋"/>
          <w:sz w:val="24"/>
          <w:szCs w:val="24"/>
          <w:highlight w:val="none"/>
          <w:lang w:val="en-US" w:eastAsia="zh-CN"/>
        </w:rPr>
        <w:t>疫情等</w:t>
      </w:r>
      <w:r>
        <w:rPr>
          <w:rFonts w:hint="eastAsia" w:ascii="仿宋" w:hAnsi="仿宋" w:eastAsia="仿宋" w:cs="仿宋"/>
          <w:sz w:val="24"/>
          <w:szCs w:val="24"/>
          <w:highlight w:val="none"/>
          <w:lang w:eastAsia="zh-CN"/>
        </w:rPr>
        <w:t>严重威胁安全或健康的情形。</w:t>
      </w:r>
      <w:r>
        <w:rPr>
          <w:rFonts w:hint="eastAsia" w:eastAsia="仿宋"/>
          <w:highlight w:val="none"/>
        </w:rPr>
        <w:t>因不可抗力使本合同的履行受到影响的，受不可抗力影响方应于该事由发生后</w:t>
      </w:r>
      <w:r>
        <w:rPr>
          <w:rFonts w:hint="eastAsia" w:eastAsia="仿宋"/>
          <w:highlight w:val="none"/>
          <w:u w:val="single"/>
        </w:rPr>
        <w:t>10</w:t>
      </w:r>
      <w:r>
        <w:rPr>
          <w:rFonts w:hint="eastAsia" w:eastAsia="仿宋"/>
          <w:highlight w:val="none"/>
        </w:rPr>
        <w:t>日内通知对方并提供相关证明。双方可根据受不可抗力影响的程度决定全部或部分免除本合同项下义务或解除本合同。因不可抗力导致的合同义务减免或合同终止，双方均不承担责任。</w:t>
      </w:r>
    </w:p>
    <w:p w14:paraId="03D2E371">
      <w:pPr>
        <w:spacing w:line="360" w:lineRule="auto"/>
        <w:rPr>
          <w:rFonts w:hint="eastAsia" w:eastAsia="仿宋"/>
          <w:b/>
          <w:highlight w:val="none"/>
          <w:lang w:eastAsia="zh-CN"/>
        </w:rPr>
      </w:pPr>
      <w:bookmarkStart w:id="351" w:name="_Toc424651548"/>
      <w:r>
        <w:rPr>
          <w:rFonts w:hint="eastAsia" w:eastAsia="仿宋"/>
          <w:b/>
          <w:highlight w:val="none"/>
          <w:lang w:val="en-US" w:eastAsia="zh-CN"/>
        </w:rPr>
        <w:t>十一、</w:t>
      </w:r>
      <w:r>
        <w:rPr>
          <w:rFonts w:hint="eastAsia" w:eastAsia="仿宋"/>
          <w:b/>
          <w:highlight w:val="none"/>
          <w:lang w:eastAsia="zh-CN"/>
        </w:rPr>
        <w:t>通知</w:t>
      </w:r>
      <w:bookmarkEnd w:id="351"/>
    </w:p>
    <w:p w14:paraId="705DF8D7">
      <w:pPr>
        <w:spacing w:line="360" w:lineRule="auto"/>
        <w:rPr>
          <w:rFonts w:hint="eastAsia" w:eastAsia="仿宋"/>
          <w:b w:val="0"/>
          <w:bCs/>
          <w:highlight w:val="none"/>
          <w:lang w:eastAsia="zh-CN"/>
        </w:rPr>
      </w:pPr>
      <w:r>
        <w:rPr>
          <w:rFonts w:hint="eastAsia" w:eastAsia="仿宋"/>
          <w:b w:val="0"/>
          <w:bCs/>
          <w:highlight w:val="none"/>
          <w:lang w:val="en-US" w:eastAsia="zh-CN"/>
        </w:rPr>
        <w:t xml:space="preserve">11.1 </w:t>
      </w:r>
      <w:r>
        <w:rPr>
          <w:rFonts w:hint="eastAsia" w:eastAsia="仿宋"/>
          <w:b w:val="0"/>
          <w:bCs/>
          <w:highlight w:val="none"/>
          <w:lang w:eastAsia="zh-CN"/>
        </w:rPr>
        <w:t>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5ABBDB6">
      <w:pPr>
        <w:spacing w:line="360" w:lineRule="auto"/>
        <w:rPr>
          <w:rFonts w:hint="eastAsia" w:eastAsia="仿宋"/>
          <w:b w:val="0"/>
          <w:bCs/>
          <w:highlight w:val="none"/>
          <w:lang w:eastAsia="zh-CN"/>
        </w:rPr>
      </w:pPr>
      <w:r>
        <w:rPr>
          <w:rFonts w:hint="eastAsia" w:eastAsia="仿宋"/>
          <w:b w:val="0"/>
          <w:bCs/>
          <w:highlight w:val="none"/>
          <w:lang w:eastAsia="zh-CN"/>
        </w:rPr>
        <w:t>各方的联络及通讯方法以各方的下列信息为准：</w:t>
      </w:r>
    </w:p>
    <w:p w14:paraId="7E86F170">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甲方： </w:t>
      </w:r>
    </w:p>
    <w:p w14:paraId="20BDD487">
      <w:pPr>
        <w:spacing w:line="360" w:lineRule="auto"/>
        <w:rPr>
          <w:rFonts w:hint="eastAsia" w:eastAsia="仿宋"/>
          <w:b w:val="0"/>
          <w:bCs/>
          <w:highlight w:val="none"/>
          <w:lang w:val="en-US" w:eastAsia="zh-CN"/>
        </w:rPr>
      </w:pPr>
      <w:r>
        <w:rPr>
          <w:rFonts w:hint="eastAsia" w:eastAsia="仿宋"/>
          <w:b w:val="0"/>
          <w:bCs/>
          <w:highlight w:val="none"/>
          <w:lang w:val="en-US" w:eastAsia="zh-CN"/>
        </w:rPr>
        <w:t>地址：</w:t>
      </w:r>
    </w:p>
    <w:p w14:paraId="40352DA1">
      <w:pPr>
        <w:spacing w:line="360" w:lineRule="auto"/>
        <w:rPr>
          <w:rFonts w:hint="eastAsia" w:eastAsia="仿宋"/>
          <w:b w:val="0"/>
          <w:bCs/>
          <w:highlight w:val="none"/>
          <w:lang w:eastAsia="zh-CN"/>
        </w:rPr>
      </w:pPr>
      <w:r>
        <w:rPr>
          <w:rFonts w:hint="eastAsia" w:eastAsia="仿宋"/>
          <w:b w:val="0"/>
          <w:bCs/>
          <w:highlight w:val="none"/>
          <w:lang w:val="en-US" w:eastAsia="zh-CN"/>
        </w:rPr>
        <w:t>电话：</w:t>
      </w:r>
    </w:p>
    <w:p w14:paraId="3C608947">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收件人：_____________________</w:t>
      </w:r>
    </w:p>
    <w:p w14:paraId="30211E70">
      <w:pPr>
        <w:spacing w:line="360" w:lineRule="auto"/>
        <w:rPr>
          <w:rFonts w:hint="eastAsia" w:eastAsia="仿宋"/>
          <w:b w:val="0"/>
          <w:bCs/>
          <w:highlight w:val="none"/>
          <w:lang w:eastAsia="zh-CN"/>
        </w:rPr>
      </w:pPr>
      <w:r>
        <w:rPr>
          <w:rFonts w:hint="eastAsia" w:eastAsia="仿宋"/>
          <w:b w:val="0"/>
          <w:bCs/>
          <w:highlight w:val="none"/>
          <w:lang w:eastAsia="zh-CN"/>
        </w:rPr>
        <w:t>联系人：_____________________</w:t>
      </w:r>
    </w:p>
    <w:p w14:paraId="5D70738B">
      <w:pPr>
        <w:spacing w:line="360" w:lineRule="auto"/>
        <w:rPr>
          <w:rFonts w:hint="eastAsia" w:eastAsia="仿宋"/>
          <w:b w:val="0"/>
          <w:bCs/>
          <w:highlight w:val="none"/>
          <w:lang w:eastAsia="zh-CN"/>
        </w:rPr>
      </w:pPr>
    </w:p>
    <w:p w14:paraId="743D5C09">
      <w:pPr>
        <w:spacing w:line="360" w:lineRule="auto"/>
        <w:rPr>
          <w:rFonts w:hint="eastAsia" w:eastAsia="仿宋"/>
          <w:b w:val="0"/>
          <w:bCs/>
          <w:highlight w:val="none"/>
          <w:lang w:eastAsia="zh-CN"/>
        </w:rPr>
      </w:pPr>
      <w:r>
        <w:rPr>
          <w:rFonts w:hint="eastAsia" w:eastAsia="仿宋"/>
          <w:b w:val="0"/>
          <w:bCs/>
          <w:highlight w:val="none"/>
          <w:lang w:eastAsia="zh-CN"/>
        </w:rPr>
        <w:t>乙方：</w:t>
      </w:r>
    </w:p>
    <w:p w14:paraId="5DC89FF7">
      <w:pPr>
        <w:spacing w:line="360" w:lineRule="auto"/>
        <w:rPr>
          <w:rFonts w:hint="eastAsia" w:eastAsia="仿宋"/>
          <w:b w:val="0"/>
          <w:bCs/>
          <w:highlight w:val="none"/>
          <w:lang w:eastAsia="zh-CN"/>
        </w:rPr>
      </w:pPr>
      <w:r>
        <w:rPr>
          <w:rFonts w:hint="eastAsia" w:eastAsia="仿宋"/>
          <w:b w:val="0"/>
          <w:bCs/>
          <w:highlight w:val="none"/>
          <w:lang w:eastAsia="zh-CN"/>
        </w:rPr>
        <w:t>地址：_____________________</w:t>
      </w:r>
    </w:p>
    <w:p w14:paraId="573A37F1">
      <w:pPr>
        <w:spacing w:line="360" w:lineRule="auto"/>
        <w:rPr>
          <w:rFonts w:hint="eastAsia" w:eastAsia="仿宋"/>
          <w:b w:val="0"/>
          <w:bCs/>
          <w:highlight w:val="none"/>
          <w:lang w:eastAsia="zh-CN"/>
        </w:rPr>
      </w:pPr>
      <w:r>
        <w:rPr>
          <w:rFonts w:hint="eastAsia" w:eastAsia="仿宋"/>
          <w:b w:val="0"/>
          <w:bCs/>
          <w:highlight w:val="none"/>
          <w:lang w:eastAsia="zh-CN"/>
        </w:rPr>
        <w:t>电话：_____________________</w:t>
      </w:r>
    </w:p>
    <w:p w14:paraId="75D5F75A">
      <w:pPr>
        <w:spacing w:line="360" w:lineRule="auto"/>
        <w:rPr>
          <w:rFonts w:hint="eastAsia" w:eastAsia="仿宋"/>
          <w:b w:val="0"/>
          <w:bCs/>
          <w:highlight w:val="none"/>
          <w:lang w:eastAsia="zh-CN"/>
        </w:rPr>
      </w:pPr>
      <w:r>
        <w:rPr>
          <w:rFonts w:hint="eastAsia" w:eastAsia="仿宋"/>
          <w:b w:val="0"/>
          <w:bCs/>
          <w:highlight w:val="none"/>
          <w:lang w:eastAsia="zh-CN"/>
        </w:rPr>
        <w:t>收件人：____________________</w:t>
      </w:r>
    </w:p>
    <w:p w14:paraId="6FC567FA">
      <w:pPr>
        <w:spacing w:line="360" w:lineRule="auto"/>
        <w:rPr>
          <w:rFonts w:hint="eastAsia" w:eastAsia="仿宋"/>
          <w:b w:val="0"/>
          <w:bCs/>
          <w:highlight w:val="none"/>
          <w:lang w:eastAsia="zh-CN"/>
        </w:rPr>
      </w:pPr>
      <w:r>
        <w:rPr>
          <w:rFonts w:hint="eastAsia" w:eastAsia="仿宋"/>
          <w:b w:val="0"/>
          <w:bCs/>
          <w:highlight w:val="none"/>
          <w:lang w:eastAsia="zh-CN"/>
        </w:rPr>
        <w:t>联系人：__________________</w:t>
      </w:r>
    </w:p>
    <w:p w14:paraId="127EBB1F">
      <w:pPr>
        <w:spacing w:line="360" w:lineRule="auto"/>
        <w:rPr>
          <w:rFonts w:hint="eastAsia" w:eastAsia="仿宋"/>
          <w:b w:val="0"/>
          <w:bCs/>
          <w:highlight w:val="none"/>
          <w:lang w:val="en-US" w:eastAsia="zh-CN"/>
        </w:rPr>
      </w:pPr>
      <w:r>
        <w:rPr>
          <w:rFonts w:hint="eastAsia" w:eastAsia="仿宋"/>
          <w:b w:val="0"/>
          <w:bCs/>
          <w:highlight w:val="none"/>
          <w:lang w:val="en-US" w:eastAsia="zh-CN"/>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71179729">
      <w:pPr>
        <w:spacing w:line="360" w:lineRule="auto"/>
        <w:rPr>
          <w:rFonts w:hint="eastAsia" w:eastAsia="仿宋"/>
          <w:b w:val="0"/>
          <w:bCs/>
          <w:highlight w:val="none"/>
        </w:rPr>
      </w:pPr>
      <w:r>
        <w:rPr>
          <w:rFonts w:hint="eastAsia" w:eastAsia="仿宋"/>
          <w:b w:val="0"/>
          <w:bCs/>
          <w:highlight w:val="none"/>
          <w:lang w:val="en-US" w:eastAsia="zh-CN"/>
        </w:rPr>
        <w:t>11.3 本条款为独立条款，不受协议整体或其他条款的效力的影响，始终有效。</w:t>
      </w:r>
    </w:p>
    <w:p w14:paraId="5821E501">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二</w:t>
      </w:r>
      <w:r>
        <w:rPr>
          <w:rFonts w:hint="eastAsia" w:eastAsia="仿宋"/>
          <w:b/>
          <w:highlight w:val="none"/>
        </w:rPr>
        <w:t>、争议解决</w:t>
      </w:r>
    </w:p>
    <w:p w14:paraId="0A93F26D">
      <w:pPr>
        <w:spacing w:line="360" w:lineRule="auto"/>
        <w:ind w:firstLine="420" w:firstLineChars="200"/>
        <w:rPr>
          <w:rFonts w:hint="eastAsia" w:eastAsia="仿宋"/>
          <w:b/>
          <w:highlight w:val="none"/>
          <w:lang w:val="en-US" w:eastAsia="zh-CN"/>
        </w:rPr>
      </w:pPr>
      <w:r>
        <w:rPr>
          <w:rFonts w:hint="eastAsia" w:eastAsia="仿宋"/>
          <w:highlight w:val="none"/>
        </w:rPr>
        <w:t>因履行合同所发生的或与本合同有关的一切争议，双方应通过友好协商解决。如果双方协商不成，任何一方可向</w:t>
      </w:r>
      <w:r>
        <w:rPr>
          <w:rFonts w:hint="eastAsia" w:eastAsia="仿宋"/>
          <w:highlight w:val="none"/>
          <w:lang w:val="en-US" w:eastAsia="zh-CN"/>
        </w:rPr>
        <w:t>甲方</w:t>
      </w:r>
      <w:r>
        <w:rPr>
          <w:rFonts w:hint="eastAsia" w:eastAsia="仿宋"/>
          <w:highlight w:val="none"/>
        </w:rPr>
        <w:t>所在地有管辖权的人民法院起诉。</w:t>
      </w:r>
    </w:p>
    <w:p w14:paraId="34F2CA80">
      <w:pPr>
        <w:spacing w:line="360" w:lineRule="auto"/>
        <w:rPr>
          <w:rFonts w:hint="default" w:eastAsia="仿宋"/>
          <w:b/>
          <w:highlight w:val="none"/>
          <w:lang w:val="en-US" w:eastAsia="zh-CN"/>
        </w:rPr>
      </w:pPr>
      <w:r>
        <w:rPr>
          <w:rFonts w:hint="eastAsia" w:eastAsia="仿宋"/>
          <w:b/>
          <w:highlight w:val="none"/>
          <w:lang w:val="en-US" w:eastAsia="zh-CN"/>
        </w:rPr>
        <w:t>十三、廉洁规范条款</w:t>
      </w:r>
    </w:p>
    <w:p w14:paraId="395FE2DD">
      <w:pPr>
        <w:spacing w:line="360" w:lineRule="auto"/>
        <w:ind w:firstLine="420" w:firstLineChars="200"/>
        <w:rPr>
          <w:rFonts w:hint="eastAsia" w:eastAsia="仿宋"/>
          <w:highlight w:val="none"/>
          <w:lang w:val="zh-CN"/>
        </w:rPr>
      </w:pPr>
      <w:r>
        <w:rPr>
          <w:rFonts w:hint="eastAsia" w:eastAsia="仿宋"/>
          <w:highlight w:val="none"/>
          <w:lang w:val="en-US" w:eastAsia="zh-CN"/>
        </w:rPr>
        <w:t>合同各方</w:t>
      </w:r>
      <w:r>
        <w:rPr>
          <w:rFonts w:hint="eastAsia" w:eastAsia="仿宋"/>
          <w:highlight w:val="none"/>
        </w:rPr>
        <w:t>承诺：在</w:t>
      </w:r>
      <w:r>
        <w:rPr>
          <w:rFonts w:hint="eastAsia" w:eastAsia="仿宋"/>
          <w:highlight w:val="none"/>
          <w:lang w:val="en-US" w:eastAsia="zh-CN"/>
        </w:rPr>
        <w:t>本项目实施</w:t>
      </w:r>
      <w:r>
        <w:rPr>
          <w:rFonts w:hint="eastAsia" w:eastAsia="仿宋"/>
          <w:highlight w:val="none"/>
        </w:rPr>
        <w:t>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w:t>
      </w:r>
      <w:r>
        <w:rPr>
          <w:rFonts w:hint="eastAsia" w:eastAsia="仿宋"/>
          <w:highlight w:val="none"/>
          <w:lang w:eastAsia="zh-CN"/>
        </w:rPr>
        <w:t>合同，</w:t>
      </w:r>
      <w:r>
        <w:rPr>
          <w:rFonts w:hint="eastAsia" w:ascii="仿宋" w:hAnsi="仿宋" w:eastAsia="仿宋" w:cs="仿宋"/>
          <w:color w:val="000000"/>
          <w:sz w:val="24"/>
          <w:highlight w:val="none"/>
          <w:lang w:val="en-US" w:eastAsia="zh-CN"/>
        </w:rPr>
        <w:t>甲方解除本合同的，有权不予退还乙方履约保证金</w:t>
      </w:r>
      <w:r>
        <w:rPr>
          <w:rFonts w:hint="eastAsia" w:eastAsia="仿宋"/>
          <w:highlight w:val="none"/>
        </w:rPr>
        <w:t>。</w:t>
      </w:r>
    </w:p>
    <w:p w14:paraId="5F5EB6C0">
      <w:pPr>
        <w:spacing w:line="360" w:lineRule="auto"/>
        <w:rPr>
          <w:rFonts w:eastAsia="仿宋"/>
          <w:b/>
          <w:highlight w:val="none"/>
        </w:rPr>
      </w:pPr>
      <w:r>
        <w:rPr>
          <w:rFonts w:hint="eastAsia" w:eastAsia="仿宋"/>
          <w:b/>
          <w:highlight w:val="none"/>
        </w:rPr>
        <w:t>十</w:t>
      </w:r>
      <w:r>
        <w:rPr>
          <w:rFonts w:hint="eastAsia" w:eastAsia="仿宋"/>
          <w:b/>
          <w:highlight w:val="none"/>
          <w:lang w:val="en-US" w:eastAsia="zh-CN"/>
        </w:rPr>
        <w:t>四</w:t>
      </w:r>
      <w:r>
        <w:rPr>
          <w:rFonts w:hint="eastAsia" w:eastAsia="仿宋"/>
          <w:b/>
          <w:highlight w:val="none"/>
        </w:rPr>
        <w:t>、附则</w:t>
      </w:r>
    </w:p>
    <w:p w14:paraId="21516AD2">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 xml:space="preserve">.1 </w:t>
      </w:r>
      <w:bookmarkStart w:id="352" w:name="_Toc478650037"/>
      <w:r>
        <w:rPr>
          <w:rFonts w:hint="eastAsia" w:eastAsia="仿宋"/>
          <w:highlight w:val="none"/>
        </w:rPr>
        <w:t>本合同经甲、乙双方法定代表人或授权代表人签名</w:t>
      </w:r>
      <w:r>
        <w:rPr>
          <w:rFonts w:hint="eastAsia" w:eastAsia="仿宋"/>
          <w:highlight w:val="none"/>
          <w:lang w:val="en-US" w:eastAsia="zh-CN"/>
        </w:rPr>
        <w:t>（如为授权代表签名，乙方需提交法定代表人授权委托书</w:t>
      </w:r>
      <w:r>
        <w:rPr>
          <w:rFonts w:hint="eastAsia" w:eastAsia="仿宋"/>
          <w:highlight w:val="none"/>
          <w:lang w:eastAsia="zh-CN"/>
        </w:rPr>
        <w:t>）</w:t>
      </w:r>
      <w:r>
        <w:rPr>
          <w:rFonts w:hint="eastAsia" w:eastAsia="仿宋"/>
          <w:highlight w:val="none"/>
        </w:rPr>
        <w:t>并加盖单位公章或者合同专用章后生效。</w:t>
      </w:r>
      <w:r>
        <w:rPr>
          <w:rFonts w:eastAsia="仿宋"/>
          <w:highlight w:val="none"/>
        </w:rPr>
        <w:t>未尽事宜，双方根据需要，经协商可另外签订补充</w:t>
      </w:r>
      <w:r>
        <w:rPr>
          <w:rFonts w:hint="eastAsia" w:eastAsia="仿宋"/>
          <w:highlight w:val="none"/>
          <w:lang w:eastAsia="zh-CN"/>
        </w:rPr>
        <w:t>合同</w:t>
      </w:r>
      <w:r>
        <w:rPr>
          <w:rFonts w:eastAsia="仿宋"/>
          <w:highlight w:val="none"/>
        </w:rPr>
        <w:t>。</w:t>
      </w:r>
      <w:bookmarkEnd w:id="352"/>
    </w:p>
    <w:p w14:paraId="0A67CA98">
      <w:pPr>
        <w:spacing w:line="360" w:lineRule="auto"/>
        <w:rPr>
          <w:rFonts w:eastAsia="仿宋"/>
          <w:highlight w:val="none"/>
        </w:rPr>
      </w:pPr>
      <w:r>
        <w:rPr>
          <w:rFonts w:eastAsia="仿宋"/>
          <w:highlight w:val="none"/>
        </w:rPr>
        <w:t>1</w:t>
      </w:r>
      <w:r>
        <w:rPr>
          <w:rFonts w:hint="eastAsia" w:eastAsia="仿宋"/>
          <w:highlight w:val="none"/>
          <w:lang w:val="en-US" w:eastAsia="zh-CN"/>
        </w:rPr>
        <w:t>4</w:t>
      </w:r>
      <w:r>
        <w:rPr>
          <w:rFonts w:eastAsia="仿宋"/>
          <w:highlight w:val="none"/>
        </w:rPr>
        <w:t>.2 本合同一式</w:t>
      </w:r>
      <w:r>
        <w:rPr>
          <w:rFonts w:eastAsia="仿宋"/>
          <w:highlight w:val="none"/>
          <w:u w:val="single"/>
        </w:rPr>
        <w:t>9</w:t>
      </w:r>
      <w:r>
        <w:rPr>
          <w:rFonts w:eastAsia="仿宋"/>
          <w:highlight w:val="none"/>
        </w:rPr>
        <w:t>份，其中正本</w:t>
      </w:r>
      <w:r>
        <w:rPr>
          <w:rFonts w:eastAsia="仿宋"/>
          <w:highlight w:val="none"/>
          <w:u w:val="single"/>
        </w:rPr>
        <w:t>3</w:t>
      </w:r>
      <w:r>
        <w:rPr>
          <w:rFonts w:eastAsia="仿宋"/>
          <w:highlight w:val="none"/>
        </w:rPr>
        <w:t>份，甲方执</w:t>
      </w:r>
      <w:r>
        <w:rPr>
          <w:rFonts w:eastAsia="仿宋"/>
          <w:highlight w:val="none"/>
          <w:u w:val="single"/>
        </w:rPr>
        <w:t>1</w:t>
      </w:r>
      <w:r>
        <w:rPr>
          <w:rFonts w:eastAsia="仿宋"/>
          <w:highlight w:val="none"/>
        </w:rPr>
        <w:t>份，乙方执</w:t>
      </w:r>
      <w:r>
        <w:rPr>
          <w:rFonts w:eastAsia="仿宋"/>
          <w:highlight w:val="none"/>
          <w:u w:val="single"/>
        </w:rPr>
        <w:t>2</w:t>
      </w:r>
      <w:r>
        <w:rPr>
          <w:rFonts w:eastAsia="仿宋"/>
          <w:highlight w:val="none"/>
        </w:rPr>
        <w:t>份；副本</w:t>
      </w:r>
      <w:r>
        <w:rPr>
          <w:rFonts w:eastAsia="仿宋"/>
          <w:highlight w:val="none"/>
          <w:u w:val="single"/>
        </w:rPr>
        <w:t>6</w:t>
      </w:r>
      <w:r>
        <w:rPr>
          <w:rFonts w:eastAsia="仿宋"/>
          <w:highlight w:val="none"/>
        </w:rPr>
        <w:t>份，甲方执</w:t>
      </w:r>
      <w:r>
        <w:rPr>
          <w:rFonts w:eastAsia="仿宋"/>
          <w:highlight w:val="none"/>
          <w:u w:val="single"/>
        </w:rPr>
        <w:t>4</w:t>
      </w:r>
      <w:r>
        <w:rPr>
          <w:rFonts w:eastAsia="仿宋"/>
          <w:highlight w:val="none"/>
        </w:rPr>
        <w:t>份，乙方执</w:t>
      </w:r>
      <w:r>
        <w:rPr>
          <w:rFonts w:eastAsia="仿宋"/>
          <w:highlight w:val="none"/>
          <w:u w:val="single"/>
        </w:rPr>
        <w:t>2</w:t>
      </w:r>
      <w:r>
        <w:rPr>
          <w:rFonts w:eastAsia="仿宋"/>
          <w:highlight w:val="none"/>
        </w:rPr>
        <w:t>份；</w:t>
      </w:r>
      <w:r>
        <w:rPr>
          <w:rFonts w:hint="eastAsia" w:eastAsia="仿宋"/>
          <w:highlight w:val="none"/>
        </w:rPr>
        <w:t>正本和副本</w:t>
      </w:r>
      <w:r>
        <w:rPr>
          <w:rFonts w:eastAsia="仿宋"/>
          <w:highlight w:val="none"/>
        </w:rPr>
        <w:t>具有同等的法律效力</w:t>
      </w:r>
      <w:r>
        <w:rPr>
          <w:rFonts w:hint="eastAsia" w:eastAsia="仿宋"/>
          <w:highlight w:val="none"/>
        </w:rPr>
        <w:t>，如有互相矛盾之处，以正本为准。</w:t>
      </w:r>
    </w:p>
    <w:p w14:paraId="681D6EC2">
      <w:pPr>
        <w:spacing w:line="360" w:lineRule="auto"/>
        <w:rPr>
          <w:rFonts w:eastAsia="仿宋"/>
          <w:highlight w:val="none"/>
        </w:rPr>
      </w:pPr>
      <w:r>
        <w:rPr>
          <w:rFonts w:hint="eastAsia" w:eastAsia="仿宋"/>
          <w:highlight w:val="none"/>
        </w:rPr>
        <w:t>1</w:t>
      </w:r>
      <w:r>
        <w:rPr>
          <w:rFonts w:hint="eastAsia" w:eastAsia="仿宋"/>
          <w:highlight w:val="none"/>
          <w:lang w:val="en-US" w:eastAsia="zh-CN"/>
        </w:rPr>
        <w:t>4</w:t>
      </w:r>
      <w:r>
        <w:rPr>
          <w:rFonts w:hint="eastAsia" w:eastAsia="仿宋"/>
          <w:highlight w:val="none"/>
        </w:rPr>
        <w:t>.3</w:t>
      </w:r>
      <w:r>
        <w:rPr>
          <w:rFonts w:hint="eastAsia" w:eastAsia="仿宋"/>
          <w:highlight w:val="none"/>
          <w:lang w:val="en-US" w:eastAsia="zh-CN"/>
        </w:rPr>
        <w:t xml:space="preserve"> </w:t>
      </w:r>
      <w:r>
        <w:rPr>
          <w:rFonts w:hint="eastAsia" w:eastAsia="仿宋"/>
          <w:highlight w:val="none"/>
        </w:rPr>
        <w:t>本合同的附件内容作为合同的组成部分，与本合同具有同等法律效力。</w:t>
      </w:r>
    </w:p>
    <w:p w14:paraId="3B7996CC">
      <w:pPr>
        <w:spacing w:line="360" w:lineRule="auto"/>
        <w:rPr>
          <w:rFonts w:eastAsia="仿宋"/>
          <w:b/>
          <w:bCs/>
          <w:highlight w:val="none"/>
        </w:rPr>
      </w:pPr>
      <w:r>
        <w:rPr>
          <w:rFonts w:hint="eastAsia" w:eastAsia="仿宋"/>
          <w:b/>
          <w:bCs/>
          <w:highlight w:val="none"/>
        </w:rPr>
        <w:t>十</w:t>
      </w:r>
      <w:r>
        <w:rPr>
          <w:rFonts w:hint="eastAsia" w:eastAsia="仿宋"/>
          <w:b/>
          <w:bCs/>
          <w:highlight w:val="none"/>
          <w:lang w:val="en-US" w:eastAsia="zh-CN"/>
        </w:rPr>
        <w:t>五</w:t>
      </w:r>
      <w:r>
        <w:rPr>
          <w:rFonts w:hint="eastAsia" w:eastAsia="仿宋"/>
          <w:b/>
          <w:bCs/>
          <w:highlight w:val="none"/>
        </w:rPr>
        <w:t>、合同附件</w:t>
      </w:r>
    </w:p>
    <w:p w14:paraId="3AB7E9DF">
      <w:pPr>
        <w:spacing w:line="360" w:lineRule="auto"/>
        <w:ind w:firstLine="420" w:firstLineChars="200"/>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rPr>
        <w:t>附件一：</w:t>
      </w:r>
      <w:r>
        <w:rPr>
          <w:rFonts w:hint="eastAsia" w:ascii="仿宋" w:hAnsi="仿宋" w:eastAsia="仿宋" w:cs="仿宋"/>
          <w:sz w:val="21"/>
          <w:szCs w:val="21"/>
          <w:highlight w:val="none"/>
          <w:lang w:val="en-US" w:eastAsia="zh-CN"/>
        </w:rPr>
        <w:t>用户</w:t>
      </w:r>
      <w:r>
        <w:rPr>
          <w:rFonts w:hint="eastAsia" w:ascii="仿宋" w:hAnsi="仿宋" w:eastAsia="仿宋" w:cs="仿宋"/>
          <w:sz w:val="21"/>
          <w:szCs w:val="21"/>
          <w:highlight w:val="none"/>
        </w:rPr>
        <w:t>需求书</w:t>
      </w:r>
    </w:p>
    <w:p w14:paraId="1E055B59">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附件二：价格明细表</w:t>
      </w:r>
    </w:p>
    <w:p w14:paraId="3FB2AA6E">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附件三：项目组成员</w:t>
      </w:r>
    </w:p>
    <w:p w14:paraId="0CCAA860">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附件四：拟投入设备一览表</w:t>
      </w:r>
    </w:p>
    <w:p w14:paraId="7DB29068">
      <w:pPr>
        <w:spacing w:line="360" w:lineRule="auto"/>
        <w:ind w:firstLine="420" w:firstLineChars="200"/>
        <w:rPr>
          <w:rFonts w:hint="eastAsia" w:ascii="仿宋" w:hAnsi="仿宋" w:eastAsia="仿宋" w:cs="仿宋"/>
          <w:sz w:val="21"/>
          <w:szCs w:val="21"/>
          <w:highlight w:val="none"/>
        </w:rPr>
      </w:pPr>
      <w:r>
        <w:rPr>
          <w:rFonts w:hint="eastAsia" w:ascii="仿宋" w:hAnsi="仿宋" w:eastAsia="仿宋" w:cs="仿宋"/>
          <w:sz w:val="21"/>
          <w:szCs w:val="21"/>
          <w:highlight w:val="none"/>
        </w:rPr>
        <w:t>附件五：乙方技术方案及承诺（</w:t>
      </w:r>
      <w:r>
        <w:rPr>
          <w:rFonts w:hint="eastAsia" w:ascii="仿宋" w:hAnsi="仿宋" w:eastAsia="仿宋" w:cs="仿宋"/>
          <w:sz w:val="21"/>
          <w:szCs w:val="21"/>
          <w:highlight w:val="none"/>
          <w:lang w:val="en-US" w:eastAsia="zh-CN"/>
        </w:rPr>
        <w:t>或</w:t>
      </w:r>
      <w:r>
        <w:rPr>
          <w:rFonts w:hint="eastAsia" w:ascii="仿宋" w:hAnsi="仿宋" w:eastAsia="仿宋" w:cs="仿宋"/>
          <w:sz w:val="21"/>
          <w:szCs w:val="21"/>
          <w:highlight w:val="none"/>
        </w:rPr>
        <w:t>授权书）</w:t>
      </w:r>
    </w:p>
    <w:p w14:paraId="74EC129F">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附件六：法定代表人授权书及法定代表人身份证复印件</w:t>
      </w:r>
    </w:p>
    <w:p w14:paraId="41E59E0E">
      <w:pPr>
        <w:spacing w:line="360" w:lineRule="auto"/>
        <w:ind w:firstLine="420" w:firstLineChars="200"/>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附件七：履约保证金收据/履约保函复印件</w:t>
      </w:r>
    </w:p>
    <w:p w14:paraId="29873A26">
      <w:pPr>
        <w:spacing w:line="360" w:lineRule="auto"/>
        <w:ind w:firstLine="420" w:firstLineChars="200"/>
        <w:rPr>
          <w:highlight w:val="none"/>
        </w:rPr>
      </w:pPr>
      <w:r>
        <w:rPr>
          <w:rFonts w:hint="eastAsia" w:ascii="仿宋" w:hAnsi="仿宋" w:eastAsia="仿宋" w:cs="仿宋"/>
          <w:sz w:val="21"/>
          <w:szCs w:val="21"/>
          <w:highlight w:val="none"/>
          <w:lang w:val="en-US" w:eastAsia="zh-CN"/>
        </w:rPr>
        <w:t>附件八：中标通知书/成交通知书复印件</w:t>
      </w:r>
    </w:p>
    <w:p w14:paraId="3DE23829">
      <w:pPr>
        <w:rPr>
          <w:highlight w:val="none"/>
        </w:rPr>
      </w:pPr>
    </w:p>
    <w:p w14:paraId="1BFC7788">
      <w:pPr>
        <w:rPr>
          <w:rFonts w:hint="eastAsia" w:hAnsi="宋体"/>
          <w:b/>
          <w:sz w:val="24"/>
          <w:szCs w:val="24"/>
          <w:highlight w:val="none"/>
        </w:rPr>
      </w:pPr>
    </w:p>
    <w:p w14:paraId="4D86F8F5">
      <w:pPr>
        <w:pStyle w:val="13"/>
        <w:spacing w:line="360" w:lineRule="exact"/>
        <w:jc w:val="center"/>
        <w:rPr>
          <w:rFonts w:hAnsi="宋体"/>
          <w:b/>
          <w:sz w:val="24"/>
          <w:szCs w:val="24"/>
          <w:highlight w:val="none"/>
        </w:rPr>
      </w:pPr>
      <w:r>
        <w:rPr>
          <w:rFonts w:hint="eastAsia" w:hAnsi="宋体"/>
          <w:b/>
          <w:sz w:val="24"/>
          <w:szCs w:val="24"/>
          <w:highlight w:val="none"/>
        </w:rPr>
        <w:t>（此页无正文，为合同签署页）</w:t>
      </w:r>
    </w:p>
    <w:p w14:paraId="61A8A274">
      <w:pPr>
        <w:pStyle w:val="13"/>
        <w:jc w:val="left"/>
        <w:rPr>
          <w:rFonts w:hAnsi="宋体"/>
          <w:b/>
          <w:sz w:val="24"/>
          <w:szCs w:val="24"/>
          <w:highlight w:val="none"/>
        </w:rPr>
      </w:pPr>
    </w:p>
    <w:p w14:paraId="382424A2">
      <w:pPr>
        <w:pStyle w:val="13"/>
        <w:jc w:val="left"/>
        <w:rPr>
          <w:rFonts w:hAnsi="宋体"/>
          <w:b/>
          <w:sz w:val="24"/>
          <w:szCs w:val="24"/>
          <w:highlight w:val="none"/>
        </w:rPr>
      </w:pPr>
      <w:r>
        <w:rPr>
          <w:b/>
          <w:highlight w:val="none"/>
        </w:rPr>
        <mc:AlternateContent>
          <mc:Choice Requires="wps">
            <w:drawing>
              <wp:anchor distT="0" distB="0" distL="114300" distR="114300" simplePos="0" relativeHeight="251660288"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8" name="文本框 8"/>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0288;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UI0ylyQEAAIYDAAAOAAAAAAAAAAEAIAAAACcBAABk&#10;cnMvZTJvRG9jLnhtbFBLBQYAAAAABgAGAFkBAABiBQAAAAA=&#10;">
                <v:fill on="t" focussize="0,0"/>
                <v:stroke on="f"/>
                <v:imagedata o:title=""/>
                <o:lock v:ext="edit" aspectratio="f"/>
                <v:textbox>
                  <w:txbxContent>
                    <w:p w14:paraId="711626A6">
                      <w:pPr>
                        <w:ind w:left="14" w:hanging="14" w:hangingChars="6"/>
                        <w:rPr>
                          <w:rFonts w:ascii="宋体" w:hAnsi="宋体"/>
                          <w:b/>
                          <w:sz w:val="24"/>
                        </w:rPr>
                      </w:pPr>
                      <w:r>
                        <w:rPr>
                          <w:rFonts w:hint="eastAsia" w:ascii="宋体" w:hAnsi="宋体"/>
                          <w:b/>
                          <w:sz w:val="24"/>
                        </w:rPr>
                        <w:t>乙方：</w:t>
                      </w:r>
                      <w:r>
                        <w:rPr>
                          <w:rFonts w:ascii="宋体" w:hAnsi="宋体"/>
                          <w:b/>
                          <w:sz w:val="24"/>
                        </w:rPr>
                        <w:t>（盖章）</w:t>
                      </w:r>
                    </w:p>
                    <w:p w14:paraId="43CC8E57">
                      <w:pPr>
                        <w:pStyle w:val="11"/>
                        <w:tabs>
                          <w:tab w:val="left" w:pos="180"/>
                        </w:tabs>
                        <w:rPr>
                          <w:rFonts w:hAnsi="宋体"/>
                          <w:b/>
                          <w:color w:val="auto"/>
                          <w:kern w:val="2"/>
                          <w:sz w:val="24"/>
                          <w:szCs w:val="24"/>
                        </w:rPr>
                      </w:pPr>
                    </w:p>
                    <w:p w14:paraId="5704F75C">
                      <w:pPr>
                        <w:pStyle w:val="11"/>
                        <w:tabs>
                          <w:tab w:val="left" w:pos="180"/>
                        </w:tabs>
                        <w:rPr>
                          <w:rFonts w:hAnsi="宋体"/>
                          <w:b/>
                          <w:color w:val="auto"/>
                          <w:kern w:val="2"/>
                          <w:sz w:val="24"/>
                          <w:szCs w:val="24"/>
                        </w:rPr>
                      </w:pPr>
                    </w:p>
                    <w:p w14:paraId="4765B22F">
                      <w:pPr>
                        <w:pStyle w:val="11"/>
                        <w:tabs>
                          <w:tab w:val="left" w:pos="180"/>
                        </w:tabs>
                        <w:rPr>
                          <w:rFonts w:hAnsi="宋体"/>
                          <w:b/>
                          <w:color w:val="auto"/>
                          <w:kern w:val="2"/>
                          <w:sz w:val="24"/>
                          <w:szCs w:val="24"/>
                        </w:rPr>
                      </w:pPr>
                    </w:p>
                    <w:p w14:paraId="02AD0269">
                      <w:pPr>
                        <w:pStyle w:val="11"/>
                        <w:tabs>
                          <w:tab w:val="left" w:pos="180"/>
                        </w:tabs>
                        <w:rPr>
                          <w:rFonts w:hAnsi="宋体"/>
                          <w:b/>
                          <w:color w:val="auto"/>
                          <w:kern w:val="2"/>
                          <w:sz w:val="24"/>
                          <w:szCs w:val="24"/>
                        </w:rPr>
                      </w:pPr>
                      <w:r>
                        <w:rPr>
                          <w:rFonts w:hint="eastAsia" w:hAnsi="宋体"/>
                          <w:b/>
                          <w:color w:val="auto"/>
                          <w:kern w:val="2"/>
                          <w:sz w:val="24"/>
                          <w:szCs w:val="24"/>
                        </w:rPr>
                        <w:t>地址：</w:t>
                      </w:r>
                    </w:p>
                    <w:p w14:paraId="68EE164F">
                      <w:pPr>
                        <w:pStyle w:val="11"/>
                        <w:tabs>
                          <w:tab w:val="left" w:pos="180"/>
                        </w:tabs>
                        <w:rPr>
                          <w:rFonts w:hAnsi="宋体"/>
                          <w:b/>
                          <w:color w:val="auto"/>
                          <w:kern w:val="2"/>
                          <w:sz w:val="24"/>
                          <w:szCs w:val="24"/>
                        </w:rPr>
                      </w:pPr>
                    </w:p>
                    <w:p w14:paraId="7B673EF5">
                      <w:pPr>
                        <w:pStyle w:val="11"/>
                        <w:tabs>
                          <w:tab w:val="left" w:pos="180"/>
                        </w:tabs>
                        <w:rPr>
                          <w:rFonts w:hAnsi="宋体"/>
                          <w:b/>
                          <w:color w:val="auto"/>
                          <w:kern w:val="2"/>
                          <w:sz w:val="24"/>
                          <w:szCs w:val="24"/>
                        </w:rPr>
                      </w:pPr>
                      <w:r>
                        <w:rPr>
                          <w:rFonts w:hint="eastAsia" w:hAnsi="宋体"/>
                          <w:b/>
                          <w:color w:val="auto"/>
                          <w:kern w:val="2"/>
                          <w:sz w:val="24"/>
                          <w:szCs w:val="24"/>
                        </w:rPr>
                        <w:t>法人（或授权）代表：</w:t>
                      </w:r>
                    </w:p>
                    <w:p w14:paraId="2EF24AB5">
                      <w:pPr>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06681A1A">
                      <w:pPr>
                        <w:rPr>
                          <w:rFonts w:ascii="宋体" w:hAnsi="宋体"/>
                          <w:b/>
                          <w:sz w:val="24"/>
                          <w:szCs w:val="20"/>
                        </w:rPr>
                      </w:pPr>
                    </w:p>
                    <w:p w14:paraId="0A5647DD">
                      <w:pPr>
                        <w:rPr>
                          <w:rFonts w:ascii="宋体" w:hAnsi="宋体"/>
                          <w:b/>
                          <w:sz w:val="24"/>
                          <w:szCs w:val="20"/>
                        </w:rPr>
                      </w:pPr>
                    </w:p>
                    <w:p w14:paraId="45ED59E1">
                      <w:r>
                        <w:rPr>
                          <w:rFonts w:hint="eastAsia" w:ascii="宋体" w:hAnsi="宋体"/>
                          <w:b/>
                          <w:sz w:val="24"/>
                          <w:szCs w:val="20"/>
                        </w:rPr>
                        <w:t>日期:      年   月   日</w:t>
                      </w:r>
                    </w:p>
                  </w:txbxContent>
                </v:textbox>
              </v:shape>
            </w:pict>
          </mc:Fallback>
        </mc:AlternateContent>
      </w:r>
      <w:r>
        <w:rPr>
          <w:b/>
          <w:highlight w:val="none"/>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5" name="文本框 5"/>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0A854F5A"/>
                        </w:txbxContent>
                      </wps:txbx>
                      <wps:bodyPr upright="1"/>
                    </wps:wsp>
                  </a:graphicData>
                </a:graphic>
              </wp:anchor>
            </w:drawing>
          </mc:Choice>
          <mc:Fallback>
            <w:pict>
              <v:shape id="_x0000_s1026" o:spid="_x0000_s1026" o:spt="202" type="#_x0000_t202" style="position:absolute;left:0pt;margin-left:0pt;margin-top:0.05pt;height:313pt;width:225pt;z-index:251659264;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AuVJpLxQEAAIYDAAAOAAAAAAAAAAEAIAAAACIBAABkcnMvZTJvRG9j&#10;LnhtbFBLBQYAAAAABgAGAFkBAABZBQAAAAA=&#10;">
                <v:fill on="t" focussize="0,0"/>
                <v:stroke on="f"/>
                <v:imagedata o:title=""/>
                <o:lock v:ext="edit" aspectratio="f"/>
                <v:textbox>
                  <w:txbxContent>
                    <w:p w14:paraId="0A854F5A"/>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12" name="文本框 12"/>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P4Mni0wAAAAUBAAAPAAAAAAAAAAEAIAAAACIAAABkcnMvZG93bnJldi54&#10;bWxQSwECFAAUAAAACACHTuJAVoF4rMYBAACIAwAADgAAAAAAAAABACAAAAAiAQAAZHJzL2Uyb0Rv&#10;Yy54bWxQSwUGAAAAAAYABgBZAQAAWgUAAAAA&#10;">
                <v:fill on="t" focussize="0,0"/>
                <v:stroke on="f"/>
                <v:imagedata o:title=""/>
                <o:lock v:ext="edit" aspectratio="f"/>
                <v:textbox>
                  <w:txbxContent>
                    <w:p w14:paraId="71EB1585">
                      <w:pPr>
                        <w:spacing w:line="360" w:lineRule="auto"/>
                        <w:rPr>
                          <w:rFonts w:hint="eastAsia" w:ascii="宋体" w:hAnsi="宋体" w:eastAsia="宋体"/>
                          <w:b/>
                          <w:sz w:val="24"/>
                          <w:lang w:eastAsia="zh-CN"/>
                        </w:rPr>
                      </w:pPr>
                      <w:r>
                        <w:rPr>
                          <w:rFonts w:hint="eastAsia" w:ascii="宋体" w:hAnsi="宋体"/>
                          <w:b/>
                          <w:sz w:val="24"/>
                        </w:rPr>
                        <w:t>甲</w:t>
                      </w:r>
                      <w:r>
                        <w:rPr>
                          <w:rFonts w:ascii="宋体" w:hAnsi="宋体"/>
                          <w:b/>
                          <w:sz w:val="24"/>
                        </w:rPr>
                        <w:t>方：</w:t>
                      </w:r>
                    </w:p>
                    <w:p w14:paraId="1648B6BF">
                      <w:pPr>
                        <w:spacing w:line="360" w:lineRule="auto"/>
                        <w:ind w:left="14" w:hanging="14" w:hangingChars="6"/>
                        <w:rPr>
                          <w:rFonts w:ascii="宋体" w:hAnsi="宋体"/>
                          <w:b/>
                          <w:sz w:val="24"/>
                        </w:rPr>
                      </w:pPr>
                      <w:r>
                        <w:rPr>
                          <w:rFonts w:ascii="宋体" w:hAnsi="宋体"/>
                          <w:b/>
                          <w:sz w:val="24"/>
                        </w:rPr>
                        <w:t>（盖章）</w:t>
                      </w:r>
                    </w:p>
                    <w:p w14:paraId="58562E31">
                      <w:pPr>
                        <w:spacing w:line="360" w:lineRule="auto"/>
                        <w:ind w:left="14" w:hanging="14" w:hangingChars="6"/>
                        <w:rPr>
                          <w:rFonts w:ascii="宋体" w:hAnsi="宋体"/>
                          <w:b/>
                          <w:sz w:val="24"/>
                        </w:rPr>
                      </w:pPr>
                    </w:p>
                    <w:p w14:paraId="33646B62">
                      <w:pPr>
                        <w:spacing w:line="360" w:lineRule="auto"/>
                        <w:ind w:left="14" w:hanging="14" w:hangingChars="6"/>
                        <w:rPr>
                          <w:rFonts w:ascii="宋体" w:hAnsi="宋体"/>
                          <w:b/>
                          <w:sz w:val="24"/>
                        </w:rPr>
                      </w:pPr>
                      <w:r>
                        <w:rPr>
                          <w:rFonts w:ascii="宋体" w:hAnsi="宋体"/>
                          <w:b/>
                          <w:sz w:val="24"/>
                        </w:rPr>
                        <w:t>地址：</w:t>
                      </w:r>
                    </w:p>
                    <w:p w14:paraId="20F3CFD0">
                      <w:pPr>
                        <w:spacing w:line="360" w:lineRule="auto"/>
                        <w:ind w:left="14" w:hanging="14" w:hangingChars="6"/>
                        <w:rPr>
                          <w:rFonts w:ascii="宋体" w:hAnsi="宋体"/>
                          <w:b/>
                          <w:sz w:val="24"/>
                        </w:rPr>
                      </w:pPr>
                    </w:p>
                    <w:p w14:paraId="6FE7A7D8">
                      <w:pPr>
                        <w:spacing w:line="360" w:lineRule="auto"/>
                        <w:ind w:left="14" w:hanging="14" w:hangingChars="6"/>
                        <w:rPr>
                          <w:rFonts w:ascii="宋体" w:hAnsi="宋体"/>
                          <w:b/>
                          <w:sz w:val="24"/>
                        </w:rPr>
                      </w:pPr>
                      <w:r>
                        <w:rPr>
                          <w:rFonts w:ascii="宋体" w:hAnsi="宋体"/>
                          <w:b/>
                          <w:sz w:val="24"/>
                        </w:rPr>
                        <w:t>法人（或授权）代表：</w:t>
                      </w:r>
                    </w:p>
                    <w:p w14:paraId="5E44EF3F">
                      <w:pPr>
                        <w:spacing w:line="360" w:lineRule="auto"/>
                        <w:ind w:left="14" w:hanging="14" w:hangingChars="6"/>
                        <w:rPr>
                          <w:rFonts w:ascii="宋体" w:hAnsi="宋体"/>
                          <w:b/>
                          <w:sz w:val="24"/>
                        </w:rPr>
                      </w:pPr>
                      <w:r>
                        <w:rPr>
                          <w:rFonts w:ascii="宋体" w:hAnsi="宋体"/>
                          <w:b/>
                          <w:sz w:val="24"/>
                        </w:rPr>
                        <w:t>（签</w:t>
                      </w:r>
                      <w:r>
                        <w:rPr>
                          <w:rFonts w:hint="eastAsia" w:ascii="宋体" w:hAnsi="宋体"/>
                          <w:b/>
                          <w:sz w:val="24"/>
                        </w:rPr>
                        <w:t>名</w:t>
                      </w:r>
                      <w:r>
                        <w:rPr>
                          <w:rFonts w:ascii="宋体" w:hAnsi="宋体"/>
                          <w:b/>
                          <w:sz w:val="24"/>
                        </w:rPr>
                        <w:t>）</w:t>
                      </w:r>
                    </w:p>
                    <w:p w14:paraId="6C51E269">
                      <w:pPr>
                        <w:spacing w:line="360" w:lineRule="auto"/>
                        <w:ind w:left="14" w:hanging="14" w:hangingChars="6"/>
                        <w:rPr>
                          <w:rFonts w:ascii="宋体" w:hAnsi="宋体"/>
                          <w:b/>
                          <w:sz w:val="24"/>
                        </w:rPr>
                      </w:pPr>
                    </w:p>
                    <w:p w14:paraId="3AA49C60">
                      <w:pPr>
                        <w:spacing w:line="360" w:lineRule="auto"/>
                        <w:ind w:left="14" w:hanging="14" w:hangingChars="6"/>
                        <w:rPr>
                          <w:rFonts w:ascii="宋体" w:hAnsi="宋体"/>
                          <w:b/>
                          <w:sz w:val="24"/>
                        </w:rPr>
                      </w:pPr>
                      <w:r>
                        <w:rPr>
                          <w:rFonts w:ascii="宋体" w:hAnsi="宋体"/>
                          <w:b/>
                          <w:sz w:val="24"/>
                        </w:rPr>
                        <w:t>日期:      年   月   日</w:t>
                      </w:r>
                    </w:p>
                  </w:txbxContent>
                </v:textbox>
              </v:shape>
            </w:pict>
          </mc:Fallback>
        </mc:AlternateContent>
      </w:r>
    </w:p>
    <w:p w14:paraId="1DC2D81A">
      <w:pPr>
        <w:pStyle w:val="13"/>
        <w:jc w:val="left"/>
        <w:rPr>
          <w:rFonts w:hAnsi="宋体"/>
          <w:b/>
          <w:sz w:val="24"/>
          <w:szCs w:val="24"/>
          <w:highlight w:val="none"/>
        </w:rPr>
      </w:pPr>
    </w:p>
    <w:p w14:paraId="5A774302">
      <w:pPr>
        <w:pStyle w:val="13"/>
        <w:jc w:val="left"/>
        <w:rPr>
          <w:rFonts w:hAnsi="宋体"/>
          <w:b/>
          <w:sz w:val="24"/>
          <w:szCs w:val="24"/>
          <w:highlight w:val="none"/>
        </w:rPr>
      </w:pPr>
    </w:p>
    <w:p w14:paraId="7A1E1CCA">
      <w:pPr>
        <w:pStyle w:val="13"/>
        <w:spacing w:line="360" w:lineRule="auto"/>
        <w:jc w:val="left"/>
        <w:rPr>
          <w:rFonts w:hAnsi="宋体"/>
          <w:b/>
          <w:sz w:val="24"/>
          <w:szCs w:val="24"/>
          <w:highlight w:val="none"/>
        </w:rPr>
      </w:pPr>
    </w:p>
    <w:p w14:paraId="7B1903DC">
      <w:pPr>
        <w:pStyle w:val="13"/>
        <w:spacing w:line="360" w:lineRule="auto"/>
        <w:jc w:val="left"/>
        <w:rPr>
          <w:rFonts w:hAnsi="宋体"/>
          <w:b/>
          <w:sz w:val="24"/>
          <w:szCs w:val="24"/>
          <w:highlight w:val="none"/>
        </w:rPr>
      </w:pPr>
    </w:p>
    <w:p w14:paraId="30F2110F">
      <w:pPr>
        <w:pStyle w:val="13"/>
        <w:spacing w:line="360" w:lineRule="auto"/>
        <w:rPr>
          <w:rFonts w:hAnsi="宋体" w:cs="Arial"/>
          <w:sz w:val="24"/>
          <w:highlight w:val="none"/>
        </w:rPr>
      </w:pPr>
    </w:p>
    <w:p w14:paraId="04C0108E">
      <w:pPr>
        <w:pStyle w:val="13"/>
        <w:spacing w:line="360" w:lineRule="auto"/>
        <w:rPr>
          <w:highlight w:val="none"/>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3EA9E6F0">
      <w:pPr>
        <w:rPr>
          <w:rFonts w:hint="eastAsia" w:ascii="宋体" w:hAnsi="宋体" w:eastAsia="宋体" w:cs="宋体"/>
          <w:color w:val="auto"/>
          <w:kern w:val="2"/>
          <w:sz w:val="28"/>
          <w:szCs w:val="28"/>
          <w:highlight w:val="none"/>
          <w:u w:color="auto"/>
          <w:lang w:val="en-US" w:eastAsia="zh-CN" w:bidi="ar"/>
        </w:rPr>
      </w:pPr>
    </w:p>
    <w:p w14:paraId="6DBDE40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559917C0">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37C94678">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p>
    <w:p w14:paraId="4BA9F3DE">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353" w:name="_Toc21573"/>
      <w:bookmarkEnd w:id="353"/>
    </w:p>
    <w:p w14:paraId="246666FC">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354"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354"/>
    </w:p>
    <w:p w14:paraId="6EECEAA5">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355" w:name="_Toc19336_WPSOffice_Level2"/>
      <w:bookmarkEnd w:id="355"/>
      <w:r>
        <w:rPr>
          <w:rFonts w:hint="eastAsia" w:ascii="黑体" w:hAnsi="宋体" w:eastAsia="黑体" w:cs="黑体"/>
          <w:color w:val="000000"/>
          <w:kern w:val="0"/>
          <w:sz w:val="44"/>
          <w:szCs w:val="44"/>
          <w:highlight w:val="none"/>
          <w:u w:color="000000"/>
          <w:lang w:val="en-US" w:eastAsia="zh-CN" w:bidi="ar"/>
        </w:rPr>
        <w:t xml:space="preserve"> </w:t>
      </w:r>
    </w:p>
    <w:p w14:paraId="0E77BCFD">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356" w:name="_Toc7180_WPSOffice_Level3"/>
      <w:bookmarkEnd w:id="356"/>
      <w:r>
        <w:rPr>
          <w:rFonts w:hint="eastAsia" w:ascii="宋体" w:hAnsi="宋体" w:eastAsia="宋体" w:cs="宋体"/>
          <w:color w:val="000000"/>
          <w:kern w:val="0"/>
          <w:sz w:val="30"/>
          <w:szCs w:val="30"/>
          <w:highlight w:val="none"/>
          <w:u w:color="000000"/>
          <w:lang w:val="en-US" w:eastAsia="zh-CN" w:bidi="ar"/>
        </w:rPr>
        <w:t>项目名称：</w:t>
      </w:r>
    </w:p>
    <w:p w14:paraId="62BD026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EB12CC">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69E1BC79">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68E6B8DF">
      <w:pPr>
        <w:rPr>
          <w:sz w:val="28"/>
          <w:szCs w:val="28"/>
          <w:highlight w:val="none"/>
          <w:lang w:val="en-US"/>
        </w:rPr>
      </w:pPr>
    </w:p>
    <w:p w14:paraId="477EA443">
      <w:pPr>
        <w:rPr>
          <w:sz w:val="28"/>
          <w:szCs w:val="28"/>
          <w:highlight w:val="none"/>
          <w:lang w:val="en-US"/>
        </w:rPr>
      </w:pPr>
    </w:p>
    <w:p w14:paraId="76134514">
      <w:pPr>
        <w:pStyle w:val="18"/>
        <w:widowControl/>
        <w:rPr>
          <w:highlight w:val="none"/>
          <w:lang w:val="en-US"/>
        </w:rPr>
      </w:pPr>
      <w:r>
        <w:rPr>
          <w:highlight w:val="none"/>
          <w:lang w:val="en-US"/>
        </w:rPr>
        <w:t xml:space="preserve"> </w:t>
      </w:r>
    </w:p>
    <w:p w14:paraId="5477395E">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0770C057">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1D8010E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705AFAD3">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6D24C94F">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6EC873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2511EEA3">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357" w:name="_Toc14710_WPSOffice_Level1"/>
      <w:bookmarkEnd w:id="357"/>
      <w:r>
        <w:rPr>
          <w:rFonts w:hint="eastAsia" w:ascii="宋体" w:hAnsi="宋体" w:eastAsia="宋体" w:cs="宋体"/>
          <w:b/>
          <w:bCs w:val="0"/>
          <w:color w:val="000000"/>
          <w:kern w:val="0"/>
          <w:sz w:val="44"/>
          <w:szCs w:val="44"/>
          <w:highlight w:val="none"/>
          <w:u w:color="000000"/>
          <w:lang w:val="en-US" w:eastAsia="zh-CN" w:bidi="ar"/>
        </w:rPr>
        <w:t>目   录</w:t>
      </w:r>
    </w:p>
    <w:p w14:paraId="161FF9A7">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32B2548">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66AE26FA">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29AADE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73951022">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3）</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5B87188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（4）</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1D3EAF7">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（5）开标一览表（格式见附件）；</w:t>
      </w:r>
    </w:p>
    <w:p w14:paraId="3EAF57FF">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（6）投标函（格式见附件）；</w:t>
      </w:r>
    </w:p>
    <w:p w14:paraId="42951A5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7）</w:t>
      </w:r>
      <w:r>
        <w:rPr>
          <w:rFonts w:hint="eastAsia" w:ascii="宋体" w:hAnsi="Times New Roman" w:eastAsia="宋体" w:cs="Times New Roman"/>
          <w:color w:val="auto"/>
          <w:szCs w:val="21"/>
          <w:highlight w:val="none"/>
        </w:rPr>
        <w:t>投标人认为需要提供的其他证明材料。</w:t>
      </w:r>
    </w:p>
    <w:p w14:paraId="02B3DBDA">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762840B">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65587F2">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3E809E94">
      <w:pPr>
        <w:pStyle w:val="38"/>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67B2947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69A2B6F7">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6DB79AD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0022CFF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5A8A98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23BBAC49">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4AD26A3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1E5E1AB8">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6F039E07">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10A76931">
      <w:pPr>
        <w:keepNext w:val="0"/>
        <w:keepLines w:val="0"/>
        <w:pageBreakBefore w:val="0"/>
        <w:widowControl w:val="0"/>
        <w:kinsoku/>
        <w:wordWrap/>
        <w:overflowPunct/>
        <w:topLinePunct w:val="0"/>
        <w:autoSpaceDE/>
        <w:autoSpaceDN/>
        <w:bidi w:val="0"/>
        <w:adjustRightInd/>
        <w:snapToGrid/>
        <w:spacing w:before="312" w:beforeLines="100" w:after="312" w:afterLines="100" w:line="400" w:lineRule="exact"/>
        <w:ind w:firstLine="3654" w:firstLineChars="1305"/>
        <w:textAlignment w:val="auto"/>
        <w:rPr>
          <w:rFonts w:hint="eastAsia" w:ascii="宋体"/>
          <w:color w:val="auto"/>
          <w:sz w:val="28"/>
          <w:szCs w:val="28"/>
          <w:highlight w:val="none"/>
        </w:rPr>
      </w:pPr>
      <w:r>
        <w:rPr>
          <w:rFonts w:hint="eastAsia" w:ascii="宋体"/>
          <w:color w:val="auto"/>
          <w:sz w:val="28"/>
          <w:szCs w:val="28"/>
          <w:highlight w:val="none"/>
        </w:rPr>
        <w:t>2.授权委托书</w:t>
      </w:r>
    </w:p>
    <w:p w14:paraId="0F754A1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3FB938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3B2CF9">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7F90624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0A935B70">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F6CD56">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7667E0E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7E111A4B">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7FBC2353">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57F72B99">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6015DCCD">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785505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71D34958">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6E3B59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170C226D">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3496123B">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4ACABA9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358" w:name="_Toc451384148"/>
      <w:bookmarkStart w:id="359" w:name="_Toc425084385"/>
      <w:r>
        <w:rPr>
          <w:rFonts w:hint="eastAsia" w:ascii="宋体" w:hAnsi="宋体"/>
          <w:color w:val="000000"/>
          <w:szCs w:val="21"/>
          <w:highlight w:val="none"/>
        </w:rPr>
        <w:t>一、将遵循公</w:t>
      </w:r>
      <w:bookmarkStart w:id="360" w:name="_Toc503196197"/>
      <w:bookmarkStart w:id="361" w:name="_Toc506107356"/>
      <w:bookmarkStart w:id="362" w:name="_Toc26598"/>
      <w:r>
        <w:rPr>
          <w:rFonts w:hint="eastAsia" w:ascii="宋体" w:hAnsi="宋体"/>
          <w:color w:val="000000"/>
          <w:szCs w:val="21"/>
          <w:highlight w:val="none"/>
        </w:rPr>
        <w:t>开、公正和诚实信用</w:t>
      </w:r>
      <w:bookmarkEnd w:id="360"/>
      <w:bookmarkEnd w:id="361"/>
      <w:r>
        <w:rPr>
          <w:rFonts w:hint="eastAsia" w:ascii="宋体" w:hAnsi="宋体"/>
          <w:color w:val="000000"/>
          <w:szCs w:val="21"/>
          <w:highlight w:val="none"/>
        </w:rPr>
        <w:t>的</w:t>
      </w:r>
      <w:bookmarkEnd w:id="362"/>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09C0E71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04D2923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591DA1B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0D29816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w:t>
      </w:r>
      <w:bookmarkStart w:id="363" w:name="OLE_LINK134"/>
      <w:bookmarkStart w:id="364" w:name="OLE_LINK133"/>
      <w:r>
        <w:rPr>
          <w:rFonts w:hint="eastAsia" w:ascii="宋体" w:hAnsi="宋体"/>
          <w:color w:val="000000"/>
          <w:szCs w:val="21"/>
          <w:highlight w:val="none"/>
        </w:rPr>
        <w:t>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拖欠农民工工资失信联合惩戒对象名单”的；④被列入“信用中国”网站“严重失信主体名单”的；⑤在“信用中国”网站上披露的仍在公示期的严重失信行为的</w:t>
      </w:r>
      <w:r>
        <w:rPr>
          <w:rFonts w:hint="eastAsia" w:ascii="宋体" w:hAnsi="宋体"/>
          <w:color w:val="000000"/>
          <w:szCs w:val="21"/>
          <w:highlight w:val="none"/>
          <w:lang w:eastAsia="zh-CN"/>
        </w:rPr>
        <w:t>；</w:t>
      </w:r>
      <w:r>
        <w:rPr>
          <w:rFonts w:hint="eastAsia" w:ascii="宋体" w:hAnsi="宋体"/>
          <w:color w:val="000000"/>
          <w:szCs w:val="21"/>
          <w:highlight w:val="none"/>
        </w:rPr>
        <w:t>⑥被列入国家企业信用信息公示系统网站“经营异常名录”或者“严重违法失信名单”的。⑦前三年有行贿犯罪行为的单位和个人</w:t>
      </w:r>
      <w:bookmarkEnd w:id="363"/>
      <w:bookmarkEnd w:id="364"/>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121038A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71751A0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3D57FD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5EA53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654BAEA8">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760D4728">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5F7E9732">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3B262F83">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02E3582A">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43CC5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729E5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000000"/>
          <w:sz w:val="24"/>
          <w:highlight w:val="none"/>
          <w:lang w:val="en-US" w:eastAsia="zh-CN"/>
        </w:rPr>
      </w:pPr>
      <w:r>
        <w:rPr>
          <w:rFonts w:hint="eastAsia" w:ascii="宋体" w:hAnsi="宋体"/>
          <w:color w:val="000000"/>
          <w:sz w:val="24"/>
          <w:highlight w:val="none"/>
          <w:lang w:val="en-US" w:eastAsia="zh-CN"/>
        </w:rPr>
        <w:t>本承诺声明：（投标人名称）对本招标文件所有要求完全响应，若有幸中标将严格按照以上承诺进行服务且提供不少于1年的质保期。若发现有偏离且不能按招标人要求调整的，招标人有权终止合同重新招标，我方承担因此产生的所有经济及工期责任。</w:t>
      </w:r>
    </w:p>
    <w:p w14:paraId="5692EB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olor w:val="000000"/>
          <w:sz w:val="24"/>
          <w:highlight w:val="none"/>
          <w:lang w:val="en-US" w:eastAsia="zh-CN"/>
        </w:rPr>
      </w:pPr>
      <w:r>
        <w:rPr>
          <w:rFonts w:hint="eastAsia" w:ascii="宋体" w:hAnsi="宋体"/>
          <w:color w:val="000000"/>
          <w:sz w:val="24"/>
          <w:highlight w:val="none"/>
          <w:lang w:val="en-US" w:eastAsia="zh-CN"/>
        </w:rPr>
        <w:t>特此声明。</w:t>
      </w:r>
    </w:p>
    <w:p w14:paraId="7E75DDF1">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101BEA8E">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33F52DD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3BAF78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22D42F3A">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180FA262">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3AFB0F11">
      <w:pPr>
        <w:spacing w:line="400" w:lineRule="exact"/>
        <w:ind w:firstLine="482" w:firstLineChars="200"/>
        <w:rPr>
          <w:rFonts w:ascii="宋体" w:hAnsi="宋体"/>
          <w:b/>
          <w:color w:val="000000"/>
          <w:sz w:val="24"/>
          <w:highlight w:val="none"/>
        </w:rPr>
      </w:pPr>
    </w:p>
    <w:bookmarkEnd w:id="358"/>
    <w:bookmarkEnd w:id="359"/>
    <w:p w14:paraId="45610A89">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宋体" w:hAnsi="宋体"/>
          <w:b/>
          <w:color w:val="auto"/>
          <w:sz w:val="30"/>
          <w:szCs w:val="30"/>
          <w:highlight w:val="none"/>
          <w:lang w:val="en-US" w:eastAsia="zh-CN"/>
        </w:rPr>
        <w:br w:type="page"/>
      </w:r>
    </w:p>
    <w:p w14:paraId="5F9AA834">
      <w:pPr>
        <w:jc w:val="left"/>
        <w:rPr>
          <w:rFonts w:hint="default"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附件4</w:t>
      </w:r>
    </w:p>
    <w:p w14:paraId="28C025CC">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5151B3D5">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3"/>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0FFEFC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796D442E">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9110E2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4CC747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0FA3D83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4EE28A0B">
            <w:pPr>
              <w:pStyle w:val="14"/>
              <w:widowControl/>
              <w:spacing w:line="460" w:lineRule="exact"/>
              <w:ind w:left="86" w:leftChars="41"/>
              <w:rPr>
                <w:rFonts w:hint="eastAsia" w:ascii="宋体" w:hAnsi="Arial" w:eastAsia="宋体" w:cs="宋体"/>
                <w:sz w:val="24"/>
                <w:szCs w:val="24"/>
                <w:highlight w:val="none"/>
                <w:lang w:val="en-US"/>
              </w:rPr>
            </w:pPr>
          </w:p>
        </w:tc>
      </w:tr>
      <w:tr w14:paraId="09FCEB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3F3B7CB6">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1B821B93">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5839094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0B593EEB">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4FD08F45">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5B37C1D">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5B39EB2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06282E5B">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6E01043F">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54424D41">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7B1CD580">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28FD246F">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759E66C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1.我们决定参加贵单位组织的“</w:t>
      </w:r>
      <w:r>
        <w:rPr>
          <w:rFonts w:hint="eastAsia" w:ascii="宋体" w:hAnsi="宋体" w:eastAsia="宋体" w:cs="宋体"/>
          <w:color w:val="000000"/>
          <w:kern w:val="0"/>
          <w:sz w:val="24"/>
          <w:szCs w:val="24"/>
          <w:highlight w:val="none"/>
          <w:u w:val="single" w:color="000000"/>
          <w:lang w:val="en-US" w:eastAsia="zh-CN" w:bidi="ar"/>
        </w:rPr>
        <w:t xml:space="preserve"> （项目名称）   </w:t>
      </w:r>
      <w:r>
        <w:rPr>
          <w:rFonts w:hint="eastAsia" w:ascii="宋体" w:hAnsi="宋体" w:eastAsia="宋体" w:cs="宋体"/>
          <w:color w:val="0000FF"/>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”的招标。我方授权 </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(姓名和职务)代表我方</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（投标单位的名称）全权处理本项目投标的有关事宜。</w:t>
      </w:r>
    </w:p>
    <w:p w14:paraId="6F6C2D0D">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2.我方愿意按照招标文件规定的各项要求，向招标人提供本项目的货物与服务，投标报价为人民币（大写）</w:t>
      </w:r>
      <w:r>
        <w:rPr>
          <w:rFonts w:hint="eastAsia" w:ascii="宋体" w:hAnsi="宋体" w:eastAsia="宋体" w:cs="宋体"/>
          <w:color w:val="000000"/>
          <w:kern w:val="0"/>
          <w:sz w:val="24"/>
          <w:szCs w:val="24"/>
          <w:highlight w:val="none"/>
          <w:u w:val="single" w:color="000000"/>
          <w:lang w:val="en-US" w:eastAsia="zh-CN" w:bidi="ar"/>
        </w:rPr>
        <w:t xml:space="preserve">                   （小写）         元</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0"/>
          <w:sz w:val="24"/>
          <w:szCs w:val="24"/>
          <w:highlight w:val="none"/>
          <w:u w:color="000000"/>
          <w:lang w:val="en-US" w:eastAsia="zh-CN" w:bidi="ar"/>
        </w:rPr>
        <w:t>：</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w:t>
      </w:r>
    </w:p>
    <w:p w14:paraId="0B76E31F">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3.一旦我方成为合同签字人，我方将严格履行合同规定的责任和义务。</w:t>
      </w:r>
    </w:p>
    <w:p w14:paraId="55DFB67B">
      <w:pPr>
        <w:keepNext w:val="0"/>
        <w:keepLines w:val="0"/>
        <w:widowControl/>
        <w:suppressLineNumbers w:val="0"/>
        <w:spacing w:before="0" w:beforeAutospacing="0" w:after="0" w:afterAutospacing="0" w:line="440" w:lineRule="exact"/>
        <w:ind w:left="0" w:right="0" w:firstLine="480" w:firstLineChars="20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4.投标有效期：为</w:t>
      </w:r>
      <w:r>
        <w:rPr>
          <w:rFonts w:hint="eastAsia" w:ascii="宋体" w:hAnsi="宋体" w:eastAsia="宋体" w:cs="宋体"/>
          <w:color w:val="000000"/>
          <w:kern w:val="0"/>
          <w:sz w:val="24"/>
          <w:szCs w:val="24"/>
          <w:highlight w:val="none"/>
          <w:u w:val="single" w:color="auto"/>
          <w:lang w:val="en-US" w:eastAsia="zh-CN" w:bidi="ar"/>
        </w:rPr>
        <w:t xml:space="preserve"> 60 </w:t>
      </w:r>
      <w:r>
        <w:rPr>
          <w:rFonts w:hint="eastAsia" w:ascii="宋体" w:hAnsi="宋体" w:eastAsia="宋体" w:cs="宋体"/>
          <w:color w:val="000000"/>
          <w:kern w:val="0"/>
          <w:sz w:val="24"/>
          <w:szCs w:val="24"/>
          <w:highlight w:val="none"/>
          <w:u w:color="000000"/>
          <w:lang w:val="en-US" w:eastAsia="zh-CN" w:bidi="ar"/>
        </w:rPr>
        <w:t>日历天（从投标截止之日算起）。</w:t>
      </w:r>
    </w:p>
    <w:p w14:paraId="5FD9C970">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5.我方愿意提供可能另外要求的、与投标有关的文件资料，并保证我方已提供和将要提供的文件是真实的、准确的。</w:t>
      </w:r>
    </w:p>
    <w:p w14:paraId="1B49AAA5">
      <w:pPr>
        <w:keepNext w:val="0"/>
        <w:keepLines w:val="0"/>
        <w:widowControl/>
        <w:suppressLineNumbers w:val="0"/>
        <w:spacing w:before="0" w:beforeAutospacing="0" w:after="0" w:afterAutospacing="0" w:line="440" w:lineRule="exact"/>
        <w:ind w:left="0" w:right="0" w:firstLine="480" w:firstLineChars="20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6.我单位提供如下通讯地址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，电子邮箱（地址）：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，确认本项目相关法律文书均通过提供的以上地址送达，相关文书只要发送至以上电子邮箱（地址）即视为送达，投标人愿意承担一切法律后果。</w:t>
      </w:r>
    </w:p>
    <w:p w14:paraId="58C6553C">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default" w:ascii="Times New Roman" w:hAnsi="Times New Roman" w:eastAsia="宋体" w:cs="Times New Roman"/>
          <w:color w:val="000000"/>
          <w:kern w:val="0"/>
          <w:sz w:val="24"/>
          <w:szCs w:val="24"/>
          <w:highlight w:val="none"/>
          <w:u w:color="000000"/>
          <w:lang w:val="en-US" w:eastAsia="zh-CN" w:bidi="ar"/>
        </w:rPr>
        <w:t xml:space="preserve"> </w:t>
      </w:r>
    </w:p>
    <w:p w14:paraId="720350C4">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09180F0">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w:t>
      </w:r>
    </w:p>
    <w:p w14:paraId="6939C05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6F5AE68F">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309EB380">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1AC0D13B">
      <w:pPr>
        <w:keepNext w:val="0"/>
        <w:keepLines w:val="0"/>
        <w:widowControl/>
        <w:suppressLineNumbers w:val="0"/>
        <w:spacing w:before="0" w:beforeAutospacing="0" w:after="0" w:afterAutospacing="0" w:line="440" w:lineRule="exact"/>
        <w:ind w:left="0" w:right="0" w:firstLine="2520" w:firstLineChars="105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56E27A99">
      <w:pPr>
        <w:keepNext w:val="0"/>
        <w:keepLines w:val="0"/>
        <w:widowControl/>
        <w:suppressLineNumbers w:val="0"/>
        <w:spacing w:before="0" w:beforeAutospacing="0" w:after="0" w:afterAutospacing="0" w:line="357" w:lineRule="atLeast"/>
        <w:ind w:left="0" w:right="-178" w:rightChars="-85" w:firstLine="2520" w:firstLineChars="1050"/>
        <w:jc w:val="both"/>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23E2A5ED">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75E35018">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4F891CCD">
      <w:pPr>
        <w:rPr>
          <w:rFonts w:hint="eastAsia" w:ascii="宋体" w:hAnsi="宋体" w:eastAsia="宋体" w:cs="宋体"/>
          <w:b/>
          <w:bCs w:val="0"/>
          <w:color w:val="000000"/>
          <w:kern w:val="0"/>
          <w:sz w:val="36"/>
          <w:szCs w:val="36"/>
          <w:highlight w:val="none"/>
          <w:u w:color="000000"/>
          <w:lang w:val="en-US" w:eastAsia="zh-CN" w:bidi="ar"/>
        </w:rPr>
      </w:pPr>
      <w:r>
        <w:rPr>
          <w:rFonts w:hint="eastAsia" w:ascii="宋体" w:hAnsi="宋体" w:eastAsia="宋体" w:cs="宋体"/>
          <w:b/>
          <w:bCs w:val="0"/>
          <w:color w:val="000000"/>
          <w:kern w:val="0"/>
          <w:sz w:val="36"/>
          <w:szCs w:val="36"/>
          <w:highlight w:val="none"/>
          <w:u w:color="000000"/>
          <w:lang w:val="en-US" w:eastAsia="zh-CN" w:bidi="ar"/>
        </w:rPr>
        <w:br w:type="page"/>
      </w:r>
    </w:p>
    <w:p w14:paraId="13E76AE2">
      <w:pPr>
        <w:pStyle w:val="21"/>
        <w:widowControl/>
        <w:spacing w:before="0" w:beforeAutospacing="0" w:after="0" w:afterAutospacing="0" w:line="375" w:lineRule="atLeast"/>
        <w:ind w:left="0" w:right="0"/>
        <w:jc w:val="center"/>
        <w:outlineLvl w:val="0"/>
        <w:rPr>
          <w:b/>
          <w:bCs w:val="0"/>
          <w:sz w:val="32"/>
          <w:szCs w:val="32"/>
          <w:highlight w:val="none"/>
          <w:lang w:val="en-US"/>
        </w:rPr>
      </w:pPr>
      <w:bookmarkStart w:id="365" w:name="_Toc6275_WPSOffice_Level1"/>
      <w:bookmarkEnd w:id="365"/>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3"/>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1A3BD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71D4B23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2D21BB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滁州至南京城际铁路（滁州段）一期生活用水改造及车辆段加装过滤装置项目（二次）</w:t>
            </w:r>
            <w:r>
              <w:rPr>
                <w:rFonts w:hint="eastAsia" w:ascii="宋体" w:hAnsi="宋体" w:eastAsia="宋体" w:cs="宋体"/>
                <w:color w:val="000000"/>
                <w:kern w:val="2"/>
                <w:sz w:val="28"/>
                <w:szCs w:val="28"/>
                <w:highlight w:val="none"/>
                <w:u w:color="000000"/>
                <w:lang w:val="en-US" w:eastAsia="zh-CN" w:bidi="ar"/>
              </w:rPr>
              <w:t>招标文件进行确认。</w:t>
            </w:r>
          </w:p>
          <w:p w14:paraId="06DCC0E1">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招标人：滁州市滁宁城际铁路开发建设有限公司 </w:t>
            </w:r>
          </w:p>
          <w:p w14:paraId="422F30B2">
            <w:pPr>
              <w:keepNext w:val="0"/>
              <w:keepLines w:val="0"/>
              <w:widowControl/>
              <w:suppressLineNumbers w:val="0"/>
              <w:spacing w:before="0" w:beforeAutospacing="0" w:after="0" w:afterAutospacing="0" w:line="720" w:lineRule="exact"/>
              <w:ind w:left="0" w:right="0" w:firstLine="560" w:firstLineChars="200"/>
              <w:jc w:val="both"/>
              <w:rPr>
                <w:rFonts w:hint="default"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联系人：杨雅辰</w:t>
            </w:r>
          </w:p>
          <w:p w14:paraId="58B0E9E2">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联系电话：13339207910</w:t>
            </w:r>
          </w:p>
          <w:p w14:paraId="113352A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30212E66">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FEF71AD">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5EC6C013">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52F681E5">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p w14:paraId="56DEE5B6">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4A4AF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23BB3931">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5FFB4BD4">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65F08E38">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57C79F2F">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4C067E42">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45B7223">
            <w:pPr>
              <w:pStyle w:val="6"/>
              <w:widowControl/>
              <w:spacing w:before="0" w:beforeAutospacing="0" w:after="120" w:afterAutospacing="0"/>
              <w:ind w:leftChars="200" w:right="0" w:firstLine="560"/>
              <w:rPr>
                <w:kern w:val="2"/>
                <w:sz w:val="28"/>
                <w:szCs w:val="28"/>
                <w:highlight w:val="none"/>
                <w:lang w:val="en-US"/>
              </w:rPr>
            </w:pPr>
          </w:p>
          <w:p w14:paraId="1F2F0EB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72BE766B">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6828CB58">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0C15B413">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2026年5月</w:t>
            </w:r>
          </w:p>
        </w:tc>
      </w:tr>
    </w:tbl>
    <w:p w14:paraId="7C616BD9">
      <w:pPr>
        <w:rPr>
          <w:highlight w:val="none"/>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2A1A191-D00C-48F4-B08A-D30AF295F5D2}"/>
  </w:font>
  <w:font w:name="黑体">
    <w:panose1 w:val="02010609060101010101"/>
    <w:charset w:val="86"/>
    <w:family w:val="auto"/>
    <w:pitch w:val="default"/>
    <w:sig w:usb0="800002BF" w:usb1="38CF7CFA" w:usb2="00000016" w:usb3="00000000" w:csb0="00040001" w:csb1="00000000"/>
    <w:embedRegular r:id="rId2" w:fontKey="{D301CD29-0F1E-47D0-80E4-7F34783474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CA8045B0-614B-4960-A507-2151C53A080F}"/>
  </w:font>
  <w:font w:name="仿宋_GB2312">
    <w:altName w:val="仿宋"/>
    <w:panose1 w:val="02010609030101010101"/>
    <w:charset w:val="86"/>
    <w:family w:val="auto"/>
    <w:pitch w:val="default"/>
    <w:sig w:usb0="00000000" w:usb1="00000000" w:usb2="00000000" w:usb3="00000000" w:csb0="00040000" w:csb1="00000000"/>
    <w:embedRegular r:id="rId4" w:fontKey="{CBAB51BC-8D37-41A6-8F4F-B81944D641C4}"/>
  </w:font>
  <w:font w:name="仿宋">
    <w:panose1 w:val="02010609060101010101"/>
    <w:charset w:val="86"/>
    <w:family w:val="auto"/>
    <w:pitch w:val="default"/>
    <w:sig w:usb0="800002BF" w:usb1="38CF7CFA" w:usb2="00000016" w:usb3="00000000" w:csb0="00040001" w:csb1="00000000"/>
    <w:embedRegular r:id="rId5" w:fontKey="{4EA65D1E-5F19-4EE4-9BA8-87C9DEFC4B3F}"/>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宋体-18030">
    <w:altName w:val="宋体"/>
    <w:panose1 w:val="00000000000000000000"/>
    <w:charset w:val="86"/>
    <w:family w:val="modern"/>
    <w:pitch w:val="default"/>
    <w:sig w:usb0="00000000" w:usb1="00000000" w:usb2="00000010" w:usb3="00000000" w:csb0="00040000" w:csb1="00000000"/>
  </w:font>
  <w:font w:name="方正仿宋_GB2312">
    <w:panose1 w:val="02000000000000000000"/>
    <w:charset w:val="86"/>
    <w:family w:val="auto"/>
    <w:pitch w:val="default"/>
    <w:sig w:usb0="A00002BF" w:usb1="184F6CFA" w:usb2="00000012" w:usb3="00000000" w:csb0="00040001" w:csb1="00000000"/>
    <w:embedRegular r:id="rId6" w:fontKey="{875671F8-3DE9-4576-A6CF-AD5D3143CEA4}"/>
  </w:font>
  <w:font w:name="Times New Roman (正文 CS 字体)">
    <w:altName w:val="宋体"/>
    <w:panose1 w:val="00000000000000000000"/>
    <w:charset w:val="86"/>
    <w:family w:val="roman"/>
    <w:pitch w:val="default"/>
    <w:sig w:usb0="00000000" w:usb1="00000000" w:usb2="00000009" w:usb3="00000000" w:csb0="000001FF" w:csb1="00000000"/>
    <w:embedRegular r:id="rId7" w:fontKey="{3439DBE3-B4FB-4FC5-BE55-114CA5DB811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0ED0A">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12B21BD2">
                    <w:pPr>
                      <w:pStyle w:val="1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3AC41">
    <w:pPr>
      <w:pStyle w:val="1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67D53ECB">
                    <w:pPr>
                      <w:pStyle w:val="15"/>
                    </w:pPr>
                    <w:r>
                      <w:t xml:space="preserve">第 </w:t>
                    </w:r>
                    <w:r>
                      <w:fldChar w:fldCharType="begin"/>
                    </w:r>
                    <w:r>
                      <w:instrText xml:space="preserve"> PAGE  \* MERGEFORMAT </w:instrText>
                    </w:r>
                    <w:r>
                      <w:fldChar w:fldCharType="separate"/>
                    </w:r>
                    <w:r>
                      <w:t>35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54F3AC"/>
    <w:multiLevelType w:val="singleLevel"/>
    <w:tmpl w:val="8F54F3AC"/>
    <w:lvl w:ilvl="0" w:tentative="0">
      <w:start w:val="2"/>
      <w:numFmt w:val="chineseCounting"/>
      <w:suff w:val="space"/>
      <w:lvlText w:val="第%1章"/>
      <w:lvlJc w:val="left"/>
      <w:rPr>
        <w:rFonts w:hint="eastAsia"/>
      </w:rPr>
    </w:lvl>
  </w:abstractNum>
  <w:abstractNum w:abstractNumId="1">
    <w:nsid w:val="C46C6862"/>
    <w:multiLevelType w:val="singleLevel"/>
    <w:tmpl w:val="C46C6862"/>
    <w:lvl w:ilvl="0" w:tentative="0">
      <w:start w:val="5"/>
      <w:numFmt w:val="chineseCounting"/>
      <w:suff w:val="space"/>
      <w:lvlText w:val="第%1章"/>
      <w:lvlJc w:val="left"/>
      <w:rPr>
        <w:rFonts w:hint="eastAsia"/>
      </w:rPr>
    </w:lvl>
  </w:abstractNum>
  <w:abstractNum w:abstractNumId="2">
    <w:nsid w:val="F4A311EA"/>
    <w:multiLevelType w:val="singleLevel"/>
    <w:tmpl w:val="F4A311EA"/>
    <w:lvl w:ilvl="0" w:tentative="0">
      <w:start w:val="3"/>
      <w:numFmt w:val="decimal"/>
      <w:suff w:val="nothing"/>
      <w:lvlText w:val="%1．"/>
      <w:lvlJc w:val="left"/>
    </w:lvl>
  </w:abstractNum>
  <w:abstractNum w:abstractNumId="3">
    <w:nsid w:val="2C0E891D"/>
    <w:multiLevelType w:val="multilevel"/>
    <w:tmpl w:val="2C0E891D"/>
    <w:lvl w:ilvl="0" w:tentative="0">
      <w:start w:val="1"/>
      <w:numFmt w:val="decimal"/>
      <w:suff w:val="nothing"/>
      <w:lvlText w:val="（%1）"/>
      <w:lvlJc w:val="left"/>
      <w:pPr>
        <w:ind w:left="0" w:firstLine="0"/>
      </w:pPr>
      <w:rPr>
        <w:rFonts w:hint="default" w:ascii="Times New Roman" w:hAnsi="Times New Roman" w:cs="Times New Roman"/>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44E8B8FD"/>
    <w:multiLevelType w:val="singleLevel"/>
    <w:tmpl w:val="44E8B8FD"/>
    <w:lvl w:ilvl="0" w:tentative="0">
      <w:start w:val="6"/>
      <w:numFmt w:val="chineseCounting"/>
      <w:suff w:val="space"/>
      <w:lvlText w:val="第%1章"/>
      <w:lvlJc w:val="left"/>
      <w:rPr>
        <w:rFonts w:hint="eastAsia"/>
      </w:rPr>
    </w:lvl>
  </w:abstractNum>
  <w:abstractNum w:abstractNumId="5">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2"/>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950983"/>
    <w:rsid w:val="01D118B5"/>
    <w:rsid w:val="01E872A1"/>
    <w:rsid w:val="032031D0"/>
    <w:rsid w:val="03471A81"/>
    <w:rsid w:val="06D54ED0"/>
    <w:rsid w:val="07C425FF"/>
    <w:rsid w:val="0A300BE8"/>
    <w:rsid w:val="0AFF501E"/>
    <w:rsid w:val="0B8C2605"/>
    <w:rsid w:val="0CEF01A1"/>
    <w:rsid w:val="0D4228C9"/>
    <w:rsid w:val="0EBB3464"/>
    <w:rsid w:val="0F5A3543"/>
    <w:rsid w:val="0FC82D5D"/>
    <w:rsid w:val="101C4945"/>
    <w:rsid w:val="11273F56"/>
    <w:rsid w:val="12431559"/>
    <w:rsid w:val="14334ED5"/>
    <w:rsid w:val="147673EE"/>
    <w:rsid w:val="162403C8"/>
    <w:rsid w:val="1A2C0203"/>
    <w:rsid w:val="1B0B6A26"/>
    <w:rsid w:val="1CF617FA"/>
    <w:rsid w:val="1DD7722D"/>
    <w:rsid w:val="1E474369"/>
    <w:rsid w:val="1FBE5586"/>
    <w:rsid w:val="200765EA"/>
    <w:rsid w:val="2035457B"/>
    <w:rsid w:val="204506D8"/>
    <w:rsid w:val="20F63292"/>
    <w:rsid w:val="21391D2B"/>
    <w:rsid w:val="21FC6157"/>
    <w:rsid w:val="222D5B93"/>
    <w:rsid w:val="22B360EA"/>
    <w:rsid w:val="239955A4"/>
    <w:rsid w:val="271F6EDF"/>
    <w:rsid w:val="27427F5F"/>
    <w:rsid w:val="287E4991"/>
    <w:rsid w:val="28FD1B10"/>
    <w:rsid w:val="30F76170"/>
    <w:rsid w:val="32013042"/>
    <w:rsid w:val="323852C9"/>
    <w:rsid w:val="32812567"/>
    <w:rsid w:val="32AB6635"/>
    <w:rsid w:val="3871553E"/>
    <w:rsid w:val="39196E3A"/>
    <w:rsid w:val="3D7F110E"/>
    <w:rsid w:val="3D8B68BD"/>
    <w:rsid w:val="3F3A5217"/>
    <w:rsid w:val="3FDC1609"/>
    <w:rsid w:val="40585B1F"/>
    <w:rsid w:val="41C76417"/>
    <w:rsid w:val="42AB7679"/>
    <w:rsid w:val="42F933B2"/>
    <w:rsid w:val="440F4D94"/>
    <w:rsid w:val="44121234"/>
    <w:rsid w:val="45132EF4"/>
    <w:rsid w:val="45602117"/>
    <w:rsid w:val="46501639"/>
    <w:rsid w:val="474318BA"/>
    <w:rsid w:val="47DC16A5"/>
    <w:rsid w:val="491938C4"/>
    <w:rsid w:val="49560276"/>
    <w:rsid w:val="4B8A2C90"/>
    <w:rsid w:val="4C3857CB"/>
    <w:rsid w:val="4F522371"/>
    <w:rsid w:val="4FA1515E"/>
    <w:rsid w:val="510E11AC"/>
    <w:rsid w:val="5523352E"/>
    <w:rsid w:val="57D3727A"/>
    <w:rsid w:val="5AB972A9"/>
    <w:rsid w:val="5AC41FE9"/>
    <w:rsid w:val="5D2B5019"/>
    <w:rsid w:val="5D322B2E"/>
    <w:rsid w:val="5D7002D3"/>
    <w:rsid w:val="604D11B9"/>
    <w:rsid w:val="62C47C43"/>
    <w:rsid w:val="6509245E"/>
    <w:rsid w:val="666F6CC6"/>
    <w:rsid w:val="668A652A"/>
    <w:rsid w:val="6EA934B6"/>
    <w:rsid w:val="706E041E"/>
    <w:rsid w:val="72A03324"/>
    <w:rsid w:val="746B63CF"/>
    <w:rsid w:val="746C0AE0"/>
    <w:rsid w:val="74C85615"/>
    <w:rsid w:val="75843174"/>
    <w:rsid w:val="760F0C92"/>
    <w:rsid w:val="76B7003F"/>
    <w:rsid w:val="79757E4E"/>
    <w:rsid w:val="7A2A6204"/>
    <w:rsid w:val="7AF5326F"/>
    <w:rsid w:val="7B583976"/>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40"/>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4"/>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0"/>
    <w:pPr>
      <w:keepNext/>
      <w:keepLines/>
      <w:outlineLvl w:val="2"/>
    </w:pPr>
    <w:rPr>
      <w:kern w:val="0"/>
      <w:sz w:val="28"/>
      <w:szCs w:val="20"/>
    </w:rPr>
  </w:style>
  <w:style w:type="character" w:default="1" w:styleId="25">
    <w:name w:val="Default Paragraph Font"/>
    <w:semiHidden/>
    <w:qFormat/>
    <w:uiPriority w:val="0"/>
  </w:style>
  <w:style w:type="table" w:default="1" w:styleId="23">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4">
    <w:name w:val="toc 7"/>
    <w:basedOn w:val="1"/>
    <w:next w:val="1"/>
    <w:qFormat/>
    <w:uiPriority w:val="39"/>
    <w:pPr>
      <w:ind w:left="1260"/>
      <w:jc w:val="left"/>
    </w:pPr>
    <w:rPr>
      <w:sz w:val="18"/>
      <w:szCs w:val="18"/>
    </w:r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1"/>
    <w:link w:val="32"/>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31"/>
    <w:qFormat/>
    <w:uiPriority w:val="0"/>
    <w:pPr>
      <w:spacing w:after="120" w:afterLines="0" w:afterAutospacing="0"/>
      <w:ind w:left="420" w:leftChars="200"/>
    </w:pPr>
  </w:style>
  <w:style w:type="paragraph" w:styleId="8">
    <w:name w:val="envelope return"/>
    <w:basedOn w:val="1"/>
    <w:next w:val="4"/>
    <w:qFormat/>
    <w:uiPriority w:val="0"/>
    <w:pPr>
      <w:snapToGrid w:val="0"/>
    </w:pPr>
    <w:rPr>
      <w:rFonts w:ascii="Arial" w:hAnsi="Arial"/>
    </w:rPr>
  </w:style>
  <w:style w:type="paragraph" w:styleId="9">
    <w:name w:val="annotation text"/>
    <w:basedOn w:val="1"/>
    <w:qFormat/>
    <w:uiPriority w:val="0"/>
    <w:pPr>
      <w:jc w:val="left"/>
    </w:pPr>
  </w:style>
  <w:style w:type="paragraph" w:styleId="10">
    <w:name w:val="Body Text 3"/>
    <w:basedOn w:val="1"/>
    <w:qFormat/>
    <w:uiPriority w:val="0"/>
    <w:rPr>
      <w:rFonts w:ascii="宋体" w:hAnsi="Calibri" w:eastAsia="宋体" w:cs="Times New Roman"/>
      <w:sz w:val="24"/>
      <w:szCs w:val="20"/>
    </w:rPr>
  </w:style>
  <w:style w:type="paragraph" w:styleId="11">
    <w:name w:val="Body Text"/>
    <w:basedOn w:val="1"/>
    <w:qFormat/>
    <w:uiPriority w:val="0"/>
    <w:pPr>
      <w:widowControl w:val="0"/>
      <w:snapToGrid w:val="0"/>
      <w:spacing w:line="360" w:lineRule="auto"/>
    </w:pPr>
    <w:rPr>
      <w:rFonts w:ascii="Arial" w:hAnsi="Arial" w:eastAsia="仿宋_GB2312"/>
      <w:sz w:val="31"/>
    </w:rPr>
  </w:style>
  <w:style w:type="paragraph" w:styleId="12">
    <w:name w:val="toc 3"/>
    <w:basedOn w:val="1"/>
    <w:next w:val="1"/>
    <w:qFormat/>
    <w:uiPriority w:val="39"/>
    <w:pPr>
      <w:jc w:val="left"/>
    </w:pPr>
    <w:rPr>
      <w:rFonts w:ascii="Calibri" w:hAnsi="Calibri"/>
      <w:smallCaps/>
      <w:sz w:val="22"/>
      <w:szCs w:val="22"/>
    </w:rPr>
  </w:style>
  <w:style w:type="paragraph" w:styleId="13">
    <w:name w:val="Plain Text"/>
    <w:basedOn w:val="1"/>
    <w:link w:val="36"/>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4">
    <w:name w:val="Date"/>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5">
    <w:name w:val="footer"/>
    <w:basedOn w:val="1"/>
    <w:link w:val="37"/>
    <w:qFormat/>
    <w:uiPriority w:val="0"/>
    <w:pPr>
      <w:tabs>
        <w:tab w:val="center" w:pos="4153"/>
        <w:tab w:val="right" w:pos="8306"/>
      </w:tabs>
      <w:snapToGrid w:val="0"/>
      <w:jc w:val="left"/>
    </w:pPr>
    <w:rPr>
      <w:sz w:val="18"/>
    </w:rPr>
  </w:style>
  <w:style w:type="paragraph" w:styleId="16">
    <w:name w:val="header"/>
    <w:basedOn w:val="1"/>
    <w:link w:val="3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qFormat/>
    <w:uiPriority w:val="39"/>
    <w:pPr>
      <w:spacing w:before="120" w:after="120"/>
      <w:jc w:val="left"/>
    </w:pPr>
    <w:rPr>
      <w:b/>
      <w:bCs/>
      <w:caps/>
      <w:sz w:val="20"/>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footnote text"/>
    <w:basedOn w:val="1"/>
    <w:semiHidden/>
    <w:unhideWhenUsed/>
    <w:qFormat/>
    <w:uiPriority w:val="99"/>
    <w:pPr>
      <w:snapToGrid w:val="0"/>
      <w:jc w:val="left"/>
    </w:pPr>
    <w:rPr>
      <w:sz w:val="18"/>
    </w:rPr>
  </w:style>
  <w:style w:type="paragraph" w:styleId="20">
    <w:name w:val="Body Text 2"/>
    <w:basedOn w:val="1"/>
    <w:qFormat/>
    <w:uiPriority w:val="0"/>
    <w:rPr>
      <w:kern w:val="0"/>
      <w:sz w:val="24"/>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2">
    <w:name w:val="Body Text First Indent"/>
    <w:basedOn w:val="11"/>
    <w:qFormat/>
    <w:uiPriority w:val="0"/>
    <w:pPr>
      <w:adjustRightInd/>
      <w:spacing w:after="120" w:line="240" w:lineRule="auto"/>
      <w:ind w:firstLine="420" w:firstLineChars="100"/>
      <w:jc w:val="both"/>
    </w:p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99"/>
  </w:style>
  <w:style w:type="character" w:styleId="27">
    <w:name w:val="Hyperlink"/>
    <w:qFormat/>
    <w:uiPriority w:val="99"/>
    <w:rPr>
      <w:color w:val="0000FF"/>
      <w:u w:val="single"/>
    </w:rPr>
  </w:style>
  <w:style w:type="character" w:styleId="28">
    <w:name w:val="footnote reference"/>
    <w:basedOn w:val="25"/>
    <w:semiHidden/>
    <w:unhideWhenUsed/>
    <w:qFormat/>
    <w:uiPriority w:val="99"/>
    <w:rPr>
      <w:vertAlign w:val="superscript"/>
    </w:rPr>
  </w:style>
  <w:style w:type="paragraph" w:customStyle="1" w:styleId="29">
    <w:name w:val="正文文字 8"/>
    <w:basedOn w:val="1"/>
    <w:next w:val="1"/>
    <w:qFormat/>
    <w:uiPriority w:val="0"/>
    <w:pPr>
      <w:ind w:left="240"/>
    </w:pPr>
    <w:rPr>
      <w:sz w:val="16"/>
    </w:rPr>
  </w:style>
  <w:style w:type="paragraph" w:customStyle="1" w:styleId="30">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31">
    <w:name w:val="正文文本缩进 Char"/>
    <w:basedOn w:val="25"/>
    <w:link w:val="7"/>
    <w:qFormat/>
    <w:uiPriority w:val="0"/>
    <w:rPr>
      <w:rFonts w:hint="default" w:ascii="Times New Roman" w:hAnsi="Times New Roman" w:eastAsia="宋体" w:cs="Times New Roman"/>
      <w:color w:val="000000"/>
      <w:kern w:val="0"/>
      <w:szCs w:val="21"/>
      <w:u w:color="000000"/>
    </w:rPr>
  </w:style>
  <w:style w:type="character" w:customStyle="1" w:styleId="32">
    <w:name w:val="正文首行缩进 2 Char"/>
    <w:basedOn w:val="31"/>
    <w:link w:val="6"/>
    <w:qFormat/>
    <w:uiPriority w:val="0"/>
    <w:rPr>
      <w:rFonts w:hint="default" w:ascii="Times New Roman" w:hAnsi="Times New Roman" w:eastAsia="宋体" w:cs="Times New Roman"/>
      <w:color w:val="000000"/>
      <w:kern w:val="0"/>
      <w:szCs w:val="21"/>
      <w:u w:color="000000"/>
    </w:rPr>
  </w:style>
  <w:style w:type="character" w:customStyle="1" w:styleId="33">
    <w:name w:val="日期 Char"/>
    <w:basedOn w:val="25"/>
    <w:link w:val="14"/>
    <w:qFormat/>
    <w:uiPriority w:val="0"/>
    <w:rPr>
      <w:rFonts w:ascii="Arial" w:hAnsi="Arial" w:eastAsia="仿宋_GB2312" w:cs="Arial"/>
      <w:color w:val="000000"/>
      <w:sz w:val="32"/>
      <w:szCs w:val="32"/>
      <w:u w:color="000000"/>
    </w:rPr>
  </w:style>
  <w:style w:type="character" w:customStyle="1" w:styleId="34">
    <w:name w:val="标题 2 Char"/>
    <w:basedOn w:val="25"/>
    <w:link w:val="2"/>
    <w:qFormat/>
    <w:uiPriority w:val="0"/>
    <w:rPr>
      <w:rFonts w:hint="default" w:ascii="Times New Roman" w:hAnsi="Times New Roman" w:eastAsia="宋体" w:cs="Times New Roman"/>
      <w:kern w:val="0"/>
      <w:sz w:val="24"/>
      <w:szCs w:val="24"/>
    </w:rPr>
  </w:style>
  <w:style w:type="character" w:customStyle="1" w:styleId="35">
    <w:name w:val="页眉 Char"/>
    <w:basedOn w:val="25"/>
    <w:link w:val="16"/>
    <w:qFormat/>
    <w:uiPriority w:val="0"/>
    <w:rPr>
      <w:rFonts w:hint="default" w:ascii="Times New Roman" w:hAnsi="Times New Roman" w:eastAsia="宋体" w:cs="Times New Roman"/>
      <w:color w:val="000000"/>
      <w:kern w:val="0"/>
      <w:sz w:val="18"/>
      <w:szCs w:val="18"/>
      <w:u w:color="000000"/>
    </w:rPr>
  </w:style>
  <w:style w:type="character" w:customStyle="1" w:styleId="36">
    <w:name w:val="纯文本 Char"/>
    <w:basedOn w:val="25"/>
    <w:link w:val="13"/>
    <w:qFormat/>
    <w:uiPriority w:val="0"/>
    <w:rPr>
      <w:rFonts w:hint="eastAsia" w:ascii="宋体" w:hAnsi="宋体" w:eastAsia="宋体" w:cs="宋体"/>
      <w:szCs w:val="21"/>
    </w:rPr>
  </w:style>
  <w:style w:type="character" w:customStyle="1" w:styleId="37">
    <w:name w:val="页脚 Char"/>
    <w:basedOn w:val="25"/>
    <w:link w:val="15"/>
    <w:qFormat/>
    <w:uiPriority w:val="0"/>
    <w:rPr>
      <w:rFonts w:hint="default" w:ascii="Times New Roman" w:hAnsi="Times New Roman" w:eastAsia="宋体" w:cs="Times New Roman"/>
      <w:color w:val="000000"/>
      <w:kern w:val="0"/>
      <w:sz w:val="18"/>
      <w:szCs w:val="18"/>
      <w:u w:color="000000"/>
    </w:rPr>
  </w:style>
  <w:style w:type="paragraph" w:customStyle="1" w:styleId="38">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39">
    <w:name w:val="List Paragraph"/>
    <w:basedOn w:val="1"/>
    <w:qFormat/>
    <w:uiPriority w:val="0"/>
    <w:pPr>
      <w:widowControl w:val="0"/>
      <w:spacing w:line="240" w:lineRule="auto"/>
      <w:ind w:firstLine="200" w:firstLineChars="200"/>
      <w:textAlignment w:val="auto"/>
    </w:pPr>
    <w:rPr>
      <w:u w:val="none" w:color="000000"/>
    </w:rPr>
  </w:style>
  <w:style w:type="character" w:customStyle="1" w:styleId="40">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41">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42">
    <w:name w:val="font51"/>
    <w:basedOn w:val="25"/>
    <w:qFormat/>
    <w:uiPriority w:val="0"/>
    <w:rPr>
      <w:rFonts w:hint="eastAsia" w:ascii="宋体" w:hAnsi="宋体" w:eastAsia="宋体" w:cs="宋体"/>
      <w:color w:val="000000"/>
      <w:sz w:val="22"/>
      <w:szCs w:val="22"/>
      <w:u w:val="none"/>
    </w:rPr>
  </w:style>
  <w:style w:type="character" w:customStyle="1" w:styleId="43">
    <w:name w:val="font31"/>
    <w:basedOn w:val="25"/>
    <w:qFormat/>
    <w:uiPriority w:val="0"/>
    <w:rPr>
      <w:rFonts w:hint="default" w:ascii="Times New Roman" w:hAnsi="Times New Roman" w:cs="Times New Roman"/>
      <w:color w:val="000000"/>
      <w:sz w:val="22"/>
      <w:szCs w:val="22"/>
      <w:u w:val="none"/>
    </w:rPr>
  </w:style>
  <w:style w:type="character" w:customStyle="1" w:styleId="44">
    <w:name w:val="font61"/>
    <w:basedOn w:val="25"/>
    <w:qFormat/>
    <w:uiPriority w:val="0"/>
    <w:rPr>
      <w:rFonts w:hint="default" w:ascii="Times New Roman" w:hAnsi="Times New Roman" w:cs="Times New Roman"/>
      <w:color w:val="000000"/>
      <w:sz w:val="21"/>
      <w:szCs w:val="21"/>
      <w:u w:val="none"/>
    </w:rPr>
  </w:style>
  <w:style w:type="character" w:customStyle="1" w:styleId="45">
    <w:name w:val="font71"/>
    <w:basedOn w:val="25"/>
    <w:qFormat/>
    <w:uiPriority w:val="0"/>
    <w:rPr>
      <w:rFonts w:hint="eastAsia" w:ascii="宋体" w:hAnsi="宋体" w:eastAsia="宋体" w:cs="宋体"/>
      <w:color w:val="000000"/>
      <w:sz w:val="21"/>
      <w:szCs w:val="21"/>
      <w:u w:val="none"/>
    </w:rPr>
  </w:style>
  <w:style w:type="character" w:customStyle="1" w:styleId="46">
    <w:name w:val="font01"/>
    <w:basedOn w:val="25"/>
    <w:qFormat/>
    <w:uiPriority w:val="0"/>
    <w:rPr>
      <w:rFonts w:hint="eastAsia" w:ascii="宋体" w:hAnsi="宋体" w:eastAsia="宋体" w:cs="宋体"/>
      <w:color w:val="000000"/>
      <w:sz w:val="22"/>
      <w:szCs w:val="22"/>
      <w:u w:val="none"/>
    </w:rPr>
  </w:style>
  <w:style w:type="character" w:customStyle="1" w:styleId="47">
    <w:name w:val="font11"/>
    <w:basedOn w:val="25"/>
    <w:qFormat/>
    <w:uiPriority w:val="0"/>
    <w:rPr>
      <w:rFonts w:hint="eastAsia" w:ascii="宋体" w:hAnsi="宋体" w:eastAsia="宋体" w:cs="宋体"/>
      <w:color w:val="000000"/>
      <w:sz w:val="21"/>
      <w:szCs w:val="21"/>
      <w:u w:val="none"/>
    </w:rPr>
  </w:style>
  <w:style w:type="character" w:customStyle="1" w:styleId="48">
    <w:name w:val="font41"/>
    <w:basedOn w:val="25"/>
    <w:qFormat/>
    <w:uiPriority w:val="0"/>
    <w:rPr>
      <w:rFonts w:hint="default" w:ascii="Times New Roman" w:hAnsi="Times New Roman" w:cs="Times New Roman"/>
      <w:color w:val="000000"/>
      <w:sz w:val="22"/>
      <w:szCs w:val="22"/>
      <w:u w:val="none"/>
    </w:rPr>
  </w:style>
  <w:style w:type="paragraph" w:customStyle="1" w:styleId="49">
    <w:name w:val="二级标题"/>
    <w:basedOn w:val="1"/>
    <w:next w:val="1"/>
    <w:qFormat/>
    <w:uiPriority w:val="0"/>
    <w:rPr>
      <w:rFonts w:hint="eastAsia" w:eastAsia="楷体"/>
    </w:rPr>
  </w:style>
  <w:style w:type="paragraph" w:customStyle="1" w:styleId="50">
    <w:name w:val="首行缩进"/>
    <w:basedOn w:val="1"/>
    <w:qFormat/>
    <w:uiPriority w:val="0"/>
    <w:pPr>
      <w:ind w:firstLine="480" w:firstLineChars="200"/>
    </w:pPr>
    <w:rPr>
      <w:rFonts w:eastAsia="楷体_GB2312"/>
      <w:lang w:val="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18058</Words>
  <Characters>20062</Characters>
  <Lines>0</Lines>
  <Paragraphs>0</Paragraphs>
  <TotalTime>0</TotalTime>
  <ScaleCrop>false</ScaleCrop>
  <LinksUpToDate>false</LinksUpToDate>
  <CharactersWithSpaces>20496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2023-11-23T14:11:00Z</cp:lastPrinted>
  <dcterms:modified xsi:type="dcterms:W3CDTF">2026-05-28T03:25:38Z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6D9A791FE09F4AF69DC46F4A104A7358</vt:lpwstr>
  </property>
  <property fmtid="{D5CDD505-2E9C-101B-9397-08002B2CF9AE}" pid="4" name="KSOTemplateDocerSaveRecord">
    <vt:lpwstr>eyJoZGlkIjoiMTljMDcwYWJmYjExZWQzNTVmZDAzZTYwM2JlMzJmZDYiLCJ1c2VySWQiOiIzODU2Mzk2OTQifQ==</vt:lpwstr>
  </property>
</Properties>
</file>