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1D1EE">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31701FE8">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41A1BFF4">
      <w:pPr>
        <w:keepNext w:val="0"/>
        <w:keepLines w:val="0"/>
        <w:widowControl/>
        <w:suppressLineNumbers w:val="0"/>
        <w:spacing w:before="0" w:beforeAutospacing="0" w:after="0" w:afterAutospacing="0" w:line="357" w:lineRule="atLeast"/>
        <w:ind w:left="0" w:right="0"/>
        <w:jc w:val="center"/>
        <w:rPr>
          <w:rFonts w:hint="default" w:ascii="宋体" w:hAnsi="宋体" w:eastAsia="宋体" w:cs="宋体"/>
          <w:b/>
          <w:bCs w:val="0"/>
          <w:color w:val="000000"/>
          <w:kern w:val="0"/>
          <w:sz w:val="84"/>
          <w:szCs w:val="84"/>
          <w:highlight w:val="none"/>
          <w:u w:color="000000"/>
          <w:lang w:val="en-US" w:eastAsia="zh-CN" w:bidi="ar"/>
        </w:rPr>
      </w:pPr>
      <w:r>
        <w:rPr>
          <w:rFonts w:hint="eastAsia" w:ascii="Times New Roman" w:hAnsi="Times New Roman" w:eastAsia="宋体" w:cs="宋体"/>
          <w:b/>
          <w:bCs w:val="0"/>
          <w:color w:val="000000"/>
          <w:kern w:val="0"/>
          <w:sz w:val="48"/>
          <w:szCs w:val="28"/>
          <w:highlight w:val="none"/>
          <w:u w:color="000000"/>
          <w:lang w:val="en-US" w:eastAsia="zh-CN" w:bidi="ar"/>
        </w:rPr>
        <w:t xml:space="preserve"> 滁州至南京城际铁路（滁州段）一期车辆段北门门岗安全改造项目（二次）</w:t>
      </w:r>
    </w:p>
    <w:p w14:paraId="61A754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2E1271B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4D3A62A7">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6551BB04">
      <w:pPr>
        <w:pStyle w:val="20"/>
        <w:widowControl/>
        <w:rPr>
          <w:highlight w:val="none"/>
          <w:lang w:val="en-US"/>
        </w:rPr>
      </w:pPr>
      <w:r>
        <w:rPr>
          <w:highlight w:val="none"/>
          <w:lang w:val="en-US"/>
        </w:rPr>
        <w:t xml:space="preserve"> </w:t>
      </w:r>
    </w:p>
    <w:p w14:paraId="2265E232">
      <w:pPr>
        <w:pStyle w:val="20"/>
        <w:widowControl/>
        <w:rPr>
          <w:highlight w:val="none"/>
          <w:lang w:val="en-US"/>
        </w:rPr>
      </w:pPr>
      <w:r>
        <w:rPr>
          <w:highlight w:val="none"/>
          <w:lang w:val="en-US"/>
        </w:rPr>
        <w:t xml:space="preserve"> </w:t>
      </w:r>
    </w:p>
    <w:p w14:paraId="313CB13E">
      <w:pPr>
        <w:pStyle w:val="20"/>
        <w:widowControl/>
        <w:rPr>
          <w:highlight w:val="none"/>
          <w:lang w:val="en-US"/>
        </w:rPr>
      </w:pPr>
      <w:r>
        <w:rPr>
          <w:highlight w:val="none"/>
          <w:lang w:val="en-US"/>
        </w:rPr>
        <w:t xml:space="preserve"> </w:t>
      </w:r>
    </w:p>
    <w:p w14:paraId="1B59EE29">
      <w:pPr>
        <w:pStyle w:val="20"/>
        <w:widowControl/>
        <w:rPr>
          <w:highlight w:val="none"/>
          <w:lang w:val="en-US"/>
        </w:rPr>
      </w:pPr>
      <w:r>
        <w:rPr>
          <w:highlight w:val="none"/>
          <w:lang w:val="en-US"/>
        </w:rPr>
        <w:t xml:space="preserve"> </w:t>
      </w:r>
    </w:p>
    <w:p w14:paraId="13060FF7">
      <w:pPr>
        <w:pStyle w:val="20"/>
        <w:widowControl/>
        <w:rPr>
          <w:rFonts w:eastAsia="宋体"/>
          <w:highlight w:val="none"/>
          <w:lang w:val="en-US"/>
        </w:rPr>
      </w:pPr>
      <w:r>
        <w:rPr>
          <w:highlight w:val="none"/>
          <w:lang w:val="en-US"/>
        </w:rPr>
        <w:t xml:space="preserve"> </w:t>
      </w:r>
    </w:p>
    <w:p w14:paraId="72405FB7">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14:paraId="3A101657">
      <w:pPr>
        <w:adjustRightInd w:val="0"/>
        <w:snapToGrid w:val="0"/>
        <w:ind w:firstLine="302" w:firstLineChars="94"/>
        <w:rPr>
          <w:rFonts w:hint="eastAsia" w:ascii="宋体" w:hAnsi="宋体"/>
          <w:b/>
          <w:sz w:val="32"/>
          <w:highlight w:val="none"/>
          <w:u w:val="thick"/>
        </w:rPr>
      </w:pPr>
    </w:p>
    <w:p w14:paraId="2E9A6BF1">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085CEEDC">
      <w:pPr>
        <w:adjustRightInd w:val="0"/>
        <w:snapToGrid w:val="0"/>
        <w:rPr>
          <w:rFonts w:hint="eastAsia" w:ascii="宋体" w:hAnsi="宋体"/>
          <w:spacing w:val="20"/>
          <w:sz w:val="32"/>
          <w:highlight w:val="none"/>
          <w:u w:val="single"/>
        </w:rPr>
      </w:pPr>
    </w:p>
    <w:p w14:paraId="4B01FC1A">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6</w:t>
      </w:r>
      <w:r>
        <w:rPr>
          <w:rFonts w:hint="eastAsia" w:ascii="宋体" w:hAnsi="宋体"/>
          <w:b/>
          <w:sz w:val="32"/>
          <w:highlight w:val="none"/>
          <w:u w:val="thick"/>
        </w:rPr>
        <w:t>年</w:t>
      </w:r>
      <w:r>
        <w:rPr>
          <w:rFonts w:hint="eastAsia" w:ascii="宋体" w:hAnsi="宋体"/>
          <w:b/>
          <w:sz w:val="32"/>
          <w:highlight w:val="none"/>
          <w:u w:val="thick"/>
          <w:lang w:val="en-US" w:eastAsia="zh-CN"/>
        </w:rPr>
        <w:t>5</w:t>
      </w:r>
      <w:r>
        <w:rPr>
          <w:rFonts w:hint="eastAsia" w:ascii="宋体" w:hAnsi="宋体"/>
          <w:b/>
          <w:sz w:val="32"/>
          <w:highlight w:val="none"/>
          <w:u w:val="thick"/>
        </w:rPr>
        <w:t xml:space="preserve">月            </w:t>
      </w:r>
    </w:p>
    <w:p w14:paraId="57DADD6F">
      <w:pPr>
        <w:pStyle w:val="9"/>
        <w:widowControl/>
        <w:spacing w:before="0" w:beforeAutospacing="0" w:after="120" w:afterAutospacing="0"/>
        <w:ind w:leftChars="200" w:right="0"/>
        <w:rPr>
          <w:highlight w:val="none"/>
          <w:lang w:val="en-US"/>
        </w:rPr>
      </w:pPr>
      <w:r>
        <w:rPr>
          <w:highlight w:val="none"/>
          <w:lang w:val="en-US"/>
        </w:rPr>
        <w:t xml:space="preserve"> </w:t>
      </w:r>
    </w:p>
    <w:p w14:paraId="64F2DFD4">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14:paraId="049D5674">
      <w:pPr>
        <w:jc w:val="center"/>
        <w:rPr>
          <w:rFonts w:hint="eastAsia" w:ascii="宋体" w:hAnsi="宋体" w:eastAsia="宋体" w:cs="宋体"/>
          <w:b/>
          <w:bCs w:val="0"/>
          <w:color w:val="000000"/>
          <w:kern w:val="0"/>
          <w:sz w:val="36"/>
          <w:szCs w:val="36"/>
          <w:highlight w:val="none"/>
          <w:u w:color="000000"/>
          <w:lang w:val="en-US" w:eastAsia="zh-CN" w:bidi="ar"/>
        </w:rPr>
      </w:pPr>
    </w:p>
    <w:p w14:paraId="68C9FD00">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0BBA8ED2">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14:paraId="5023954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648B403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第三章  资格审查办法……………………………………………………………14</w:t>
      </w:r>
    </w:p>
    <w:p w14:paraId="6AE266BC">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评标办法…………………………………………………………………15</w:t>
      </w:r>
    </w:p>
    <w:p w14:paraId="5A66841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用户需求书………………………………………………………………19</w:t>
      </w:r>
    </w:p>
    <w:p w14:paraId="1436ADDF">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合同条款及格式…………………………………………………………39</w:t>
      </w:r>
    </w:p>
    <w:p w14:paraId="36DFDF3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投标文件格式……………………………………………………………49</w:t>
      </w:r>
    </w:p>
    <w:p w14:paraId="7B3A915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招标人、招标代理机构对本招标文件的确认…………………………56</w:t>
      </w:r>
    </w:p>
    <w:p w14:paraId="7C586AB0">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69713157">
      <w:pPr>
        <w:pStyle w:val="20"/>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bookmarkStart w:id="109" w:name="_GoBack"/>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14:paraId="4801437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58430305"/>
      <w:bookmarkEnd w:id="5"/>
      <w:bookmarkStart w:id="6" w:name="_Toc35393621"/>
      <w:bookmarkEnd w:id="6"/>
      <w:bookmarkStart w:id="7" w:name="_Toc28359002"/>
      <w:bookmarkEnd w:id="7"/>
      <w:bookmarkStart w:id="8" w:name="_Toc28359079"/>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53112DB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 xml:space="preserve"> 滁州至南京城际铁路（滁州段）一期车辆段北门门岗安全改造项目（二次）的潜在投标人应在滁州市滁宁城际铁路开发建设有限公司网站（http://czctgs.cn/）获取招标文件，并于2026年6月4日9时00分（北京时间）前递交投标文件。</w:t>
      </w:r>
    </w:p>
    <w:p w14:paraId="03D1232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0043750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项目名称：滁州至南京城际铁路（滁州段）一期车辆段北门门岗安全改造项目（二次）</w:t>
      </w:r>
    </w:p>
    <w:p w14:paraId="552C87C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预算金额：</w:t>
      </w:r>
      <w:r>
        <w:rPr>
          <w:rFonts w:hint="eastAsia" w:ascii="宋体" w:hAnsi="宋体" w:eastAsia="宋体" w:cs="宋体"/>
          <w:b w:val="0"/>
          <w:bCs w:val="0"/>
          <w:color w:val="000000"/>
          <w:kern w:val="0"/>
          <w:sz w:val="24"/>
          <w:szCs w:val="24"/>
          <w:highlight w:val="none"/>
          <w:u w:color="000000"/>
          <w:lang w:val="en-US" w:eastAsia="zh-CN" w:bidi="ar"/>
        </w:rPr>
        <w:t>12.5万元</w:t>
      </w:r>
    </w:p>
    <w:p w14:paraId="4AF8BD9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最高限价：本项目最高限价为（人民币）125000.00元，投标报价不得超过最高限价，否则按无效投标处理。</w:t>
      </w:r>
    </w:p>
    <w:p w14:paraId="7F87A83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 xml:space="preserve">用户需求书：滁宁城际铁路相官车辆段北门门岗在机动车道道闸与围墙空隙处安装栅栏门；于非机动车通道区域新增4扇行人道闸，形成三通道，并配套安装行人道闸管理系统和人脸识别设备；同时，在行人道闸的前后方各安装两道减速带。详见用户需求书。 </w:t>
      </w:r>
    </w:p>
    <w:p w14:paraId="7C85A14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供货期：自签订合同之日起30个日历天内按招标人管理制度完成开工报审；60个日历天内完成全部设备安装、调试及验收工作。</w:t>
      </w:r>
    </w:p>
    <w:p w14:paraId="18D3B2AC">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58C6F4C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14:paraId="6E28913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Times New Roman"/>
          <w:b w:val="0"/>
          <w:bCs w:val="0"/>
          <w:kern w:val="0"/>
          <w:sz w:val="24"/>
          <w:szCs w:val="24"/>
          <w:highlight w:val="none"/>
          <w:lang w:val="en-US" w:eastAsia="zh-CN" w:bidi="ar-SA"/>
        </w:rPr>
        <w:t>投标人须在中华人民共和国境内注册（不含港澳台）并取得营业执照且具有相应供货服务能力。</w:t>
      </w:r>
    </w:p>
    <w:p w14:paraId="72B177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13F522E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2026年5月29日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2026年6月4日</w:t>
      </w:r>
    </w:p>
    <w:p w14:paraId="4C8A0E62">
      <w:pPr>
        <w:keepNext w:val="0"/>
        <w:keepLines w:val="0"/>
        <w:pageBreakBefore w:val="0"/>
        <w:kinsoku/>
        <w:overflowPunct/>
        <w:topLinePunct w:val="0"/>
        <w:autoSpaceDE/>
        <w:autoSpaceDN/>
        <w:bidi w:val="0"/>
        <w:adjustRightInd/>
        <w:snapToGrid/>
        <w:spacing w:line="48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343A6E1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341CE36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12C638E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bookmarkStart w:id="10" w:name="_Toc28359005"/>
      <w:bookmarkEnd w:id="10"/>
      <w:bookmarkStart w:id="11" w:name="_Toc58430308"/>
      <w:bookmarkEnd w:id="11"/>
      <w:bookmarkStart w:id="12" w:name="_Toc28359082"/>
      <w:bookmarkEnd w:id="12"/>
      <w:bookmarkStart w:id="13" w:name="_Toc35393793"/>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4D4A626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2026年6月4日9时00分</w:t>
      </w:r>
      <w:r>
        <w:rPr>
          <w:rFonts w:hint="eastAsia" w:ascii="宋体" w:hAnsi="宋体" w:eastAsia="宋体" w:cs="宋体"/>
          <w:bCs/>
          <w:color w:val="000000"/>
          <w:kern w:val="0"/>
          <w:sz w:val="24"/>
          <w:szCs w:val="24"/>
          <w:highlight w:val="none"/>
          <w:u w:color="000000"/>
          <w:lang w:val="en-US" w:eastAsia="zh-CN" w:bidi="ar"/>
        </w:rPr>
        <w:t>（北京时间）</w:t>
      </w:r>
    </w:p>
    <w:p w14:paraId="5C5872A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val="en-US" w:eastAsia="zh-CN"/>
        </w:rPr>
        <w:t>滁州市龙蟠大道109号（房产商务大厦）6楼622会议室</w:t>
      </w:r>
    </w:p>
    <w:p w14:paraId="6C3487F5">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文件递交方式：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000000"/>
          <w:kern w:val="0"/>
          <w:sz w:val="24"/>
          <w:szCs w:val="24"/>
          <w:highlight w:val="none"/>
          <w:u w:color="000000"/>
          <w:lang w:val="en-US" w:eastAsia="zh-CN" w:bidi="ar"/>
        </w:rPr>
        <w:fldChar w:fldCharType="begin"/>
      </w:r>
      <w:r>
        <w:rPr>
          <w:rFonts w:hint="eastAsia" w:ascii="宋体" w:hAnsi="宋体" w:eastAsia="宋体" w:cs="宋体"/>
          <w:color w:val="000000"/>
          <w:kern w:val="0"/>
          <w:sz w:val="24"/>
          <w:szCs w:val="24"/>
          <w:highlight w:val="none"/>
          <w:u w:color="000000"/>
          <w:lang w:val="en-US" w:eastAsia="zh-CN" w:bidi="ar"/>
        </w:rPr>
        <w:instrText xml:space="preserve"> HYPERLINK "mailto:2、在递交截止时间后30分钟内，将解压密码通过邮箱发送至代理机构邮箱（czsctgczx@163.com）" </w:instrText>
      </w:r>
      <w:r>
        <w:rPr>
          <w:rFonts w:hint="eastAsia" w:ascii="宋体" w:hAnsi="宋体" w:eastAsia="宋体" w:cs="宋体"/>
          <w:color w:val="000000"/>
          <w:kern w:val="0"/>
          <w:sz w:val="24"/>
          <w:szCs w:val="24"/>
          <w:highlight w:val="none"/>
          <w:u w:color="000000"/>
          <w:lang w:val="en-US" w:eastAsia="zh-CN" w:bidi="ar"/>
        </w:rPr>
        <w:fldChar w:fldCharType="separate"/>
      </w:r>
      <w:r>
        <w:rPr>
          <w:rFonts w:hint="eastAsia" w:ascii="宋体" w:hAnsi="宋体" w:eastAsia="宋体" w:cs="宋体"/>
          <w:color w:val="000000"/>
          <w:kern w:val="0"/>
          <w:sz w:val="24"/>
          <w:szCs w:val="24"/>
          <w:highlight w:val="none"/>
          <w:u w:color="000000"/>
          <w:lang w:val="en-US" w:eastAsia="zh-CN" w:bidi="ar"/>
        </w:rPr>
        <w:t>②在投标截止时间后30分钟内，将投标文件密码通过邮箱发送至滁州市城投工程咨询管理有限公司邮箱（czsctzx@163.com）</w:t>
      </w:r>
      <w:r>
        <w:rPr>
          <w:rFonts w:hint="eastAsia" w:ascii="宋体" w:hAnsi="宋体" w:eastAsia="宋体" w:cs="宋体"/>
          <w:color w:val="000000"/>
          <w:kern w:val="0"/>
          <w:sz w:val="24"/>
          <w:szCs w:val="24"/>
          <w:highlight w:val="none"/>
          <w:u w:color="000000"/>
          <w:lang w:val="en-US" w:eastAsia="zh-CN" w:bidi="ar"/>
        </w:rPr>
        <w:fldChar w:fldCharType="end"/>
      </w:r>
      <w:r>
        <w:rPr>
          <w:rFonts w:hint="eastAsia" w:ascii="宋体" w:hAnsi="宋体" w:eastAsia="宋体" w:cs="宋体"/>
          <w:color w:val="000000"/>
          <w:kern w:val="0"/>
          <w:sz w:val="24"/>
          <w:szCs w:val="24"/>
          <w:highlight w:val="none"/>
          <w:u w:color="000000"/>
          <w:lang w:val="en-US" w:eastAsia="zh-CN" w:bidi="ar"/>
        </w:rPr>
        <w:t>，未在规定时间内发送密码或发送的密码无法正确打开投标文件的，投标文件将被拒绝。</w:t>
      </w:r>
    </w:p>
    <w:p w14:paraId="186381E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502F0490">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w:t>
      </w:r>
      <w:r>
        <w:rPr>
          <w:rFonts w:hint="eastAsia" w:ascii="宋体" w:hAnsi="宋体" w:eastAsia="宋体" w:cs="宋体"/>
          <w:bCs/>
          <w:color w:val="auto"/>
          <w:kern w:val="0"/>
          <w:sz w:val="24"/>
          <w:highlight w:val="none"/>
          <w:u w:color="000000"/>
          <w:lang w:val="en-US" w:eastAsia="zh-CN" w:bidi="ar"/>
        </w:rPr>
        <w:t>不</w:t>
      </w:r>
      <w:r>
        <w:rPr>
          <w:rFonts w:hint="eastAsia" w:ascii="宋体" w:hAnsi="宋体" w:eastAsia="宋体" w:cs="宋体"/>
          <w:bCs/>
          <w:color w:val="auto"/>
          <w:kern w:val="0"/>
          <w:sz w:val="24"/>
          <w:highlight w:val="none"/>
          <w:u w:color="000000"/>
          <w:lang w:bidi="ar"/>
        </w:rPr>
        <w:t>要求。</w:t>
      </w:r>
    </w:p>
    <w:p w14:paraId="0AEACD3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77349B1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14:paraId="195CA35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14:paraId="582FFFE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14:paraId="47F8466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000000"/>
          <w:kern w:val="0"/>
          <w:sz w:val="24"/>
          <w:highlight w:val="none"/>
          <w:lang w:eastAsia="zh-CN" w:bidi="ar"/>
        </w:rPr>
        <w:t>13339207910</w:t>
      </w:r>
    </w:p>
    <w:p w14:paraId="41CD5F1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14:paraId="082FEFF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14:paraId="4DD7911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14:paraId="2BF4BF6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联系方式：0550-3519519、18005505728</w:t>
      </w:r>
    </w:p>
    <w:p w14:paraId="1C43192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3.项目联系方式</w:t>
      </w:r>
    </w:p>
    <w:p w14:paraId="2F73EC9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项目联系人：杨雅辰、周蓓蕾    </w:t>
      </w:r>
    </w:p>
    <w:p w14:paraId="1D30312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电话：13339207910、18005505728</w:t>
      </w:r>
    </w:p>
    <w:bookmarkEnd w:id="109"/>
    <w:p w14:paraId="15B7BEBE">
      <w:pPr>
        <w:keepNext w:val="0"/>
        <w:keepLines w:val="0"/>
        <w:pageBreakBefore w:val="0"/>
        <w:widowControl/>
        <w:numPr>
          <w:ilvl w:val="0"/>
          <w:numId w:val="1"/>
        </w:numPr>
        <w:suppressLineNumbers w:val="0"/>
        <w:kinsoku/>
        <w:overflowPunct/>
        <w:topLinePunct w:val="0"/>
        <w:autoSpaceDE w:val="0"/>
        <w:autoSpaceDN/>
        <w:bidi w:val="0"/>
        <w:adjustRightInd/>
        <w:snapToGrid/>
        <w:spacing w:before="0" w:beforeAutospacing="0" w:after="0" w:afterAutospacing="0" w:line="480" w:lineRule="exact"/>
        <w:ind w:right="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投标人须知</w:t>
      </w:r>
      <w:bookmarkStart w:id="16" w:name="_Toc9559"/>
      <w:bookmarkEnd w:id="16"/>
      <w:bookmarkStart w:id="17" w:name="_Toc28003_WPSOffice_Level2"/>
    </w:p>
    <w:p w14:paraId="46AA4A47">
      <w:pPr>
        <w:keepNext w:val="0"/>
        <w:keepLines w:val="0"/>
        <w:pageBreakBefore w:val="0"/>
        <w:widowControl/>
        <w:numPr>
          <w:ilvl w:val="0"/>
          <w:numId w:val="0"/>
        </w:numPr>
        <w:suppressLineNumbers w:val="0"/>
        <w:kinsoku/>
        <w:overflowPunct/>
        <w:topLinePunct w:val="0"/>
        <w:autoSpaceDE w:val="0"/>
        <w:autoSpaceDN/>
        <w:bidi w:val="0"/>
        <w:adjustRightInd/>
        <w:snapToGrid/>
        <w:spacing w:before="0" w:beforeAutospacing="0" w:after="0" w:afterAutospacing="0" w:line="480" w:lineRule="exact"/>
        <w:ind w:right="0" w:rightChars="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7"/>
    </w:p>
    <w:tbl>
      <w:tblPr>
        <w:tblStyle w:val="25"/>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014B12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79D18432">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2AD19423">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46C92CB0">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3DEDF6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1BE3D36">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9F79B70">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EB5F2B4">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cs="Times New Roman"/>
                <w:bCs/>
                <w:highlight w:val="none"/>
                <w:lang w:val="en-US" w:eastAsia="zh-CN"/>
              </w:rPr>
            </w:pPr>
            <w:r>
              <w:rPr>
                <w:rFonts w:hint="eastAsia" w:cs="Times New Roman"/>
                <w:bCs/>
                <w:highlight w:val="none"/>
                <w:lang w:eastAsia="zh-CN"/>
              </w:rPr>
              <w:t>滁州至南京城际铁路（滁州段）一期车辆段北门门岗安全改造项目（</w:t>
            </w:r>
            <w:r>
              <w:rPr>
                <w:rFonts w:hint="eastAsia" w:cs="Times New Roman"/>
                <w:bCs/>
                <w:highlight w:val="none"/>
                <w:lang w:val="en-US" w:eastAsia="zh-CN"/>
              </w:rPr>
              <w:t>二次）</w:t>
            </w:r>
          </w:p>
        </w:tc>
      </w:tr>
      <w:tr w14:paraId="41AC80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598881">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FDF3EC7">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BDE0AD4">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343A2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B1A8B0">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06D413">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E7DD6A9">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14:paraId="61021B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BDF2975">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F17EF3">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44EE84">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杨雅</w:t>
            </w:r>
            <w:r>
              <w:rPr>
                <w:rFonts w:hint="eastAsia" w:ascii="宋体" w:hAnsi="宋体" w:eastAsia="宋体" w:cs="宋体-18030"/>
                <w:color w:val="auto"/>
                <w:sz w:val="21"/>
                <w:szCs w:val="21"/>
                <w:highlight w:val="none"/>
                <w:lang w:val="en-US" w:eastAsia="zh-CN"/>
              </w:rPr>
              <w:t>辰  13339207910</w:t>
            </w:r>
          </w:p>
        </w:tc>
      </w:tr>
      <w:tr w14:paraId="635594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F41DC7C">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EB5C718">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E66BD4B">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14:paraId="10225E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7B4C7FA">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512C85">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E7429AC">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14:paraId="0634EB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2FB25F5">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18DD82">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90BD7EE">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12.5万元</w:t>
            </w:r>
          </w:p>
        </w:tc>
      </w:tr>
      <w:tr w14:paraId="722D8D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E83B9C">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2E656D7">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D647838">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125</w:t>
            </w:r>
            <w:r>
              <w:rPr>
                <w:rFonts w:hint="eastAsia" w:ascii="宋体" w:hAnsi="宋体" w:eastAsia="宋体" w:cs="宋体"/>
                <w:bCs/>
                <w:color w:val="000000"/>
                <w:szCs w:val="21"/>
                <w:highlight w:val="none"/>
                <w:lang w:val="en-US" w:eastAsia="zh-CN"/>
              </w:rPr>
              <w:t>000.00元，投标报价不得超过最高限价，否则按无效投标处理。</w:t>
            </w:r>
          </w:p>
        </w:tc>
      </w:tr>
      <w:tr w14:paraId="1EB403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0106EA">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51771F">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98EC8EA">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p>
        </w:tc>
      </w:tr>
      <w:tr w14:paraId="6156BB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E1CB8B">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A74711">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18EA6DE">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63E7C5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C2D4DD">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5F999B">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150A01E">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2046F9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61F256">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F75E68">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CB316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C30D0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FC1684">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362973">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4D11FD">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0EE711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DEB2CC">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23901C">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06243">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28C407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0CDB3D">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63C30C">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30C485">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6</w:t>
            </w:r>
            <w:r>
              <w:rPr>
                <w:rFonts w:cs="Times New Roman"/>
                <w:b w:val="0"/>
                <w:bCs w:val="0"/>
                <w:highlight w:val="none"/>
              </w:rPr>
              <w:t>年</w:t>
            </w:r>
            <w:r>
              <w:rPr>
                <w:rFonts w:hint="eastAsia" w:cs="Times New Roman"/>
                <w:b w:val="0"/>
                <w:bCs w:val="0"/>
                <w:highlight w:val="none"/>
                <w:lang w:val="en-US" w:eastAsia="zh-CN"/>
              </w:rPr>
              <w:t>6</w:t>
            </w:r>
            <w:r>
              <w:rPr>
                <w:rFonts w:cs="Times New Roman"/>
                <w:b w:val="0"/>
                <w:bCs w:val="0"/>
                <w:highlight w:val="none"/>
              </w:rPr>
              <w:t>月</w:t>
            </w:r>
            <w:r>
              <w:rPr>
                <w:rFonts w:hint="eastAsia" w:cs="Times New Roman"/>
                <w:b w:val="0"/>
                <w:bCs w:val="0"/>
                <w:highlight w:val="none"/>
                <w:lang w:val="en-US" w:eastAsia="zh-CN"/>
              </w:rPr>
              <w:t>1</w:t>
            </w:r>
            <w:r>
              <w:rPr>
                <w:rFonts w:cs="Times New Roman"/>
                <w:b w:val="0"/>
                <w:bCs w:val="0"/>
                <w:highlight w:val="none"/>
              </w:rPr>
              <w:t>日</w:t>
            </w:r>
            <w:r>
              <w:rPr>
                <w:rFonts w:hAnsi="Times New Roman" w:cs="Times New Roman"/>
                <w:b w:val="0"/>
                <w:bCs w:val="0"/>
                <w:highlight w:val="none"/>
                <w:lang w:val="en-US"/>
              </w:rPr>
              <w:t>1</w:t>
            </w:r>
            <w:r>
              <w:rPr>
                <w:rFonts w:hint="eastAsia" w:hAnsi="Times New Roman" w:cs="Times New Roman"/>
                <w:b w:val="0"/>
                <w:bCs w:val="0"/>
                <w:highlight w:val="none"/>
                <w:lang w:val="en-US" w:eastAsia="zh-CN"/>
              </w:rPr>
              <w:t>2</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14:paraId="5E7EE6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D35E22">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98D3735">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2EA56D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2026年6月1日17时后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14:paraId="5F8061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652E41">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9B80818">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DE0FF9">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542CEA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4FE3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AFBE2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95F3F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代理服务费金额：招标代理费2000元，不含专家评审费（专家评审费用以实际支付为准，预计2000元整）。</w:t>
            </w:r>
          </w:p>
          <w:p w14:paraId="0A2D303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14:paraId="528EA8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97D35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28F7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5F90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6BE6D8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F0CA0EA">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A2366D">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31B796">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65BC99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AD8C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EAD5D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905A8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6917C9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8E01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87C1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47F5A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689D9D0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89E71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51ACA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w:t>
            </w:r>
            <w:r>
              <w:rPr>
                <w:rFonts w:hint="eastAsia" w:ascii="宋体"/>
                <w:color w:val="auto"/>
                <w:sz w:val="21"/>
                <w:szCs w:val="21"/>
                <w:highlight w:val="none"/>
                <w:lang w:val="en-US" w:eastAsia="zh-CN"/>
              </w:rPr>
              <w:t>及样品</w:t>
            </w:r>
            <w:r>
              <w:rPr>
                <w:rFonts w:hint="eastAsia" w:ascii="宋体"/>
                <w:color w:val="auto"/>
                <w:sz w:val="21"/>
                <w:szCs w:val="21"/>
                <w:highlight w:val="none"/>
              </w:rPr>
              <w:t>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AF37A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4</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9</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14:paraId="0C1E36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F042F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C7B0B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ED43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7E3053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0D0D3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A1029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1B60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开标时间：2026年6月4日9时00分（北京时间）</w:t>
            </w:r>
          </w:p>
          <w:p w14:paraId="2BC2FCB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开标地点：滁州市龙蟠大道109号（房产商务大厦）6楼622会议室。</w:t>
            </w:r>
          </w:p>
        </w:tc>
      </w:tr>
      <w:tr w14:paraId="285E65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5F3065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2457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05D76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4C55DB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1E24F8A">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53964E">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B1AE7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7E0F93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6F7DE7">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4C3F13">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F492EDB">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73FDF5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DEA56A">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5D1504E">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129759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33FE59A3">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7351B8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268D56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F614B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0F31E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2E0631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27531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A39A25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2DB985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要求中标人提交履约</w:t>
            </w:r>
            <w:r>
              <w:rPr>
                <w:rFonts w:hint="eastAsia" w:ascii="宋体" w:hAnsi="宋体" w:eastAsia="宋体" w:cs="宋体"/>
                <w:highlight w:val="none"/>
                <w:lang w:val="en-US" w:eastAsia="zh-CN"/>
              </w:rPr>
              <w:t>担保</w:t>
            </w:r>
            <w:r>
              <w:rPr>
                <w:rFonts w:hint="eastAsia" w:ascii="宋体" w:hAnsi="宋体" w:eastAsia="宋体" w:cs="宋体"/>
                <w:highlight w:val="none"/>
              </w:rPr>
              <w:t>。</w:t>
            </w:r>
          </w:p>
          <w:p w14:paraId="7C405F0F">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形式：支持银行转账、银行电汇、银行保函、担保机构担保、保证保险使用。</w:t>
            </w:r>
          </w:p>
          <w:p w14:paraId="508727DE">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金额：中标合同金额×</w:t>
            </w:r>
            <w:r>
              <w:rPr>
                <w:rFonts w:hint="eastAsia" w:ascii="宋体" w:hAnsi="宋体" w:eastAsia="宋体" w:cs="宋体"/>
                <w:highlight w:val="none"/>
                <w:lang w:val="en-US" w:eastAsia="zh-CN"/>
              </w:rPr>
              <w:t>10</w:t>
            </w:r>
            <w:r>
              <w:rPr>
                <w:rFonts w:hint="eastAsia" w:ascii="宋体" w:hAnsi="宋体" w:eastAsia="宋体" w:cs="宋体"/>
                <w:highlight w:val="none"/>
              </w:rPr>
              <w:t>%；</w:t>
            </w:r>
          </w:p>
          <w:p w14:paraId="4F60F3B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收款单位：另行通知                  </w:t>
            </w:r>
          </w:p>
          <w:p w14:paraId="2A2EDA0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开户银行：另行通知                 </w:t>
            </w:r>
          </w:p>
          <w:p w14:paraId="77733A72">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银行账号：另行通知  </w:t>
            </w:r>
          </w:p>
          <w:p w14:paraId="1BD8D68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缴纳时限：中标人须在中标通知书发出后30日内完成履约</w:t>
            </w:r>
            <w:r>
              <w:rPr>
                <w:rFonts w:hint="eastAsia" w:ascii="宋体" w:hAnsi="宋体" w:eastAsia="宋体" w:cs="宋体"/>
                <w:highlight w:val="none"/>
                <w:lang w:val="en-US" w:eastAsia="zh-CN"/>
              </w:rPr>
              <w:t>担保</w:t>
            </w:r>
            <w:r>
              <w:rPr>
                <w:rFonts w:hint="eastAsia" w:ascii="宋体" w:hAnsi="宋体" w:eastAsia="宋体" w:cs="宋体"/>
                <w:highlight w:val="none"/>
              </w:rPr>
              <w:t xml:space="preserve">缴纳及合同签订，如未按期交齐履约保证金或未按期签订合同的，视同放弃中标资格。 </w:t>
            </w:r>
          </w:p>
          <w:p w14:paraId="0A21DEEA">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退还时限</w:t>
            </w:r>
            <w:r>
              <w:rPr>
                <w:rFonts w:hint="eastAsia" w:ascii="宋体" w:hAnsi="宋体" w:eastAsia="宋体" w:cs="宋体"/>
                <w:highlight w:val="none"/>
                <w:lang w:eastAsia="zh-CN"/>
              </w:rPr>
              <w:t>：</w:t>
            </w:r>
            <w:r>
              <w:rPr>
                <w:rFonts w:hint="eastAsia" w:ascii="宋体" w:hAnsi="宋体" w:eastAsia="宋体" w:cs="宋体"/>
                <w:highlight w:val="none"/>
                <w:lang w:val="en-US" w:eastAsia="zh-CN"/>
              </w:rPr>
              <w:t xml:space="preserve">中标人在本合同约定的服务期限届满并经招标人验收合格后30日内办理履约保证金（或履约保函）退还手续。 </w:t>
            </w:r>
          </w:p>
          <w:p w14:paraId="7081EBDE">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其他相关要求：</w:t>
            </w:r>
          </w:p>
          <w:p w14:paraId="6BC5B0D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1、采用银行保函的具体要求</w:t>
            </w:r>
          </w:p>
          <w:p w14:paraId="1942E47C">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①保函形式须为见索即付型（无条件保函）；</w:t>
            </w:r>
          </w:p>
          <w:p w14:paraId="64B0E31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②须经招标人认可。</w:t>
            </w:r>
          </w:p>
          <w:p w14:paraId="61B72103">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2、采用担保保函的具体要求：须经招标人认可。</w:t>
            </w:r>
          </w:p>
          <w:p w14:paraId="5EDB8D0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3、采用商业保险的具体要求：须经招标人认可。</w:t>
            </w:r>
          </w:p>
          <w:p w14:paraId="2227030E">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highlight w:val="none"/>
              </w:rPr>
              <w:t>4、采用第三方担保的具体要求：须经招标人认可。</w:t>
            </w:r>
          </w:p>
        </w:tc>
      </w:tr>
      <w:tr w14:paraId="7B33C6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0687B2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7E03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 xml:space="preserve">全部设备安装完成并验收合格后，中标人提交请款资料及增值税专用发票，招标人完成审核后，付款至合同价款的97%，剩余3%在待质保期（自项目验收合格之日起算1年）满且无任何质量问题一次性付清。 </w:t>
            </w:r>
          </w:p>
        </w:tc>
      </w:tr>
      <w:tr w14:paraId="1E3718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36417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496049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0F77B2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4857418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095010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21E5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5D22E1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3194C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094D81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2766F1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498CE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E309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4FF1DE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768E2A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6A0D4D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14:paraId="0AC4F7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2、评标委员会只依靠投标人递交的投标文件及其按照招标文件要求提供的所有证明材料进行评审，而不依靠任何外来的证明材料。</w:t>
            </w:r>
          </w:p>
          <w:p w14:paraId="6F63E2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p w14:paraId="059027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4、中标人提供的所有货物、材料或配件必须是全新的、合格的且未曾使用过的，否则，造成的一切后果由中标人承担。</w:t>
            </w:r>
          </w:p>
          <w:p w14:paraId="24D7D0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5、对于有损坏等未通过招标人验收合格的货物，中标人应自行清理出招标人场地并承担所有相关费用，不增加结算金额。</w:t>
            </w:r>
          </w:p>
          <w:p w14:paraId="4FA8BB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6、</w:t>
            </w:r>
            <w:r>
              <w:rPr>
                <w:rFonts w:hint="eastAsia" w:ascii="Times New Roman" w:hAnsi="Times New Roman" w:eastAsia="宋体" w:cs="Times New Roman"/>
                <w:highlight w:val="none"/>
                <w:lang w:val="en-US" w:eastAsia="zh-CN"/>
              </w:rPr>
              <w:t>招标人保留变更合同签订主体或增加第三方参与合同签订的权利。</w:t>
            </w:r>
          </w:p>
          <w:p w14:paraId="41EFA2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7、招标人对本项目执行过程中的所有争议拥有最终的裁决权，投标人应无条件地服从招标人的裁决，不得以任何理由提出增加本项目合同费用和延误本项目工期。</w:t>
            </w:r>
          </w:p>
          <w:p w14:paraId="518268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eastAsia="宋体"/>
                <w:highlight w:val="none"/>
                <w:lang w:val="en-US" w:eastAsia="zh-CN"/>
              </w:rPr>
            </w:pPr>
            <w:r>
              <w:rPr>
                <w:rFonts w:hint="eastAsia"/>
                <w:highlight w:val="none"/>
                <w:lang w:val="en-US" w:eastAsia="zh-CN"/>
              </w:rPr>
              <w:t>8、本项目严禁非法转包，一经发现，招标人依法处理。</w:t>
            </w:r>
          </w:p>
        </w:tc>
      </w:tr>
    </w:tbl>
    <w:p w14:paraId="66FE8003">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14:paraId="17C9A56F">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449D382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14:paraId="0E3FDFA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7415B0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09AD4A6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3187F3C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14:paraId="695365B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14:paraId="3EE3943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4A85545F">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44564A7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662DED8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656B64E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59761A1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11E88C3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769EAC6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2501DB1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705978E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746F3D0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14:paraId="4AAAB3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1D8BE48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5D0E8E53">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14:paraId="07A8878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610F4AD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（详见第四章评标办法）</w:t>
      </w:r>
    </w:p>
    <w:p w14:paraId="5742EA3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4BEDCB41">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2CEA47E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438450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3C9E41F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1" w:name="_Toc296602429"/>
      <w:bookmarkEnd w:id="21"/>
      <w:bookmarkStart w:id="22" w:name="_Toc247527563"/>
      <w:bookmarkEnd w:id="22"/>
      <w:bookmarkStart w:id="23" w:name="_Toc152042315"/>
      <w:bookmarkEnd w:id="23"/>
      <w:bookmarkStart w:id="24" w:name="_Toc152045539"/>
      <w:bookmarkEnd w:id="24"/>
      <w:bookmarkStart w:id="25" w:name="_Toc247513962"/>
      <w:bookmarkEnd w:id="25"/>
      <w:bookmarkStart w:id="26" w:name="_Toc144974507"/>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14:paraId="6ED8425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D5AD10E">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1943CDED">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49CC04F0">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7664EDE5">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5A9CC7D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2D87B0E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667991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 联合投标</w:t>
      </w:r>
    </w:p>
    <w:p w14:paraId="16C8EE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08F70E2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0B5D753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3FFA7F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23AD1BFF">
      <w:pPr>
        <w:spacing w:line="360" w:lineRule="auto"/>
        <w:ind w:firstLine="420" w:firstLineChars="200"/>
        <w:rPr>
          <w:rFonts w:hint="eastAsia" w:ascii="宋体"/>
          <w:szCs w:val="21"/>
          <w:highlight w:val="none"/>
        </w:rPr>
      </w:pPr>
      <w:bookmarkStart w:id="28" w:name="_Toc24655"/>
      <w:bookmarkEnd w:id="28"/>
      <w:bookmarkStart w:id="29" w:name="_Toc10668_WPSOffice_Level3"/>
      <w:bookmarkEnd w:id="29"/>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154387F7">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14:paraId="02E25687">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14:paraId="17E2E871">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14:paraId="650B1BB6">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14:paraId="5EA21800">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14:paraId="0E199FBD">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14:paraId="1B2FBB4A">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421FD49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3890C355">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14:paraId="1E7702FA">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p>
    <w:p w14:paraId="5620FC83">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61211EC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 招标文件的编制依据</w:t>
      </w:r>
    </w:p>
    <w:p w14:paraId="5FF3DC6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1A948F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 招标文件的组成</w:t>
      </w:r>
    </w:p>
    <w:p w14:paraId="4B475B0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57A355B7">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第一章  招标公告</w:t>
      </w:r>
    </w:p>
    <w:p w14:paraId="10B2E017">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第二章  投标须知</w:t>
      </w:r>
    </w:p>
    <w:p w14:paraId="1752288B">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第三章  资格审查办法</w:t>
      </w:r>
    </w:p>
    <w:p w14:paraId="6D10238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第四章  评标办法</w:t>
      </w:r>
    </w:p>
    <w:p w14:paraId="2398EDE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第五章  用户需求书</w:t>
      </w:r>
    </w:p>
    <w:p w14:paraId="37B88F6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第六章  合同条款及格式</w:t>
      </w:r>
    </w:p>
    <w:p w14:paraId="187886B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第七章  投标文件格式</w:t>
      </w:r>
    </w:p>
    <w:p w14:paraId="38CC658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第八章  招标人、招标代理机构对本文件的确认</w:t>
      </w:r>
    </w:p>
    <w:p w14:paraId="311A984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3F40563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67D7E6D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16B2BF85">
      <w:pPr>
        <w:spacing w:line="440" w:lineRule="exact"/>
        <w:ind w:firstLine="420"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14:paraId="5F643BE0">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CC6301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2AE75A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 招标文件的发出</w:t>
      </w:r>
    </w:p>
    <w:p w14:paraId="2672C1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77D8513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0" w:name="_Toc1549_WPSOffice_Level3"/>
      <w:bookmarkEnd w:id="30"/>
      <w:bookmarkStart w:id="31" w:name="_Toc9710"/>
      <w:r>
        <w:rPr>
          <w:rFonts w:hint="eastAsia" w:ascii="宋体" w:hAnsi="宋体" w:eastAsia="宋体" w:cs="宋体"/>
          <w:b/>
          <w:bCs w:val="0"/>
          <w:color w:val="000000"/>
          <w:kern w:val="0"/>
          <w:sz w:val="21"/>
          <w:szCs w:val="21"/>
          <w:highlight w:val="none"/>
          <w:u w:color="000000"/>
          <w:lang w:val="en-US" w:eastAsia="zh-CN" w:bidi="ar"/>
        </w:rPr>
        <w:t>19.样品</w:t>
      </w:r>
      <w:bookmarkEnd w:id="31"/>
    </w:p>
    <w:p w14:paraId="20DA793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1E81783C">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1F40CE47">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 投标的语言及度量衡单位</w:t>
      </w:r>
    </w:p>
    <w:p w14:paraId="4E43174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14:paraId="538CB80F">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14:paraId="040871EC">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14:paraId="2A83C705">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w:t>
      </w:r>
      <w:r>
        <w:rPr>
          <w:rFonts w:hint="default" w:ascii="宋体" w:hAnsi="宋体" w:eastAsia="宋体" w:cs="宋体"/>
          <w:color w:val="000000"/>
          <w:kern w:val="0"/>
          <w:sz w:val="21"/>
          <w:szCs w:val="21"/>
          <w:highlight w:val="none"/>
          <w:u w:color="000000"/>
          <w:lang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签字盖章完毕后扫描成一个连续性的整体PDF格式文件。</w:t>
      </w:r>
    </w:p>
    <w:p w14:paraId="34D8DBB4">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21.2投标文件的编制</w:t>
      </w:r>
    </w:p>
    <w:p w14:paraId="3ED9BAEF">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14:paraId="3AF4E612">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53765A0D">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14:paraId="108D8313">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14:paraId="12D0DBD9">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包括完成本项目全部供货及服务的一切费用：包括但不限于材料费、装卸费、运输费、管理费、安装费、其他费用（如包装费、仓储费、保管费）、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w:t>
      </w:r>
    </w:p>
    <w:p w14:paraId="337A7458">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22.4投标报价的价格是完成项目全部内容（包括后期的相关服务）的价格，其总价即为履行合同的固定总价。</w:t>
      </w:r>
    </w:p>
    <w:p w14:paraId="67A2F6E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14:paraId="57A545A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14:paraId="225928F8">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24B73527">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08E2BB90">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54BEF1E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除投标人须知前附表另有规定外，投标有效期为60天。</w:t>
      </w:r>
    </w:p>
    <w:p w14:paraId="1BF5286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7F018D6A">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6AE99086">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08E9E097">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7749EDA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14:paraId="1B1DB80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b/>
          <w:bCs w:val="0"/>
          <w:highlight w:val="none"/>
          <w:lang w:val="en-US"/>
        </w:rPr>
      </w:pPr>
      <w:bookmarkStart w:id="34" w:name="_Toc490"/>
      <w:bookmarkEnd w:id="34"/>
      <w:bookmarkStart w:id="35" w:name="_Toc30407_WPSOffice_Level3"/>
      <w:bookmarkEnd w:id="35"/>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0157167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PDF电子版投标文件。投标人中标后须递交与网上电子投标文件完全一致的纸质版投标文件，并按要求加盖公章；份数：正本1份，副本2份；中标单位领取中标通知书时，一并递交给招标代理机构。</w:t>
      </w:r>
    </w:p>
    <w:p w14:paraId="286B56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7DA5DF4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 投标文件的提交</w:t>
      </w:r>
    </w:p>
    <w:p w14:paraId="4AF9824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0F241F9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27．投标文件的</w:t>
      </w:r>
      <w:r>
        <w:rPr>
          <w:rFonts w:hint="eastAsia" w:ascii="宋体"/>
          <w:b/>
          <w:szCs w:val="21"/>
          <w:highlight w:val="none"/>
        </w:rPr>
        <w:t>修改与撤回</w:t>
      </w:r>
    </w:p>
    <w:p w14:paraId="34E8312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7B884CA0">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18CA468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bookmarkStart w:id="36" w:name="_Toc28864"/>
      <w:bookmarkEnd w:id="36"/>
      <w:bookmarkStart w:id="37" w:name="_Toc8453_WPSOffice_Level3"/>
      <w:r>
        <w:rPr>
          <w:rFonts w:hint="eastAsia" w:ascii="宋体" w:hAnsi="宋体" w:eastAsia="宋体" w:cs="宋体"/>
          <w:b/>
          <w:bCs w:val="0"/>
          <w:color w:val="000000"/>
          <w:kern w:val="0"/>
          <w:sz w:val="21"/>
          <w:szCs w:val="21"/>
          <w:highlight w:val="none"/>
          <w:u w:color="000000"/>
          <w:lang w:val="en-US" w:eastAsia="zh-CN" w:bidi="ar"/>
        </w:rPr>
        <w:t>28.</w:t>
      </w:r>
      <w:r>
        <w:rPr>
          <w:rFonts w:hint="eastAsia" w:ascii="黑体" w:hAnsi="宋体" w:eastAsia="黑体" w:cs="宋体"/>
          <w:b/>
          <w:bCs w:val="0"/>
          <w:color w:val="000000"/>
          <w:kern w:val="0"/>
          <w:sz w:val="21"/>
          <w:szCs w:val="21"/>
          <w:highlight w:val="none"/>
          <w:u w:color="000000"/>
          <w:lang w:val="en-US" w:eastAsia="zh-CN" w:bidi="ar"/>
        </w:rPr>
        <w:t>开标</w:t>
      </w:r>
    </w:p>
    <w:p w14:paraId="1E5A5BF2">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2283822C">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722E3AA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203BC21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8" w:name="_Toc15542_WPSOffice_Level3"/>
      <w:bookmarkEnd w:id="38"/>
      <w:r>
        <w:rPr>
          <w:rFonts w:hint="eastAsia" w:ascii="宋体" w:hAnsi="宋体" w:eastAsia="宋体" w:cs="宋体"/>
          <w:color w:val="000000"/>
          <w:kern w:val="0"/>
          <w:sz w:val="21"/>
          <w:szCs w:val="21"/>
          <w:highlight w:val="none"/>
          <w:u w:color="000000"/>
          <w:lang w:val="en-US" w:eastAsia="zh-CN" w:bidi="ar"/>
        </w:rPr>
        <w:t>28.2.1招标人可以邀请相关监管部门参加。</w:t>
      </w:r>
    </w:p>
    <w:p w14:paraId="0FCD1FA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99F5213">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13DBB84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6981901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409899A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BCB440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6923436">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29.开标异议</w:t>
      </w:r>
    </w:p>
    <w:p w14:paraId="6B92F22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0157C60D">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30.评标委员会</w:t>
      </w:r>
    </w:p>
    <w:p w14:paraId="3985D341">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14:paraId="0B01EBC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53FA51E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45E5AF56">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4C97829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2C98505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73B4E9C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2B1A9721">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5094578A">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1D37B27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2BB48C23">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14:paraId="750F17A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章“评标办法”没有规定的方法、评审因素和标准，不作为评标依据。</w:t>
      </w:r>
    </w:p>
    <w:p w14:paraId="2EF7E83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17190F33">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757B694E">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9" w:name="_Toc5272_WPSOffice_Level3"/>
      <w:bookmarkEnd w:id="39"/>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7E58080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F6C7515">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BD4457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0491C263">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5D85599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684098F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6928153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41827E7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54DD55BB">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24587682">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14:paraId="4AA52FE9">
      <w:pPr>
        <w:keepNext w:val="0"/>
        <w:keepLines w:val="0"/>
        <w:widowControl/>
        <w:suppressLineNumbers w:val="0"/>
        <w:spacing w:before="0" w:beforeAutospacing="0" w:after="0" w:afterAutospacing="0" w:line="420" w:lineRule="exact"/>
        <w:ind w:left="0" w:right="-312"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14:paraId="5A226875">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33.重新招标 </w:t>
      </w:r>
    </w:p>
    <w:p w14:paraId="7B5BB3A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14:paraId="586DC432">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14:paraId="366BCB5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14:paraId="691BA37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14:paraId="01E638B2">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7"/>
    </w:p>
    <w:p w14:paraId="228FC7AF">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34.中标公示</w:t>
      </w:r>
    </w:p>
    <w:p w14:paraId="6B6AFE9C">
      <w:pPr>
        <w:spacing w:line="42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.1</w:t>
      </w:r>
      <w:r>
        <w:rPr>
          <w:rFonts w:hint="eastAsia" w:ascii="宋体" w:hAnsi="Times New Roman" w:eastAsia="宋体" w:cs="Times New Roman"/>
          <w:color w:val="auto"/>
          <w:szCs w:val="21"/>
          <w:highlight w:val="none"/>
        </w:rPr>
        <w:t>招标人在收到评标报告之日起3日内，按照投标人须知前附表规定的公示媒介和期限依法公示。公示期不得少于3日。</w:t>
      </w:r>
    </w:p>
    <w:p w14:paraId="0003EF53">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35.评标结果异议</w:t>
      </w:r>
    </w:p>
    <w:p w14:paraId="1FFD0A6E">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.1投标人或其他利害关系人对评标结果有异议的，应在中标候选人公示期内提出。招标人将在收到异议之日起3日内作出答复；作出答复前，将暂停招标投标活动。</w:t>
      </w:r>
    </w:p>
    <w:p w14:paraId="74E094C7">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36.定标</w:t>
      </w:r>
    </w:p>
    <w:p w14:paraId="50C8098D">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00171E77">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37.中标通知</w:t>
      </w:r>
    </w:p>
    <w:p w14:paraId="76C1D296">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.1在本招标文件规定的投标有效期内，招标人向中标人发出中标通知书，同时将中标结果通知未中标的投标人。</w:t>
      </w:r>
    </w:p>
    <w:p w14:paraId="05F828FE">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38.</w:t>
      </w:r>
      <w:bookmarkStart w:id="40" w:name="_Toc217446068"/>
      <w:r>
        <w:rPr>
          <w:rFonts w:hint="eastAsia" w:ascii="黑体" w:hAnsi="宋体" w:eastAsia="黑体" w:cs="宋体"/>
          <w:b/>
          <w:bCs w:val="0"/>
          <w:color w:val="auto"/>
          <w:kern w:val="0"/>
          <w:sz w:val="21"/>
          <w:szCs w:val="21"/>
          <w:highlight w:val="none"/>
          <w:u w:color="000000"/>
          <w:lang w:val="en-US" w:eastAsia="zh-CN" w:bidi="ar"/>
        </w:rPr>
        <w:t>履约保证金</w:t>
      </w:r>
      <w:bookmarkEnd w:id="40"/>
    </w:p>
    <w:p w14:paraId="6CDE1BCF">
      <w:pPr>
        <w:spacing w:line="420" w:lineRule="exact"/>
        <w:ind w:firstLine="420" w:firstLineChars="200"/>
        <w:jc w:val="left"/>
        <w:rPr>
          <w:rFonts w:ascii="宋体" w:hAnsi="Times New Roman" w:eastAsia="宋体" w:cs="Times New Roman"/>
          <w:color w:val="auto"/>
          <w:szCs w:val="21"/>
          <w:highlight w:val="none"/>
        </w:rPr>
      </w:pPr>
      <w:bookmarkStart w:id="41" w:name="_Toc316_WPSOffice_Level3"/>
      <w:bookmarkEnd w:id="41"/>
      <w:bookmarkStart w:id="42" w:name="_Toc23484"/>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8</w:t>
      </w:r>
      <w:r>
        <w:rPr>
          <w:rFonts w:hint="eastAsia" w:ascii="宋体" w:hAnsi="Times New Roman" w:eastAsia="宋体" w:cs="Times New Roman"/>
          <w:color w:val="auto"/>
          <w:szCs w:val="21"/>
          <w:highlight w:val="none"/>
        </w:rPr>
        <w:t>.1</w:t>
      </w:r>
      <w:bookmarkEnd w:id="42"/>
      <w:r>
        <w:rPr>
          <w:rFonts w:hint="eastAsia" w:ascii="宋体" w:hAnsi="Times New Roman" w:eastAsia="宋体" w:cs="Times New Roman"/>
          <w:color w:val="auto"/>
          <w:szCs w:val="21"/>
          <w:highlight w:val="none"/>
        </w:rPr>
        <w:t>在签订合同前，中标人应按投标人须知前附表规定的担保形式和招标文件第</w:t>
      </w:r>
      <w:r>
        <w:rPr>
          <w:rFonts w:hint="eastAsia" w:ascii="宋体" w:hAnsi="Times New Roman" w:eastAsia="宋体" w:cs="Times New Roman"/>
          <w:color w:val="auto"/>
          <w:szCs w:val="21"/>
          <w:highlight w:val="none"/>
          <w:lang w:val="en-US" w:eastAsia="zh-CN"/>
        </w:rPr>
        <w:t>六</w:t>
      </w:r>
      <w:r>
        <w:rPr>
          <w:rFonts w:hint="eastAsia" w:ascii="宋体" w:hAnsi="Times New Roman" w:eastAsia="宋体" w:cs="Times New Roman"/>
          <w:color w:val="auto"/>
          <w:szCs w:val="21"/>
          <w:highlight w:val="none"/>
        </w:rPr>
        <w:t>章“合同条款及格式”规定的或者事先经过招标人书面认可的履约担保格式向招标人提交履约担保。</w:t>
      </w:r>
    </w:p>
    <w:p w14:paraId="3E1696E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8</w:t>
      </w:r>
      <w:r>
        <w:rPr>
          <w:rFonts w:hint="eastAsia" w:ascii="宋体" w:hAnsi="Times New Roman" w:eastAsia="宋体" w:cs="Times New Roman"/>
          <w:color w:val="auto"/>
          <w:szCs w:val="21"/>
          <w:highlight w:val="none"/>
        </w:rPr>
        <w:t>.2中标人不能按本章第3</w:t>
      </w:r>
      <w:r>
        <w:rPr>
          <w:rFonts w:hint="eastAsia" w:ascii="宋体" w:hAnsi="Times New Roman" w:eastAsia="宋体" w:cs="Times New Roman"/>
          <w:color w:val="auto"/>
          <w:szCs w:val="21"/>
          <w:highlight w:val="none"/>
          <w:lang w:val="en-US" w:eastAsia="zh-CN"/>
        </w:rPr>
        <w:t>8.</w:t>
      </w:r>
      <w:r>
        <w:rPr>
          <w:rFonts w:hint="eastAsia" w:ascii="宋体" w:hAnsi="Times New Roman" w:eastAsia="宋体" w:cs="Times New Roman"/>
          <w:color w:val="auto"/>
          <w:szCs w:val="21"/>
          <w:highlight w:val="none"/>
        </w:rPr>
        <w:t>1项要求提交履约担保的，视为放弃中标，给招标人造成的损失，中标人还应当予以赔偿。</w:t>
      </w:r>
    </w:p>
    <w:p w14:paraId="458C332C">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63CC43F8">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9</w:t>
      </w:r>
      <w:r>
        <w:rPr>
          <w:rFonts w:hint="eastAsia" w:ascii="宋体" w:hAnsi="宋体" w:eastAsia="宋体" w:cs="宋体"/>
          <w:b/>
          <w:color w:val="auto"/>
          <w:kern w:val="0"/>
          <w:szCs w:val="21"/>
          <w:highlight w:val="none"/>
          <w:u w:color="000000"/>
          <w:lang w:bidi="ar"/>
        </w:rPr>
        <w:t xml:space="preserve">.对招标人的纪律要求 </w:t>
      </w:r>
    </w:p>
    <w:p w14:paraId="79688B7C">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9</w:t>
      </w:r>
      <w:r>
        <w:rPr>
          <w:rFonts w:hint="eastAsia" w:ascii="宋体" w:hAnsi="Times New Roman" w:eastAsia="宋体" w:cs="Times New Roman"/>
          <w:color w:val="auto"/>
          <w:szCs w:val="21"/>
          <w:highlight w:val="none"/>
        </w:rPr>
        <w:t xml:space="preserve">.1招标人不得泄漏招标投标活动中应当保密的情况和资料，不得与投标人串通损害国家利益，社会公共利益或者他人合法权益。 </w:t>
      </w:r>
    </w:p>
    <w:p w14:paraId="6CA2D6DA">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val="en-US" w:eastAsia="zh-CN" w:bidi="ar"/>
        </w:rPr>
        <w:t>40</w:t>
      </w:r>
      <w:r>
        <w:rPr>
          <w:rFonts w:hint="eastAsia" w:ascii="宋体" w:hAnsi="宋体" w:eastAsia="宋体" w:cs="宋体"/>
          <w:b/>
          <w:color w:val="auto"/>
          <w:kern w:val="0"/>
          <w:szCs w:val="21"/>
          <w:highlight w:val="none"/>
          <w:u w:color="000000"/>
          <w:lang w:bidi="ar"/>
        </w:rPr>
        <w:t xml:space="preserve">.对投标人的纪律要求 </w:t>
      </w:r>
    </w:p>
    <w:p w14:paraId="41F6306E">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40</w:t>
      </w:r>
      <w:r>
        <w:rPr>
          <w:rFonts w:hint="eastAsia" w:ascii="宋体" w:hAnsi="Times New Roman" w:eastAsia="宋体" w:cs="Times New Roman"/>
          <w:color w:val="auto"/>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05C50E80">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1</w:t>
      </w:r>
      <w:r>
        <w:rPr>
          <w:rFonts w:hint="eastAsia" w:ascii="宋体" w:hAnsi="宋体" w:eastAsia="宋体" w:cs="宋体"/>
          <w:b/>
          <w:color w:val="auto"/>
          <w:kern w:val="0"/>
          <w:szCs w:val="21"/>
          <w:highlight w:val="none"/>
          <w:u w:color="000000"/>
          <w:lang w:bidi="ar"/>
        </w:rPr>
        <w:t xml:space="preserve">.对评标委员会成员的纪律要求 </w:t>
      </w:r>
    </w:p>
    <w:p w14:paraId="3ED1BFE3">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41</w:t>
      </w:r>
      <w:r>
        <w:rPr>
          <w:rFonts w:hint="eastAsia" w:ascii="宋体" w:hAnsi="Times New Roman" w:eastAsia="宋体" w:cs="Times New Roman"/>
          <w:color w:val="auto"/>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6BEF2903">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2</w:t>
      </w:r>
      <w:r>
        <w:rPr>
          <w:rFonts w:hint="eastAsia" w:ascii="宋体" w:hAnsi="宋体" w:eastAsia="宋体" w:cs="宋体"/>
          <w:b/>
          <w:color w:val="auto"/>
          <w:kern w:val="0"/>
          <w:szCs w:val="21"/>
          <w:highlight w:val="none"/>
          <w:u w:color="000000"/>
          <w:lang w:bidi="ar"/>
        </w:rPr>
        <w:t xml:space="preserve">.对与评标活动有关的工作人员的纪律要求 </w:t>
      </w:r>
    </w:p>
    <w:p w14:paraId="4EB9F6DF">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5CF1532">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54A09353">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3</w:t>
      </w:r>
      <w:r>
        <w:rPr>
          <w:rFonts w:hint="eastAsia" w:ascii="宋体" w:hAnsi="宋体" w:eastAsia="宋体" w:cs="宋体"/>
          <w:b/>
          <w:color w:val="auto"/>
          <w:kern w:val="0"/>
          <w:szCs w:val="21"/>
          <w:highlight w:val="none"/>
          <w:u w:color="000000"/>
          <w:lang w:bidi="ar"/>
        </w:rPr>
        <w:t>.投诉</w:t>
      </w:r>
    </w:p>
    <w:p w14:paraId="48F4632A">
      <w:pPr>
        <w:spacing w:line="420" w:lineRule="exact"/>
        <w:ind w:firstLine="420" w:firstLineChars="200"/>
        <w:jc w:val="left"/>
        <w:rPr>
          <w:rFonts w:hint="eastAsia" w:ascii="宋体"/>
          <w:b/>
          <w:color w:val="auto"/>
          <w:sz w:val="32"/>
          <w:szCs w:val="32"/>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51E1D294">
      <w:pPr>
        <w:spacing w:line="420" w:lineRule="exact"/>
        <w:ind w:firstLine="640" w:firstLineChars="200"/>
        <w:jc w:val="left"/>
        <w:rPr>
          <w:rFonts w:hint="eastAsia" w:ascii="宋体"/>
          <w:b/>
          <w:color w:val="auto"/>
          <w:sz w:val="32"/>
          <w:szCs w:val="32"/>
          <w:highlight w:val="none"/>
        </w:rPr>
      </w:pPr>
    </w:p>
    <w:p w14:paraId="48771897">
      <w:pPr>
        <w:rPr>
          <w:rFonts w:hint="eastAsia" w:ascii="宋体"/>
          <w:b/>
          <w:color w:val="auto"/>
          <w:sz w:val="32"/>
          <w:szCs w:val="32"/>
          <w:highlight w:val="none"/>
        </w:rPr>
      </w:pPr>
      <w:r>
        <w:rPr>
          <w:rFonts w:hint="eastAsia" w:ascii="宋体"/>
          <w:b/>
          <w:color w:val="auto"/>
          <w:sz w:val="32"/>
          <w:szCs w:val="32"/>
          <w:highlight w:val="none"/>
        </w:rPr>
        <w:br w:type="page"/>
      </w:r>
    </w:p>
    <w:p w14:paraId="168B1AB6">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4FF62F00">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1E00ACD9">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5"/>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52F4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0CC19D4A">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14:paraId="142266E1">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14:paraId="7C34AD61">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14:paraId="070F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70356464">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23A24DE5">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14:paraId="7CE7F292">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noWrap w:val="0"/>
            <w:vAlign w:val="center"/>
          </w:tcPr>
          <w:p w14:paraId="76734E10">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14:paraId="7B0A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29DBC902">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1673CA47">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14:paraId="546F0711">
            <w:pPr>
              <w:keepNext w:val="0"/>
              <w:keepLines w:val="0"/>
              <w:suppressLineNumbers w:val="0"/>
              <w:spacing w:before="0" w:beforeAutospacing="0" w:after="0" w:afterAutospacing="0" w:line="320" w:lineRule="exact"/>
              <w:ind w:left="0" w:right="0"/>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（2）具有独立承担民事责任的能力</w:t>
            </w:r>
          </w:p>
        </w:tc>
        <w:tc>
          <w:tcPr>
            <w:tcW w:w="3929" w:type="dxa"/>
            <w:noWrap w:val="0"/>
            <w:vAlign w:val="center"/>
          </w:tcPr>
          <w:p w14:paraId="7168B65D">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27D073C5">
            <w:pPr>
              <w:keepNext w:val="0"/>
              <w:keepLines w:val="0"/>
              <w:suppressLineNumbers w:val="0"/>
              <w:spacing w:before="0" w:beforeAutospacing="0" w:after="0" w:afterAutospacing="0" w:line="320" w:lineRule="exact"/>
              <w:ind w:left="0" w:right="0"/>
              <w:jc w:val="left"/>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1752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7D4EA2C3">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222B604D">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58C12D70">
            <w:pPr>
              <w:keepNext w:val="0"/>
              <w:keepLines w:val="0"/>
              <w:suppressLineNumbers w:val="0"/>
              <w:spacing w:before="0" w:beforeAutospacing="0" w:after="0" w:afterAutospacing="0" w:line="320" w:lineRule="exact"/>
              <w:ind w:left="0" w:right="0"/>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（3）诚信投标承诺书</w:t>
            </w:r>
          </w:p>
        </w:tc>
        <w:tc>
          <w:tcPr>
            <w:tcW w:w="3929" w:type="dxa"/>
            <w:noWrap w:val="0"/>
            <w:vAlign w:val="center"/>
          </w:tcPr>
          <w:p w14:paraId="75423EB2">
            <w:pPr>
              <w:keepNext w:val="0"/>
              <w:keepLines w:val="0"/>
              <w:suppressLineNumbers w:val="0"/>
              <w:spacing w:before="0" w:beforeAutospacing="0" w:after="0" w:afterAutospacing="0" w:line="360" w:lineRule="exact"/>
              <w:ind w:left="0" w:right="0"/>
              <w:jc w:val="left"/>
              <w:rPr>
                <w:rFonts w:hint="eastAsia" w:ascii="宋体"/>
                <w:b/>
                <w:color w:val="000000"/>
                <w:szCs w:val="21"/>
                <w:highlight w:val="none"/>
              </w:rPr>
            </w:pPr>
            <w:r>
              <w:rPr>
                <w:rFonts w:hint="eastAsia"/>
                <w:color w:val="000000"/>
                <w:highlight w:val="none"/>
              </w:rPr>
              <w:t>格式见附件，检验电子标书</w:t>
            </w:r>
          </w:p>
        </w:tc>
      </w:tr>
      <w:tr w14:paraId="710F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619BDE92">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4BF990DE">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7063ABCB">
            <w:pPr>
              <w:keepNext w:val="0"/>
              <w:keepLines w:val="0"/>
              <w:suppressLineNumbers w:val="0"/>
              <w:spacing w:before="0" w:beforeAutospacing="0" w:after="0" w:afterAutospacing="0" w:line="320" w:lineRule="exact"/>
              <w:ind w:left="0" w:right="0"/>
              <w:jc w:val="left"/>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（4）服务承诺书</w:t>
            </w:r>
          </w:p>
        </w:tc>
        <w:tc>
          <w:tcPr>
            <w:tcW w:w="3929" w:type="dxa"/>
            <w:noWrap w:val="0"/>
            <w:vAlign w:val="center"/>
          </w:tcPr>
          <w:p w14:paraId="63E978CD">
            <w:pPr>
              <w:keepNext w:val="0"/>
              <w:keepLines w:val="0"/>
              <w:suppressLineNumbers w:val="0"/>
              <w:spacing w:before="0" w:beforeAutospacing="0" w:after="0" w:afterAutospacing="0" w:line="360" w:lineRule="exact"/>
              <w:ind w:left="0" w:right="0"/>
              <w:jc w:val="left"/>
              <w:rPr>
                <w:rFonts w:hint="eastAsia" w:ascii="宋体"/>
                <w:color w:val="000000"/>
                <w:szCs w:val="21"/>
                <w:highlight w:val="none"/>
              </w:rPr>
            </w:pPr>
            <w:r>
              <w:rPr>
                <w:rFonts w:hint="eastAsia"/>
                <w:color w:val="000000"/>
                <w:highlight w:val="none"/>
              </w:rPr>
              <w:t>格式见附件，检验电子标书</w:t>
            </w:r>
          </w:p>
        </w:tc>
      </w:tr>
    </w:tbl>
    <w:p w14:paraId="415B144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000000"/>
        </w:rPr>
      </w:pPr>
      <w:bookmarkStart w:id="43" w:name="_Toc15058909"/>
      <w:bookmarkStart w:id="44" w:name="_Toc95223395"/>
      <w:bookmarkStart w:id="45" w:name="_Toc60061492"/>
      <w:bookmarkStart w:id="46" w:name="_Toc506107320"/>
      <w:r>
        <w:rPr>
          <w:rFonts w:hint="eastAsia" w:ascii="Times New Roman" w:hAnsi="Times New Roman" w:eastAsia="宋体" w:cs="Times New Roman"/>
          <w:color w:val="000000"/>
        </w:rPr>
        <w:t>重要提示：</w:t>
      </w:r>
    </w:p>
    <w:p w14:paraId="6E3ED63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lang w:eastAsia="zh-CN"/>
        </w:rPr>
        <w:t>（</w:t>
      </w:r>
      <w:r>
        <w:rPr>
          <w:rFonts w:hint="eastAsia" w:ascii="Times New Roman" w:hAnsi="Times New Roman" w:eastAsia="宋体" w:cs="Times New Roman"/>
          <w:color w:val="000000"/>
          <w:lang w:val="en-US" w:eastAsia="zh-CN"/>
        </w:rPr>
        <w:t>1）</w:t>
      </w:r>
      <w:r>
        <w:rPr>
          <w:rFonts w:hint="eastAsia" w:ascii="Times New Roman" w:hAnsi="Times New Roman" w:eastAsia="宋体" w:cs="Times New Roman"/>
          <w:color w:val="000000"/>
        </w:rPr>
        <w:t>评标专家在检验投标文件过程中，如果由于投标人自身原因导致评标专家无法查看并检验投标文件中相关资料的，视为无效标处理。即使投标人将原件携带至现场的，同样按无效标处理</w:t>
      </w:r>
      <w:r>
        <w:rPr>
          <w:rFonts w:hint="eastAsia" w:ascii="Times New Roman" w:hAnsi="Times New Roman" w:eastAsia="宋体" w:cs="Times New Roman"/>
          <w:color w:val="000000"/>
          <w:lang w:eastAsia="zh-CN"/>
        </w:rPr>
        <w:t>。</w:t>
      </w:r>
    </w:p>
    <w:p w14:paraId="17802126">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2.审查办法</w:t>
      </w:r>
      <w:bookmarkEnd w:id="43"/>
      <w:bookmarkEnd w:id="44"/>
      <w:bookmarkEnd w:id="45"/>
      <w:bookmarkEnd w:id="46"/>
    </w:p>
    <w:p w14:paraId="77A0F09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bookmarkStart w:id="47" w:name="_Toc60061493"/>
      <w:bookmarkStart w:id="48" w:name="_Toc324404868"/>
      <w:bookmarkStart w:id="49" w:name="_Toc506107321"/>
      <w:bookmarkStart w:id="50" w:name="_Toc15058910"/>
      <w:r>
        <w:rPr>
          <w:rFonts w:hint="eastAsia" w:ascii="Times New Roman" w:hAnsi="Times New Roman" w:eastAsia="宋体" w:cs="Times New Roman"/>
          <w:color w:val="000000"/>
        </w:rPr>
        <w:t>由资格审查委员会（评标委员会）按资格审查办法前附表中资格审查必要合格条件评审表要求对投标人审查资料进行核验。</w:t>
      </w:r>
    </w:p>
    <w:p w14:paraId="3AACF25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bookmarkStart w:id="51" w:name="_Toc95223396"/>
      <w:r>
        <w:rPr>
          <w:rFonts w:hint="eastAsia" w:ascii="Times New Roman" w:hAnsi="Times New Roman" w:eastAsia="宋体" w:cs="Times New Roman"/>
          <w:color w:val="000000"/>
        </w:rPr>
        <w:t>3.资格审查委员会和审查标准</w:t>
      </w:r>
      <w:bookmarkEnd w:id="47"/>
      <w:bookmarkEnd w:id="48"/>
      <w:bookmarkEnd w:id="49"/>
      <w:bookmarkEnd w:id="50"/>
      <w:bookmarkEnd w:id="51"/>
    </w:p>
    <w:p w14:paraId="7D0D4B12">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3.1资格审查由招标人依法组建的资格审查委员会（或评标委员会）负责。审查标准见资格审查办法前附表。</w:t>
      </w:r>
    </w:p>
    <w:p w14:paraId="0346726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 xml:space="preserve">3.2由资格审查委员会（评标委员会）按资格审查办法前附表要求对投标人的审查资料进行核验。投标申请人有下列情形之一的，其资格审查为不合格： </w:t>
      </w:r>
    </w:p>
    <w:p w14:paraId="7E25EDD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（1）未</w:t>
      </w:r>
      <w:r>
        <w:rPr>
          <w:rFonts w:hint="eastAsia" w:ascii="Times New Roman" w:hAnsi="Times New Roman" w:eastAsia="宋体" w:cs="Times New Roman"/>
          <w:color w:val="000000"/>
          <w:lang w:val="en-US" w:eastAsia="zh-CN"/>
        </w:rPr>
        <w:t>发送</w:t>
      </w:r>
      <w:r>
        <w:rPr>
          <w:rFonts w:hint="eastAsia" w:ascii="Times New Roman" w:hAnsi="Times New Roman" w:eastAsia="宋体" w:cs="Times New Roman"/>
          <w:color w:val="000000"/>
        </w:rPr>
        <w:t>标书或电子标书经审查不合格；</w:t>
      </w:r>
    </w:p>
    <w:p w14:paraId="16E65FD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rPr>
        <w:t>（2）电子标书</w:t>
      </w:r>
      <w:r>
        <w:rPr>
          <w:rFonts w:hint="eastAsia" w:ascii="Times New Roman" w:hAnsi="Times New Roman" w:eastAsia="宋体" w:cs="Times New Roman"/>
          <w:color w:val="000000"/>
          <w:lang w:val="en-US" w:eastAsia="zh-CN"/>
        </w:rPr>
        <w:t>无法打开。</w:t>
      </w:r>
    </w:p>
    <w:p w14:paraId="1FC23E8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bookmarkStart w:id="52" w:name="_Toc60061494"/>
      <w:bookmarkStart w:id="53" w:name="_Toc506107322"/>
      <w:bookmarkStart w:id="54" w:name="_Toc15058911"/>
      <w:bookmarkStart w:id="55" w:name="_Toc95223397"/>
      <w:bookmarkStart w:id="56" w:name="_Toc324404869"/>
      <w:r>
        <w:rPr>
          <w:rFonts w:hint="eastAsia" w:ascii="Times New Roman" w:hAnsi="Times New Roman" w:eastAsia="宋体" w:cs="Times New Roman"/>
          <w:color w:val="000000"/>
        </w:rPr>
        <w:t>4.审查结果</w:t>
      </w:r>
      <w:bookmarkEnd w:id="52"/>
      <w:bookmarkEnd w:id="53"/>
      <w:bookmarkEnd w:id="54"/>
      <w:bookmarkEnd w:id="55"/>
      <w:bookmarkEnd w:id="56"/>
    </w:p>
    <w:p w14:paraId="243344E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rPr>
      </w:pPr>
      <w:r>
        <w:rPr>
          <w:rFonts w:hint="eastAsia" w:ascii="Times New Roman" w:hAnsi="Times New Roman" w:eastAsia="宋体" w:cs="Times New Roman"/>
          <w:color w:val="000000"/>
        </w:rPr>
        <w:t>只有通过资格审查的投标人才能进入下一步的评标程序。</w:t>
      </w:r>
    </w:p>
    <w:p w14:paraId="0E854C51">
      <w:pPr>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宋体"/>
          <w:b/>
          <w:bCs/>
          <w:color w:val="000000"/>
          <w:kern w:val="0"/>
          <w:sz w:val="28"/>
          <w:szCs w:val="28"/>
          <w:highlight w:val="none"/>
          <w:u w:color="000000"/>
          <w:lang w:val="en-US" w:eastAsia="zh-CN" w:bidi="ar"/>
        </w:rPr>
        <w:br w:type="page"/>
      </w:r>
    </w:p>
    <w:p w14:paraId="719145FC">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080B5C20">
      <w:pPr>
        <w:pStyle w:val="9"/>
        <w:numPr>
          <w:ilvl w:val="0"/>
          <w:numId w:val="0"/>
        </w:numPr>
        <w:jc w:val="left"/>
        <w:rPr>
          <w:rFonts w:hint="default" w:eastAsia="宋体"/>
          <w:lang w:val="en-US" w:eastAsia="zh-CN"/>
        </w:rPr>
      </w:pPr>
      <w:bookmarkStart w:id="57" w:name="_Toc23254"/>
      <w:bookmarkEnd w:id="57"/>
      <w:r>
        <w:rPr>
          <w:rFonts w:hint="eastAsia"/>
          <w:lang w:val="en-US" w:eastAsia="zh-CN"/>
        </w:rPr>
        <w:t>报价评审：</w:t>
      </w:r>
    </w:p>
    <w:tbl>
      <w:tblPr>
        <w:tblStyle w:val="2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0F50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65EBEB62">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58" w:name="_Toc363135205"/>
            <w:bookmarkStart w:id="59" w:name="_Toc267320058"/>
            <w:bookmarkStart w:id="60" w:name="_Toc449028878"/>
            <w:bookmarkStart w:id="61" w:name="_Toc58430318"/>
            <w:bookmarkStart w:id="62" w:name="_Toc362983802"/>
            <w:r>
              <w:rPr>
                <w:rFonts w:hint="eastAsia" w:ascii="黑体" w:eastAsia="黑体" w:cs="黑体"/>
                <w:b/>
                <w:bCs/>
                <w:color w:val="000000"/>
                <w:szCs w:val="21"/>
                <w:highlight w:val="none"/>
              </w:rPr>
              <w:t>序号</w:t>
            </w:r>
          </w:p>
        </w:tc>
        <w:tc>
          <w:tcPr>
            <w:tcW w:w="4135" w:type="dxa"/>
            <w:gridSpan w:val="2"/>
            <w:noWrap w:val="0"/>
            <w:vAlign w:val="center"/>
          </w:tcPr>
          <w:p w14:paraId="05C60607">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006823B2">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4D23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08F49C0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195C2974">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rPr>
              <w:t>形式评审标准</w:t>
            </w:r>
          </w:p>
        </w:tc>
        <w:tc>
          <w:tcPr>
            <w:tcW w:w="2931" w:type="dxa"/>
            <w:noWrap w:val="0"/>
            <w:vAlign w:val="center"/>
          </w:tcPr>
          <w:p w14:paraId="7E8DDCE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投标函签字盖章</w:t>
            </w:r>
          </w:p>
        </w:tc>
        <w:tc>
          <w:tcPr>
            <w:tcW w:w="4173" w:type="dxa"/>
            <w:noWrap w:val="0"/>
            <w:vAlign w:val="center"/>
          </w:tcPr>
          <w:p w14:paraId="7E589D88">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rPr>
              <w:t>有投标人及其法定代表人签章。</w:t>
            </w:r>
          </w:p>
        </w:tc>
      </w:tr>
      <w:tr w14:paraId="12F0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5C4E6142">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2150379">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13BE1781">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投标文件格式</w:t>
            </w:r>
          </w:p>
        </w:tc>
        <w:tc>
          <w:tcPr>
            <w:tcW w:w="4173" w:type="dxa"/>
            <w:noWrap w:val="0"/>
            <w:vAlign w:val="center"/>
          </w:tcPr>
          <w:p w14:paraId="233B2D47">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rPr>
              <w:t>符合第</w:t>
            </w:r>
            <w:r>
              <w:rPr>
                <w:rFonts w:hint="eastAsia" w:ascii="宋体" w:hAnsi="宋体" w:cs="宋体"/>
                <w:color w:val="000000"/>
                <w:szCs w:val="21"/>
                <w:lang w:val="en-US" w:eastAsia="zh-CN"/>
              </w:rPr>
              <w:t>七</w:t>
            </w:r>
            <w:r>
              <w:rPr>
                <w:rFonts w:hint="eastAsia" w:ascii="宋体" w:hAnsi="宋体" w:cs="宋体"/>
                <w:color w:val="000000"/>
                <w:szCs w:val="21"/>
              </w:rPr>
              <w:t>章“投标文件格式”的要求。</w:t>
            </w:r>
          </w:p>
        </w:tc>
      </w:tr>
      <w:tr w14:paraId="2F1C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4096C403">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7B56C4A4">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B6E3BBA">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投标文件签字盖章</w:t>
            </w:r>
          </w:p>
        </w:tc>
        <w:tc>
          <w:tcPr>
            <w:tcW w:w="4173" w:type="dxa"/>
            <w:noWrap w:val="0"/>
            <w:vAlign w:val="center"/>
          </w:tcPr>
          <w:p w14:paraId="2E55EAD9">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rPr>
              <w:t>按投标文件格式要求签章。</w:t>
            </w:r>
          </w:p>
        </w:tc>
      </w:tr>
      <w:tr w14:paraId="2129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43B19BAC">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2F6C308B">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2D61CD2D">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rPr>
              <w:t>报价唯一</w:t>
            </w:r>
          </w:p>
        </w:tc>
        <w:tc>
          <w:tcPr>
            <w:tcW w:w="4173" w:type="dxa"/>
            <w:noWrap w:val="0"/>
            <w:vAlign w:val="center"/>
          </w:tcPr>
          <w:p w14:paraId="389AC5F7">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rPr>
              <w:t>只能有一个报价。</w:t>
            </w:r>
          </w:p>
        </w:tc>
      </w:tr>
      <w:tr w14:paraId="09B5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72FD1F77">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79010F83">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响应性评审标准</w:t>
            </w:r>
          </w:p>
        </w:tc>
        <w:tc>
          <w:tcPr>
            <w:tcW w:w="2931" w:type="dxa"/>
            <w:noWrap w:val="0"/>
            <w:vAlign w:val="center"/>
          </w:tcPr>
          <w:p w14:paraId="7D7CF90D">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lang w:val="en-US" w:eastAsia="zh-CN"/>
              </w:rPr>
              <w:t>供货</w:t>
            </w:r>
            <w:r>
              <w:rPr>
                <w:rFonts w:hint="eastAsia" w:ascii="宋体" w:hAnsi="宋体" w:cs="宋体"/>
                <w:color w:val="000000"/>
                <w:szCs w:val="21"/>
              </w:rPr>
              <w:t>期</w:t>
            </w:r>
          </w:p>
        </w:tc>
        <w:tc>
          <w:tcPr>
            <w:tcW w:w="4173" w:type="dxa"/>
            <w:noWrap w:val="0"/>
            <w:vAlign w:val="center"/>
          </w:tcPr>
          <w:p w14:paraId="121FBD3C">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rPr>
              <w:t>符合投标须知前附表规定。</w:t>
            </w:r>
          </w:p>
        </w:tc>
      </w:tr>
      <w:tr w14:paraId="4D86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53CDD4A7">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6F5F6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E846037">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投标有效期</w:t>
            </w:r>
          </w:p>
        </w:tc>
        <w:tc>
          <w:tcPr>
            <w:tcW w:w="4173" w:type="dxa"/>
            <w:noWrap w:val="0"/>
            <w:vAlign w:val="center"/>
          </w:tcPr>
          <w:p w14:paraId="2377BB2F">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符合投标须知前附表规定。</w:t>
            </w:r>
          </w:p>
        </w:tc>
      </w:tr>
      <w:tr w14:paraId="7C68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38B16003">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40519968">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24465EF8">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rPr>
            </w:pPr>
            <w:r>
              <w:rPr>
                <w:rFonts w:hint="eastAsia" w:ascii="宋体" w:hAnsi="宋体" w:cs="宋体"/>
                <w:color w:val="000000"/>
                <w:szCs w:val="21"/>
              </w:rPr>
              <w:t>投标</w:t>
            </w:r>
            <w:r>
              <w:rPr>
                <w:rFonts w:hint="eastAsia" w:ascii="宋体" w:hAnsi="宋体" w:cs="宋体"/>
                <w:color w:val="000000"/>
                <w:szCs w:val="21"/>
                <w:lang w:val="en-US" w:eastAsia="zh-CN"/>
              </w:rPr>
              <w:t>报</w:t>
            </w:r>
            <w:r>
              <w:rPr>
                <w:rFonts w:hint="eastAsia" w:ascii="宋体" w:hAnsi="宋体" w:cs="宋体"/>
                <w:color w:val="000000"/>
                <w:szCs w:val="21"/>
              </w:rPr>
              <w:t>价评审</w:t>
            </w:r>
          </w:p>
        </w:tc>
        <w:tc>
          <w:tcPr>
            <w:tcW w:w="4173" w:type="dxa"/>
            <w:noWrap w:val="0"/>
            <w:vAlign w:val="center"/>
          </w:tcPr>
          <w:p w14:paraId="72B7C3D4">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lang w:eastAsia="zh-CN"/>
              </w:rPr>
            </w:pPr>
            <w:r>
              <w:rPr>
                <w:rFonts w:hint="eastAsia" w:ascii="宋体" w:hAnsi="宋体" w:cs="宋体"/>
                <w:color w:val="000000"/>
                <w:spacing w:val="-6"/>
                <w:szCs w:val="21"/>
              </w:rPr>
              <w:t>不得高于最高投标限价</w:t>
            </w:r>
            <w:r>
              <w:rPr>
                <w:rFonts w:hint="eastAsia" w:ascii="宋体" w:hAnsi="宋体" w:cs="宋体"/>
                <w:color w:val="000000"/>
                <w:spacing w:val="-6"/>
                <w:szCs w:val="21"/>
                <w:lang w:eastAsia="zh-CN"/>
              </w:rPr>
              <w:t>。</w:t>
            </w:r>
          </w:p>
        </w:tc>
      </w:tr>
      <w:tr w14:paraId="170B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5AED6217">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14:paraId="7CB4DFA2">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rPr>
            </w:pPr>
            <w:r>
              <w:rPr>
                <w:rFonts w:hint="eastAsia" w:ascii="宋体" w:hAnsi="宋体" w:cs="宋体"/>
                <w:color w:val="000000"/>
                <w:szCs w:val="21"/>
              </w:rPr>
              <w:t>详细评审标准</w:t>
            </w:r>
          </w:p>
          <w:p w14:paraId="3D4314DF">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2FDB4EA5">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21D182A">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14:paraId="56C9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14:paraId="6727D85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14:paraId="53C5EBBF">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150A99D">
            <w:pPr>
              <w:keepNext w:val="0"/>
              <w:keepLines w:val="0"/>
              <w:suppressLineNumbers w:val="0"/>
              <w:spacing w:before="0" w:beforeAutospacing="0" w:after="0" w:afterAutospacing="0" w:line="320" w:lineRule="atLeast"/>
              <w:ind w:left="0" w:right="0"/>
              <w:rPr>
                <w:rFonts w:hint="eastAsia" w:ascii="宋体" w:hAnsi="宋体" w:cs="宋体"/>
                <w:color w:val="000000"/>
                <w:szCs w:val="21"/>
              </w:rPr>
            </w:pPr>
            <w:r>
              <w:rPr>
                <w:rFonts w:hint="eastAsia" w:ascii="宋体" w:cs="仿宋_GB2312"/>
                <w:color w:val="000000"/>
                <w:szCs w:val="21"/>
                <w:highlight w:val="none"/>
                <w:lang w:val="zh-CN"/>
              </w:rPr>
              <w:t>商务条款响应程度（包括供货期、售后服务、技术培训等）</w:t>
            </w:r>
          </w:p>
        </w:tc>
        <w:tc>
          <w:tcPr>
            <w:tcW w:w="4173" w:type="dxa"/>
            <w:noWrap w:val="0"/>
            <w:vAlign w:val="center"/>
          </w:tcPr>
          <w:p w14:paraId="44800BB4">
            <w:pPr>
              <w:keepNext w:val="0"/>
              <w:keepLines w:val="0"/>
              <w:suppressLineNumbers w:val="0"/>
              <w:spacing w:before="0" w:beforeAutospacing="0" w:after="0" w:afterAutospacing="0" w:line="320" w:lineRule="atLeast"/>
              <w:ind w:left="0" w:right="0"/>
              <w:rPr>
                <w:rFonts w:hint="eastAsia" w:ascii="宋体" w:hAnsi="宋体" w:cs="宋体"/>
                <w:color w:val="000000"/>
                <w:szCs w:val="21"/>
              </w:rPr>
            </w:pPr>
            <w:r>
              <w:rPr>
                <w:rFonts w:hint="eastAsia" w:ascii="宋体" w:cs="仿宋_GB2312"/>
                <w:color w:val="000000"/>
                <w:szCs w:val="21"/>
                <w:highlight w:val="none"/>
                <w:lang w:val="zh-CN"/>
              </w:rPr>
              <w:t>完全响应或优于招标文件要求。</w:t>
            </w:r>
          </w:p>
        </w:tc>
      </w:tr>
      <w:bookmarkEnd w:id="58"/>
      <w:bookmarkEnd w:id="59"/>
      <w:bookmarkEnd w:id="60"/>
      <w:bookmarkEnd w:id="61"/>
      <w:bookmarkEnd w:id="62"/>
    </w:tbl>
    <w:p w14:paraId="2CFD1B8F">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3"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3"/>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4" w:name="_Toc60061499"/>
      <w:bookmarkStart w:id="65" w:name="_Toc15058916"/>
      <w:r>
        <w:rPr>
          <w:rFonts w:hint="eastAsia" w:ascii="宋体" w:hAnsi="宋体" w:eastAsia="宋体" w:cs="宋体"/>
          <w:color w:val="000000"/>
          <w:highlight w:val="none"/>
        </w:rPr>
        <w:t>托的代理机构编</w:t>
      </w:r>
      <w:bookmarkEnd w:id="64"/>
      <w:bookmarkEnd w:id="65"/>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6" w:name="_Toc60061500"/>
      <w:bookmarkStart w:id="67" w:name="_Toc15058917"/>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6"/>
      <w:bookmarkEnd w:id="67"/>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68" w:name="_Toc60061501"/>
      <w:bookmarkStart w:id="69" w:name="_Toc15058918"/>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68"/>
      <w:bookmarkEnd w:id="69"/>
      <w:r>
        <w:rPr>
          <w:rFonts w:hint="eastAsia" w:ascii="宋体" w:hAnsi="宋体" w:cs="宋体"/>
          <w:color w:val="000000"/>
          <w:szCs w:val="21"/>
          <w:highlight w:val="none"/>
        </w:rPr>
        <w:t>后，推荐中标候选人，并标明排序。</w:t>
      </w:r>
    </w:p>
    <w:p w14:paraId="7143A2D1">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0" w:name="_Toc95223405"/>
      <w:r>
        <w:rPr>
          <w:rFonts w:hint="eastAsia" w:ascii="宋体" w:hAnsi="Times New Roman" w:eastAsia="宋体" w:cs="Times New Roman"/>
          <w:b/>
          <w:color w:val="000000"/>
          <w:szCs w:val="21"/>
          <w:highlight w:val="none"/>
          <w:lang w:val="en-US" w:eastAsia="zh-CN"/>
        </w:rPr>
        <w:t>评审内容</w:t>
      </w:r>
      <w:bookmarkEnd w:id="70"/>
    </w:p>
    <w:p w14:paraId="260B4007">
      <w:pPr>
        <w:spacing w:line="440" w:lineRule="exact"/>
        <w:ind w:firstLine="315" w:firstLineChars="150"/>
        <w:jc w:val="left"/>
        <w:rPr>
          <w:rFonts w:hint="eastAsia" w:ascii="宋体" w:hAnsi="宋体" w:eastAsia="宋体" w:cs="宋体"/>
          <w:color w:val="000000"/>
          <w:szCs w:val="21"/>
          <w:highlight w:val="none"/>
        </w:rPr>
      </w:pPr>
      <w:bookmarkStart w:id="71"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1"/>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2" w:name="_Toc60061504"/>
      <w:bookmarkStart w:id="73" w:name="_Toc15058921"/>
      <w:r>
        <w:rPr>
          <w:rFonts w:hint="eastAsia" w:ascii="宋体" w:hAnsi="宋体" w:eastAsia="宋体" w:cs="宋体"/>
          <w:color w:val="000000"/>
          <w:szCs w:val="21"/>
          <w:highlight w:val="none"/>
        </w:rPr>
        <w:t>形式性评审标准：</w:t>
      </w:r>
      <w:bookmarkEnd w:id="72"/>
      <w:bookmarkEnd w:id="73"/>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E7F582F">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4" w:name="_Hlk61815781"/>
      <w:r>
        <w:rPr>
          <w:rFonts w:hint="eastAsia" w:ascii="宋体" w:hAnsi="Times New Roman" w:eastAsia="宋体" w:cs="Times New Roman"/>
          <w:b/>
          <w:color w:val="000000"/>
          <w:szCs w:val="21"/>
          <w:highlight w:val="none"/>
          <w:lang w:val="en-US" w:eastAsia="zh-CN"/>
        </w:rPr>
        <w:t>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.2其他无效投标情况：</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74"/>
    <w:p w14:paraId="784675F0">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5" w:name="_Toc95223439"/>
      <w:r>
        <w:rPr>
          <w:rFonts w:hint="eastAsia" w:ascii="宋体" w:hAnsi="Times New Roman" w:eastAsia="宋体" w:cs="Times New Roman"/>
          <w:b/>
          <w:color w:val="000000"/>
          <w:szCs w:val="21"/>
          <w:highlight w:val="none"/>
          <w:lang w:val="en-US" w:eastAsia="zh-CN"/>
        </w:rPr>
        <w:t>6.投标文件的澄清和补正</w:t>
      </w:r>
      <w:bookmarkEnd w:id="75"/>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6" w:name="_Toc95223441"/>
      <w:r>
        <w:rPr>
          <w:rFonts w:hint="eastAsia" w:ascii="宋体" w:hAnsi="Times New Roman" w:eastAsia="宋体" w:cs="Times New Roman"/>
          <w:b/>
          <w:color w:val="000000"/>
          <w:szCs w:val="21"/>
          <w:highlight w:val="none"/>
          <w:lang w:val="en-US" w:eastAsia="zh-CN"/>
        </w:rPr>
        <w:t>7.评审结果</w:t>
      </w:r>
      <w:bookmarkEnd w:id="76"/>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w:t>
      </w:r>
      <w:r>
        <w:rPr>
          <w:rFonts w:hint="eastAsia" w:ascii="宋体" w:hAnsi="宋体" w:eastAsia="宋体" w:cs="宋体"/>
          <w:color w:val="000000"/>
          <w:szCs w:val="21"/>
          <w:highlight w:val="none"/>
          <w:lang w:val="en-US" w:eastAsia="zh-CN"/>
        </w:rPr>
        <w:t>经评审</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7" w:name="_Toc95223442"/>
      <w:r>
        <w:rPr>
          <w:rFonts w:hint="eastAsia" w:ascii="宋体" w:hAnsi="Times New Roman" w:eastAsia="宋体" w:cs="Times New Roman"/>
          <w:b/>
          <w:color w:val="000000"/>
          <w:szCs w:val="21"/>
          <w:highlight w:val="none"/>
          <w:lang w:val="en-US" w:eastAsia="zh-CN"/>
        </w:rPr>
        <w:t>8.其他</w:t>
      </w:r>
      <w:bookmarkEnd w:id="77"/>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6F860D82">
      <w:pPr>
        <w:keepNext w:val="0"/>
        <w:keepLines w:val="0"/>
        <w:pageBreakBefore w:val="0"/>
        <w:widowControl w:val="0"/>
        <w:kinsoku/>
        <w:wordWrap/>
        <w:overflowPunct/>
        <w:topLinePunct w:val="0"/>
        <w:autoSpaceDE/>
        <w:autoSpaceDN/>
        <w:bidi w:val="0"/>
        <w:adjustRightInd/>
        <w:snapToGrid w:val="0"/>
        <w:spacing w:before="156" w:beforeLines="50" w:after="156" w:afterLines="50" w:line="520" w:lineRule="exact"/>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用户需求书</w:t>
      </w:r>
    </w:p>
    <w:p w14:paraId="15E380E8">
      <w:pPr>
        <w:pStyle w:val="41"/>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一、工程</w:t>
      </w:r>
      <w:r>
        <w:rPr>
          <w:rFonts w:hint="eastAsia" w:ascii="宋体" w:hAnsi="宋体" w:eastAsia="宋体" w:cs="宋体"/>
          <w:b/>
          <w:color w:val="auto"/>
          <w:sz w:val="21"/>
          <w:szCs w:val="21"/>
          <w:highlight w:val="none"/>
        </w:rPr>
        <w:t>概况</w:t>
      </w:r>
    </w:p>
    <w:p w14:paraId="7BA7BA0A">
      <w:pPr>
        <w:pStyle w:val="3"/>
        <w:keepNext/>
        <w:keepLines/>
        <w:pageBreakBefore w:val="0"/>
        <w:widowControl w:val="0"/>
        <w:kinsoku/>
        <w:wordWrap/>
        <w:overflowPunct/>
        <w:topLinePunct w:val="0"/>
        <w:autoSpaceDE/>
        <w:autoSpaceDN/>
        <w:bidi w:val="0"/>
        <w:adjustRightInd w:val="0"/>
        <w:snapToGrid w:val="0"/>
        <w:spacing w:before="0" w:after="0" w:afterLines="0" w:line="56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 xml:space="preserve">目前，相官车辆段北门门岗处的非机动车道未配备进出管理设备，机动车道采用抬杠式道闸，两处通道均无法有效阻挡外来人员及流浪动物进入车辆段，易发因人员闯入导致的安全事故、流浪动物破坏设备设施等安全隐患。为解决上述问题，同时提升北门门岗安全防护等级与人员出入管理质效，特启动本次门岗改造项目。  </w:t>
      </w:r>
      <w:r>
        <w:rPr>
          <w:rFonts w:hint="eastAsia" w:ascii="宋体" w:hAnsi="宋体" w:eastAsia="宋体" w:cs="宋体"/>
          <w:color w:val="auto"/>
          <w:szCs w:val="21"/>
          <w:highlight w:val="none"/>
          <w:lang w:val="en-US" w:eastAsia="zh-CN"/>
        </w:rPr>
        <w:t xml:space="preserve"> </w:t>
      </w:r>
    </w:p>
    <w:p w14:paraId="312EF8C7">
      <w:pPr>
        <w:pStyle w:val="41"/>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 xml:space="preserve"> 二、招标范围</w:t>
      </w:r>
    </w:p>
    <w:p w14:paraId="204E5C1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2.1工作范围为：</w:t>
      </w:r>
    </w:p>
    <w:p w14:paraId="0CAF73A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相官车辆段</w:t>
      </w:r>
      <w:r>
        <w:rPr>
          <w:rFonts w:hint="eastAsia" w:ascii="宋体" w:hAnsi="宋体" w:cs="宋体"/>
          <w:color w:val="auto"/>
          <w:kern w:val="0"/>
          <w:szCs w:val="21"/>
          <w:highlight w:val="none"/>
          <w:lang w:val="en-US" w:eastAsia="zh-CN"/>
        </w:rPr>
        <w:t>北门</w:t>
      </w:r>
      <w:r>
        <w:rPr>
          <w:rFonts w:hint="eastAsia" w:ascii="宋体" w:hAnsi="宋体" w:cs="宋体"/>
          <w:color w:val="auto"/>
          <w:kern w:val="0"/>
          <w:szCs w:val="21"/>
          <w:highlight w:val="none"/>
        </w:rPr>
        <w:t>门岗。</w:t>
      </w:r>
    </w:p>
    <w:p w14:paraId="7F78D25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2.2工作内容如下：</w:t>
      </w:r>
      <w:bookmarkStart w:id="78" w:name="_Toc22084"/>
      <w:bookmarkStart w:id="79" w:name="_Toc5976"/>
    </w:p>
    <w:p w14:paraId="06EA9023">
      <w:pPr>
        <w:tabs>
          <w:tab w:val="left" w:pos="420"/>
        </w:tabs>
        <w:adjustRightInd w:val="0"/>
        <w:snapToGrid w:val="0"/>
        <w:spacing w:line="440" w:lineRule="exact"/>
        <w:ind w:firstLine="420" w:firstLineChars="200"/>
        <w:jc w:val="left"/>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2.2.1机动车</w:t>
      </w:r>
      <w:r>
        <w:rPr>
          <w:rFonts w:hint="default" w:ascii="宋体" w:hAnsi="宋体" w:eastAsia="宋体" w:cs="宋体"/>
          <w:b w:val="0"/>
          <w:bCs w:val="0"/>
          <w:color w:val="auto"/>
          <w:kern w:val="0"/>
          <w:sz w:val="21"/>
          <w:szCs w:val="21"/>
          <w:highlight w:val="none"/>
          <w:lang w:val="en-US" w:eastAsia="zh-CN" w:bidi="ar-SA"/>
        </w:rPr>
        <w:t>道：</w:t>
      </w:r>
      <w:bookmarkEnd w:id="78"/>
      <w:bookmarkEnd w:id="79"/>
      <w:r>
        <w:rPr>
          <w:rFonts w:hint="eastAsia" w:ascii="宋体" w:hAnsi="宋体" w:cs="宋体"/>
          <w:b w:val="0"/>
          <w:bCs w:val="0"/>
          <w:color w:val="auto"/>
          <w:kern w:val="0"/>
          <w:sz w:val="21"/>
          <w:szCs w:val="21"/>
          <w:highlight w:val="none"/>
          <w:lang w:val="en-US" w:eastAsia="zh-CN" w:bidi="ar-SA"/>
        </w:rPr>
        <w:t>在抬杆式道闸与伸缩门</w:t>
      </w:r>
      <w:r>
        <w:rPr>
          <w:rFonts w:hint="eastAsia" w:ascii="宋体" w:hAnsi="宋体" w:eastAsia="宋体" w:cs="宋体"/>
          <w:b w:val="0"/>
          <w:bCs w:val="0"/>
          <w:color w:val="auto"/>
          <w:kern w:val="0"/>
          <w:sz w:val="21"/>
          <w:szCs w:val="21"/>
          <w:highlight w:val="none"/>
          <w:lang w:val="en-US" w:eastAsia="zh-CN" w:bidi="ar-SA"/>
        </w:rPr>
        <w:t>围墙</w:t>
      </w:r>
      <w:r>
        <w:rPr>
          <w:rFonts w:hint="eastAsia" w:ascii="宋体" w:hAnsi="宋体" w:cs="宋体"/>
          <w:b w:val="0"/>
          <w:bCs w:val="0"/>
          <w:color w:val="auto"/>
          <w:kern w:val="0"/>
          <w:sz w:val="21"/>
          <w:szCs w:val="21"/>
          <w:highlight w:val="none"/>
          <w:lang w:val="en-US" w:eastAsia="zh-CN" w:bidi="ar-SA"/>
        </w:rPr>
        <w:t>之间的</w:t>
      </w:r>
      <w:r>
        <w:rPr>
          <w:rFonts w:hint="eastAsia" w:ascii="宋体" w:hAnsi="宋体" w:eastAsia="宋体" w:cs="宋体"/>
          <w:b w:val="0"/>
          <w:bCs w:val="0"/>
          <w:color w:val="auto"/>
          <w:kern w:val="0"/>
          <w:sz w:val="21"/>
          <w:szCs w:val="21"/>
          <w:highlight w:val="none"/>
          <w:lang w:val="en-US" w:eastAsia="zh-CN" w:bidi="ar-SA"/>
        </w:rPr>
        <w:t>空隙处安装</w:t>
      </w:r>
      <w:r>
        <w:rPr>
          <w:rFonts w:hint="eastAsia" w:ascii="宋体" w:hAnsi="宋体" w:cs="宋体"/>
          <w:b w:val="0"/>
          <w:bCs w:val="0"/>
          <w:color w:val="auto"/>
          <w:kern w:val="0"/>
          <w:sz w:val="21"/>
          <w:szCs w:val="21"/>
          <w:highlight w:val="none"/>
          <w:lang w:val="en-US" w:eastAsia="zh-CN" w:bidi="ar-SA"/>
        </w:rPr>
        <w:t>栅栏门</w:t>
      </w:r>
      <w:r>
        <w:rPr>
          <w:rFonts w:hint="eastAsia" w:ascii="宋体" w:hAnsi="宋体" w:eastAsia="宋体" w:cs="宋体"/>
          <w:b w:val="0"/>
          <w:bCs w:val="0"/>
          <w:color w:val="auto"/>
          <w:kern w:val="0"/>
          <w:sz w:val="21"/>
          <w:szCs w:val="21"/>
          <w:highlight w:val="none"/>
          <w:lang w:val="en-US" w:eastAsia="zh-CN" w:bidi="ar-SA"/>
        </w:rPr>
        <w:t>。（详情见图1）</w:t>
      </w:r>
    </w:p>
    <w:p w14:paraId="41941AD5">
      <w:pPr>
        <w:jc w:val="center"/>
        <w:rPr>
          <w:rFonts w:hint="eastAsia"/>
          <w:color w:val="auto"/>
          <w:highlight w:val="none"/>
          <w:lang w:val="en-US" w:eastAsia="zh-CN"/>
        </w:rPr>
      </w:pPr>
      <w:r>
        <w:rPr>
          <w:rFonts w:hint="default"/>
          <w:color w:val="auto"/>
          <w:highlight w:val="none"/>
          <w:lang w:val="en-US" w:eastAsia="zh-CN"/>
        </w:rPr>
        <w:drawing>
          <wp:inline distT="0" distB="0" distL="114300" distR="114300">
            <wp:extent cx="5268595" cy="3949700"/>
            <wp:effectExtent l="0" t="0" r="8255" b="12700"/>
            <wp:docPr id="2" name="图片 2" descr="3bd2112204456334726e03d057fe9c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bd2112204456334726e03d057fe9c9e"/>
                    <pic:cNvPicPr>
                      <a:picLocks noChangeAspect="1"/>
                    </pic:cNvPicPr>
                  </pic:nvPicPr>
                  <pic:blipFill>
                    <a:blip r:embed="rId6"/>
                    <a:stretch>
                      <a:fillRect/>
                    </a:stretch>
                  </pic:blipFill>
                  <pic:spPr>
                    <a:xfrm>
                      <a:off x="0" y="0"/>
                      <a:ext cx="5268595" cy="3949700"/>
                    </a:xfrm>
                    <a:prstGeom prst="rect">
                      <a:avLst/>
                    </a:prstGeom>
                  </pic:spPr>
                </pic:pic>
              </a:graphicData>
            </a:graphic>
          </wp:inline>
        </w:drawing>
      </w:r>
    </w:p>
    <w:p w14:paraId="4FD8EA01">
      <w:pPr>
        <w:jc w:val="center"/>
        <w:rPr>
          <w:rFonts w:hint="default"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图一：现机动车</w:t>
      </w:r>
      <w:r>
        <w:rPr>
          <w:rFonts w:hint="eastAsia" w:ascii="宋体" w:hAnsi="宋体" w:cs="宋体"/>
          <w:b w:val="0"/>
          <w:bCs w:val="0"/>
          <w:color w:val="auto"/>
          <w:kern w:val="0"/>
          <w:sz w:val="21"/>
          <w:szCs w:val="21"/>
          <w:highlight w:val="none"/>
          <w:lang w:val="en-US" w:eastAsia="zh-CN" w:bidi="ar-SA"/>
        </w:rPr>
        <w:t>道</w:t>
      </w:r>
    </w:p>
    <w:p w14:paraId="08D96E51">
      <w:pPr>
        <w:keepNext w:val="0"/>
        <w:keepLines w:val="0"/>
        <w:pageBreakBefore w:val="0"/>
        <w:widowControl w:val="0"/>
        <w:tabs>
          <w:tab w:val="left" w:pos="42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val="0"/>
          <w:color w:val="auto"/>
          <w:kern w:val="2"/>
          <w:sz w:val="21"/>
          <w:szCs w:val="21"/>
          <w:highlight w:val="none"/>
          <w:lang w:val="en-US" w:eastAsia="zh-CN" w:bidi="ar-SA"/>
        </w:rPr>
      </w:pPr>
    </w:p>
    <w:p w14:paraId="7CAB1811">
      <w:pPr>
        <w:keepNext w:val="0"/>
        <w:keepLines w:val="0"/>
        <w:pageBreakBefore w:val="0"/>
        <w:widowControl w:val="0"/>
        <w:tabs>
          <w:tab w:val="left" w:pos="42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2.2.2</w:t>
      </w:r>
      <w:r>
        <w:rPr>
          <w:rFonts w:hint="default" w:ascii="宋体" w:hAnsi="宋体" w:eastAsia="宋体" w:cs="宋体"/>
          <w:b w:val="0"/>
          <w:bCs w:val="0"/>
          <w:color w:val="auto"/>
          <w:kern w:val="2"/>
          <w:sz w:val="21"/>
          <w:szCs w:val="21"/>
          <w:highlight w:val="none"/>
          <w:lang w:val="en-US" w:eastAsia="zh-CN" w:bidi="ar-SA"/>
        </w:rPr>
        <w:t>非机动车通道：在现有非机动车通道区域，新增</w:t>
      </w:r>
      <w:r>
        <w:rPr>
          <w:rFonts w:hint="eastAsia" w:ascii="宋体" w:hAnsi="宋体" w:eastAsia="宋体" w:cs="宋体"/>
          <w:b w:val="0"/>
          <w:bCs w:val="0"/>
          <w:color w:val="auto"/>
          <w:kern w:val="2"/>
          <w:sz w:val="21"/>
          <w:szCs w:val="21"/>
          <w:highlight w:val="none"/>
          <w:lang w:val="en-US" w:eastAsia="zh-CN" w:bidi="ar-SA"/>
        </w:rPr>
        <w:t>4扇行人道闸组成三通道，其中两侧安装标准双向通道，中间安装加宽双向通道，现场总宽度为3.7米（详情见图2）</w:t>
      </w:r>
      <w:r>
        <w:rPr>
          <w:rFonts w:hint="default" w:ascii="宋体" w:hAnsi="宋体" w:eastAsia="宋体" w:cs="宋体"/>
          <w:b w:val="0"/>
          <w:bCs w:val="0"/>
          <w:color w:val="auto"/>
          <w:kern w:val="2"/>
          <w:sz w:val="21"/>
          <w:szCs w:val="21"/>
          <w:highlight w:val="none"/>
          <w:lang w:val="en-US" w:eastAsia="zh-CN" w:bidi="ar-SA"/>
        </w:rPr>
        <w:t>，</w:t>
      </w:r>
      <w:r>
        <w:rPr>
          <w:rFonts w:hint="eastAsia" w:ascii="宋体" w:hAnsi="宋体" w:eastAsia="宋体" w:cs="宋体"/>
          <w:b w:val="0"/>
          <w:bCs w:val="0"/>
          <w:color w:val="auto"/>
          <w:kern w:val="2"/>
          <w:sz w:val="21"/>
          <w:szCs w:val="21"/>
          <w:highlight w:val="none"/>
          <w:lang w:val="en-US" w:eastAsia="zh-CN" w:bidi="ar-SA"/>
        </w:rPr>
        <w:t>同时</w:t>
      </w:r>
      <w:r>
        <w:rPr>
          <w:rFonts w:hint="default" w:ascii="宋体" w:hAnsi="宋体" w:eastAsia="宋体" w:cs="宋体"/>
          <w:b w:val="0"/>
          <w:bCs w:val="0"/>
          <w:color w:val="auto"/>
          <w:kern w:val="2"/>
          <w:sz w:val="21"/>
          <w:szCs w:val="21"/>
          <w:highlight w:val="none"/>
          <w:lang w:val="en-US" w:eastAsia="zh-CN" w:bidi="ar-SA"/>
        </w:rPr>
        <w:t>配套安装</w:t>
      </w:r>
      <w:r>
        <w:rPr>
          <w:rFonts w:hint="eastAsia" w:ascii="宋体" w:hAnsi="宋体" w:eastAsia="宋体" w:cs="宋体"/>
          <w:b w:val="0"/>
          <w:bCs w:val="0"/>
          <w:color w:val="auto"/>
          <w:kern w:val="2"/>
          <w:sz w:val="21"/>
          <w:szCs w:val="21"/>
          <w:highlight w:val="none"/>
          <w:lang w:val="en-US" w:eastAsia="zh-CN" w:bidi="ar-SA"/>
        </w:rPr>
        <w:t>行人道闸管理系统,并在行人道闸前后方各安装两道减速带（效果图见图3）。</w:t>
      </w:r>
    </w:p>
    <w:p w14:paraId="501E5C4B">
      <w:pPr>
        <w:keepNext w:val="0"/>
        <w:keepLines w:val="0"/>
        <w:pageBreakBefore w:val="0"/>
        <w:widowControl w:val="0"/>
        <w:tabs>
          <w:tab w:val="left" w:pos="420"/>
        </w:tabs>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cs="宋体"/>
          <w:b w:val="0"/>
          <w:bCs w:val="0"/>
          <w:color w:val="auto"/>
          <w:kern w:val="0"/>
          <w:sz w:val="21"/>
          <w:szCs w:val="21"/>
          <w:highlight w:val="none"/>
          <w:lang w:val="en-US" w:eastAsia="zh-CN" w:bidi="ar-SA"/>
        </w:rPr>
      </w:pPr>
    </w:p>
    <w:p w14:paraId="601BF55D">
      <w:pPr>
        <w:keepNext w:val="0"/>
        <w:keepLines w:val="0"/>
        <w:pageBreakBefore w:val="0"/>
        <w:widowControl w:val="0"/>
        <w:tabs>
          <w:tab w:val="left" w:pos="420"/>
        </w:tabs>
        <w:kinsoku/>
        <w:wordWrap/>
        <w:overflowPunct/>
        <w:topLinePunct w:val="0"/>
        <w:autoSpaceDE/>
        <w:autoSpaceDN/>
        <w:bidi w:val="0"/>
        <w:adjustRightInd w:val="0"/>
        <w:snapToGrid w:val="0"/>
        <w:spacing w:line="240" w:lineRule="auto"/>
        <w:ind w:firstLine="420" w:firstLineChars="200"/>
        <w:jc w:val="center"/>
        <w:textAlignment w:val="auto"/>
        <w:rPr>
          <w:rFonts w:hint="default"/>
          <w:color w:val="auto"/>
          <w:highlight w:val="none"/>
          <w:lang w:val="en-US" w:eastAsia="zh-CN"/>
        </w:rPr>
      </w:pPr>
      <w:r>
        <w:rPr>
          <w:rFonts w:hint="default"/>
          <w:color w:val="auto"/>
          <w:highlight w:val="none"/>
          <w:lang w:val="en-US" w:eastAsia="zh-CN"/>
        </w:rPr>
        <w:drawing>
          <wp:inline distT="0" distB="0" distL="114300" distR="114300">
            <wp:extent cx="5035550" cy="3774440"/>
            <wp:effectExtent l="0" t="0" r="8890" b="5080"/>
            <wp:docPr id="3" name="图片 3" descr="3bc79d97505bb750808698eaa4829a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bc79d97505bb750808698eaa4829a86"/>
                    <pic:cNvPicPr>
                      <a:picLocks noChangeAspect="1"/>
                    </pic:cNvPicPr>
                  </pic:nvPicPr>
                  <pic:blipFill>
                    <a:blip r:embed="rId7"/>
                    <a:stretch>
                      <a:fillRect/>
                    </a:stretch>
                  </pic:blipFill>
                  <pic:spPr>
                    <a:xfrm>
                      <a:off x="0" y="0"/>
                      <a:ext cx="5035550" cy="3774440"/>
                    </a:xfrm>
                    <a:prstGeom prst="rect">
                      <a:avLst/>
                    </a:prstGeom>
                  </pic:spPr>
                </pic:pic>
              </a:graphicData>
            </a:graphic>
          </wp:inline>
        </w:drawing>
      </w:r>
    </w:p>
    <w:p w14:paraId="5884AB91">
      <w:pPr>
        <w:tabs>
          <w:tab w:val="left" w:pos="420"/>
        </w:tabs>
        <w:adjustRightInd w:val="0"/>
        <w:snapToGrid w:val="0"/>
        <w:spacing w:line="440" w:lineRule="exact"/>
        <w:ind w:firstLine="420" w:firstLineChars="20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图2：现非机动车通道</w:t>
      </w:r>
    </w:p>
    <w:p w14:paraId="58C23248">
      <w:pPr>
        <w:keepNext w:val="0"/>
        <w:keepLines w:val="0"/>
        <w:pageBreakBefore w:val="0"/>
        <w:widowControl w:val="0"/>
        <w:tabs>
          <w:tab w:val="left" w:pos="420"/>
        </w:tabs>
        <w:kinsoku/>
        <w:wordWrap/>
        <w:overflowPunct/>
        <w:topLinePunct w:val="0"/>
        <w:autoSpaceDE/>
        <w:autoSpaceDN/>
        <w:bidi w:val="0"/>
        <w:adjustRightInd w:val="0"/>
        <w:snapToGrid w:val="0"/>
        <w:spacing w:line="240" w:lineRule="auto"/>
        <w:ind w:firstLine="420" w:firstLineChars="200"/>
        <w:jc w:val="center"/>
        <w:textAlignment w:val="auto"/>
        <w:rPr>
          <w:rFonts w:hint="eastAsia" w:ascii="宋体" w:hAnsi="宋体" w:cs="宋体"/>
          <w:color w:val="auto"/>
          <w:szCs w:val="21"/>
          <w:highlight w:val="none"/>
          <w:lang w:val="en-US" w:eastAsia="zh-CN"/>
        </w:rPr>
      </w:pPr>
    </w:p>
    <w:p w14:paraId="411F7259">
      <w:pPr>
        <w:keepNext w:val="0"/>
        <w:keepLines w:val="0"/>
        <w:pageBreakBefore w:val="0"/>
        <w:widowControl w:val="0"/>
        <w:tabs>
          <w:tab w:val="left" w:pos="420"/>
        </w:tabs>
        <w:kinsoku/>
        <w:wordWrap/>
        <w:overflowPunct/>
        <w:topLinePunct w:val="0"/>
        <w:autoSpaceDE/>
        <w:autoSpaceDN/>
        <w:bidi w:val="0"/>
        <w:adjustRightInd w:val="0"/>
        <w:snapToGrid w:val="0"/>
        <w:spacing w:line="240" w:lineRule="auto"/>
        <w:ind w:firstLine="420" w:firstLineChars="200"/>
        <w:jc w:val="center"/>
        <w:textAlignment w:val="auto"/>
        <w:rPr>
          <w:rFonts w:hint="eastAsia" w:ascii="宋体" w:hAnsi="宋体" w:cs="宋体"/>
          <w:color w:val="auto"/>
          <w:szCs w:val="21"/>
          <w:highlight w:val="none"/>
          <w:lang w:val="en-US" w:eastAsia="zh-CN"/>
        </w:rPr>
      </w:pPr>
      <w:r>
        <w:drawing>
          <wp:inline distT="0" distB="0" distL="114300" distR="114300">
            <wp:extent cx="5095875" cy="3810000"/>
            <wp:effectExtent l="0" t="0" r="9525"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8"/>
                    <a:stretch>
                      <a:fillRect/>
                    </a:stretch>
                  </pic:blipFill>
                  <pic:spPr>
                    <a:xfrm>
                      <a:off x="0" y="0"/>
                      <a:ext cx="5095875" cy="3810000"/>
                    </a:xfrm>
                    <a:prstGeom prst="rect">
                      <a:avLst/>
                    </a:prstGeom>
                    <a:noFill/>
                    <a:ln>
                      <a:noFill/>
                    </a:ln>
                  </pic:spPr>
                </pic:pic>
              </a:graphicData>
            </a:graphic>
          </wp:inline>
        </w:drawing>
      </w:r>
    </w:p>
    <w:p w14:paraId="1348CFE9">
      <w:pPr>
        <w:tabs>
          <w:tab w:val="left" w:pos="420"/>
        </w:tabs>
        <w:adjustRightInd w:val="0"/>
        <w:snapToGrid w:val="0"/>
        <w:spacing w:line="440" w:lineRule="exact"/>
        <w:ind w:firstLine="420" w:firstLineChars="20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图3：现场安装效果图</w:t>
      </w:r>
    </w:p>
    <w:p w14:paraId="4CFA8C5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合同期限</w:t>
      </w:r>
    </w:p>
    <w:p w14:paraId="68AF336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自</w:t>
      </w:r>
      <w:r>
        <w:rPr>
          <w:rFonts w:hint="eastAsia" w:ascii="宋体" w:hAnsi="宋体" w:cs="宋体"/>
          <w:color w:val="auto"/>
          <w:kern w:val="0"/>
          <w:szCs w:val="21"/>
          <w:highlight w:val="none"/>
          <w:lang w:val="en-US" w:eastAsia="zh-CN"/>
        </w:rPr>
        <w:t>签订合同</w:t>
      </w:r>
      <w:r>
        <w:rPr>
          <w:rFonts w:hint="eastAsia" w:ascii="宋体" w:hAnsi="宋体" w:cs="宋体"/>
          <w:color w:val="auto"/>
          <w:kern w:val="0"/>
          <w:szCs w:val="21"/>
          <w:highlight w:val="none"/>
        </w:rPr>
        <w:t>之日起</w:t>
      </w:r>
      <w:r>
        <w:rPr>
          <w:rFonts w:hint="eastAsia" w:ascii="宋体" w:hAnsi="宋体" w:cs="宋体"/>
          <w:color w:val="auto"/>
          <w:kern w:val="0"/>
          <w:szCs w:val="21"/>
          <w:highlight w:val="none"/>
          <w:lang w:val="en-US" w:eastAsia="zh-CN"/>
        </w:rPr>
        <w:t>30个日历天内按招标人管理制度完成开工报审；60个日历天内</w:t>
      </w:r>
      <w:r>
        <w:rPr>
          <w:rFonts w:hint="eastAsia" w:ascii="宋体" w:hAnsi="宋体" w:cs="宋体"/>
          <w:color w:val="auto"/>
          <w:kern w:val="0"/>
          <w:szCs w:val="21"/>
          <w:highlight w:val="none"/>
        </w:rPr>
        <w:t>完成</w:t>
      </w:r>
      <w:r>
        <w:rPr>
          <w:rFonts w:hint="eastAsia" w:ascii="宋体" w:hAnsi="宋体" w:cs="宋体"/>
          <w:color w:val="auto"/>
          <w:kern w:val="0"/>
          <w:szCs w:val="21"/>
          <w:highlight w:val="none"/>
          <w:lang w:val="en-US" w:eastAsia="zh-CN"/>
        </w:rPr>
        <w:t>全部设备安装、调试及验收工作</w:t>
      </w:r>
      <w:r>
        <w:rPr>
          <w:rFonts w:hint="eastAsia" w:ascii="宋体" w:hAnsi="宋体" w:cs="宋体"/>
          <w:color w:val="auto"/>
          <w:kern w:val="0"/>
          <w:szCs w:val="21"/>
          <w:highlight w:val="none"/>
        </w:rPr>
        <w:t>。</w:t>
      </w:r>
    </w:p>
    <w:p w14:paraId="56FD564A">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三、标准技术规范</w:t>
      </w:r>
    </w:p>
    <w:p w14:paraId="77C8C99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3.1技术标准</w:t>
      </w:r>
    </w:p>
    <w:p w14:paraId="508FFF1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本项工程的设计、制造、安装、测试以及使用的材料，均将遵守如下标准：</w:t>
      </w:r>
    </w:p>
    <w:p w14:paraId="38C82AC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●《地铁设计规范》 （GB50157）</w:t>
      </w:r>
    </w:p>
    <w:p w14:paraId="5CE2FBFF">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●《城市轨道交通技术规范》（GB50490）</w:t>
      </w:r>
    </w:p>
    <w:p w14:paraId="33DF3EA8">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●质量安全体系应符合ISO9001标准；</w:t>
      </w:r>
    </w:p>
    <w:p w14:paraId="08C14336">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●环境管理体系应符合ISO14000标准；</w:t>
      </w:r>
    </w:p>
    <w:p w14:paraId="3BC97742">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●《地下铁道设计规范》（GB50157－2003）；</w:t>
      </w:r>
    </w:p>
    <w:p w14:paraId="76D419C5">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出入门控制系统工程设计规范》</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GB 50396</w:t>
      </w:r>
      <w:r>
        <w:rPr>
          <w:rFonts w:hint="eastAsia" w:ascii="宋体" w:hAnsi="宋体" w:eastAsia="宋体" w:cs="宋体"/>
          <w:color w:val="auto"/>
          <w:kern w:val="0"/>
          <w:szCs w:val="21"/>
          <w:highlight w:val="none"/>
          <w:lang w:val="en-US" w:eastAsia="zh-CN"/>
        </w:rPr>
        <w:t>-2007）；</w:t>
      </w:r>
    </w:p>
    <w:p w14:paraId="073B3182">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民用建筑电气设计标准</w:t>
      </w:r>
      <w:r>
        <w:rPr>
          <w:rFonts w:hint="eastAsia" w:ascii="宋体" w:hAnsi="宋体" w:eastAsia="宋体" w:cs="宋体"/>
          <w:color w:val="auto"/>
          <w:kern w:val="0"/>
          <w:szCs w:val="21"/>
          <w:highlight w:val="none"/>
          <w:lang w:val="en-US" w:eastAsia="zh-CN"/>
        </w:rPr>
        <w:t>》（GB51348-2019）；</w:t>
      </w:r>
    </w:p>
    <w:p w14:paraId="281756D1">
      <w:pPr>
        <w:tabs>
          <w:tab w:val="left" w:pos="420"/>
        </w:tabs>
        <w:adjustRightInd w:val="0"/>
        <w:snapToGrid w:val="0"/>
        <w:spacing w:line="440" w:lineRule="exact"/>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综合布线系统工程设计规范》(GB 50311-2016)</w:t>
      </w:r>
    </w:p>
    <w:p w14:paraId="14D6A7E9">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w:t>
      </w:r>
      <w:r>
        <w:rPr>
          <w:rFonts w:hint="default" w:ascii="宋体" w:hAnsi="宋体" w:eastAsia="宋体" w:cs="宋体"/>
          <w:color w:val="auto"/>
          <w:kern w:val="0"/>
          <w:szCs w:val="21"/>
          <w:highlight w:val="none"/>
          <w:lang w:val="en-US" w:eastAsia="zh-CN"/>
        </w:rPr>
        <w:t>地下铁道工程施工质量验收标准</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GB/T 50299-2018</w:t>
      </w:r>
      <w:r>
        <w:rPr>
          <w:rFonts w:hint="eastAsia" w:ascii="宋体" w:hAnsi="宋体" w:eastAsia="宋体" w:cs="宋体"/>
          <w:color w:val="auto"/>
          <w:kern w:val="0"/>
          <w:szCs w:val="21"/>
          <w:highlight w:val="none"/>
          <w:lang w:val="en-US" w:eastAsia="zh-CN"/>
        </w:rPr>
        <w:t>)</w:t>
      </w:r>
    </w:p>
    <w:p w14:paraId="5379BE2A">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eastAsia="zh-CN"/>
        </w:rPr>
        <w:t>《</w:t>
      </w:r>
      <w:r>
        <w:rPr>
          <w:rFonts w:hint="default" w:ascii="宋体" w:hAnsi="宋体" w:eastAsia="宋体" w:cs="宋体"/>
          <w:color w:val="auto"/>
          <w:kern w:val="0"/>
          <w:szCs w:val="21"/>
          <w:highlight w:val="none"/>
        </w:rPr>
        <w:t>路面</w:t>
      </w:r>
      <w:r>
        <w:rPr>
          <w:rFonts w:hint="default" w:ascii="宋体" w:hAnsi="宋体" w:eastAsia="宋体" w:cs="宋体"/>
          <w:color w:val="auto"/>
          <w:kern w:val="0"/>
          <w:szCs w:val="21"/>
          <w:highlight w:val="none"/>
          <w:lang w:val="en-US" w:eastAsia="zh-CN"/>
        </w:rPr>
        <w:t>橡胶减速带</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JT</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T</w:t>
      </w:r>
      <w:r>
        <w:rPr>
          <w:rFonts w:hint="eastAsia" w:ascii="宋体" w:hAnsi="宋体" w:eastAsia="宋体" w:cs="宋体"/>
          <w:color w:val="auto"/>
          <w:kern w:val="0"/>
          <w:szCs w:val="21"/>
          <w:highlight w:val="none"/>
          <w:lang w:val="en-US" w:eastAsia="zh-CN"/>
        </w:rPr>
        <w:t xml:space="preserve"> </w:t>
      </w:r>
      <w:r>
        <w:rPr>
          <w:rFonts w:hint="default" w:ascii="宋体" w:hAnsi="宋体" w:eastAsia="宋体" w:cs="宋体"/>
          <w:color w:val="auto"/>
          <w:kern w:val="0"/>
          <w:szCs w:val="21"/>
          <w:highlight w:val="none"/>
          <w:lang w:val="en-US" w:eastAsia="zh-CN"/>
        </w:rPr>
        <w:t>713-2008</w:t>
      </w:r>
      <w:r>
        <w:rPr>
          <w:rFonts w:hint="eastAsia" w:ascii="宋体" w:hAnsi="宋体" w:eastAsia="宋体" w:cs="宋体"/>
          <w:color w:val="auto"/>
          <w:kern w:val="0"/>
          <w:szCs w:val="21"/>
          <w:highlight w:val="none"/>
          <w:lang w:val="en-US" w:eastAsia="zh-CN"/>
        </w:rPr>
        <w:t>）</w:t>
      </w:r>
    </w:p>
    <w:p w14:paraId="265AB704">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●国家最新有关标准；</w:t>
      </w:r>
    </w:p>
    <w:p w14:paraId="05FB85D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●本要求中特别指定和制定的标准及技术要求</w:t>
      </w:r>
    </w:p>
    <w:p w14:paraId="3A007E5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公认的中华人民共和国行业标准（同项规定的，按标准内最高要求执行或按双方商定的标准执行）上述技术标准和规范如有不涉及之处或未能达到国际和国家最新标准时，投标人应使系统符合最新版本的国际和国家标准、规范，并提供所采用的国际和国家标准、规范以及所采用版本的有关技术资料。</w:t>
      </w:r>
    </w:p>
    <w:p w14:paraId="0CC47E6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3.2 技术要求</w:t>
      </w:r>
    </w:p>
    <w:p w14:paraId="30069413">
      <w:pPr>
        <w:tabs>
          <w:tab w:val="left" w:pos="420"/>
        </w:tabs>
        <w:adjustRightInd w:val="0"/>
        <w:snapToGrid w:val="0"/>
        <w:spacing w:line="440" w:lineRule="exact"/>
        <w:ind w:firstLine="420" w:firstLineChars="200"/>
        <w:jc w:val="left"/>
        <w:rPr>
          <w:rFonts w:hint="default" w:ascii="宋体" w:hAnsi="宋体" w:cs="宋体"/>
          <w:color w:val="auto"/>
          <w:kern w:val="0"/>
          <w:szCs w:val="21"/>
          <w:highlight w:val="none"/>
          <w:lang w:val="en-US"/>
        </w:rPr>
      </w:pPr>
      <w:r>
        <w:rPr>
          <w:rFonts w:hint="eastAsia" w:ascii="宋体" w:hAnsi="宋体" w:cs="宋体"/>
          <w:color w:val="auto"/>
          <w:kern w:val="0"/>
          <w:szCs w:val="21"/>
          <w:highlight w:val="none"/>
          <w:lang w:val="en-US" w:eastAsia="zh-CN"/>
        </w:rPr>
        <w:t>设备所使用的软件可安装于既有门岗保安室的工作站中，若既有工作站不满足匹配条件的，中标人需额外提供相应的工作站配套设备。</w:t>
      </w:r>
    </w:p>
    <w:p w14:paraId="7D4E14FE">
      <w:pPr>
        <w:tabs>
          <w:tab w:val="left" w:pos="420"/>
        </w:tabs>
        <w:adjustRightInd w:val="0"/>
        <w:snapToGrid w:val="0"/>
        <w:spacing w:line="44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3.3 新增设备要求</w:t>
      </w:r>
    </w:p>
    <w:p w14:paraId="562DA34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3.3.1 环境要求</w:t>
      </w:r>
    </w:p>
    <w:p w14:paraId="17263F8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3.3.1.1 本项工程新增设备必须可靠地工作在以下环境条件中：</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3"/>
        <w:gridCol w:w="5231"/>
      </w:tblGrid>
      <w:tr w14:paraId="1FE2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2" w:type="pct"/>
            <w:tcBorders>
              <w:top w:val="single" w:color="auto" w:sz="4" w:space="0"/>
              <w:left w:val="single" w:color="auto" w:sz="4" w:space="0"/>
              <w:bottom w:val="single" w:color="auto" w:sz="4" w:space="0"/>
              <w:right w:val="single" w:color="auto" w:sz="4" w:space="0"/>
            </w:tcBorders>
          </w:tcPr>
          <w:p w14:paraId="380C8DBF">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项目</w:t>
            </w:r>
          </w:p>
        </w:tc>
        <w:tc>
          <w:tcPr>
            <w:tcW w:w="2717" w:type="pct"/>
            <w:tcBorders>
              <w:top w:val="single" w:color="auto" w:sz="4" w:space="0"/>
              <w:left w:val="single" w:color="auto" w:sz="4" w:space="0"/>
              <w:bottom w:val="single" w:color="auto" w:sz="4" w:space="0"/>
              <w:right w:val="single" w:color="auto" w:sz="4" w:space="0"/>
            </w:tcBorders>
          </w:tcPr>
          <w:p w14:paraId="4768C7F4">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lang w:val="en-US" w:eastAsia="zh-CN"/>
              </w:rPr>
              <w:t>车辆段</w:t>
            </w:r>
          </w:p>
        </w:tc>
      </w:tr>
      <w:tr w14:paraId="0BB2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2282" w:type="pct"/>
            <w:tcBorders>
              <w:top w:val="nil"/>
              <w:left w:val="single" w:color="auto" w:sz="4" w:space="0"/>
              <w:bottom w:val="single" w:color="auto" w:sz="4" w:space="0"/>
              <w:right w:val="single" w:color="auto" w:sz="4" w:space="0"/>
            </w:tcBorders>
            <w:vAlign w:val="center"/>
          </w:tcPr>
          <w:p w14:paraId="6323477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温</w:t>
            </w:r>
            <w:r>
              <w:rPr>
                <w:rFonts w:hint="eastAsia" w:ascii="宋体" w:hAnsi="宋体" w:cs="宋体"/>
                <w:color w:val="auto"/>
                <w:kern w:val="0"/>
                <w:szCs w:val="21"/>
                <w:highlight w:val="none"/>
              </w:rPr>
              <w:t>度</w:t>
            </w:r>
          </w:p>
        </w:tc>
        <w:tc>
          <w:tcPr>
            <w:tcW w:w="2717" w:type="pct"/>
            <w:tcBorders>
              <w:top w:val="single" w:color="auto" w:sz="4" w:space="0"/>
              <w:left w:val="single" w:color="auto" w:sz="4" w:space="0"/>
              <w:bottom w:val="single" w:color="auto" w:sz="4" w:space="0"/>
              <w:right w:val="single" w:color="auto" w:sz="4" w:space="0"/>
            </w:tcBorders>
            <w:vAlign w:val="center"/>
          </w:tcPr>
          <w:p w14:paraId="52FDA773">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℃～+45℃</w:t>
            </w:r>
          </w:p>
        </w:tc>
      </w:tr>
      <w:tr w14:paraId="55F0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82" w:type="pct"/>
            <w:tcBorders>
              <w:top w:val="nil"/>
              <w:left w:val="single" w:color="auto" w:sz="4" w:space="0"/>
              <w:bottom w:val="single" w:color="auto" w:sz="4" w:space="0"/>
              <w:right w:val="single" w:color="auto" w:sz="4" w:space="0"/>
            </w:tcBorders>
            <w:vAlign w:val="center"/>
          </w:tcPr>
          <w:p w14:paraId="63F8720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湿度</w:t>
            </w:r>
          </w:p>
        </w:tc>
        <w:tc>
          <w:tcPr>
            <w:tcW w:w="2717" w:type="pct"/>
            <w:tcBorders>
              <w:top w:val="single" w:color="auto" w:sz="4" w:space="0"/>
              <w:left w:val="single" w:color="auto" w:sz="4" w:space="0"/>
              <w:bottom w:val="single" w:color="auto" w:sz="4" w:space="0"/>
              <w:right w:val="single" w:color="auto" w:sz="4" w:space="0"/>
            </w:tcBorders>
            <w:vAlign w:val="center"/>
          </w:tcPr>
          <w:p w14:paraId="2B4656D2">
            <w:pPr>
              <w:keepNext w:val="0"/>
              <w:keepLines w:val="0"/>
              <w:suppressLineNumbers w:val="0"/>
              <w:tabs>
                <w:tab w:val="left" w:pos="420"/>
              </w:tabs>
              <w:adjustRightInd w:val="0"/>
              <w:snapToGrid w:val="0"/>
              <w:spacing w:before="0" w:beforeAutospacing="0" w:after="0" w:afterAutospacing="0" w:line="440" w:lineRule="exact"/>
              <w:ind w:left="0" w:right="0" w:firstLine="420" w:firstLineChars="20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5～90%</w:t>
            </w:r>
          </w:p>
        </w:tc>
      </w:tr>
      <w:tr w14:paraId="64FEF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2" w:type="pct"/>
            <w:tcBorders>
              <w:top w:val="single" w:color="auto" w:sz="4" w:space="0"/>
              <w:left w:val="single" w:color="auto" w:sz="4" w:space="0"/>
              <w:bottom w:val="single" w:color="auto" w:sz="4" w:space="0"/>
              <w:right w:val="single" w:color="auto" w:sz="4" w:space="0"/>
            </w:tcBorders>
            <w:vAlign w:val="center"/>
          </w:tcPr>
          <w:p w14:paraId="18AB080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其他要求</w:t>
            </w:r>
          </w:p>
        </w:tc>
        <w:tc>
          <w:tcPr>
            <w:tcW w:w="2717" w:type="pct"/>
            <w:tcBorders>
              <w:top w:val="single" w:color="auto" w:sz="4" w:space="0"/>
              <w:left w:val="single" w:color="auto" w:sz="4" w:space="0"/>
              <w:bottom w:val="single" w:color="auto" w:sz="4" w:space="0"/>
              <w:right w:val="single" w:color="auto" w:sz="4" w:space="0"/>
            </w:tcBorders>
            <w:vAlign w:val="center"/>
          </w:tcPr>
          <w:p w14:paraId="4D3AA0D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rPr>
              <w:t>防护等级达到IP66</w:t>
            </w:r>
          </w:p>
        </w:tc>
      </w:tr>
    </w:tbl>
    <w:p w14:paraId="253F394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3.3.1.</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 xml:space="preserve"> 本工程的设备是灵活的，</w:t>
      </w:r>
      <w:r>
        <w:rPr>
          <w:rFonts w:hint="eastAsia" w:ascii="宋体" w:hAnsi="宋体" w:cs="宋体"/>
          <w:color w:val="auto"/>
          <w:kern w:val="0"/>
          <w:szCs w:val="21"/>
          <w:highlight w:val="none"/>
          <w:lang w:val="en-US" w:eastAsia="zh-CN"/>
        </w:rPr>
        <w:t>既要</w:t>
      </w:r>
      <w:r>
        <w:rPr>
          <w:rFonts w:hint="eastAsia" w:ascii="宋体" w:hAnsi="宋体" w:cs="宋体"/>
          <w:color w:val="auto"/>
          <w:kern w:val="0"/>
          <w:szCs w:val="21"/>
          <w:highlight w:val="none"/>
        </w:rPr>
        <w:t>满足</w:t>
      </w:r>
      <w:r>
        <w:rPr>
          <w:rFonts w:hint="eastAsia" w:ascii="宋体" w:hAnsi="宋体" w:cs="宋体"/>
          <w:color w:val="auto"/>
          <w:kern w:val="0"/>
          <w:szCs w:val="21"/>
          <w:highlight w:val="none"/>
          <w:lang w:val="en-US" w:eastAsia="zh-CN"/>
        </w:rPr>
        <w:t>滁宁城际线</w:t>
      </w:r>
      <w:r>
        <w:rPr>
          <w:rFonts w:hint="eastAsia" w:ascii="宋体" w:hAnsi="宋体" w:cs="宋体"/>
          <w:color w:val="auto"/>
          <w:kern w:val="0"/>
          <w:szCs w:val="21"/>
          <w:highlight w:val="none"/>
        </w:rPr>
        <w:t>本项工程需要，又</w:t>
      </w:r>
      <w:r>
        <w:rPr>
          <w:rFonts w:hint="eastAsia" w:ascii="宋体" w:hAnsi="宋体" w:cs="宋体"/>
          <w:color w:val="auto"/>
          <w:kern w:val="0"/>
          <w:szCs w:val="21"/>
          <w:highlight w:val="none"/>
          <w:lang w:val="en-US" w:eastAsia="zh-CN"/>
        </w:rPr>
        <w:t>能</w:t>
      </w:r>
      <w:r>
        <w:rPr>
          <w:rFonts w:hint="eastAsia" w:ascii="宋体" w:hAnsi="宋体" w:cs="宋体"/>
          <w:color w:val="auto"/>
          <w:kern w:val="0"/>
          <w:szCs w:val="21"/>
          <w:highlight w:val="none"/>
        </w:rPr>
        <w:t>适应其它引入或扩展的需要。</w:t>
      </w:r>
    </w:p>
    <w:p w14:paraId="2608351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3.3.1.</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xml:space="preserve"> 本工程的设备是便于安装和操作的。</w:t>
      </w:r>
    </w:p>
    <w:p w14:paraId="7746E6F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3.3.2 技术要求</w:t>
      </w:r>
    </w:p>
    <w:p w14:paraId="757C9E1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3.3.2.1 可靠性要求</w:t>
      </w:r>
    </w:p>
    <w:p w14:paraId="68F15EE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3.3.2.1.1 系统是安全、可靠的，并能适应连续24小时不间断地运行。</w:t>
      </w:r>
    </w:p>
    <w:p w14:paraId="60845FB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3.3.2.2 可维护性要求</w:t>
      </w:r>
    </w:p>
    <w:p w14:paraId="26003BA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3.3.2.2.1 模块化设计，方便维修、替换。</w:t>
      </w:r>
    </w:p>
    <w:p w14:paraId="09CC77D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3.3.2.2.2 </w:t>
      </w:r>
      <w:r>
        <w:rPr>
          <w:rFonts w:hint="eastAsia" w:ascii="宋体" w:hAnsi="宋体" w:cs="宋体"/>
          <w:color w:val="auto"/>
          <w:kern w:val="0"/>
          <w:szCs w:val="21"/>
          <w:highlight w:val="none"/>
          <w:lang w:val="en-US" w:eastAsia="zh-CN"/>
        </w:rPr>
        <w:t>设备</w:t>
      </w:r>
      <w:r>
        <w:rPr>
          <w:rFonts w:hint="eastAsia" w:ascii="宋体" w:hAnsi="宋体" w:cs="宋体"/>
          <w:color w:val="auto"/>
          <w:kern w:val="0"/>
          <w:szCs w:val="21"/>
          <w:highlight w:val="none"/>
        </w:rPr>
        <w:t>部分应具备自诊断和检测功能。</w:t>
      </w:r>
    </w:p>
    <w:p w14:paraId="1D7BE4A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3.3.3 制造工艺要求</w:t>
      </w:r>
    </w:p>
    <w:p w14:paraId="01BE922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3.3.3.1 印刷电路板采用波峰焊以上技术。</w:t>
      </w:r>
    </w:p>
    <w:p w14:paraId="3972E9E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3.3.3.2 大电流插件采用镀银或镀金技术。</w:t>
      </w:r>
    </w:p>
    <w:p w14:paraId="64DD361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3.3.3.3 每块印刷电路板都具有防护涂层，以防止因潮气/盐气或其他腐蚀环境引起的开裂、生锈、变质。</w:t>
      </w:r>
    </w:p>
    <w:p w14:paraId="440CF1C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3.3.3.4 零部件的布置、固定和排列应使检查、拆除和更换时不影响或损坏连线上的其他零部件。</w:t>
      </w:r>
    </w:p>
    <w:p w14:paraId="25E2C34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3.3.3.5 所有批量生产的设备、零部件、元器件都是标准产品，相同规格的设备、卡、盘、零件是可互换的。</w:t>
      </w:r>
    </w:p>
    <w:p w14:paraId="5361BC6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3.3.3.6 所选设备实现组成模块化、标准化、维护管理自动化。</w:t>
      </w:r>
    </w:p>
    <w:p w14:paraId="133AD02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3.3.3.7 设备和仪器的金属构件表面除了加工装配面和电镀表面以外，都进行防锈或喷涂处理。在装配前，对封闭结构的内表面也有必要喷涂或进行防锈处理，处理质量符合SSPC标准。</w:t>
      </w:r>
    </w:p>
    <w:p w14:paraId="54BBEB7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3.3.4 电磁兼容要求</w:t>
      </w:r>
    </w:p>
    <w:p w14:paraId="7895526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3.3.4.1 电磁兼容，是指设备或系统在其电磁环境中能正常工作，且不对该环境中任何事物及设施构成不能承受的电磁干扰的能力。</w:t>
      </w:r>
    </w:p>
    <w:p w14:paraId="501CB3A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3.3.4.2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充分</w:t>
      </w:r>
      <w:r>
        <w:rPr>
          <w:rFonts w:hint="eastAsia" w:ascii="宋体" w:hAnsi="宋体" w:cs="宋体"/>
          <w:color w:val="auto"/>
          <w:kern w:val="0"/>
          <w:szCs w:val="21"/>
          <w:highlight w:val="none"/>
          <w:lang w:val="en-US" w:eastAsia="zh-CN"/>
        </w:rPr>
        <w:t>了解</w:t>
      </w:r>
      <w:r>
        <w:rPr>
          <w:rFonts w:hint="eastAsia" w:ascii="宋体" w:hAnsi="宋体" w:cs="宋体"/>
          <w:color w:val="auto"/>
          <w:kern w:val="0"/>
          <w:szCs w:val="21"/>
          <w:highlight w:val="none"/>
        </w:rPr>
        <w:t>系统设备的使用环境，系统设备应不受地铁其他系统的电磁干扰，也不对其他系统产生电磁干扰。</w:t>
      </w:r>
    </w:p>
    <w:p w14:paraId="5415BF2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3.3.4.3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提供的所有设备满足相关国际及国内电磁兼容标准，并提供</w:t>
      </w:r>
      <w:r>
        <w:rPr>
          <w:rFonts w:hint="eastAsia"/>
          <w:color w:val="auto"/>
          <w:highlight w:val="none"/>
          <w:lang w:val="en-US" w:eastAsia="zh-CN"/>
        </w:rPr>
        <w:t>设备产品</w:t>
      </w:r>
      <w:r>
        <w:rPr>
          <w:rFonts w:hint="eastAsia"/>
          <w:color w:val="auto"/>
          <w:highlight w:val="none"/>
        </w:rPr>
        <w:t>合格证</w:t>
      </w:r>
      <w:r>
        <w:rPr>
          <w:rFonts w:hint="eastAsia" w:ascii="宋体" w:hAnsi="宋体" w:cs="宋体"/>
          <w:color w:val="auto"/>
          <w:kern w:val="0"/>
          <w:szCs w:val="21"/>
          <w:highlight w:val="none"/>
        </w:rPr>
        <w:t>。</w:t>
      </w:r>
    </w:p>
    <w:p w14:paraId="6B4485F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3.3.4.4 系统接地考虑避免电线/电缆受到周围的电磁干扰而影响连接的设备。</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同时考虑设备的安全及信号接地方法，以维护系统整体的安全和电磁兼容性。</w:t>
      </w:r>
    </w:p>
    <w:p w14:paraId="73E3613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3.3.4.5 所有强弱电缆/电线分开布置。在设计电缆/电线布置时，</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lang w:val="en-US" w:eastAsia="zh-CN"/>
        </w:rPr>
        <w:t>应</w:t>
      </w:r>
      <w:r>
        <w:rPr>
          <w:rFonts w:hint="eastAsia" w:ascii="宋体" w:hAnsi="宋体" w:cs="宋体"/>
          <w:color w:val="auto"/>
          <w:kern w:val="0"/>
          <w:szCs w:val="21"/>
          <w:highlight w:val="none"/>
        </w:rPr>
        <w:t>考虑强电对弱电的电磁干扰，制定适当的分隔距离或电磁保护措施。</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lang w:val="en-US" w:eastAsia="zh-CN"/>
        </w:rPr>
        <w:t>需</w:t>
      </w:r>
      <w:r>
        <w:rPr>
          <w:rFonts w:hint="eastAsia" w:ascii="宋体" w:hAnsi="宋体" w:cs="宋体"/>
          <w:color w:val="auto"/>
          <w:kern w:val="0"/>
          <w:szCs w:val="21"/>
          <w:highlight w:val="none"/>
        </w:rPr>
        <w:t>考虑附近的电磁环境而选取适当的电缆/电线。</w:t>
      </w:r>
    </w:p>
    <w:p w14:paraId="49BCE25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 xml:space="preserve"> 设备安装技术要求</w:t>
      </w:r>
    </w:p>
    <w:p w14:paraId="1666BA7D">
      <w:pPr>
        <w:numPr>
          <w:ilvl w:val="0"/>
          <w:numId w:val="0"/>
        </w:num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eastAsia="宋体" w:cs="宋体"/>
          <w:color w:val="auto"/>
          <w:kern w:val="0"/>
          <w:szCs w:val="21"/>
          <w:highlight w:val="none"/>
          <w:lang w:val="en-US" w:eastAsia="zh-CN"/>
        </w:rPr>
        <w:t>3.3.5.1出入口道闸设备由门卫建筑动力照明专业提供单相交流220V电源</w:t>
      </w:r>
      <w:r>
        <w:rPr>
          <w:rFonts w:hint="eastAsia" w:ascii="宋体" w:hAnsi="宋体" w:cs="宋体"/>
          <w:color w:val="auto"/>
          <w:kern w:val="0"/>
          <w:szCs w:val="21"/>
          <w:highlight w:val="none"/>
          <w:lang w:val="en-US" w:eastAsia="zh-CN"/>
        </w:rPr>
        <w:t>。</w:t>
      </w:r>
    </w:p>
    <w:p w14:paraId="76E0585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 xml:space="preserve"> 电源设备类型容量和安装位置符合设计规定，设备附件齐全、完整，设备安装平稳、固定牢靠。</w:t>
      </w:r>
    </w:p>
    <w:p w14:paraId="248EA23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xml:space="preserve"> 接地装置的种类、接地电阻阻值、用材规格、引入方式符合设计规定。</w:t>
      </w:r>
    </w:p>
    <w:p w14:paraId="79811E2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 各种线缆规格、敷设路径和走线固定方法符合设计规定及安装手册要求，配线用吊架、支架加工、安装符合安装手册规定。</w:t>
      </w:r>
    </w:p>
    <w:p w14:paraId="7F62CB7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 xml:space="preserve"> 露天电缆需要穿管防护。</w:t>
      </w:r>
    </w:p>
    <w:p w14:paraId="6806540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3.3.</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 xml:space="preserve"> 线缆经过道床或马路时，线管需放入电缆槽道或按规范进入地下（挖电缆沟或修建电缆井）。</w:t>
      </w:r>
    </w:p>
    <w:p w14:paraId="3A7B60F2">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四、服务要求与条件</w:t>
      </w:r>
    </w:p>
    <w:p w14:paraId="50E0AC29">
      <w:pPr>
        <w:tabs>
          <w:tab w:val="left" w:pos="420"/>
        </w:tabs>
        <w:adjustRightInd w:val="0"/>
        <w:snapToGrid w:val="0"/>
        <w:spacing w:line="440" w:lineRule="exact"/>
        <w:jc w:val="left"/>
        <w:rPr>
          <w:rFonts w:hint="eastAsia" w:ascii="宋体" w:hAnsi="宋体" w:cs="宋体"/>
          <w:color w:val="auto"/>
          <w:kern w:val="0"/>
          <w:szCs w:val="21"/>
          <w:highlight w:val="none"/>
        </w:rPr>
      </w:pPr>
      <w:r>
        <w:rPr>
          <w:rFonts w:ascii="宋体" w:hAnsi="宋体" w:cs="宋体"/>
          <w:color w:val="auto"/>
          <w:kern w:val="0"/>
          <w:szCs w:val="21"/>
          <w:highlight w:val="none"/>
        </w:rPr>
        <w:tab/>
      </w:r>
      <w:r>
        <w:rPr>
          <w:rFonts w:hint="eastAsia" w:ascii="宋体" w:hAnsi="宋体" w:cs="宋体"/>
          <w:color w:val="auto"/>
          <w:kern w:val="0"/>
          <w:szCs w:val="21"/>
          <w:highlight w:val="none"/>
        </w:rPr>
        <w:t>4.1 项目人员要求</w:t>
      </w:r>
    </w:p>
    <w:p w14:paraId="41E8C6B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项目负责人1名：大专以上学历，</w:t>
      </w:r>
      <w:r>
        <w:rPr>
          <w:rFonts w:hint="eastAsia" w:ascii="宋体" w:hAnsi="宋体" w:cs="宋体"/>
          <w:color w:val="auto"/>
          <w:kern w:val="0"/>
          <w:szCs w:val="21"/>
          <w:highlight w:val="none"/>
          <w:lang w:val="en-US" w:eastAsia="zh-CN"/>
        </w:rPr>
        <w:t>机电</w:t>
      </w:r>
      <w:r>
        <w:rPr>
          <w:rFonts w:hint="eastAsia" w:ascii="宋体" w:hAnsi="宋体" w:cs="宋体"/>
          <w:color w:val="auto"/>
          <w:kern w:val="0"/>
          <w:szCs w:val="21"/>
          <w:highlight w:val="none"/>
        </w:rPr>
        <w:t>、自动化等相关专业，具备</w:t>
      </w:r>
      <w:r>
        <w:rPr>
          <w:rFonts w:hint="eastAsia" w:ascii="宋体" w:hAnsi="宋体" w:cs="宋体"/>
          <w:color w:val="auto"/>
          <w:kern w:val="0"/>
          <w:szCs w:val="21"/>
          <w:highlight w:val="none"/>
          <w:lang w:val="en-US" w:eastAsia="zh-CN"/>
        </w:rPr>
        <w:t>机电</w:t>
      </w:r>
      <w:r>
        <w:rPr>
          <w:rFonts w:hint="eastAsia" w:ascii="宋体" w:hAnsi="宋体" w:cs="宋体"/>
          <w:color w:val="auto"/>
          <w:kern w:val="0"/>
          <w:szCs w:val="21"/>
          <w:highlight w:val="none"/>
        </w:rPr>
        <w:t>工程项目施工工作经验。</w:t>
      </w:r>
    </w:p>
    <w:p w14:paraId="3F5AD1C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安全负责人1名：大专以上学历，持有安全员C证</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可兼任</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p w14:paraId="07D87CF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一般作业人员：</w:t>
      </w:r>
      <w:r>
        <w:rPr>
          <w:rFonts w:hint="eastAsia" w:ascii="宋体" w:hAnsi="宋体" w:cs="宋体"/>
          <w:color w:val="auto"/>
          <w:kern w:val="0"/>
          <w:szCs w:val="21"/>
          <w:highlight w:val="none"/>
          <w:lang w:val="en-US" w:eastAsia="zh-CN"/>
        </w:rPr>
        <w:t>不少于3人，</w:t>
      </w:r>
      <w:r>
        <w:rPr>
          <w:rFonts w:hint="eastAsia" w:ascii="宋体" w:hAnsi="宋体" w:cs="宋体"/>
          <w:color w:val="auto"/>
          <w:kern w:val="0"/>
          <w:szCs w:val="21"/>
          <w:highlight w:val="none"/>
        </w:rPr>
        <w:t>全员持有低压电工证</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具备</w:t>
      </w:r>
      <w:r>
        <w:rPr>
          <w:rFonts w:hint="eastAsia" w:ascii="宋体" w:hAnsi="宋体" w:cs="宋体"/>
          <w:color w:val="auto"/>
          <w:kern w:val="0"/>
          <w:szCs w:val="21"/>
          <w:highlight w:val="none"/>
          <w:lang w:val="en-US" w:eastAsia="zh-CN"/>
        </w:rPr>
        <w:t>机电</w:t>
      </w:r>
      <w:r>
        <w:rPr>
          <w:rFonts w:hint="eastAsia" w:ascii="宋体" w:hAnsi="宋体" w:cs="宋体"/>
          <w:color w:val="auto"/>
          <w:kern w:val="0"/>
          <w:szCs w:val="21"/>
          <w:highlight w:val="none"/>
        </w:rPr>
        <w:t>工程项目施工工作经验。</w:t>
      </w:r>
    </w:p>
    <w:p w14:paraId="23396B0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注：合同签订后项目实施前提交</w:t>
      </w:r>
      <w:r>
        <w:rPr>
          <w:rFonts w:hint="eastAsia" w:ascii="宋体" w:hAnsi="宋体" w:cs="宋体"/>
          <w:color w:val="auto"/>
          <w:kern w:val="0"/>
          <w:szCs w:val="21"/>
          <w:highlight w:val="none"/>
          <w:lang w:val="en-US" w:eastAsia="zh-CN"/>
        </w:rPr>
        <w:t>上述</w:t>
      </w:r>
      <w:r>
        <w:rPr>
          <w:rFonts w:hint="eastAsia" w:ascii="宋体" w:hAnsi="宋体" w:cs="宋体"/>
          <w:color w:val="auto"/>
          <w:kern w:val="0"/>
          <w:szCs w:val="21"/>
          <w:highlight w:val="none"/>
        </w:rPr>
        <w:t>人员资料报招标人核查。中标人须按照上述要求配置人员，否则招标人报监督管理部门依法处理。</w:t>
      </w:r>
    </w:p>
    <w:p w14:paraId="06A23F2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4.2中标人施工过程所发生的一切交通（含地铁卡）</w:t>
      </w:r>
      <w:r>
        <w:rPr>
          <w:rFonts w:hint="eastAsia" w:ascii="宋体" w:hAnsi="宋体" w:cs="宋体"/>
          <w:color w:val="auto"/>
          <w:kern w:val="0"/>
          <w:szCs w:val="21"/>
          <w:highlight w:val="none"/>
          <w:lang w:val="en-US" w:eastAsia="zh-CN"/>
        </w:rPr>
        <w:t>费用</w:t>
      </w:r>
      <w:r>
        <w:rPr>
          <w:rFonts w:hint="eastAsia" w:ascii="宋体" w:hAnsi="宋体" w:cs="宋体"/>
          <w:color w:val="auto"/>
          <w:kern w:val="0"/>
          <w:szCs w:val="21"/>
          <w:highlight w:val="none"/>
        </w:rPr>
        <w:t>、通信费用由中标人承担，项目所需的工器具、办公用品、管理用具、劳保用品、安全防护用具、工作服（工作服的式样、标识需征得招标人同意）等均由中标人自行解决。</w:t>
      </w:r>
    </w:p>
    <w:p w14:paraId="66F3C8F2">
      <w:pPr>
        <w:spacing w:line="44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4.3 实施人员要求具备</w:t>
      </w:r>
      <w:r>
        <w:rPr>
          <w:rFonts w:hint="eastAsia" w:ascii="宋体" w:hAnsi="宋体" w:cs="宋体"/>
          <w:color w:val="auto"/>
          <w:kern w:val="0"/>
          <w:szCs w:val="21"/>
          <w:highlight w:val="none"/>
          <w:lang w:val="en-US" w:eastAsia="zh-CN"/>
        </w:rPr>
        <w:t>机电施工</w:t>
      </w:r>
      <w:r>
        <w:rPr>
          <w:rFonts w:hint="eastAsia" w:ascii="宋体" w:hAnsi="宋体" w:cs="宋体"/>
          <w:color w:val="auto"/>
          <w:kern w:val="0"/>
          <w:szCs w:val="21"/>
          <w:highlight w:val="none"/>
        </w:rPr>
        <w:t>经验，作业前要了解工程项目的内容和性质、服务对象及安装位置，实施人员要熟悉技术、质量要求，强化技术管理及安全保护措施。</w:t>
      </w:r>
    </w:p>
    <w:p w14:paraId="4258DAD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4.4必须无条件遵守运营公司所有的制度及相关管理规定。所有作业时间、作业人员资质要求、作业人员进场安全培训要求均按招标人有关规定。</w:t>
      </w:r>
    </w:p>
    <w:p w14:paraId="22F70522">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五、工作内容（工程量）</w:t>
      </w:r>
    </w:p>
    <w:p w14:paraId="65B44064">
      <w:pPr>
        <w:tabs>
          <w:tab w:val="left" w:pos="420"/>
        </w:tabs>
        <w:adjustRightInd w:val="0"/>
        <w:snapToGrid w:val="0"/>
        <w:spacing w:line="44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5.1 工作量总清单</w:t>
      </w:r>
    </w:p>
    <w:tbl>
      <w:tblPr>
        <w:tblStyle w:val="25"/>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668"/>
        <w:gridCol w:w="1477"/>
        <w:gridCol w:w="668"/>
        <w:gridCol w:w="668"/>
        <w:gridCol w:w="2279"/>
        <w:gridCol w:w="3548"/>
      </w:tblGrid>
      <w:tr w14:paraId="45B3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668" w:type="dxa"/>
            <w:tcBorders>
              <w:top w:val="single" w:color="auto" w:sz="4" w:space="0"/>
              <w:left w:val="single" w:color="auto" w:sz="4" w:space="0"/>
              <w:bottom w:val="single" w:color="auto" w:sz="4" w:space="0"/>
              <w:right w:val="single" w:color="auto" w:sz="4" w:space="0"/>
            </w:tcBorders>
            <w:vAlign w:val="center"/>
          </w:tcPr>
          <w:p w14:paraId="1A3BDFC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color w:val="auto"/>
                <w:kern w:val="0"/>
                <w:szCs w:val="21"/>
                <w:highlight w:val="none"/>
                <w:lang w:eastAsia="zh-CN"/>
              </w:rPr>
            </w:pPr>
            <w:r>
              <w:rPr>
                <w:rFonts w:hint="eastAsia" w:ascii="宋体" w:hAnsi="宋体" w:cs="宋体"/>
                <w:b/>
                <w:color w:val="auto"/>
                <w:kern w:val="0"/>
                <w:szCs w:val="21"/>
                <w:highlight w:val="none"/>
                <w:lang w:eastAsia="zh-CN"/>
              </w:rPr>
              <w:t>序号</w:t>
            </w:r>
          </w:p>
        </w:tc>
        <w:tc>
          <w:tcPr>
            <w:tcW w:w="1477" w:type="dxa"/>
            <w:tcBorders>
              <w:top w:val="single" w:color="auto" w:sz="4" w:space="0"/>
              <w:left w:val="single" w:color="auto" w:sz="4" w:space="0"/>
              <w:bottom w:val="single" w:color="auto" w:sz="4" w:space="0"/>
              <w:right w:val="single" w:color="auto" w:sz="4" w:space="0"/>
            </w:tcBorders>
            <w:vAlign w:val="center"/>
          </w:tcPr>
          <w:p w14:paraId="74D184DD">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color w:val="auto"/>
                <w:kern w:val="0"/>
                <w:szCs w:val="21"/>
                <w:highlight w:val="none"/>
                <w:lang w:eastAsia="zh-CN"/>
              </w:rPr>
            </w:pPr>
            <w:r>
              <w:rPr>
                <w:rFonts w:hint="eastAsia" w:ascii="宋体" w:hAnsi="宋体" w:cs="宋体"/>
                <w:b/>
                <w:color w:val="auto"/>
                <w:kern w:val="0"/>
                <w:szCs w:val="21"/>
                <w:highlight w:val="none"/>
                <w:lang w:eastAsia="zh-CN"/>
              </w:rPr>
              <w:t>名称</w:t>
            </w:r>
          </w:p>
        </w:tc>
        <w:tc>
          <w:tcPr>
            <w:tcW w:w="668" w:type="dxa"/>
            <w:tcBorders>
              <w:top w:val="single" w:color="auto" w:sz="4" w:space="0"/>
              <w:left w:val="single" w:color="auto" w:sz="4" w:space="0"/>
              <w:bottom w:val="single" w:color="auto" w:sz="4" w:space="0"/>
              <w:right w:val="single" w:color="auto" w:sz="4" w:space="0"/>
            </w:tcBorders>
            <w:vAlign w:val="center"/>
          </w:tcPr>
          <w:p w14:paraId="112D6C1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color w:val="auto"/>
                <w:kern w:val="0"/>
                <w:szCs w:val="21"/>
                <w:highlight w:val="none"/>
                <w:lang w:eastAsia="zh-CN"/>
              </w:rPr>
            </w:pPr>
            <w:r>
              <w:rPr>
                <w:rFonts w:hint="eastAsia" w:ascii="宋体" w:hAnsi="宋体" w:cs="宋体"/>
                <w:b/>
                <w:color w:val="auto"/>
                <w:kern w:val="0"/>
                <w:szCs w:val="21"/>
                <w:highlight w:val="none"/>
                <w:lang w:eastAsia="zh-CN"/>
              </w:rPr>
              <w:t>数量</w:t>
            </w:r>
          </w:p>
        </w:tc>
        <w:tc>
          <w:tcPr>
            <w:tcW w:w="668" w:type="dxa"/>
            <w:tcBorders>
              <w:top w:val="single" w:color="auto" w:sz="4" w:space="0"/>
              <w:left w:val="single" w:color="auto" w:sz="4" w:space="0"/>
              <w:bottom w:val="single" w:color="auto" w:sz="4" w:space="0"/>
              <w:right w:val="single" w:color="auto" w:sz="4" w:space="0"/>
            </w:tcBorders>
            <w:vAlign w:val="center"/>
          </w:tcPr>
          <w:p w14:paraId="7179923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color w:val="auto"/>
                <w:kern w:val="0"/>
                <w:szCs w:val="21"/>
                <w:highlight w:val="none"/>
                <w:lang w:eastAsia="zh-CN"/>
              </w:rPr>
            </w:pPr>
            <w:r>
              <w:rPr>
                <w:rFonts w:hint="eastAsia" w:ascii="宋体" w:hAnsi="宋体" w:cs="宋体"/>
                <w:b/>
                <w:color w:val="auto"/>
                <w:kern w:val="0"/>
                <w:szCs w:val="21"/>
                <w:highlight w:val="none"/>
                <w:lang w:eastAsia="zh-CN"/>
              </w:rPr>
              <w:t>单位</w:t>
            </w:r>
          </w:p>
        </w:tc>
        <w:tc>
          <w:tcPr>
            <w:tcW w:w="2279" w:type="dxa"/>
            <w:tcBorders>
              <w:top w:val="single" w:color="auto" w:sz="4" w:space="0"/>
              <w:left w:val="single" w:color="auto" w:sz="4" w:space="0"/>
              <w:bottom w:val="single" w:color="auto" w:sz="4" w:space="0"/>
              <w:right w:val="single" w:color="auto" w:sz="4" w:space="0"/>
            </w:tcBorders>
            <w:vAlign w:val="center"/>
          </w:tcPr>
          <w:p w14:paraId="7B5EE8D4">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color w:val="auto"/>
                <w:kern w:val="0"/>
                <w:szCs w:val="21"/>
                <w:highlight w:val="none"/>
                <w:lang w:eastAsia="zh-CN"/>
              </w:rPr>
            </w:pPr>
            <w:r>
              <w:rPr>
                <w:rFonts w:hint="eastAsia" w:ascii="宋体" w:hAnsi="宋体" w:cs="宋体"/>
                <w:b/>
                <w:color w:val="auto"/>
                <w:kern w:val="0"/>
                <w:szCs w:val="21"/>
                <w:highlight w:val="none"/>
                <w:lang w:eastAsia="zh-CN"/>
              </w:rPr>
              <w:t>技术规格或工程特性</w:t>
            </w:r>
          </w:p>
        </w:tc>
        <w:tc>
          <w:tcPr>
            <w:tcW w:w="3548" w:type="dxa"/>
            <w:tcBorders>
              <w:top w:val="single" w:color="auto" w:sz="4" w:space="0"/>
              <w:left w:val="single" w:color="auto" w:sz="4" w:space="0"/>
              <w:bottom w:val="single" w:color="auto" w:sz="4" w:space="0"/>
              <w:right w:val="single" w:color="auto" w:sz="4" w:space="0"/>
            </w:tcBorders>
            <w:vAlign w:val="center"/>
          </w:tcPr>
          <w:p w14:paraId="11945322">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b/>
                <w:color w:val="auto"/>
                <w:kern w:val="0"/>
                <w:szCs w:val="21"/>
                <w:highlight w:val="none"/>
                <w:lang w:eastAsia="zh-CN"/>
              </w:rPr>
            </w:pPr>
            <w:r>
              <w:rPr>
                <w:rFonts w:hint="eastAsia" w:ascii="宋体" w:hAnsi="宋体" w:cs="宋体"/>
                <w:b/>
                <w:color w:val="auto"/>
                <w:kern w:val="0"/>
                <w:szCs w:val="21"/>
                <w:highlight w:val="none"/>
                <w:lang w:eastAsia="zh-CN"/>
              </w:rPr>
              <w:t>备注</w:t>
            </w:r>
          </w:p>
        </w:tc>
      </w:tr>
      <w:tr w14:paraId="0D9D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4E5924C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w:t>
            </w:r>
          </w:p>
        </w:tc>
        <w:tc>
          <w:tcPr>
            <w:tcW w:w="1477" w:type="dxa"/>
            <w:tcBorders>
              <w:top w:val="single" w:color="auto" w:sz="4" w:space="0"/>
              <w:left w:val="single" w:color="auto" w:sz="4" w:space="0"/>
              <w:bottom w:val="single" w:color="auto" w:sz="4" w:space="0"/>
              <w:right w:val="single" w:color="auto" w:sz="4" w:space="0"/>
            </w:tcBorders>
            <w:vAlign w:val="center"/>
          </w:tcPr>
          <w:p w14:paraId="446A325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栅栏门</w:t>
            </w:r>
          </w:p>
        </w:tc>
        <w:tc>
          <w:tcPr>
            <w:tcW w:w="668" w:type="dxa"/>
            <w:tcBorders>
              <w:top w:val="single" w:color="auto" w:sz="4" w:space="0"/>
              <w:left w:val="single" w:color="auto" w:sz="4" w:space="0"/>
              <w:bottom w:val="single" w:color="auto" w:sz="4" w:space="0"/>
              <w:right w:val="single" w:color="auto" w:sz="4" w:space="0"/>
            </w:tcBorders>
            <w:vAlign w:val="center"/>
          </w:tcPr>
          <w:p w14:paraId="47EE8F5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w:t>
            </w:r>
          </w:p>
        </w:tc>
        <w:tc>
          <w:tcPr>
            <w:tcW w:w="668" w:type="dxa"/>
            <w:tcBorders>
              <w:top w:val="single" w:color="auto" w:sz="4" w:space="0"/>
              <w:left w:val="single" w:color="auto" w:sz="4" w:space="0"/>
              <w:bottom w:val="single" w:color="auto" w:sz="4" w:space="0"/>
              <w:right w:val="single" w:color="auto" w:sz="4" w:space="0"/>
            </w:tcBorders>
            <w:vAlign w:val="center"/>
          </w:tcPr>
          <w:p w14:paraId="4446A50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樘</w:t>
            </w:r>
          </w:p>
        </w:tc>
        <w:tc>
          <w:tcPr>
            <w:tcW w:w="2279" w:type="dxa"/>
            <w:tcBorders>
              <w:top w:val="single" w:color="auto" w:sz="4" w:space="0"/>
              <w:left w:val="single" w:color="auto" w:sz="4" w:space="0"/>
              <w:bottom w:val="single" w:color="auto" w:sz="4" w:space="0"/>
              <w:right w:val="single" w:color="auto" w:sz="4" w:space="0"/>
            </w:tcBorders>
            <w:vAlign w:val="center"/>
          </w:tcPr>
          <w:p w14:paraId="33BBA63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参考5.3.</w:t>
            </w:r>
            <w:r>
              <w:rPr>
                <w:rFonts w:hint="eastAsia" w:ascii="宋体" w:hAnsi="宋体" w:cs="宋体"/>
                <w:color w:val="auto"/>
                <w:kern w:val="0"/>
                <w:szCs w:val="21"/>
                <w:highlight w:val="none"/>
                <w:lang w:val="en-US" w:eastAsia="zh-CN"/>
              </w:rPr>
              <w:t>1</w:t>
            </w:r>
          </w:p>
        </w:tc>
        <w:tc>
          <w:tcPr>
            <w:tcW w:w="3548" w:type="dxa"/>
            <w:tcBorders>
              <w:top w:val="single" w:color="auto" w:sz="4" w:space="0"/>
              <w:left w:val="single" w:color="auto" w:sz="4" w:space="0"/>
              <w:bottom w:val="single" w:color="auto" w:sz="4" w:space="0"/>
              <w:right w:val="single" w:color="auto" w:sz="4" w:space="0"/>
            </w:tcBorders>
            <w:vAlign w:val="center"/>
          </w:tcPr>
          <w:p w14:paraId="7419FA2E">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eastAsia="宋体" w:cs="宋体"/>
                <w:color w:val="auto"/>
                <w:kern w:val="0"/>
                <w:szCs w:val="21"/>
                <w:highlight w:val="none"/>
                <w:lang w:val="en-US" w:eastAsia="zh-CN"/>
              </w:rPr>
            </w:pPr>
          </w:p>
        </w:tc>
      </w:tr>
      <w:tr w14:paraId="3D72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3525CC6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1477" w:type="dxa"/>
            <w:tcBorders>
              <w:top w:val="single" w:color="auto" w:sz="4" w:space="0"/>
              <w:left w:val="single" w:color="auto" w:sz="4" w:space="0"/>
              <w:bottom w:val="single" w:color="auto" w:sz="4" w:space="0"/>
              <w:right w:val="single" w:color="auto" w:sz="4" w:space="0"/>
            </w:tcBorders>
            <w:vAlign w:val="center"/>
          </w:tcPr>
          <w:p w14:paraId="0DA2B96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行人道闸</w:t>
            </w:r>
          </w:p>
        </w:tc>
        <w:tc>
          <w:tcPr>
            <w:tcW w:w="668" w:type="dxa"/>
            <w:tcBorders>
              <w:top w:val="single" w:color="auto" w:sz="4" w:space="0"/>
              <w:left w:val="single" w:color="auto" w:sz="4" w:space="0"/>
              <w:bottom w:val="single" w:color="auto" w:sz="4" w:space="0"/>
              <w:right w:val="single" w:color="auto" w:sz="4" w:space="0"/>
            </w:tcBorders>
            <w:vAlign w:val="center"/>
          </w:tcPr>
          <w:p w14:paraId="57476D7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w:t>
            </w:r>
          </w:p>
        </w:tc>
        <w:tc>
          <w:tcPr>
            <w:tcW w:w="668" w:type="dxa"/>
            <w:tcBorders>
              <w:top w:val="single" w:color="auto" w:sz="4" w:space="0"/>
              <w:left w:val="single" w:color="auto" w:sz="4" w:space="0"/>
              <w:bottom w:val="single" w:color="auto" w:sz="4" w:space="0"/>
              <w:right w:val="single" w:color="auto" w:sz="4" w:space="0"/>
            </w:tcBorders>
            <w:vAlign w:val="center"/>
          </w:tcPr>
          <w:p w14:paraId="6F155A9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台</w:t>
            </w:r>
          </w:p>
        </w:tc>
        <w:tc>
          <w:tcPr>
            <w:tcW w:w="2279" w:type="dxa"/>
            <w:tcBorders>
              <w:top w:val="single" w:color="auto" w:sz="4" w:space="0"/>
              <w:left w:val="single" w:color="auto" w:sz="4" w:space="0"/>
              <w:bottom w:val="single" w:color="auto" w:sz="4" w:space="0"/>
              <w:right w:val="single" w:color="auto" w:sz="4" w:space="0"/>
            </w:tcBorders>
            <w:vAlign w:val="center"/>
          </w:tcPr>
          <w:p w14:paraId="494C7427">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参考5.3.</w:t>
            </w:r>
            <w:r>
              <w:rPr>
                <w:rFonts w:hint="eastAsia" w:ascii="宋体" w:hAnsi="宋体" w:cs="宋体"/>
                <w:color w:val="auto"/>
                <w:kern w:val="0"/>
                <w:szCs w:val="21"/>
                <w:highlight w:val="none"/>
                <w:lang w:val="en-US" w:eastAsia="zh-CN"/>
              </w:rPr>
              <w:t>2</w:t>
            </w:r>
          </w:p>
        </w:tc>
        <w:tc>
          <w:tcPr>
            <w:tcW w:w="3548" w:type="dxa"/>
            <w:tcBorders>
              <w:top w:val="single" w:color="auto" w:sz="4" w:space="0"/>
              <w:left w:val="single" w:color="auto" w:sz="4" w:space="0"/>
              <w:bottom w:val="single" w:color="auto" w:sz="4" w:space="0"/>
              <w:right w:val="single" w:color="auto" w:sz="4" w:space="0"/>
            </w:tcBorders>
            <w:vAlign w:val="center"/>
          </w:tcPr>
          <w:p w14:paraId="427C5441">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eastAsia="宋体" w:cs="宋体"/>
                <w:color w:val="auto"/>
                <w:kern w:val="0"/>
                <w:szCs w:val="21"/>
                <w:highlight w:val="none"/>
                <w:lang w:val="en-US" w:eastAsia="zh-CN"/>
              </w:rPr>
            </w:pPr>
            <w:r>
              <w:rPr>
                <w:rFonts w:hint="eastAsia" w:ascii="宋体" w:hAnsi="宋体" w:cs="宋体"/>
                <w:b w:val="0"/>
                <w:bCs w:val="0"/>
                <w:color w:val="auto"/>
                <w:kern w:val="0"/>
                <w:sz w:val="21"/>
                <w:szCs w:val="21"/>
                <w:highlight w:val="none"/>
                <w:lang w:val="en-US" w:eastAsia="zh-CN" w:bidi="ar-SA"/>
              </w:rPr>
              <w:t>组成</w:t>
            </w:r>
            <w:r>
              <w:rPr>
                <w:rFonts w:hint="eastAsia" w:ascii="宋体" w:hAnsi="宋体" w:eastAsia="宋体" w:cs="宋体"/>
                <w:b w:val="0"/>
                <w:bCs w:val="0"/>
                <w:color w:val="auto"/>
                <w:kern w:val="0"/>
                <w:sz w:val="21"/>
                <w:szCs w:val="21"/>
                <w:highlight w:val="none"/>
                <w:lang w:val="en-US" w:eastAsia="zh-CN" w:bidi="ar-SA"/>
              </w:rPr>
              <w:t>2</w:t>
            </w:r>
            <w:r>
              <w:rPr>
                <w:rFonts w:hint="eastAsia" w:ascii="宋体" w:hAnsi="宋体" w:cs="宋体"/>
                <w:b w:val="0"/>
                <w:bCs w:val="0"/>
                <w:color w:val="auto"/>
                <w:kern w:val="0"/>
                <w:sz w:val="21"/>
                <w:szCs w:val="21"/>
                <w:highlight w:val="none"/>
                <w:lang w:val="en-US" w:eastAsia="zh-CN" w:bidi="ar-SA"/>
              </w:rPr>
              <w:t>道</w:t>
            </w:r>
            <w:r>
              <w:rPr>
                <w:rFonts w:hint="eastAsia" w:ascii="宋体" w:hAnsi="宋体" w:eastAsia="宋体" w:cs="宋体"/>
                <w:b w:val="0"/>
                <w:bCs w:val="0"/>
                <w:color w:val="auto"/>
                <w:kern w:val="0"/>
                <w:sz w:val="21"/>
                <w:szCs w:val="21"/>
                <w:highlight w:val="none"/>
                <w:lang w:val="en-US" w:eastAsia="zh-CN" w:bidi="ar-SA"/>
              </w:rPr>
              <w:t>标准</w:t>
            </w:r>
            <w:r>
              <w:rPr>
                <w:rFonts w:hint="eastAsia" w:ascii="宋体" w:hAnsi="宋体" w:cs="宋体"/>
                <w:b w:val="0"/>
                <w:bCs w:val="0"/>
                <w:color w:val="auto"/>
                <w:kern w:val="0"/>
                <w:sz w:val="21"/>
                <w:szCs w:val="21"/>
                <w:highlight w:val="none"/>
                <w:lang w:val="en-US" w:eastAsia="zh-CN" w:bidi="ar-SA"/>
              </w:rPr>
              <w:t>双向</w:t>
            </w:r>
            <w:r>
              <w:rPr>
                <w:rFonts w:hint="eastAsia" w:ascii="宋体" w:hAnsi="宋体" w:eastAsia="宋体" w:cs="宋体"/>
                <w:b w:val="0"/>
                <w:bCs w:val="0"/>
                <w:color w:val="auto"/>
                <w:kern w:val="0"/>
                <w:sz w:val="21"/>
                <w:szCs w:val="21"/>
                <w:highlight w:val="none"/>
                <w:lang w:val="en-US" w:eastAsia="zh-CN" w:bidi="ar-SA"/>
              </w:rPr>
              <w:t>通道，1</w:t>
            </w:r>
            <w:r>
              <w:rPr>
                <w:rFonts w:hint="eastAsia" w:ascii="宋体" w:hAnsi="宋体" w:cs="宋体"/>
                <w:b w:val="0"/>
                <w:bCs w:val="0"/>
                <w:color w:val="auto"/>
                <w:kern w:val="0"/>
                <w:sz w:val="21"/>
                <w:szCs w:val="21"/>
                <w:highlight w:val="none"/>
                <w:lang w:val="en-US" w:eastAsia="zh-CN" w:bidi="ar-SA"/>
              </w:rPr>
              <w:t>道加</w:t>
            </w:r>
            <w:r>
              <w:rPr>
                <w:rFonts w:hint="eastAsia" w:ascii="宋体" w:hAnsi="宋体" w:eastAsia="宋体" w:cs="宋体"/>
                <w:b w:val="0"/>
                <w:bCs w:val="0"/>
                <w:color w:val="auto"/>
                <w:kern w:val="0"/>
                <w:sz w:val="21"/>
                <w:szCs w:val="21"/>
                <w:highlight w:val="none"/>
                <w:lang w:val="en-US" w:eastAsia="zh-CN" w:bidi="ar-SA"/>
              </w:rPr>
              <w:t>宽</w:t>
            </w:r>
            <w:r>
              <w:rPr>
                <w:rFonts w:hint="eastAsia" w:ascii="宋体" w:hAnsi="宋体" w:cs="宋体"/>
                <w:b w:val="0"/>
                <w:bCs w:val="0"/>
                <w:color w:val="auto"/>
                <w:kern w:val="0"/>
                <w:sz w:val="21"/>
                <w:szCs w:val="21"/>
                <w:highlight w:val="none"/>
                <w:lang w:val="en-US" w:eastAsia="zh-CN" w:bidi="ar-SA"/>
              </w:rPr>
              <w:t>双向</w:t>
            </w:r>
            <w:r>
              <w:rPr>
                <w:rFonts w:hint="eastAsia" w:ascii="宋体" w:hAnsi="宋体" w:eastAsia="宋体" w:cs="宋体"/>
                <w:b w:val="0"/>
                <w:bCs w:val="0"/>
                <w:color w:val="auto"/>
                <w:kern w:val="0"/>
                <w:sz w:val="21"/>
                <w:szCs w:val="21"/>
                <w:highlight w:val="none"/>
                <w:lang w:val="en-US" w:eastAsia="zh-CN" w:bidi="ar-SA"/>
              </w:rPr>
              <w:t>通道（两樘双机芯，两樘单机芯）</w:t>
            </w:r>
            <w:r>
              <w:rPr>
                <w:rFonts w:hint="eastAsia" w:ascii="宋体" w:hAnsi="宋体" w:cs="宋体"/>
                <w:b w:val="0"/>
                <w:bCs w:val="0"/>
                <w:color w:val="auto"/>
                <w:kern w:val="0"/>
                <w:sz w:val="21"/>
                <w:szCs w:val="21"/>
                <w:highlight w:val="none"/>
                <w:lang w:val="en-US" w:eastAsia="zh-CN" w:bidi="ar-SA"/>
              </w:rPr>
              <w:t>，含刷卡器，同时提供一套宽通道亚克力扇门的备品备件。</w:t>
            </w:r>
          </w:p>
        </w:tc>
      </w:tr>
      <w:tr w14:paraId="7691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6644480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w:t>
            </w:r>
          </w:p>
        </w:tc>
        <w:tc>
          <w:tcPr>
            <w:tcW w:w="1477" w:type="dxa"/>
            <w:tcBorders>
              <w:top w:val="single" w:color="auto" w:sz="4" w:space="0"/>
              <w:left w:val="single" w:color="auto" w:sz="4" w:space="0"/>
              <w:bottom w:val="single" w:color="auto" w:sz="4" w:space="0"/>
              <w:right w:val="single" w:color="auto" w:sz="4" w:space="0"/>
            </w:tcBorders>
            <w:vAlign w:val="center"/>
          </w:tcPr>
          <w:p w14:paraId="0F65E35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人脸识别</w:t>
            </w:r>
          </w:p>
        </w:tc>
        <w:tc>
          <w:tcPr>
            <w:tcW w:w="668" w:type="dxa"/>
            <w:tcBorders>
              <w:top w:val="single" w:color="auto" w:sz="4" w:space="0"/>
              <w:left w:val="single" w:color="auto" w:sz="4" w:space="0"/>
              <w:bottom w:val="single" w:color="auto" w:sz="4" w:space="0"/>
              <w:right w:val="single" w:color="auto" w:sz="4" w:space="0"/>
            </w:tcBorders>
            <w:vAlign w:val="center"/>
          </w:tcPr>
          <w:p w14:paraId="44B0909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6</w:t>
            </w:r>
          </w:p>
        </w:tc>
        <w:tc>
          <w:tcPr>
            <w:tcW w:w="668" w:type="dxa"/>
            <w:tcBorders>
              <w:top w:val="single" w:color="auto" w:sz="4" w:space="0"/>
              <w:left w:val="single" w:color="auto" w:sz="4" w:space="0"/>
              <w:bottom w:val="single" w:color="auto" w:sz="4" w:space="0"/>
              <w:right w:val="single" w:color="auto" w:sz="4" w:space="0"/>
            </w:tcBorders>
            <w:vAlign w:val="center"/>
          </w:tcPr>
          <w:p w14:paraId="5402B9D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台</w:t>
            </w:r>
          </w:p>
        </w:tc>
        <w:tc>
          <w:tcPr>
            <w:tcW w:w="2279" w:type="dxa"/>
            <w:tcBorders>
              <w:top w:val="single" w:color="auto" w:sz="4" w:space="0"/>
              <w:left w:val="single" w:color="auto" w:sz="4" w:space="0"/>
              <w:bottom w:val="single" w:color="auto" w:sz="4" w:space="0"/>
              <w:right w:val="single" w:color="auto" w:sz="4" w:space="0"/>
            </w:tcBorders>
            <w:vAlign w:val="center"/>
          </w:tcPr>
          <w:p w14:paraId="016278B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参考5.3.3</w:t>
            </w:r>
          </w:p>
        </w:tc>
        <w:tc>
          <w:tcPr>
            <w:tcW w:w="3548" w:type="dxa"/>
            <w:tcBorders>
              <w:top w:val="single" w:color="auto" w:sz="4" w:space="0"/>
              <w:left w:val="single" w:color="auto" w:sz="4" w:space="0"/>
              <w:bottom w:val="single" w:color="auto" w:sz="4" w:space="0"/>
              <w:right w:val="single" w:color="auto" w:sz="4" w:space="0"/>
            </w:tcBorders>
            <w:vAlign w:val="center"/>
          </w:tcPr>
          <w:p w14:paraId="7952AFBC">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cs="宋体"/>
                <w:b w:val="0"/>
                <w:bCs w:val="0"/>
                <w:color w:val="auto"/>
                <w:kern w:val="0"/>
                <w:sz w:val="21"/>
                <w:szCs w:val="21"/>
                <w:highlight w:val="none"/>
                <w:lang w:val="en-US" w:eastAsia="zh-CN" w:bidi="ar-SA"/>
              </w:rPr>
            </w:pPr>
            <w:r>
              <w:rPr>
                <w:rFonts w:hint="eastAsia" w:ascii="宋体" w:hAnsi="宋体" w:cs="宋体"/>
                <w:b w:val="0"/>
                <w:bCs w:val="0"/>
                <w:color w:val="auto"/>
                <w:kern w:val="0"/>
                <w:sz w:val="21"/>
                <w:szCs w:val="21"/>
                <w:highlight w:val="none"/>
                <w:lang w:val="en-US" w:eastAsia="zh-CN" w:bidi="ar-SA"/>
              </w:rPr>
              <w:t>通道均采用人脸识别或刷卡进出</w:t>
            </w:r>
          </w:p>
        </w:tc>
      </w:tr>
      <w:tr w14:paraId="601F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0B9A526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w:t>
            </w:r>
          </w:p>
        </w:tc>
        <w:tc>
          <w:tcPr>
            <w:tcW w:w="1477" w:type="dxa"/>
            <w:tcBorders>
              <w:top w:val="single" w:color="auto" w:sz="4" w:space="0"/>
              <w:left w:val="single" w:color="auto" w:sz="4" w:space="0"/>
              <w:bottom w:val="single" w:color="auto" w:sz="4" w:space="0"/>
              <w:right w:val="single" w:color="auto" w:sz="4" w:space="0"/>
            </w:tcBorders>
            <w:vAlign w:val="center"/>
          </w:tcPr>
          <w:p w14:paraId="4B451CC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行人道闸管理系统</w:t>
            </w:r>
          </w:p>
        </w:tc>
        <w:tc>
          <w:tcPr>
            <w:tcW w:w="668" w:type="dxa"/>
            <w:tcBorders>
              <w:top w:val="single" w:color="auto" w:sz="4" w:space="0"/>
              <w:left w:val="single" w:color="auto" w:sz="4" w:space="0"/>
              <w:bottom w:val="single" w:color="auto" w:sz="4" w:space="0"/>
              <w:right w:val="single" w:color="auto" w:sz="4" w:space="0"/>
            </w:tcBorders>
            <w:vAlign w:val="center"/>
          </w:tcPr>
          <w:p w14:paraId="1FC66A4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w:t>
            </w:r>
          </w:p>
        </w:tc>
        <w:tc>
          <w:tcPr>
            <w:tcW w:w="668" w:type="dxa"/>
            <w:tcBorders>
              <w:top w:val="single" w:color="auto" w:sz="4" w:space="0"/>
              <w:left w:val="single" w:color="auto" w:sz="4" w:space="0"/>
              <w:bottom w:val="single" w:color="auto" w:sz="4" w:space="0"/>
              <w:right w:val="single" w:color="auto" w:sz="4" w:space="0"/>
            </w:tcBorders>
            <w:vAlign w:val="center"/>
          </w:tcPr>
          <w:p w14:paraId="65D7253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项</w:t>
            </w:r>
          </w:p>
        </w:tc>
        <w:tc>
          <w:tcPr>
            <w:tcW w:w="2279" w:type="dxa"/>
            <w:tcBorders>
              <w:top w:val="single" w:color="auto" w:sz="4" w:space="0"/>
              <w:left w:val="single" w:color="auto" w:sz="4" w:space="0"/>
              <w:bottom w:val="single" w:color="auto" w:sz="4" w:space="0"/>
              <w:right w:val="single" w:color="auto" w:sz="4" w:space="0"/>
            </w:tcBorders>
            <w:vAlign w:val="center"/>
          </w:tcPr>
          <w:p w14:paraId="083B437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参考5.3.4</w:t>
            </w:r>
          </w:p>
        </w:tc>
        <w:tc>
          <w:tcPr>
            <w:tcW w:w="3548" w:type="dxa"/>
            <w:tcBorders>
              <w:top w:val="single" w:color="auto" w:sz="4" w:space="0"/>
              <w:left w:val="single" w:color="auto" w:sz="4" w:space="0"/>
              <w:bottom w:val="single" w:color="auto" w:sz="4" w:space="0"/>
              <w:right w:val="single" w:color="auto" w:sz="4" w:space="0"/>
            </w:tcBorders>
            <w:vAlign w:val="center"/>
          </w:tcPr>
          <w:p w14:paraId="27286BAD">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eastAsia="宋体" w:cs="宋体"/>
                <w:b w:val="0"/>
                <w:bCs w:val="0"/>
                <w:color w:val="auto"/>
                <w:kern w:val="0"/>
                <w:sz w:val="21"/>
                <w:szCs w:val="21"/>
                <w:highlight w:val="none"/>
                <w:lang w:val="en-US" w:eastAsia="zh-CN" w:bidi="ar-SA"/>
              </w:rPr>
            </w:pPr>
            <w:r>
              <w:rPr>
                <w:rFonts w:hint="eastAsia" w:ascii="宋体" w:hAnsi="宋体" w:cs="宋体"/>
                <w:b w:val="0"/>
                <w:bCs w:val="0"/>
                <w:color w:val="auto"/>
                <w:kern w:val="0"/>
                <w:sz w:val="21"/>
                <w:szCs w:val="21"/>
                <w:highlight w:val="none"/>
                <w:lang w:val="en-US" w:eastAsia="zh-CN" w:bidi="ar-SA"/>
              </w:rPr>
              <w:t>含发卡器等辅材</w:t>
            </w:r>
          </w:p>
        </w:tc>
      </w:tr>
      <w:tr w14:paraId="3416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vAlign w:val="center"/>
          </w:tcPr>
          <w:p w14:paraId="138C692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w:t>
            </w:r>
          </w:p>
        </w:tc>
        <w:tc>
          <w:tcPr>
            <w:tcW w:w="1477" w:type="dxa"/>
            <w:tcBorders>
              <w:top w:val="single" w:color="auto" w:sz="4" w:space="0"/>
              <w:left w:val="single" w:color="auto" w:sz="4" w:space="0"/>
              <w:bottom w:val="single" w:color="auto" w:sz="4" w:space="0"/>
              <w:right w:val="single" w:color="auto" w:sz="4" w:space="0"/>
            </w:tcBorders>
            <w:vAlign w:val="center"/>
          </w:tcPr>
          <w:p w14:paraId="3E1E14F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减速带</w:t>
            </w:r>
          </w:p>
        </w:tc>
        <w:tc>
          <w:tcPr>
            <w:tcW w:w="668" w:type="dxa"/>
            <w:tcBorders>
              <w:top w:val="single" w:color="auto" w:sz="4" w:space="0"/>
              <w:left w:val="single" w:color="auto" w:sz="4" w:space="0"/>
              <w:bottom w:val="single" w:color="auto" w:sz="4" w:space="0"/>
              <w:right w:val="single" w:color="auto" w:sz="4" w:space="0"/>
            </w:tcBorders>
            <w:vAlign w:val="center"/>
          </w:tcPr>
          <w:p w14:paraId="37DEA2B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15</w:t>
            </w:r>
          </w:p>
        </w:tc>
        <w:tc>
          <w:tcPr>
            <w:tcW w:w="668" w:type="dxa"/>
            <w:tcBorders>
              <w:top w:val="single" w:color="auto" w:sz="4" w:space="0"/>
              <w:left w:val="single" w:color="auto" w:sz="4" w:space="0"/>
              <w:bottom w:val="single" w:color="auto" w:sz="4" w:space="0"/>
              <w:right w:val="single" w:color="auto" w:sz="4" w:space="0"/>
            </w:tcBorders>
            <w:vAlign w:val="center"/>
          </w:tcPr>
          <w:p w14:paraId="4C210D1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米</w:t>
            </w:r>
          </w:p>
        </w:tc>
        <w:tc>
          <w:tcPr>
            <w:tcW w:w="2279" w:type="dxa"/>
            <w:tcBorders>
              <w:top w:val="single" w:color="auto" w:sz="4" w:space="0"/>
              <w:left w:val="single" w:color="auto" w:sz="4" w:space="0"/>
              <w:bottom w:val="single" w:color="auto" w:sz="4" w:space="0"/>
              <w:right w:val="single" w:color="auto" w:sz="4" w:space="0"/>
            </w:tcBorders>
            <w:vAlign w:val="center"/>
          </w:tcPr>
          <w:p w14:paraId="493DF31E">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参考5.3.5</w:t>
            </w:r>
          </w:p>
        </w:tc>
        <w:tc>
          <w:tcPr>
            <w:tcW w:w="3548" w:type="dxa"/>
            <w:tcBorders>
              <w:top w:val="single" w:color="auto" w:sz="4" w:space="0"/>
              <w:left w:val="single" w:color="auto" w:sz="4" w:space="0"/>
              <w:bottom w:val="single" w:color="auto" w:sz="4" w:space="0"/>
              <w:right w:val="single" w:color="auto" w:sz="4" w:space="0"/>
            </w:tcBorders>
            <w:vAlign w:val="center"/>
          </w:tcPr>
          <w:p w14:paraId="1E8CE5DB">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cs="宋体"/>
                <w:b w:val="0"/>
                <w:bCs w:val="0"/>
                <w:color w:val="auto"/>
                <w:kern w:val="0"/>
                <w:sz w:val="21"/>
                <w:szCs w:val="21"/>
                <w:highlight w:val="none"/>
                <w:lang w:val="en-US" w:eastAsia="zh-CN" w:bidi="ar-SA"/>
              </w:rPr>
            </w:pPr>
            <w:r>
              <w:rPr>
                <w:rFonts w:hint="eastAsia" w:ascii="宋体" w:hAnsi="宋体" w:cs="宋体"/>
                <w:b w:val="0"/>
                <w:bCs w:val="0"/>
                <w:color w:val="auto"/>
                <w:kern w:val="0"/>
                <w:sz w:val="21"/>
                <w:szCs w:val="21"/>
                <w:highlight w:val="none"/>
                <w:lang w:val="en-US" w:eastAsia="zh-CN" w:bidi="ar-SA"/>
              </w:rPr>
              <w:t>前后各安装两道减速带</w:t>
            </w:r>
          </w:p>
        </w:tc>
      </w:tr>
      <w:tr w14:paraId="64648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69FE6896">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6</w:t>
            </w:r>
          </w:p>
        </w:tc>
        <w:tc>
          <w:tcPr>
            <w:tcW w:w="1477" w:type="dxa"/>
            <w:tcBorders>
              <w:top w:val="single" w:color="auto" w:sz="4" w:space="0"/>
              <w:left w:val="single" w:color="auto" w:sz="4" w:space="0"/>
              <w:bottom w:val="single" w:color="auto" w:sz="4" w:space="0"/>
              <w:right w:val="single" w:color="auto" w:sz="4" w:space="0"/>
            </w:tcBorders>
            <w:vAlign w:val="center"/>
          </w:tcPr>
          <w:p w14:paraId="644D8C7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辅材</w:t>
            </w:r>
          </w:p>
        </w:tc>
        <w:tc>
          <w:tcPr>
            <w:tcW w:w="668" w:type="dxa"/>
            <w:tcBorders>
              <w:top w:val="single" w:color="auto" w:sz="4" w:space="0"/>
              <w:left w:val="single" w:color="auto" w:sz="4" w:space="0"/>
              <w:bottom w:val="single" w:color="auto" w:sz="4" w:space="0"/>
              <w:right w:val="single" w:color="auto" w:sz="4" w:space="0"/>
            </w:tcBorders>
            <w:vAlign w:val="center"/>
          </w:tcPr>
          <w:p w14:paraId="3F913B4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vAlign w:val="center"/>
          </w:tcPr>
          <w:p w14:paraId="346A83D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vAlign w:val="center"/>
          </w:tcPr>
          <w:p w14:paraId="4FAFAD6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vAlign w:val="center"/>
          </w:tcPr>
          <w:p w14:paraId="6D23A505">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含</w:t>
            </w:r>
            <w:r>
              <w:rPr>
                <w:rFonts w:hint="eastAsia" w:ascii="宋体" w:hAnsi="宋体" w:cs="宋体"/>
                <w:color w:val="auto"/>
                <w:kern w:val="0"/>
                <w:szCs w:val="21"/>
                <w:highlight w:val="none"/>
                <w:lang w:val="en-US" w:eastAsia="zh-CN"/>
              </w:rPr>
              <w:t>钢管、</w:t>
            </w:r>
            <w:r>
              <w:rPr>
                <w:rFonts w:hint="eastAsia" w:ascii="宋体" w:hAnsi="宋体" w:cs="宋体"/>
                <w:color w:val="auto"/>
                <w:kern w:val="0"/>
                <w:szCs w:val="21"/>
                <w:highlight w:val="none"/>
              </w:rPr>
              <w:t>波纹管、接插件、扎带等</w:t>
            </w:r>
          </w:p>
        </w:tc>
      </w:tr>
      <w:tr w14:paraId="1290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6305E871">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7</w:t>
            </w:r>
          </w:p>
        </w:tc>
        <w:tc>
          <w:tcPr>
            <w:tcW w:w="1477" w:type="dxa"/>
            <w:tcBorders>
              <w:top w:val="single" w:color="auto" w:sz="4" w:space="0"/>
              <w:left w:val="single" w:color="auto" w:sz="4" w:space="0"/>
              <w:bottom w:val="single" w:color="auto" w:sz="4" w:space="0"/>
              <w:right w:val="single" w:color="auto" w:sz="4" w:space="0"/>
            </w:tcBorders>
            <w:vAlign w:val="center"/>
          </w:tcPr>
          <w:p w14:paraId="4FD2EB7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设备调试费</w:t>
            </w:r>
          </w:p>
        </w:tc>
        <w:tc>
          <w:tcPr>
            <w:tcW w:w="668" w:type="dxa"/>
            <w:tcBorders>
              <w:top w:val="single" w:color="auto" w:sz="4" w:space="0"/>
              <w:left w:val="single" w:color="auto" w:sz="4" w:space="0"/>
              <w:bottom w:val="single" w:color="auto" w:sz="4" w:space="0"/>
              <w:right w:val="single" w:color="auto" w:sz="4" w:space="0"/>
            </w:tcBorders>
            <w:vAlign w:val="center"/>
          </w:tcPr>
          <w:p w14:paraId="077B57D8">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vAlign w:val="center"/>
          </w:tcPr>
          <w:p w14:paraId="3DE4FBBC">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vAlign w:val="center"/>
          </w:tcPr>
          <w:p w14:paraId="54F8C84F">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vAlign w:val="center"/>
          </w:tcPr>
          <w:p w14:paraId="4EFF8581">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滁宁城际线现用员工卡可用于行人道闸授权管理软件。</w:t>
            </w:r>
          </w:p>
        </w:tc>
      </w:tr>
      <w:tr w14:paraId="4AB3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shd w:val="clear" w:color="auto" w:fill="auto"/>
            <w:vAlign w:val="center"/>
          </w:tcPr>
          <w:p w14:paraId="0DD500BB">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8</w:t>
            </w:r>
          </w:p>
        </w:tc>
        <w:tc>
          <w:tcPr>
            <w:tcW w:w="1477" w:type="dxa"/>
            <w:tcBorders>
              <w:top w:val="single" w:color="auto" w:sz="4" w:space="0"/>
              <w:left w:val="single" w:color="auto" w:sz="4" w:space="0"/>
              <w:bottom w:val="single" w:color="auto" w:sz="4" w:space="0"/>
              <w:right w:val="single" w:color="auto" w:sz="4" w:space="0"/>
            </w:tcBorders>
            <w:vAlign w:val="center"/>
          </w:tcPr>
          <w:p w14:paraId="7828C5BA">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路面、绿化开挖及恢复</w:t>
            </w:r>
          </w:p>
        </w:tc>
        <w:tc>
          <w:tcPr>
            <w:tcW w:w="668" w:type="dxa"/>
            <w:tcBorders>
              <w:top w:val="single" w:color="auto" w:sz="4" w:space="0"/>
              <w:left w:val="single" w:color="auto" w:sz="4" w:space="0"/>
              <w:bottom w:val="single" w:color="auto" w:sz="4" w:space="0"/>
              <w:right w:val="single" w:color="auto" w:sz="4" w:space="0"/>
            </w:tcBorders>
            <w:vAlign w:val="center"/>
          </w:tcPr>
          <w:p w14:paraId="6399A1B9">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668" w:type="dxa"/>
            <w:tcBorders>
              <w:top w:val="single" w:color="auto" w:sz="4" w:space="0"/>
              <w:left w:val="single" w:color="auto" w:sz="4" w:space="0"/>
              <w:bottom w:val="single" w:color="auto" w:sz="4" w:space="0"/>
              <w:right w:val="single" w:color="auto" w:sz="4" w:space="0"/>
            </w:tcBorders>
            <w:vAlign w:val="center"/>
          </w:tcPr>
          <w:p w14:paraId="24690640">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w:t>
            </w:r>
          </w:p>
        </w:tc>
        <w:tc>
          <w:tcPr>
            <w:tcW w:w="2279" w:type="dxa"/>
            <w:tcBorders>
              <w:top w:val="single" w:color="auto" w:sz="4" w:space="0"/>
              <w:left w:val="single" w:color="auto" w:sz="4" w:space="0"/>
              <w:bottom w:val="single" w:color="auto" w:sz="4" w:space="0"/>
              <w:right w:val="single" w:color="auto" w:sz="4" w:space="0"/>
            </w:tcBorders>
            <w:vAlign w:val="center"/>
          </w:tcPr>
          <w:p w14:paraId="5F156803">
            <w:pPr>
              <w:keepNext w:val="0"/>
              <w:keepLines w:val="0"/>
              <w:suppressLineNumbers w:val="0"/>
              <w:tabs>
                <w:tab w:val="left" w:pos="420"/>
              </w:tabs>
              <w:adjustRightInd w:val="0"/>
              <w:snapToGrid w:val="0"/>
              <w:spacing w:before="0" w:beforeAutospacing="0" w:after="0" w:afterAutospacing="0" w:line="44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定制</w:t>
            </w:r>
          </w:p>
        </w:tc>
        <w:tc>
          <w:tcPr>
            <w:tcW w:w="3548" w:type="dxa"/>
            <w:tcBorders>
              <w:top w:val="single" w:color="auto" w:sz="4" w:space="0"/>
              <w:left w:val="single" w:color="auto" w:sz="4" w:space="0"/>
              <w:bottom w:val="single" w:color="auto" w:sz="4" w:space="0"/>
              <w:right w:val="single" w:color="auto" w:sz="4" w:space="0"/>
            </w:tcBorders>
            <w:vAlign w:val="center"/>
          </w:tcPr>
          <w:p w14:paraId="59AF3D87">
            <w:pPr>
              <w:keepNext w:val="0"/>
              <w:keepLines w:val="0"/>
              <w:suppressLineNumbers w:val="0"/>
              <w:tabs>
                <w:tab w:val="left" w:pos="420"/>
              </w:tabs>
              <w:adjustRightInd w:val="0"/>
              <w:snapToGrid w:val="0"/>
              <w:spacing w:before="0" w:beforeAutospacing="0" w:after="0" w:afterAutospacing="0" w:line="440" w:lineRule="exact"/>
              <w:ind w:left="0" w:right="0"/>
              <w:jc w:val="left"/>
              <w:rPr>
                <w:rFonts w:hint="default" w:ascii="宋体" w:hAnsi="宋体" w:eastAsia="宋体" w:cs="宋体"/>
                <w:color w:val="auto"/>
                <w:kern w:val="0"/>
                <w:szCs w:val="21"/>
                <w:highlight w:val="none"/>
                <w:lang w:val="en-US" w:eastAsia="zh-CN"/>
              </w:rPr>
            </w:pPr>
          </w:p>
        </w:tc>
      </w:tr>
    </w:tbl>
    <w:p w14:paraId="12D67512">
      <w:pPr>
        <w:tabs>
          <w:tab w:val="left" w:pos="420"/>
        </w:tabs>
        <w:adjustRightInd w:val="0"/>
        <w:snapToGrid w:val="0"/>
        <w:spacing w:line="440" w:lineRule="exact"/>
        <w:jc w:val="left"/>
        <w:rPr>
          <w:rFonts w:ascii="宋体" w:hAnsi="宋体" w:cs="宋体"/>
          <w:b/>
          <w:color w:val="auto"/>
          <w:kern w:val="0"/>
          <w:szCs w:val="21"/>
          <w:highlight w:val="none"/>
        </w:rPr>
      </w:pPr>
      <w:r>
        <w:rPr>
          <w:rFonts w:ascii="宋体" w:hAnsi="宋体" w:cs="宋体"/>
          <w:b/>
          <w:color w:val="auto"/>
          <w:kern w:val="0"/>
          <w:szCs w:val="21"/>
          <w:highlight w:val="none"/>
        </w:rPr>
        <w:tab/>
      </w:r>
      <w:r>
        <w:rPr>
          <w:rFonts w:hint="eastAsia" w:ascii="宋体" w:hAnsi="宋体" w:cs="宋体"/>
          <w:b/>
          <w:color w:val="auto"/>
          <w:kern w:val="0"/>
          <w:szCs w:val="21"/>
          <w:highlight w:val="none"/>
        </w:rPr>
        <w:t>注：以上工作量清单表为需求参考工作量，投标人投标前应组织现场勘查，实际情况以现场勘查为准。如投标人未进行现场勘查，招标人则认为，投标人已完成掌握了解现场设备实际情况。</w:t>
      </w:r>
    </w:p>
    <w:p w14:paraId="6326D74D">
      <w:pPr>
        <w:tabs>
          <w:tab w:val="left" w:pos="420"/>
        </w:tabs>
        <w:adjustRightInd w:val="0"/>
        <w:snapToGrid w:val="0"/>
        <w:spacing w:line="44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中标</w:t>
      </w:r>
      <w:r>
        <w:rPr>
          <w:rFonts w:hint="eastAsia" w:ascii="宋体" w:hAnsi="宋体" w:cs="宋体"/>
          <w:color w:val="auto"/>
          <w:kern w:val="0"/>
          <w:szCs w:val="21"/>
          <w:highlight w:val="none"/>
        </w:rPr>
        <w:t>人应根据本项目实际需求提供设备明细清单。</w:t>
      </w:r>
    </w:p>
    <w:p w14:paraId="0BDFA175">
      <w:pPr>
        <w:tabs>
          <w:tab w:val="left" w:pos="420"/>
        </w:tabs>
        <w:adjustRightInd w:val="0"/>
        <w:snapToGrid w:val="0"/>
        <w:spacing w:line="440" w:lineRule="exact"/>
        <w:jc w:val="left"/>
        <w:rPr>
          <w:rFonts w:ascii="宋体" w:hAnsi="宋体" w:cs="宋体"/>
          <w:color w:val="auto"/>
          <w:kern w:val="0"/>
          <w:szCs w:val="21"/>
          <w:highlight w:val="none"/>
        </w:rPr>
      </w:pPr>
      <w:r>
        <w:rPr>
          <w:rFonts w:ascii="宋体" w:hAnsi="宋体" w:cs="宋体"/>
          <w:color w:val="auto"/>
          <w:kern w:val="0"/>
          <w:szCs w:val="21"/>
          <w:highlight w:val="none"/>
        </w:rPr>
        <w:tab/>
      </w:r>
      <w:r>
        <w:rPr>
          <w:rFonts w:hint="eastAsia" w:ascii="宋体" w:hAnsi="宋体" w:cs="宋体"/>
          <w:color w:val="auto"/>
          <w:kern w:val="0"/>
          <w:szCs w:val="21"/>
          <w:highlight w:val="none"/>
        </w:rPr>
        <w:t>5.3 设备技术规格</w:t>
      </w:r>
    </w:p>
    <w:p w14:paraId="1BD34C80">
      <w:pPr>
        <w:numPr>
          <w:ilvl w:val="0"/>
          <w:numId w:val="0"/>
        </w:numPr>
        <w:tabs>
          <w:tab w:val="left" w:pos="420"/>
        </w:tabs>
        <w:adjustRightInd w:val="0"/>
        <w:snapToGrid w:val="0"/>
        <w:spacing w:line="440" w:lineRule="exact"/>
        <w:ind w:firstLine="420"/>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.1栅栏门</w:t>
      </w:r>
    </w:p>
    <w:p w14:paraId="79B0366A">
      <w:pPr>
        <w:numPr>
          <w:ilvl w:val="0"/>
          <w:numId w:val="0"/>
        </w:numPr>
        <w:tabs>
          <w:tab w:val="left" w:pos="420"/>
        </w:tabs>
        <w:adjustRightInd w:val="0"/>
        <w:snapToGrid w:val="0"/>
        <w:spacing w:line="440" w:lineRule="exact"/>
        <w:ind w:firstLine="42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1</w:t>
      </w:r>
      <w:r>
        <w:rPr>
          <w:rFonts w:hint="eastAsia" w:ascii="宋体" w:hAnsi="宋体" w:eastAsia="宋体" w:cs="宋体"/>
          <w:color w:val="auto"/>
          <w:kern w:val="0"/>
          <w:szCs w:val="21"/>
          <w:highlight w:val="none"/>
          <w:lang w:val="en-US" w:eastAsia="zh-CN"/>
        </w:rPr>
        <w:t>.1采用304不锈钢材质，</w:t>
      </w:r>
      <w:r>
        <w:rPr>
          <w:rFonts w:hint="eastAsia" w:ascii="宋体" w:hAnsi="宋体" w:cs="宋体"/>
          <w:color w:val="auto"/>
          <w:kern w:val="0"/>
          <w:szCs w:val="21"/>
          <w:highlight w:val="none"/>
          <w:lang w:val="en-US" w:eastAsia="zh-CN"/>
        </w:rPr>
        <w:t>栏杆</w:t>
      </w:r>
      <w:r>
        <w:rPr>
          <w:rFonts w:hint="eastAsia" w:ascii="宋体" w:hAnsi="宋体" w:eastAsia="宋体" w:cs="宋体"/>
          <w:color w:val="auto"/>
          <w:kern w:val="0"/>
          <w:szCs w:val="21"/>
          <w:highlight w:val="none"/>
          <w:lang w:val="en-US" w:eastAsia="zh-CN"/>
        </w:rPr>
        <w:t>每处缝隙不超过10cm</w:t>
      </w:r>
      <w:r>
        <w:rPr>
          <w:rFonts w:hint="eastAsia" w:ascii="宋体" w:hAnsi="宋体" w:cs="宋体"/>
          <w:color w:val="auto"/>
          <w:kern w:val="0"/>
          <w:szCs w:val="21"/>
          <w:highlight w:val="none"/>
          <w:lang w:val="en-US" w:eastAsia="zh-CN"/>
        </w:rPr>
        <w:t>，高度不得低于120cm；</w:t>
      </w:r>
    </w:p>
    <w:p w14:paraId="531439DC">
      <w:pPr>
        <w:numPr>
          <w:ilvl w:val="0"/>
          <w:numId w:val="0"/>
        </w:numPr>
        <w:tabs>
          <w:tab w:val="left" w:pos="420"/>
        </w:tabs>
        <w:adjustRightInd w:val="0"/>
        <w:snapToGrid w:val="0"/>
        <w:spacing w:line="440" w:lineRule="exact"/>
        <w:ind w:firstLine="42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1</w:t>
      </w:r>
      <w:r>
        <w:rPr>
          <w:rFonts w:hint="eastAsia" w:ascii="宋体" w:hAnsi="宋体" w:eastAsia="宋体" w:cs="宋体"/>
          <w:color w:val="auto"/>
          <w:kern w:val="0"/>
          <w:szCs w:val="21"/>
          <w:highlight w:val="none"/>
          <w:lang w:val="en-US" w:eastAsia="zh-CN"/>
        </w:rPr>
        <w:t>.2不锈钢主要受力杆件的壁厚</w:t>
      </w:r>
      <w:r>
        <w:rPr>
          <w:rFonts w:hint="default" w:ascii="宋体" w:hAnsi="宋体" w:eastAsia="宋体" w:cs="宋体"/>
          <w:color w:val="auto"/>
          <w:kern w:val="0"/>
          <w:szCs w:val="21"/>
          <w:highlight w:val="none"/>
          <w:lang w:val="en-US" w:eastAsia="zh-CN"/>
        </w:rPr>
        <w:t>不应小于1.5毫米</w:t>
      </w:r>
      <w:r>
        <w:rPr>
          <w:rFonts w:hint="eastAsia" w:ascii="宋体" w:hAnsi="宋体" w:cs="宋体"/>
          <w:color w:val="auto"/>
          <w:kern w:val="0"/>
          <w:szCs w:val="21"/>
          <w:highlight w:val="none"/>
          <w:lang w:val="en-US" w:eastAsia="zh-CN"/>
        </w:rPr>
        <w:t>，管径不小于40毫米</w:t>
      </w:r>
      <w:r>
        <w:rPr>
          <w:rFonts w:hint="default" w:ascii="宋体" w:hAnsi="宋体" w:eastAsia="宋体" w:cs="宋体"/>
          <w:color w:val="auto"/>
          <w:kern w:val="0"/>
          <w:szCs w:val="21"/>
          <w:highlight w:val="none"/>
          <w:lang w:val="en-US" w:eastAsia="zh-CN"/>
        </w:rPr>
        <w:t>，一般杆件</w:t>
      </w:r>
      <w:r>
        <w:rPr>
          <w:rFonts w:hint="eastAsia" w:ascii="宋体" w:hAnsi="宋体" w:cs="宋体"/>
          <w:color w:val="auto"/>
          <w:kern w:val="0"/>
          <w:szCs w:val="21"/>
          <w:highlight w:val="none"/>
          <w:lang w:val="en-US" w:eastAsia="zh-CN"/>
        </w:rPr>
        <w:t>壁厚</w:t>
      </w:r>
      <w:r>
        <w:rPr>
          <w:rFonts w:hint="default" w:ascii="宋体" w:hAnsi="宋体" w:eastAsia="宋体" w:cs="宋体"/>
          <w:color w:val="auto"/>
          <w:kern w:val="0"/>
          <w:szCs w:val="21"/>
          <w:highlight w:val="none"/>
          <w:lang w:val="en-US" w:eastAsia="zh-CN"/>
        </w:rPr>
        <w:t>不宜小于1.2毫米</w:t>
      </w:r>
      <w:r>
        <w:rPr>
          <w:rFonts w:hint="eastAsia" w:ascii="宋体" w:hAnsi="宋体" w:cs="宋体"/>
          <w:color w:val="auto"/>
          <w:kern w:val="0"/>
          <w:szCs w:val="21"/>
          <w:highlight w:val="none"/>
          <w:lang w:val="en-US" w:eastAsia="zh-CN"/>
        </w:rPr>
        <w:t>，管径不小于20毫米；</w:t>
      </w:r>
    </w:p>
    <w:p w14:paraId="5A75560E">
      <w:pPr>
        <w:numPr>
          <w:ilvl w:val="0"/>
          <w:numId w:val="0"/>
        </w:numPr>
        <w:tabs>
          <w:tab w:val="left" w:pos="420"/>
        </w:tabs>
        <w:adjustRightInd w:val="0"/>
        <w:snapToGrid w:val="0"/>
        <w:spacing w:line="440" w:lineRule="exact"/>
        <w:ind w:firstLine="42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5.3.1.3栅栏门总长约为2.1米，高为1.2米，采用向内开门方式，且开向围墙一侧。</w:t>
      </w:r>
    </w:p>
    <w:p w14:paraId="592AF710">
      <w:pPr>
        <w:tabs>
          <w:tab w:val="left" w:pos="420"/>
        </w:tabs>
        <w:adjustRightInd w:val="0"/>
        <w:snapToGrid w:val="0"/>
        <w:spacing w:line="440" w:lineRule="exact"/>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2行人</w:t>
      </w:r>
      <w:r>
        <w:rPr>
          <w:rFonts w:hint="eastAsia" w:ascii="宋体" w:hAnsi="宋体" w:eastAsia="宋体" w:cs="宋体"/>
          <w:color w:val="auto"/>
          <w:kern w:val="0"/>
          <w:szCs w:val="21"/>
          <w:highlight w:val="none"/>
          <w:lang w:val="en-US" w:eastAsia="zh-CN"/>
        </w:rPr>
        <w:t>道闸</w:t>
      </w:r>
    </w:p>
    <w:p w14:paraId="5E909E59">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.1</w:t>
      </w:r>
      <w:r>
        <w:rPr>
          <w:rFonts w:hint="eastAsia" w:ascii="宋体" w:hAnsi="宋体" w:cs="宋体"/>
          <w:color w:val="auto"/>
          <w:kern w:val="0"/>
          <w:szCs w:val="21"/>
          <w:highlight w:val="none"/>
          <w:lang w:val="en-US" w:eastAsia="zh-CN"/>
        </w:rPr>
        <w:t>通道宽度：</w:t>
      </w:r>
      <w:r>
        <w:rPr>
          <w:rFonts w:hint="eastAsia" w:ascii="宋体" w:hAnsi="宋体" w:eastAsia="宋体" w:cs="宋体"/>
          <w:color w:val="auto"/>
          <w:kern w:val="0"/>
          <w:szCs w:val="21"/>
          <w:highlight w:val="none"/>
          <w:lang w:val="en-US" w:eastAsia="zh-CN"/>
        </w:rPr>
        <w:t>标准</w:t>
      </w:r>
      <w:r>
        <w:rPr>
          <w:rFonts w:hint="eastAsia" w:ascii="宋体" w:hAnsi="宋体" w:cs="宋体"/>
          <w:color w:val="auto"/>
          <w:kern w:val="0"/>
          <w:szCs w:val="21"/>
          <w:highlight w:val="none"/>
          <w:lang w:val="en-US" w:eastAsia="zh-CN"/>
        </w:rPr>
        <w:t>双向</w:t>
      </w:r>
      <w:r>
        <w:rPr>
          <w:rFonts w:hint="eastAsia" w:ascii="宋体" w:hAnsi="宋体" w:eastAsia="宋体" w:cs="宋体"/>
          <w:color w:val="auto"/>
          <w:kern w:val="0"/>
          <w:szCs w:val="21"/>
          <w:highlight w:val="none"/>
          <w:lang w:val="en-US" w:eastAsia="zh-CN"/>
        </w:rPr>
        <w:t>通道（</w:t>
      </w:r>
      <w:r>
        <w:rPr>
          <w:rFonts w:hint="eastAsia" w:ascii="宋体" w:hAnsi="宋体" w:cs="宋体"/>
          <w:color w:val="auto"/>
          <w:kern w:val="0"/>
          <w:szCs w:val="21"/>
          <w:highlight w:val="none"/>
          <w:lang w:val="en-US" w:eastAsia="zh-CN"/>
        </w:rPr>
        <w:t>80CM</w:t>
      </w:r>
      <w:r>
        <w:rPr>
          <w:rFonts w:hint="eastAsia" w:ascii="宋体" w:hAnsi="宋体" w:eastAsia="宋体" w:cs="宋体"/>
          <w:color w:val="auto"/>
          <w:kern w:val="0"/>
          <w:szCs w:val="21"/>
          <w:highlight w:val="none"/>
          <w:lang w:val="en-US" w:eastAsia="zh-CN"/>
        </w:rPr>
        <w:t>）、宽</w:t>
      </w:r>
      <w:r>
        <w:rPr>
          <w:rFonts w:hint="eastAsia" w:ascii="宋体" w:hAnsi="宋体" w:cs="宋体"/>
          <w:color w:val="auto"/>
          <w:kern w:val="0"/>
          <w:szCs w:val="21"/>
          <w:highlight w:val="none"/>
          <w:lang w:val="en-US" w:eastAsia="zh-CN"/>
        </w:rPr>
        <w:t>双向</w:t>
      </w:r>
      <w:r>
        <w:rPr>
          <w:rFonts w:hint="eastAsia" w:ascii="宋体" w:hAnsi="宋体" w:eastAsia="宋体" w:cs="宋体"/>
          <w:color w:val="auto"/>
          <w:kern w:val="0"/>
          <w:szCs w:val="21"/>
          <w:highlight w:val="none"/>
          <w:lang w:val="en-US" w:eastAsia="zh-CN"/>
        </w:rPr>
        <w:t>通道（</w:t>
      </w:r>
      <w:r>
        <w:rPr>
          <w:rFonts w:hint="eastAsia" w:ascii="宋体" w:hAnsi="宋体" w:cs="宋体"/>
          <w:color w:val="auto"/>
          <w:kern w:val="0"/>
          <w:szCs w:val="21"/>
          <w:highlight w:val="none"/>
          <w:lang w:val="en-US" w:eastAsia="zh-CN"/>
        </w:rPr>
        <w:t>130CM</w:t>
      </w:r>
      <w:r>
        <w:rPr>
          <w:rFonts w:hint="eastAsia" w:ascii="宋体" w:hAnsi="宋体" w:eastAsia="宋体" w:cs="宋体"/>
          <w:color w:val="auto"/>
          <w:kern w:val="0"/>
          <w:szCs w:val="21"/>
          <w:highlight w:val="none"/>
          <w:lang w:val="en-US" w:eastAsia="zh-CN"/>
        </w:rPr>
        <w:t>）；</w:t>
      </w:r>
    </w:p>
    <w:p w14:paraId="66118554">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.2机箱</w:t>
      </w:r>
      <w:r>
        <w:rPr>
          <w:rFonts w:hint="eastAsia" w:ascii="宋体" w:hAnsi="宋体" w:cs="宋体"/>
          <w:color w:val="auto"/>
          <w:kern w:val="0"/>
          <w:szCs w:val="21"/>
          <w:highlight w:val="none"/>
          <w:lang w:val="en-US" w:eastAsia="zh-CN"/>
        </w:rPr>
        <w:t>尺寸</w:t>
      </w: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建议尺寸高120CM，长140CM，宽</w:t>
      </w:r>
      <w:r>
        <w:rPr>
          <w:rFonts w:hint="eastAsia" w:ascii="宋体" w:hAnsi="宋体" w:eastAsia="宋体" w:cs="宋体"/>
          <w:color w:val="auto"/>
          <w:kern w:val="0"/>
          <w:szCs w:val="21"/>
          <w:highlight w:val="none"/>
          <w:lang w:val="en-US" w:eastAsia="zh-CN"/>
        </w:rPr>
        <w:t>20CM</w:t>
      </w:r>
      <w:r>
        <w:rPr>
          <w:rFonts w:hint="eastAsia" w:ascii="宋体" w:hAnsi="宋体" w:cs="宋体"/>
          <w:color w:val="auto"/>
          <w:kern w:val="0"/>
          <w:szCs w:val="21"/>
          <w:highlight w:val="none"/>
          <w:lang w:val="en-US" w:eastAsia="zh-CN"/>
        </w:rPr>
        <w:t>；</w:t>
      </w:r>
    </w:p>
    <w:p w14:paraId="54A51F96">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.3驱动元件:</w:t>
      </w:r>
      <w:r>
        <w:rPr>
          <w:rFonts w:hint="eastAsia" w:ascii="宋体" w:hAnsi="宋体" w:cs="宋体"/>
          <w:color w:val="auto"/>
          <w:kern w:val="0"/>
          <w:szCs w:val="21"/>
          <w:highlight w:val="none"/>
          <w:lang w:val="en-US" w:eastAsia="zh-CN"/>
        </w:rPr>
        <w:t>永磁同步</w:t>
      </w:r>
      <w:r>
        <w:rPr>
          <w:rFonts w:hint="eastAsia" w:ascii="宋体" w:hAnsi="宋体" w:eastAsia="宋体" w:cs="宋体"/>
          <w:color w:val="auto"/>
          <w:kern w:val="0"/>
          <w:szCs w:val="21"/>
          <w:highlight w:val="none"/>
          <w:lang w:val="en-US" w:eastAsia="zh-CN"/>
        </w:rPr>
        <w:t>电机</w:t>
      </w:r>
      <w:r>
        <w:rPr>
          <w:rFonts w:hint="eastAsia" w:ascii="宋体" w:hAnsi="宋体" w:cs="宋体"/>
          <w:color w:val="auto"/>
          <w:kern w:val="0"/>
          <w:szCs w:val="21"/>
          <w:highlight w:val="none"/>
          <w:lang w:val="en-US" w:eastAsia="zh-CN"/>
        </w:rPr>
        <w:t>；</w:t>
      </w:r>
    </w:p>
    <w:p w14:paraId="4DA02F09">
      <w:pPr>
        <w:tabs>
          <w:tab w:val="left" w:pos="420"/>
        </w:tabs>
        <w:adjustRightInd w:val="0"/>
        <w:snapToGrid w:val="0"/>
        <w:spacing w:line="440" w:lineRule="exact"/>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.4开关门时间：0.</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s-1s(可调</w:t>
      </w:r>
      <w:r>
        <w:rPr>
          <w:rFonts w:hint="default"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w:t>
      </w:r>
    </w:p>
    <w:p w14:paraId="4019C06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5.3.2.5通行速度：≥40人/min；</w:t>
      </w:r>
    </w:p>
    <w:p w14:paraId="5AE73EF8">
      <w:pPr>
        <w:tabs>
          <w:tab w:val="left" w:pos="420"/>
        </w:tabs>
        <w:adjustRightInd w:val="0"/>
        <w:snapToGrid w:val="0"/>
        <w:spacing w:line="440" w:lineRule="exact"/>
        <w:ind w:firstLine="420" w:firstLineChars="200"/>
        <w:jc w:val="left"/>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5.3.2.6感应方式：红外对射；</w:t>
      </w:r>
    </w:p>
    <w:p w14:paraId="1B75E05B">
      <w:pPr>
        <w:tabs>
          <w:tab w:val="left" w:pos="420"/>
        </w:tabs>
        <w:adjustRightInd w:val="0"/>
        <w:snapToGrid w:val="0"/>
        <w:spacing w:line="440" w:lineRule="exact"/>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7机箱</w:t>
      </w:r>
      <w:r>
        <w:rPr>
          <w:rFonts w:hint="eastAsia" w:ascii="宋体" w:hAnsi="宋体" w:eastAsia="宋体" w:cs="宋体"/>
          <w:color w:val="auto"/>
          <w:kern w:val="0"/>
          <w:szCs w:val="21"/>
          <w:highlight w:val="none"/>
          <w:lang w:val="en-US" w:eastAsia="zh-CN"/>
        </w:rPr>
        <w:t>材质：304不锈钢</w:t>
      </w:r>
      <w:r>
        <w:rPr>
          <w:rFonts w:hint="eastAsia" w:ascii="宋体" w:hAnsi="宋体" w:cs="宋体"/>
          <w:color w:val="auto"/>
          <w:kern w:val="0"/>
          <w:szCs w:val="21"/>
          <w:highlight w:val="none"/>
          <w:lang w:val="en-US" w:eastAsia="zh-CN"/>
        </w:rPr>
        <w:t>；</w:t>
      </w:r>
    </w:p>
    <w:p w14:paraId="15F8CFD8">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8</w:t>
      </w:r>
      <w:r>
        <w:rPr>
          <w:rFonts w:hint="eastAsia" w:ascii="宋体" w:hAnsi="宋体" w:eastAsia="宋体" w:cs="宋体"/>
          <w:color w:val="auto"/>
          <w:kern w:val="0"/>
          <w:szCs w:val="21"/>
          <w:highlight w:val="none"/>
          <w:lang w:val="en-US" w:eastAsia="zh-CN"/>
        </w:rPr>
        <w:t>关门冲击力：&lt;150N</w:t>
      </w:r>
      <w:r>
        <w:rPr>
          <w:rFonts w:hint="eastAsia" w:ascii="宋体" w:hAnsi="宋体" w:cs="宋体"/>
          <w:color w:val="auto"/>
          <w:kern w:val="0"/>
          <w:szCs w:val="21"/>
          <w:highlight w:val="none"/>
          <w:lang w:val="en-US" w:eastAsia="zh-CN"/>
        </w:rPr>
        <w:t>；</w:t>
      </w:r>
    </w:p>
    <w:p w14:paraId="0E1CAA49">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5.3.2.9</w:t>
      </w:r>
      <w:r>
        <w:rPr>
          <w:rFonts w:hint="eastAsia" w:ascii="宋体" w:hAnsi="宋体" w:eastAsia="宋体" w:cs="宋体"/>
          <w:color w:val="auto"/>
          <w:kern w:val="0"/>
          <w:szCs w:val="21"/>
          <w:highlight w:val="none"/>
          <w:lang w:val="en-US" w:eastAsia="zh-CN"/>
        </w:rPr>
        <w:t>结构强度:可承受1000N撞击</w:t>
      </w:r>
      <w:r>
        <w:rPr>
          <w:rFonts w:hint="eastAsia" w:ascii="宋体" w:hAnsi="宋体" w:cs="宋体"/>
          <w:color w:val="auto"/>
          <w:kern w:val="0"/>
          <w:szCs w:val="21"/>
          <w:highlight w:val="none"/>
          <w:lang w:val="en-US" w:eastAsia="zh-CN"/>
        </w:rPr>
        <w:t>；</w:t>
      </w:r>
    </w:p>
    <w:p w14:paraId="6B009204">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5.3.2.10</w:t>
      </w:r>
      <w:r>
        <w:rPr>
          <w:rFonts w:hint="eastAsia" w:ascii="宋体" w:hAnsi="宋体" w:eastAsia="宋体" w:cs="宋体"/>
          <w:color w:val="auto"/>
          <w:kern w:val="0"/>
          <w:szCs w:val="21"/>
          <w:highlight w:val="none"/>
          <w:lang w:val="en-US" w:eastAsia="zh-CN"/>
        </w:rPr>
        <w:t>工作噪声:≤45db</w:t>
      </w:r>
      <w:r>
        <w:rPr>
          <w:rFonts w:hint="eastAsia" w:ascii="宋体" w:hAnsi="宋体" w:cs="宋体"/>
          <w:color w:val="auto"/>
          <w:kern w:val="0"/>
          <w:szCs w:val="21"/>
          <w:highlight w:val="none"/>
          <w:lang w:val="en-US" w:eastAsia="zh-CN"/>
        </w:rPr>
        <w:t>；</w:t>
      </w:r>
    </w:p>
    <w:p w14:paraId="366D3121">
      <w:pPr>
        <w:tabs>
          <w:tab w:val="left" w:pos="420"/>
        </w:tabs>
        <w:adjustRightInd w:val="0"/>
        <w:snapToGrid w:val="0"/>
        <w:spacing w:line="440" w:lineRule="exact"/>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5.3.2.11</w:t>
      </w:r>
      <w:r>
        <w:rPr>
          <w:rFonts w:hint="eastAsia" w:ascii="宋体" w:hAnsi="宋体" w:eastAsia="宋体" w:cs="宋体"/>
          <w:color w:val="auto"/>
          <w:kern w:val="0"/>
          <w:szCs w:val="21"/>
          <w:highlight w:val="none"/>
          <w:lang w:val="en-US" w:eastAsia="zh-CN"/>
        </w:rPr>
        <w:t>使用寿命：≥</w:t>
      </w:r>
      <w:r>
        <w:rPr>
          <w:rFonts w:hint="eastAsia" w:ascii="宋体" w:hAnsi="宋体" w:cs="宋体"/>
          <w:color w:val="auto"/>
          <w:kern w:val="0"/>
          <w:szCs w:val="21"/>
          <w:highlight w:val="none"/>
          <w:lang w:val="en-US" w:eastAsia="zh-CN"/>
        </w:rPr>
        <w:t>500</w:t>
      </w:r>
      <w:r>
        <w:rPr>
          <w:rFonts w:hint="eastAsia" w:ascii="宋体" w:hAnsi="宋体" w:eastAsia="宋体" w:cs="宋体"/>
          <w:color w:val="auto"/>
          <w:kern w:val="0"/>
          <w:szCs w:val="21"/>
          <w:highlight w:val="none"/>
          <w:lang w:val="en-US" w:eastAsia="zh-CN"/>
        </w:rPr>
        <w:t>万次开关门</w:t>
      </w:r>
      <w:r>
        <w:rPr>
          <w:rFonts w:hint="eastAsia" w:ascii="宋体" w:hAnsi="宋体" w:cs="宋体"/>
          <w:color w:val="auto"/>
          <w:kern w:val="0"/>
          <w:szCs w:val="21"/>
          <w:highlight w:val="none"/>
          <w:lang w:val="en-US" w:eastAsia="zh-CN"/>
        </w:rPr>
        <w:t>；</w:t>
      </w:r>
    </w:p>
    <w:p w14:paraId="0AB0F58A">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.12平均故障间隔周期数：≥10万次开关门；</w:t>
      </w:r>
    </w:p>
    <w:p w14:paraId="706A7F8B">
      <w:pPr>
        <w:tabs>
          <w:tab w:val="left" w:pos="420"/>
        </w:tabs>
        <w:adjustRightInd w:val="0"/>
        <w:snapToGrid w:val="0"/>
        <w:spacing w:line="440" w:lineRule="exact"/>
        <w:ind w:firstLine="420" w:firstLineChars="200"/>
        <w:jc w:val="left"/>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5.3.2.13开门方式：刷卡（兼容在用员工卡）和刷脸开门；</w:t>
      </w:r>
    </w:p>
    <w:p w14:paraId="4072CFC6">
      <w:pPr>
        <w:tabs>
          <w:tab w:val="left" w:pos="420"/>
        </w:tabs>
        <w:adjustRightInd w:val="0"/>
        <w:snapToGrid w:val="0"/>
        <w:spacing w:line="440" w:lineRule="exact"/>
        <w:ind w:firstLine="420" w:firstLineChars="200"/>
        <w:jc w:val="left"/>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5.3.2.14扇门材质：采用亚克力材质拍打式扇门，扇门壁厚≥4mm,离地缝隙≤100mm，离机箱顶端≤100mm；</w:t>
      </w:r>
    </w:p>
    <w:p w14:paraId="23EA8B56">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5.3.2.15</w:t>
      </w:r>
      <w:r>
        <w:rPr>
          <w:rFonts w:hint="eastAsia" w:ascii="宋体" w:hAnsi="宋体" w:eastAsia="宋体" w:cs="宋体"/>
          <w:color w:val="auto"/>
          <w:kern w:val="0"/>
          <w:szCs w:val="21"/>
          <w:highlight w:val="none"/>
          <w:lang w:val="en-US" w:eastAsia="zh-CN"/>
        </w:rPr>
        <w:t>失电保护：一旦电源失效，扇门立即自动打开（通过机械复位装置，无需外部电源）</w:t>
      </w:r>
      <w:r>
        <w:rPr>
          <w:rFonts w:hint="eastAsia" w:ascii="宋体" w:hAnsi="宋体" w:cs="宋体"/>
          <w:color w:val="auto"/>
          <w:kern w:val="0"/>
          <w:szCs w:val="21"/>
          <w:highlight w:val="none"/>
          <w:lang w:val="en-US" w:eastAsia="zh-CN"/>
        </w:rPr>
        <w:t>；</w:t>
      </w:r>
    </w:p>
    <w:p w14:paraId="727AA206">
      <w:pPr>
        <w:tabs>
          <w:tab w:val="left" w:pos="420"/>
        </w:tabs>
        <w:adjustRightInd w:val="0"/>
        <w:snapToGrid w:val="0"/>
        <w:spacing w:line="440" w:lineRule="exact"/>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5.3.2.16</w:t>
      </w:r>
      <w:r>
        <w:rPr>
          <w:rFonts w:hint="eastAsia" w:ascii="宋体" w:hAnsi="宋体" w:eastAsia="宋体" w:cs="宋体"/>
          <w:color w:val="auto"/>
          <w:kern w:val="0"/>
          <w:szCs w:val="21"/>
          <w:highlight w:val="none"/>
          <w:lang w:val="en-US" w:eastAsia="zh-CN"/>
        </w:rPr>
        <w:t>安全保护：具备安全行人</w:t>
      </w:r>
      <w:r>
        <w:rPr>
          <w:rFonts w:hint="eastAsia" w:ascii="宋体" w:hAnsi="宋体" w:cs="宋体"/>
          <w:color w:val="auto"/>
          <w:kern w:val="0"/>
          <w:szCs w:val="21"/>
          <w:highlight w:val="none"/>
          <w:lang w:val="en-US" w:eastAsia="zh-CN"/>
        </w:rPr>
        <w:t>保护</w:t>
      </w:r>
      <w:r>
        <w:rPr>
          <w:rFonts w:hint="eastAsia" w:ascii="宋体" w:hAnsi="宋体" w:eastAsia="宋体" w:cs="宋体"/>
          <w:color w:val="auto"/>
          <w:kern w:val="0"/>
          <w:szCs w:val="21"/>
          <w:highlight w:val="none"/>
          <w:lang w:val="en-US" w:eastAsia="zh-CN"/>
        </w:rPr>
        <w:t>功能，当有行人在安全区或者检测到扇门碰撞到物体时立即触发保护机制</w:t>
      </w:r>
      <w:r>
        <w:rPr>
          <w:rFonts w:hint="eastAsia" w:ascii="宋体" w:hAnsi="宋体" w:cs="宋体"/>
          <w:color w:val="auto"/>
          <w:kern w:val="0"/>
          <w:szCs w:val="21"/>
          <w:highlight w:val="none"/>
          <w:lang w:val="en-US" w:eastAsia="zh-CN"/>
        </w:rPr>
        <w:t>；</w:t>
      </w:r>
    </w:p>
    <w:p w14:paraId="094B95E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5.3.</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17</w:t>
      </w:r>
      <w:r>
        <w:rPr>
          <w:rFonts w:hint="eastAsia" w:ascii="宋体" w:hAnsi="宋体" w:eastAsia="宋体" w:cs="宋体"/>
          <w:color w:val="auto"/>
          <w:kern w:val="0"/>
          <w:szCs w:val="21"/>
          <w:highlight w:val="none"/>
          <w:lang w:val="en-US" w:eastAsia="zh-CN"/>
        </w:rPr>
        <w:t>具备通行指示灯</w:t>
      </w:r>
      <w:r>
        <w:rPr>
          <w:rFonts w:hint="eastAsia" w:ascii="宋体" w:hAnsi="宋体" w:cs="宋体"/>
          <w:color w:val="auto"/>
          <w:kern w:val="0"/>
          <w:szCs w:val="21"/>
          <w:highlight w:val="none"/>
          <w:lang w:val="en-US" w:eastAsia="zh-CN"/>
        </w:rPr>
        <w:t>（通行指示灯采用LED）</w:t>
      </w:r>
      <w:r>
        <w:rPr>
          <w:rFonts w:hint="eastAsia" w:ascii="宋体" w:hAnsi="宋体" w:eastAsia="宋体" w:cs="宋体"/>
          <w:color w:val="auto"/>
          <w:kern w:val="0"/>
          <w:szCs w:val="21"/>
          <w:highlight w:val="none"/>
          <w:lang w:val="en-US" w:eastAsia="zh-CN"/>
        </w:rPr>
        <w:t>、延时自动复位、防夹防碰撞、防尾随</w:t>
      </w:r>
      <w:r>
        <w:rPr>
          <w:rFonts w:hint="eastAsia" w:ascii="宋体" w:hAnsi="宋体" w:cs="宋体"/>
          <w:color w:val="auto"/>
          <w:kern w:val="0"/>
          <w:szCs w:val="21"/>
          <w:highlight w:val="none"/>
          <w:lang w:val="en-US" w:eastAsia="zh-CN"/>
        </w:rPr>
        <w:t>。</w:t>
      </w:r>
    </w:p>
    <w:p w14:paraId="18440FD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5.3.3人脸识别器</w:t>
      </w:r>
    </w:p>
    <w:p w14:paraId="3B3AD42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5.3.3.1人脸容量：≥30000张；</w:t>
      </w:r>
    </w:p>
    <w:p w14:paraId="513FD2D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5.3.3.2识别准确率：≥99.9%；</w:t>
      </w:r>
    </w:p>
    <w:p w14:paraId="0EA272A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5.3.3.3识别时间：&lt;0.6秒；</w:t>
      </w:r>
    </w:p>
    <w:p w14:paraId="69A3204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5.3.3.4识别距离：0.2米～2米；</w:t>
      </w:r>
    </w:p>
    <w:p w14:paraId="7158E29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5.3.3.5像素：高清200万像素；</w:t>
      </w:r>
    </w:p>
    <w:p w14:paraId="4D9C2165">
      <w:pPr>
        <w:tabs>
          <w:tab w:val="left" w:pos="420"/>
        </w:tabs>
        <w:adjustRightInd w:val="0"/>
        <w:snapToGrid w:val="0"/>
        <w:spacing w:line="440" w:lineRule="exact"/>
        <w:ind w:firstLine="420" w:firstLineChars="200"/>
        <w:jc w:val="left"/>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5.3.3.6其他：支持活体检测，支持简易安装拆卸。</w:t>
      </w:r>
    </w:p>
    <w:p w14:paraId="2A6117E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5.3.4行人道闸管理系统</w:t>
      </w:r>
    </w:p>
    <w:p w14:paraId="7E8CF6AE">
      <w:pPr>
        <w:tabs>
          <w:tab w:val="left" w:pos="420"/>
        </w:tabs>
        <w:adjustRightInd w:val="0"/>
        <w:snapToGrid w:val="0"/>
        <w:spacing w:line="440" w:lineRule="exact"/>
        <w:ind w:firstLine="420" w:firstLineChars="200"/>
        <w:jc w:val="left"/>
        <w:rPr>
          <w:rFonts w:hint="eastAsia" w:ascii="宋体" w:hAnsi="宋体" w:cs="宋体"/>
          <w:b w:val="0"/>
          <w:color w:val="auto"/>
          <w:kern w:val="0"/>
          <w:sz w:val="21"/>
          <w:szCs w:val="21"/>
          <w:highlight w:val="none"/>
          <w:lang w:val="en-US" w:eastAsia="zh-CN"/>
        </w:rPr>
      </w:pPr>
      <w:r>
        <w:rPr>
          <w:rFonts w:hint="eastAsia" w:ascii="宋体" w:hAnsi="宋体" w:cs="宋体"/>
          <w:b w:val="0"/>
          <w:color w:val="auto"/>
          <w:kern w:val="0"/>
          <w:sz w:val="21"/>
          <w:szCs w:val="21"/>
          <w:highlight w:val="none"/>
          <w:lang w:val="en-US" w:eastAsia="zh-CN"/>
        </w:rPr>
        <w:t>5.3.4.1行人道闸工作站</w:t>
      </w:r>
    </w:p>
    <w:p w14:paraId="34F82DB6">
      <w:pPr>
        <w:tabs>
          <w:tab w:val="left" w:pos="420"/>
        </w:tabs>
        <w:adjustRightInd w:val="0"/>
        <w:snapToGrid w:val="0"/>
        <w:spacing w:line="440" w:lineRule="exact"/>
        <w:ind w:firstLine="420" w:firstLineChars="200"/>
        <w:jc w:val="left"/>
        <w:rPr>
          <w:rFonts w:hint="eastAsia" w:ascii="宋体" w:hAnsi="宋体" w:cs="宋体"/>
          <w:b w:val="0"/>
          <w:color w:val="auto"/>
          <w:kern w:val="0"/>
          <w:sz w:val="21"/>
          <w:szCs w:val="21"/>
          <w:highlight w:val="none"/>
        </w:rPr>
      </w:pPr>
      <w:r>
        <w:rPr>
          <w:rFonts w:hint="eastAsia" w:ascii="宋体" w:hAnsi="宋体" w:cs="宋体"/>
          <w:b w:val="0"/>
          <w:color w:val="auto"/>
          <w:kern w:val="0"/>
          <w:sz w:val="21"/>
          <w:szCs w:val="21"/>
          <w:highlight w:val="none"/>
          <w:lang w:val="en-US" w:eastAsia="zh-CN"/>
        </w:rPr>
        <w:t>5.3.4.1.1</w:t>
      </w:r>
      <w:r>
        <w:rPr>
          <w:rFonts w:hint="eastAsia" w:ascii="宋体" w:hAnsi="宋体" w:cs="宋体"/>
          <w:b w:val="0"/>
          <w:color w:val="auto"/>
          <w:kern w:val="0"/>
          <w:sz w:val="21"/>
          <w:szCs w:val="21"/>
          <w:highlight w:val="none"/>
        </w:rPr>
        <w:t>基本要求</w:t>
      </w:r>
    </w:p>
    <w:p w14:paraId="6D5FDC9A">
      <w:pPr>
        <w:tabs>
          <w:tab w:val="left" w:pos="420"/>
        </w:tabs>
        <w:adjustRightInd w:val="0"/>
        <w:snapToGrid w:val="0"/>
        <w:spacing w:line="440" w:lineRule="exact"/>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（1）工作站应配置Windows操作系统。</w:t>
      </w:r>
    </w:p>
    <w:p w14:paraId="4980BE15">
      <w:pPr>
        <w:tabs>
          <w:tab w:val="left" w:pos="420"/>
        </w:tabs>
        <w:adjustRightInd w:val="0"/>
        <w:snapToGrid w:val="0"/>
        <w:spacing w:line="440" w:lineRule="exact"/>
        <w:ind w:firstLine="420" w:firstLineChars="20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（2）工作站应支持GB18030-2005字符集，操作界面为简体中文界面。</w:t>
      </w:r>
    </w:p>
    <w:p w14:paraId="5F894493">
      <w:pPr>
        <w:tabs>
          <w:tab w:val="left" w:pos="420"/>
        </w:tabs>
        <w:adjustRightInd w:val="0"/>
        <w:snapToGrid w:val="0"/>
        <w:spacing w:line="440" w:lineRule="exact"/>
        <w:ind w:firstLine="420" w:firstLineChars="200"/>
        <w:jc w:val="left"/>
        <w:rPr>
          <w:rFonts w:hint="eastAsia" w:ascii="宋体" w:hAnsi="宋体" w:cs="宋体"/>
          <w:b w:val="0"/>
          <w:color w:val="auto"/>
          <w:kern w:val="0"/>
          <w:sz w:val="21"/>
          <w:szCs w:val="21"/>
          <w:highlight w:val="none"/>
        </w:rPr>
      </w:pPr>
      <w:r>
        <w:rPr>
          <w:rFonts w:hint="eastAsia" w:ascii="宋体" w:hAnsi="宋体" w:cs="宋体"/>
          <w:b w:val="0"/>
          <w:color w:val="auto"/>
          <w:kern w:val="0"/>
          <w:sz w:val="21"/>
          <w:szCs w:val="21"/>
          <w:highlight w:val="none"/>
          <w:lang w:eastAsia="zh-CN"/>
        </w:rPr>
        <w:t>5</w:t>
      </w:r>
      <w:r>
        <w:rPr>
          <w:rFonts w:hint="eastAsia" w:ascii="宋体" w:hAnsi="宋体" w:cs="宋体"/>
          <w:b w:val="0"/>
          <w:color w:val="auto"/>
          <w:kern w:val="0"/>
          <w:sz w:val="21"/>
          <w:szCs w:val="21"/>
          <w:highlight w:val="none"/>
          <w:lang w:val="en-US" w:eastAsia="zh-CN"/>
        </w:rPr>
        <w:t>.3.4.1.2</w:t>
      </w:r>
      <w:r>
        <w:rPr>
          <w:rFonts w:hint="eastAsia" w:ascii="宋体" w:hAnsi="宋体" w:cs="宋体"/>
          <w:b w:val="0"/>
          <w:color w:val="auto"/>
          <w:kern w:val="0"/>
          <w:sz w:val="21"/>
          <w:szCs w:val="21"/>
          <w:highlight w:val="none"/>
        </w:rPr>
        <w:t>配置要求</w:t>
      </w:r>
    </w:p>
    <w:tbl>
      <w:tblPr>
        <w:tblStyle w:val="25"/>
        <w:tblW w:w="898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85"/>
        <w:gridCol w:w="2101"/>
        <w:gridCol w:w="5503"/>
      </w:tblGrid>
      <w:tr w14:paraId="02DEE9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85" w:type="dxa"/>
            <w:noWrap w:val="0"/>
            <w:vAlign w:val="center"/>
          </w:tcPr>
          <w:p w14:paraId="48F9888B">
            <w:pPr>
              <w:pStyle w:val="10"/>
              <w:keepNext w:val="0"/>
              <w:keepLines w:val="0"/>
              <w:suppressLineNumbers w:val="0"/>
              <w:spacing w:before="0" w:beforeAutospacing="0" w:line="240" w:lineRule="auto"/>
              <w:ind w:right="0" w:firstLine="0" w:firstLineChars="0"/>
              <w:jc w:val="center"/>
              <w:rPr>
                <w:rFonts w:hint="eastAsia" w:ascii="宋体" w:hAnsi="宋体" w:eastAsia="宋体" w:cs="宋体"/>
                <w:b/>
                <w:color w:val="auto"/>
                <w:sz w:val="22"/>
                <w:szCs w:val="22"/>
                <w:highlight w:val="none"/>
                <w:lang w:val="zh-CN"/>
              </w:rPr>
            </w:pPr>
            <w:bookmarkStart w:id="80" w:name="_Toc446404469"/>
            <w:bookmarkStart w:id="81" w:name="_Toc362016510"/>
            <w:bookmarkStart w:id="82" w:name="_Toc29751"/>
            <w:bookmarkStart w:id="83" w:name="_Toc9156"/>
            <w:r>
              <w:rPr>
                <w:rFonts w:hint="eastAsia" w:ascii="宋体" w:hAnsi="宋体" w:eastAsia="宋体" w:cs="宋体"/>
                <w:b/>
                <w:color w:val="auto"/>
                <w:sz w:val="22"/>
                <w:szCs w:val="22"/>
                <w:highlight w:val="none"/>
                <w:lang w:val="zh-CN"/>
              </w:rPr>
              <w:t>指标</w:t>
            </w:r>
          </w:p>
        </w:tc>
        <w:tc>
          <w:tcPr>
            <w:tcW w:w="2101" w:type="dxa"/>
            <w:noWrap w:val="0"/>
            <w:vAlign w:val="center"/>
          </w:tcPr>
          <w:p w14:paraId="40EBA43F">
            <w:pPr>
              <w:pStyle w:val="10"/>
              <w:keepNext w:val="0"/>
              <w:keepLines w:val="0"/>
              <w:suppressLineNumbers w:val="0"/>
              <w:spacing w:before="0" w:beforeAutospacing="0" w:line="240" w:lineRule="auto"/>
              <w:ind w:right="0" w:firstLine="0" w:firstLineChars="0"/>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指标项</w:t>
            </w:r>
          </w:p>
        </w:tc>
        <w:tc>
          <w:tcPr>
            <w:tcW w:w="5503" w:type="dxa"/>
            <w:noWrap w:val="0"/>
            <w:vAlign w:val="center"/>
          </w:tcPr>
          <w:p w14:paraId="7EC83ED7">
            <w:pPr>
              <w:pStyle w:val="10"/>
              <w:keepNext w:val="0"/>
              <w:keepLines w:val="0"/>
              <w:suppressLineNumbers w:val="0"/>
              <w:spacing w:before="0" w:beforeAutospacing="0" w:line="240" w:lineRule="auto"/>
              <w:ind w:right="0" w:firstLine="0" w:firstLineChars="0"/>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指标要求</w:t>
            </w:r>
          </w:p>
        </w:tc>
      </w:tr>
      <w:tr w14:paraId="3F2BBF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1" w:hRule="atLeast"/>
          <w:jc w:val="center"/>
        </w:trPr>
        <w:tc>
          <w:tcPr>
            <w:tcW w:w="1385" w:type="dxa"/>
            <w:noWrap w:val="0"/>
            <w:vAlign w:val="center"/>
          </w:tcPr>
          <w:p w14:paraId="1CD26B7D">
            <w:pPr>
              <w:pStyle w:val="10"/>
              <w:keepNext w:val="0"/>
              <w:keepLines w:val="0"/>
              <w:suppressLineNumbers w:val="0"/>
              <w:spacing w:before="0" w:beforeAutospacing="0" w:line="240" w:lineRule="auto"/>
              <w:ind w:right="0" w:firstLine="0" w:firstLineChars="0"/>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处理器</w:t>
            </w:r>
          </w:p>
        </w:tc>
        <w:tc>
          <w:tcPr>
            <w:tcW w:w="2101" w:type="dxa"/>
            <w:noWrap w:val="0"/>
            <w:vAlign w:val="center"/>
          </w:tcPr>
          <w:p w14:paraId="7D204A66">
            <w:pPr>
              <w:pStyle w:val="10"/>
              <w:keepNext w:val="0"/>
              <w:keepLines w:val="0"/>
              <w:suppressLineNumbers w:val="0"/>
              <w:spacing w:before="0" w:beforeAutospacing="0" w:line="240" w:lineRule="auto"/>
              <w:ind w:right="0" w:firstLine="0" w:firstLineChars="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类型</w:t>
            </w:r>
          </w:p>
        </w:tc>
        <w:tc>
          <w:tcPr>
            <w:tcW w:w="5503" w:type="dxa"/>
            <w:noWrap w:val="0"/>
            <w:vAlign w:val="center"/>
          </w:tcPr>
          <w:p w14:paraId="61FBBB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color w:val="auto"/>
                <w:sz w:val="24"/>
                <w:szCs w:val="24"/>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架构：≥8 核心，支持多线程处理技术</w:t>
            </w:r>
          </w:p>
          <w:p w14:paraId="5F0BC8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color w:val="auto"/>
                <w:sz w:val="24"/>
                <w:szCs w:val="24"/>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制程工艺：≤14nm</w:t>
            </w:r>
          </w:p>
          <w:p w14:paraId="218858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color w:val="auto"/>
                <w:sz w:val="24"/>
                <w:szCs w:val="24"/>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基础频率：≥3.0GHz</w:t>
            </w:r>
          </w:p>
          <w:p w14:paraId="17F359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color w:val="auto"/>
                <w:sz w:val="24"/>
                <w:szCs w:val="24"/>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最大加速频率：≥4.2GHz</w:t>
            </w:r>
          </w:p>
          <w:p w14:paraId="202706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color w:val="auto"/>
                <w:sz w:val="24"/>
                <w:szCs w:val="24"/>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缓存：三级缓存≥12MB</w:t>
            </w:r>
          </w:p>
          <w:p w14:paraId="764874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sz w:val="22"/>
                <w:szCs w:val="22"/>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支持 64 位计算，兼容 64 位操作系统</w:t>
            </w:r>
          </w:p>
        </w:tc>
      </w:tr>
      <w:tr w14:paraId="2F9FDA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85" w:type="dxa"/>
            <w:noWrap w:val="0"/>
            <w:vAlign w:val="center"/>
          </w:tcPr>
          <w:p w14:paraId="2DCAA400">
            <w:pPr>
              <w:pStyle w:val="10"/>
              <w:keepNext w:val="0"/>
              <w:keepLines w:val="0"/>
              <w:suppressLineNumbers w:val="0"/>
              <w:spacing w:before="0" w:beforeAutospacing="0" w:line="240" w:lineRule="auto"/>
              <w:ind w:right="0" w:firstLine="0" w:firstLineChars="0"/>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内存</w:t>
            </w:r>
          </w:p>
        </w:tc>
        <w:tc>
          <w:tcPr>
            <w:tcW w:w="2101" w:type="dxa"/>
            <w:noWrap w:val="0"/>
            <w:vAlign w:val="center"/>
          </w:tcPr>
          <w:p w14:paraId="4D081640">
            <w:pPr>
              <w:pStyle w:val="10"/>
              <w:keepNext w:val="0"/>
              <w:keepLines w:val="0"/>
              <w:suppressLineNumbers w:val="0"/>
              <w:spacing w:before="0" w:beforeAutospacing="0" w:line="240" w:lineRule="auto"/>
              <w:ind w:right="0" w:firstLine="0" w:firstLineChars="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内存类型</w:t>
            </w:r>
          </w:p>
        </w:tc>
        <w:tc>
          <w:tcPr>
            <w:tcW w:w="5503" w:type="dxa"/>
            <w:noWrap w:val="0"/>
            <w:vAlign w:val="center"/>
          </w:tcPr>
          <w:p w14:paraId="2216BA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color w:val="auto"/>
                <w:sz w:val="24"/>
                <w:szCs w:val="24"/>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容量：≥16GB</w:t>
            </w:r>
          </w:p>
          <w:p w14:paraId="68C10C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color w:val="auto"/>
                <w:sz w:val="24"/>
                <w:szCs w:val="24"/>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类型：DDR4 及以上</w:t>
            </w:r>
          </w:p>
          <w:p w14:paraId="502E0F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sz w:val="22"/>
                <w:szCs w:val="22"/>
                <w:highlight w:val="none"/>
                <w:lang w:val="zh-CN"/>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支持双通道内存架构</w:t>
            </w:r>
          </w:p>
        </w:tc>
      </w:tr>
      <w:tr w14:paraId="66EB65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85" w:type="dxa"/>
            <w:noWrap w:val="0"/>
            <w:vAlign w:val="center"/>
          </w:tcPr>
          <w:p w14:paraId="32162F66">
            <w:pPr>
              <w:pStyle w:val="10"/>
              <w:keepNext w:val="0"/>
              <w:keepLines w:val="0"/>
              <w:suppressLineNumbers w:val="0"/>
              <w:spacing w:before="0" w:beforeAutospacing="0" w:line="240" w:lineRule="auto"/>
              <w:ind w:right="0" w:firstLine="0" w:firstLineChars="0"/>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存储规格</w:t>
            </w:r>
          </w:p>
        </w:tc>
        <w:tc>
          <w:tcPr>
            <w:tcW w:w="2101" w:type="dxa"/>
            <w:noWrap w:val="0"/>
            <w:vAlign w:val="center"/>
          </w:tcPr>
          <w:p w14:paraId="7946DC93">
            <w:pPr>
              <w:pStyle w:val="10"/>
              <w:keepNext w:val="0"/>
              <w:keepLines w:val="0"/>
              <w:suppressLineNumbers w:val="0"/>
              <w:spacing w:before="0" w:beforeAutospacing="0" w:line="240" w:lineRule="auto"/>
              <w:ind w:right="0" w:firstLine="0" w:firstLineChars="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硬盘容量、类型</w:t>
            </w:r>
          </w:p>
        </w:tc>
        <w:tc>
          <w:tcPr>
            <w:tcW w:w="5503" w:type="dxa"/>
            <w:noWrap w:val="0"/>
            <w:vAlign w:val="center"/>
          </w:tcPr>
          <w:p w14:paraId="1ED5C968">
            <w:pPr>
              <w:pStyle w:val="10"/>
              <w:keepNext w:val="0"/>
              <w:keepLines w:val="0"/>
              <w:suppressLineNumbers w:val="0"/>
              <w:spacing w:before="0" w:beforeAutospacing="0" w:line="240" w:lineRule="auto"/>
              <w:ind w:left="0" w:leftChars="0" w:right="0" w:firstLine="0" w:firstLineChars="0"/>
              <w:rPr>
                <w:rFonts w:hint="eastAsia" w:ascii="宋体" w:hAnsi="宋体" w:eastAsia="宋体" w:cs="宋体"/>
                <w:color w:val="auto"/>
                <w:sz w:val="22"/>
                <w:szCs w:val="22"/>
                <w:highlight w:val="none"/>
                <w:lang w:eastAsia="zh-CN"/>
              </w:rPr>
            </w:pPr>
            <w:r>
              <w:rPr>
                <w:rFonts w:hint="eastAsia" w:ascii="宋体" w:hAnsi="宋体" w:eastAsia="宋体" w:cs="宋体"/>
                <w:i w:val="0"/>
                <w:iCs w:val="0"/>
                <w:caps w:val="0"/>
                <w:color w:val="auto"/>
                <w:spacing w:val="0"/>
                <w:sz w:val="22"/>
                <w:szCs w:val="22"/>
                <w:highlight w:val="none"/>
                <w:shd w:val="clear" w:fill="FFFFFF"/>
              </w:rPr>
              <w:t>硬盘采用NVMe协议M.2接口固态硬盘（SSD），容量≥512GB，读取速度≥2500MB/s，写入速度≥1500MB/s</w:t>
            </w:r>
            <w:r>
              <w:rPr>
                <w:rFonts w:hint="eastAsia" w:ascii="宋体" w:hAnsi="宋体" w:eastAsia="宋体" w:cs="宋体"/>
                <w:i w:val="0"/>
                <w:iCs w:val="0"/>
                <w:caps w:val="0"/>
                <w:color w:val="auto"/>
                <w:spacing w:val="0"/>
                <w:sz w:val="22"/>
                <w:szCs w:val="22"/>
                <w:highlight w:val="none"/>
                <w:shd w:val="clear" w:fill="FFFFFF"/>
                <w:lang w:eastAsia="zh-CN"/>
              </w:rPr>
              <w:t>。</w:t>
            </w:r>
          </w:p>
        </w:tc>
      </w:tr>
      <w:tr w14:paraId="57BA69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85" w:type="dxa"/>
            <w:noWrap w:val="0"/>
            <w:vAlign w:val="center"/>
          </w:tcPr>
          <w:p w14:paraId="74E08830">
            <w:pPr>
              <w:pStyle w:val="10"/>
              <w:keepNext w:val="0"/>
              <w:keepLines w:val="0"/>
              <w:suppressLineNumbers w:val="0"/>
              <w:spacing w:before="0" w:beforeAutospacing="0" w:line="240" w:lineRule="auto"/>
              <w:ind w:right="0" w:firstLine="0" w:firstLineChars="0"/>
              <w:jc w:val="center"/>
              <w:rPr>
                <w:rFonts w:hint="eastAsia" w:ascii="宋体" w:hAnsi="宋体" w:eastAsia="宋体" w:cs="宋体"/>
                <w:b/>
                <w:color w:val="auto"/>
                <w:sz w:val="22"/>
                <w:szCs w:val="22"/>
                <w:highlight w:val="none"/>
                <w:lang w:val="zh-CN" w:eastAsia="zh-CN"/>
              </w:rPr>
            </w:pPr>
            <w:r>
              <w:rPr>
                <w:rFonts w:hint="eastAsia" w:ascii="宋体" w:hAnsi="宋体" w:eastAsia="宋体" w:cs="宋体"/>
                <w:b/>
                <w:color w:val="auto"/>
                <w:sz w:val="22"/>
                <w:szCs w:val="22"/>
                <w:highlight w:val="none"/>
                <w:lang w:val="en-US" w:eastAsia="zh-CN"/>
              </w:rPr>
              <w:t>显卡</w:t>
            </w:r>
          </w:p>
        </w:tc>
        <w:tc>
          <w:tcPr>
            <w:tcW w:w="2101" w:type="dxa"/>
            <w:noWrap w:val="0"/>
            <w:vAlign w:val="center"/>
          </w:tcPr>
          <w:p w14:paraId="0B280450">
            <w:pPr>
              <w:pStyle w:val="10"/>
              <w:keepNext w:val="0"/>
              <w:keepLines w:val="0"/>
              <w:suppressLineNumbers w:val="0"/>
              <w:spacing w:before="0" w:beforeAutospacing="0" w:line="240" w:lineRule="auto"/>
              <w:ind w:right="0" w:firstLine="0" w:firstLineChars="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zh-CN"/>
              </w:rPr>
              <w:t>显卡</w:t>
            </w:r>
            <w:r>
              <w:rPr>
                <w:rFonts w:hint="eastAsia" w:ascii="宋体" w:hAnsi="宋体" w:eastAsia="宋体" w:cs="宋体"/>
                <w:color w:val="auto"/>
                <w:sz w:val="22"/>
                <w:szCs w:val="22"/>
                <w:highlight w:val="none"/>
                <w:lang w:val="en-US" w:eastAsia="zh-CN"/>
              </w:rPr>
              <w:t>类型</w:t>
            </w:r>
          </w:p>
        </w:tc>
        <w:tc>
          <w:tcPr>
            <w:tcW w:w="5503" w:type="dxa"/>
            <w:noWrap w:val="0"/>
            <w:vAlign w:val="center"/>
          </w:tcPr>
          <w:p w14:paraId="4C5EBF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color w:val="auto"/>
                <w:sz w:val="24"/>
                <w:szCs w:val="24"/>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显存容量：≥6GB及以上</w:t>
            </w:r>
          </w:p>
          <w:p w14:paraId="2793B9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color w:val="auto"/>
                <w:sz w:val="24"/>
                <w:szCs w:val="24"/>
                <w:highlight w:val="none"/>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支持 DirectX 12及以上版本</w:t>
            </w:r>
          </w:p>
          <w:p w14:paraId="044314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sz w:val="22"/>
                <w:szCs w:val="22"/>
                <w:highlight w:val="none"/>
                <w:lang w:val="zh-CN"/>
              </w:rPr>
            </w:pPr>
            <w:r>
              <w:rPr>
                <w:rFonts w:hint="default" w:ascii="Symbol" w:hAnsi="Symbol" w:eastAsia="Symbol" w:cs="Symbol"/>
                <w:color w:val="auto"/>
                <w:sz w:val="24"/>
                <w:highlight w:val="none"/>
              </w:rPr>
              <w:t>·</w:t>
            </w:r>
            <w:r>
              <w:rPr>
                <w:rFonts w:hint="eastAsia" w:ascii="宋体" w:hAnsi="宋体" w:eastAsia="宋体" w:cs="宋体"/>
                <w:color w:val="auto"/>
                <w:sz w:val="24"/>
                <w:highlight w:val="none"/>
              </w:rPr>
              <w:t xml:space="preserve">  </w:t>
            </w:r>
            <w:r>
              <w:rPr>
                <w:rFonts w:hint="default"/>
                <w:color w:val="auto"/>
                <w:sz w:val="24"/>
                <w:szCs w:val="24"/>
                <w:highlight w:val="none"/>
              </w:rPr>
              <w:t>支持 PCIe 3.0 及以上接口</w:t>
            </w:r>
          </w:p>
        </w:tc>
      </w:tr>
      <w:tr w14:paraId="4FC1B2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3" w:hRule="atLeast"/>
          <w:jc w:val="center"/>
        </w:trPr>
        <w:tc>
          <w:tcPr>
            <w:tcW w:w="1385" w:type="dxa"/>
            <w:noWrap w:val="0"/>
            <w:vAlign w:val="center"/>
          </w:tcPr>
          <w:p w14:paraId="2083F5DD">
            <w:pPr>
              <w:pStyle w:val="10"/>
              <w:keepNext w:val="0"/>
              <w:keepLines w:val="0"/>
              <w:suppressLineNumbers w:val="0"/>
              <w:spacing w:before="0" w:beforeAutospacing="0" w:line="240" w:lineRule="auto"/>
              <w:ind w:right="0" w:firstLine="0" w:firstLineChars="0"/>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机箱类型</w:t>
            </w:r>
          </w:p>
        </w:tc>
        <w:tc>
          <w:tcPr>
            <w:tcW w:w="7604" w:type="dxa"/>
            <w:gridSpan w:val="2"/>
            <w:noWrap w:val="0"/>
            <w:vAlign w:val="center"/>
          </w:tcPr>
          <w:tbl>
            <w:tblPr>
              <w:tblStyle w:val="25"/>
              <w:tblW w:w="0" w:type="auto"/>
              <w:tblInd w:w="0" w:type="dxa"/>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640"/>
            </w:tblGrid>
            <w:tr w14:paraId="2FBE7733">
              <w:tblPrEx>
                <w:tblBorders>
                  <w:top w:val="none" w:color="auto" w:sz="0"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0" w:type="dxa"/>
                  <w:left w:w="0" w:type="dxa"/>
                  <w:bottom w:w="0" w:type="dxa"/>
                  <w:right w:w="0" w:type="dxa"/>
                </w:tblCellMar>
              </w:tblPrEx>
              <w:tc>
                <w:tcPr>
                  <w:tcW w:w="8640" w:type="dxa"/>
                  <w:tcBorders>
                    <w:top w:val="nil"/>
                    <w:left w:val="nil"/>
                    <w:bottom w:val="nil"/>
                  </w:tcBorders>
                  <w:shd w:val="clear" w:color="auto" w:fill="FFFFFF"/>
                  <w:vAlign w:val="center"/>
                </w:tcPr>
                <w:p w14:paraId="2F92C6A3">
                  <w:pPr>
                    <w:keepNext w:val="0"/>
                    <w:keepLines w:val="0"/>
                    <w:widowControl/>
                    <w:suppressLineNumbers w:val="0"/>
                    <w:spacing w:before="0" w:beforeAutospacing="0" w:after="0" w:afterAutospacing="0"/>
                    <w:ind w:left="0" w:right="0" w:firstLine="0"/>
                    <w:jc w:val="left"/>
                    <w:rPr>
                      <w:rFonts w:hint="eastAsia" w:ascii="宋体" w:hAnsi="宋体" w:eastAsia="宋体" w:cs="宋体"/>
                      <w:i w:val="0"/>
                      <w:iCs w:val="0"/>
                      <w:caps w:val="0"/>
                      <w:color w:val="auto"/>
                      <w:spacing w:val="0"/>
                      <w:sz w:val="22"/>
                      <w:szCs w:val="22"/>
                      <w:highlight w:val="none"/>
                    </w:rPr>
                  </w:pPr>
                  <w:r>
                    <w:rPr>
                      <w:rFonts w:hint="eastAsia" w:ascii="宋体" w:hAnsi="宋体" w:eastAsia="宋体" w:cs="宋体"/>
                      <w:i w:val="0"/>
                      <w:iCs w:val="0"/>
                      <w:caps w:val="0"/>
                      <w:color w:val="auto"/>
                      <w:spacing w:val="0"/>
                      <w:kern w:val="0"/>
                      <w:sz w:val="22"/>
                      <w:szCs w:val="22"/>
                      <w:highlight w:val="none"/>
                      <w:lang w:val="en-US" w:eastAsia="zh-CN" w:bidi="ar"/>
                    </w:rPr>
                    <w:t>采用小型 ATX 或 MATX 商务机箱，材质为优质 SECC 钢材 + ABS 面板，前置面板简洁，配备 USB 接口与音频接口，方便日常设备连接；符合国家 3C 认证与电磁兼容标准，防辐射、防干扰</w:t>
                  </w:r>
                </w:p>
              </w:tc>
            </w:tr>
          </w:tbl>
          <w:p w14:paraId="7C28510B">
            <w:pPr>
              <w:pStyle w:val="10"/>
              <w:keepNext w:val="0"/>
              <w:keepLines w:val="0"/>
              <w:suppressLineNumbers w:val="0"/>
              <w:spacing w:before="0" w:beforeAutospacing="0" w:line="240" w:lineRule="auto"/>
              <w:ind w:right="0" w:firstLine="0" w:firstLineChars="0"/>
              <w:rPr>
                <w:rFonts w:hint="eastAsia" w:ascii="宋体" w:hAnsi="宋体" w:eastAsia="宋体" w:cs="宋体"/>
                <w:color w:val="auto"/>
                <w:kern w:val="0"/>
                <w:sz w:val="22"/>
                <w:szCs w:val="22"/>
                <w:highlight w:val="none"/>
              </w:rPr>
            </w:pPr>
          </w:p>
        </w:tc>
      </w:tr>
      <w:tr w14:paraId="349E34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3" w:hRule="atLeast"/>
          <w:jc w:val="center"/>
        </w:trPr>
        <w:tc>
          <w:tcPr>
            <w:tcW w:w="1385" w:type="dxa"/>
            <w:noWrap w:val="0"/>
            <w:vAlign w:val="center"/>
          </w:tcPr>
          <w:p w14:paraId="5343BF31">
            <w:pPr>
              <w:pStyle w:val="10"/>
              <w:keepNext w:val="0"/>
              <w:keepLines w:val="0"/>
              <w:suppressLineNumbers w:val="0"/>
              <w:spacing w:before="0" w:beforeAutospacing="0" w:line="240" w:lineRule="auto"/>
              <w:ind w:right="0" w:firstLine="0" w:firstLineChars="0"/>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MTBF</w:t>
            </w:r>
          </w:p>
        </w:tc>
        <w:tc>
          <w:tcPr>
            <w:tcW w:w="7604" w:type="dxa"/>
            <w:gridSpan w:val="2"/>
            <w:noWrap w:val="0"/>
            <w:vAlign w:val="center"/>
          </w:tcPr>
          <w:p w14:paraId="2EBFBDEB">
            <w:pPr>
              <w:pStyle w:val="10"/>
              <w:keepNext w:val="0"/>
              <w:keepLines w:val="0"/>
              <w:suppressLineNumbers w:val="0"/>
              <w:spacing w:before="0" w:beforeAutospacing="0" w:line="240" w:lineRule="auto"/>
              <w:ind w:left="0" w:leftChars="0" w:right="0" w:firstLine="0" w:firstLineChars="0"/>
              <w:rPr>
                <w:rFonts w:hint="eastAsia" w:ascii="宋体" w:hAnsi="宋体" w:eastAsia="宋体" w:cs="宋体"/>
                <w:color w:val="auto"/>
                <w:kern w:val="0"/>
                <w:sz w:val="22"/>
                <w:szCs w:val="22"/>
                <w:highlight w:val="none"/>
              </w:rPr>
            </w:pPr>
            <w:r>
              <w:rPr>
                <w:rFonts w:hint="eastAsia" w:ascii="宋体" w:hAnsi="宋体" w:eastAsia="宋体" w:cs="宋体"/>
                <w:i w:val="0"/>
                <w:iCs w:val="0"/>
                <w:caps w:val="0"/>
                <w:color w:val="auto"/>
                <w:spacing w:val="0"/>
                <w:sz w:val="22"/>
                <w:szCs w:val="22"/>
                <w:highlight w:val="none"/>
                <w:shd w:val="clear" w:fill="FFFFFF"/>
              </w:rPr>
              <w:t>平均无故障工作时间（MTBF）≥10000</w:t>
            </w:r>
            <w:r>
              <w:rPr>
                <w:rFonts w:hint="eastAsia" w:ascii="宋体" w:hAnsi="宋体" w:eastAsia="宋体" w:cs="宋体"/>
                <w:i w:val="0"/>
                <w:iCs w:val="0"/>
                <w:caps w:val="0"/>
                <w:color w:val="auto"/>
                <w:spacing w:val="0"/>
                <w:sz w:val="22"/>
                <w:szCs w:val="22"/>
                <w:highlight w:val="none"/>
                <w:shd w:val="clear" w:fill="FFFFFF"/>
                <w:lang w:val="en-US" w:eastAsia="zh-CN"/>
              </w:rPr>
              <w:t>0</w:t>
            </w:r>
            <w:r>
              <w:rPr>
                <w:rFonts w:hint="eastAsia" w:ascii="宋体" w:hAnsi="宋体" w:eastAsia="宋体" w:cs="宋体"/>
                <w:i w:val="0"/>
                <w:iCs w:val="0"/>
                <w:caps w:val="0"/>
                <w:color w:val="auto"/>
                <w:spacing w:val="0"/>
                <w:sz w:val="22"/>
                <w:szCs w:val="22"/>
                <w:highlight w:val="none"/>
                <w:shd w:val="clear" w:fill="FFFFFF"/>
              </w:rPr>
              <w:t>小时，产品通过 ISO 9001 质量认证、能效认证，核心硬件（CPU、主板、内存、硬盘）经过严格兼容性测试，保障长期稳定办公，减少故障停机时间</w:t>
            </w:r>
          </w:p>
        </w:tc>
      </w:tr>
      <w:tr w14:paraId="1BC43B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85" w:type="dxa"/>
            <w:noWrap w:val="0"/>
            <w:vAlign w:val="center"/>
          </w:tcPr>
          <w:p w14:paraId="1097BCF1">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其他</w:t>
            </w:r>
          </w:p>
        </w:tc>
        <w:tc>
          <w:tcPr>
            <w:tcW w:w="7604" w:type="dxa"/>
            <w:gridSpan w:val="2"/>
            <w:noWrap w:val="0"/>
            <w:vAlign w:val="center"/>
          </w:tcPr>
          <w:p w14:paraId="53E58572">
            <w:pPr>
              <w:pStyle w:val="10"/>
              <w:keepNext w:val="0"/>
              <w:keepLines w:val="0"/>
              <w:suppressLineNumbers w:val="0"/>
              <w:spacing w:before="0" w:beforeAutospacing="0" w:line="240" w:lineRule="auto"/>
              <w:ind w:left="0" w:leftChars="0" w:right="0"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工作站操作系统、系统软件、数据库及工具软件应已包含在报价中。</w:t>
            </w:r>
          </w:p>
        </w:tc>
      </w:tr>
      <w:tr w14:paraId="5A4732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1385" w:type="dxa"/>
            <w:noWrap w:val="0"/>
            <w:vAlign w:val="center"/>
          </w:tcPr>
          <w:p w14:paraId="0B877060">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服务</w:t>
            </w:r>
          </w:p>
        </w:tc>
        <w:tc>
          <w:tcPr>
            <w:tcW w:w="7604" w:type="dxa"/>
            <w:gridSpan w:val="2"/>
            <w:noWrap w:val="0"/>
            <w:vAlign w:val="center"/>
          </w:tcPr>
          <w:p w14:paraId="72233B73">
            <w:pPr>
              <w:pStyle w:val="10"/>
              <w:keepNext w:val="0"/>
              <w:keepLines w:val="0"/>
              <w:suppressLineNumbers w:val="0"/>
              <w:spacing w:before="0" w:beforeAutospacing="0" w:line="240" w:lineRule="auto"/>
              <w:ind w:left="0" w:leftChars="0" w:right="0"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要求提供原厂商3年质保服务（3年部件免费，3年人工免费），整机工程期间及质保期内7×24小时原厂商全免费上门维修。</w:t>
            </w:r>
          </w:p>
        </w:tc>
      </w:tr>
    </w:tbl>
    <w:p w14:paraId="6584C32E">
      <w:pPr>
        <w:tabs>
          <w:tab w:val="left" w:pos="420"/>
        </w:tabs>
        <w:adjustRightInd w:val="0"/>
        <w:snapToGrid w:val="0"/>
        <w:spacing w:line="440" w:lineRule="exact"/>
        <w:ind w:firstLine="420" w:firstLineChars="200"/>
        <w:jc w:val="left"/>
        <w:rPr>
          <w:rFonts w:hint="default" w:ascii="宋体" w:hAnsi="宋体" w:cs="宋体"/>
          <w:b w:val="0"/>
          <w:color w:val="auto"/>
          <w:kern w:val="0"/>
          <w:sz w:val="21"/>
          <w:szCs w:val="21"/>
          <w:highlight w:val="none"/>
          <w:lang w:val="en-US" w:eastAsia="zh-CN"/>
        </w:rPr>
      </w:pPr>
      <w:r>
        <w:rPr>
          <w:rFonts w:hint="eastAsia" w:ascii="宋体" w:hAnsi="宋体" w:cs="宋体"/>
          <w:b w:val="0"/>
          <w:color w:val="auto"/>
          <w:kern w:val="0"/>
          <w:sz w:val="21"/>
          <w:szCs w:val="21"/>
          <w:highlight w:val="none"/>
          <w:lang w:val="en-US" w:eastAsia="zh-CN"/>
        </w:rPr>
        <w:t>5.3.4.1行人道闸工作站显示器</w:t>
      </w:r>
    </w:p>
    <w:bookmarkEnd w:id="80"/>
    <w:bookmarkEnd w:id="81"/>
    <w:bookmarkEnd w:id="82"/>
    <w:bookmarkEnd w:id="83"/>
    <w:p w14:paraId="186DD14E">
      <w:pPr>
        <w:spacing w:line="300" w:lineRule="auto"/>
        <w:ind w:firstLine="420" w:firstLineChars="200"/>
        <w:rPr>
          <w:rFonts w:ascii="Times New Roman" w:hAnsi="Times New Roman"/>
          <w:color w:val="auto"/>
          <w:highlight w:val="none"/>
        </w:rPr>
      </w:pPr>
      <w:r>
        <w:rPr>
          <w:rFonts w:ascii="Times New Roman" w:hAnsi="Times New Roman"/>
          <w:b/>
          <w:color w:val="auto"/>
          <w:highlight w:val="none"/>
        </w:rPr>
        <w:t>招标人有权在合同执行时期对全线显示器提出不同型号及规格要求及对相关显示器型号调整的权力。</w:t>
      </w:r>
    </w:p>
    <w:tbl>
      <w:tblPr>
        <w:tblStyle w:val="25"/>
        <w:tblW w:w="9174"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401"/>
        <w:gridCol w:w="2448"/>
        <w:gridCol w:w="5325"/>
      </w:tblGrid>
      <w:tr w14:paraId="0CE33C5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67" w:hRule="atLeast"/>
          <w:jc w:val="center"/>
        </w:trPr>
        <w:tc>
          <w:tcPr>
            <w:tcW w:w="1401" w:type="dxa"/>
            <w:noWrap w:val="0"/>
            <w:vAlign w:val="center"/>
          </w:tcPr>
          <w:p w14:paraId="4F9C062B">
            <w:pPr>
              <w:pStyle w:val="6"/>
              <w:keepNext w:val="0"/>
              <w:keepLines w:val="0"/>
              <w:suppressLineNumbers w:val="0"/>
              <w:snapToGrid/>
              <w:spacing w:before="0" w:beforeAutospacing="0" w:after="0" w:afterAutospacing="0" w:line="300" w:lineRule="auto"/>
              <w:ind w:left="0" w:right="0" w:firstLine="0"/>
              <w:jc w:val="center"/>
              <w:rPr>
                <w:rFonts w:hint="default" w:ascii="Times New Roman" w:hAnsi="Times New Roman" w:eastAsia="宋体"/>
                <w:b/>
                <w:color w:val="auto"/>
                <w:highlight w:val="none"/>
              </w:rPr>
            </w:pPr>
            <w:r>
              <w:rPr>
                <w:rFonts w:hint="default" w:ascii="Times New Roman" w:hAnsi="Times New Roman" w:eastAsia="宋体"/>
                <w:b/>
                <w:color w:val="auto"/>
                <w:highlight w:val="none"/>
              </w:rPr>
              <w:t>指标</w:t>
            </w:r>
          </w:p>
        </w:tc>
        <w:tc>
          <w:tcPr>
            <w:tcW w:w="2448" w:type="dxa"/>
            <w:noWrap w:val="0"/>
            <w:vAlign w:val="center"/>
          </w:tcPr>
          <w:p w14:paraId="2146525F">
            <w:pPr>
              <w:pStyle w:val="6"/>
              <w:keepNext w:val="0"/>
              <w:keepLines w:val="0"/>
              <w:suppressLineNumbers w:val="0"/>
              <w:snapToGrid/>
              <w:spacing w:before="0" w:beforeAutospacing="0" w:after="0" w:afterAutospacing="0" w:line="300" w:lineRule="auto"/>
              <w:ind w:left="0" w:right="0" w:firstLine="0"/>
              <w:jc w:val="center"/>
              <w:rPr>
                <w:rFonts w:hint="default" w:ascii="Times New Roman" w:hAnsi="Times New Roman" w:eastAsia="宋体"/>
                <w:b/>
                <w:color w:val="auto"/>
                <w:highlight w:val="none"/>
              </w:rPr>
            </w:pPr>
            <w:r>
              <w:rPr>
                <w:rFonts w:hint="default" w:ascii="Times New Roman" w:hAnsi="Times New Roman" w:eastAsia="宋体"/>
                <w:b/>
                <w:color w:val="auto"/>
                <w:highlight w:val="none"/>
              </w:rPr>
              <w:t>指标项</w:t>
            </w:r>
          </w:p>
        </w:tc>
        <w:tc>
          <w:tcPr>
            <w:tcW w:w="5325" w:type="dxa"/>
            <w:noWrap w:val="0"/>
            <w:vAlign w:val="center"/>
          </w:tcPr>
          <w:p w14:paraId="76F14F84">
            <w:pPr>
              <w:pStyle w:val="6"/>
              <w:keepNext w:val="0"/>
              <w:keepLines w:val="0"/>
              <w:suppressLineNumbers w:val="0"/>
              <w:snapToGrid/>
              <w:spacing w:before="0" w:beforeAutospacing="0" w:after="0" w:afterAutospacing="0" w:line="300" w:lineRule="auto"/>
              <w:ind w:left="0" w:right="0" w:firstLine="0"/>
              <w:jc w:val="center"/>
              <w:rPr>
                <w:rFonts w:hint="default" w:ascii="Times New Roman" w:hAnsi="Times New Roman" w:eastAsia="宋体"/>
                <w:b/>
                <w:color w:val="auto"/>
                <w:highlight w:val="none"/>
              </w:rPr>
            </w:pPr>
            <w:r>
              <w:rPr>
                <w:rFonts w:hint="default" w:ascii="Times New Roman" w:hAnsi="Times New Roman" w:eastAsia="宋体"/>
                <w:b/>
                <w:color w:val="auto"/>
                <w:highlight w:val="none"/>
              </w:rPr>
              <w:t>指标要求</w:t>
            </w:r>
          </w:p>
        </w:tc>
      </w:tr>
      <w:tr w14:paraId="676508B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noWrap w:val="0"/>
            <w:vAlign w:val="center"/>
          </w:tcPr>
          <w:p w14:paraId="6C2EBCC3">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r>
              <w:rPr>
                <w:rFonts w:hint="default" w:ascii="Times New Roman" w:hAnsi="Times New Roman"/>
                <w:b/>
                <w:bCs/>
                <w:color w:val="auto"/>
                <w:kern w:val="0"/>
                <w:szCs w:val="21"/>
                <w:highlight w:val="none"/>
              </w:rPr>
              <w:t>品牌型号</w:t>
            </w:r>
          </w:p>
        </w:tc>
        <w:tc>
          <w:tcPr>
            <w:tcW w:w="7773" w:type="dxa"/>
            <w:gridSpan w:val="2"/>
            <w:noWrap w:val="0"/>
            <w:vAlign w:val="center"/>
          </w:tcPr>
          <w:p w14:paraId="53EE294F">
            <w:pPr>
              <w:keepNext w:val="0"/>
              <w:keepLines w:val="0"/>
              <w:widowControl/>
              <w:suppressLineNumbers w:val="0"/>
              <w:spacing w:before="0" w:beforeAutospacing="0" w:after="0" w:afterAutospacing="0"/>
              <w:ind w:left="0" w:right="0"/>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投标人提供具体品牌</w:t>
            </w:r>
            <w:r>
              <w:rPr>
                <w:rFonts w:hint="eastAsia" w:ascii="Times New Roman" w:hAnsi="Times New Roman"/>
                <w:color w:val="auto"/>
                <w:kern w:val="0"/>
                <w:szCs w:val="21"/>
                <w:highlight w:val="none"/>
              </w:rPr>
              <w:t>；具体规格型号在设计联络时确定。</w:t>
            </w:r>
          </w:p>
        </w:tc>
      </w:tr>
      <w:tr w14:paraId="14A405F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restart"/>
            <w:noWrap w:val="0"/>
            <w:vAlign w:val="center"/>
          </w:tcPr>
          <w:p w14:paraId="1D2EB7D6">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r>
              <w:rPr>
                <w:rFonts w:hint="default" w:ascii="Times New Roman" w:hAnsi="Times New Roman"/>
                <w:b/>
                <w:bCs/>
                <w:color w:val="auto"/>
                <w:kern w:val="0"/>
                <w:szCs w:val="21"/>
                <w:highlight w:val="none"/>
              </w:rPr>
              <w:t>基本参数</w:t>
            </w:r>
          </w:p>
        </w:tc>
        <w:tc>
          <w:tcPr>
            <w:tcW w:w="2448" w:type="dxa"/>
            <w:noWrap w:val="0"/>
            <w:vAlign w:val="center"/>
          </w:tcPr>
          <w:p w14:paraId="6F96D589">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产品定位</w:t>
            </w:r>
          </w:p>
        </w:tc>
        <w:tc>
          <w:tcPr>
            <w:tcW w:w="5325" w:type="dxa"/>
            <w:noWrap w:val="0"/>
            <w:vAlign w:val="center"/>
          </w:tcPr>
          <w:p w14:paraId="344258D0">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行业应用</w:t>
            </w:r>
          </w:p>
        </w:tc>
      </w:tr>
      <w:tr w14:paraId="55A5BC9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continue"/>
            <w:noWrap w:val="0"/>
            <w:vAlign w:val="center"/>
          </w:tcPr>
          <w:p w14:paraId="73FADCA6">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p>
        </w:tc>
        <w:tc>
          <w:tcPr>
            <w:tcW w:w="2448" w:type="dxa"/>
            <w:noWrap w:val="0"/>
            <w:vAlign w:val="center"/>
          </w:tcPr>
          <w:p w14:paraId="59D88779">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屏幕尺寸</w:t>
            </w:r>
          </w:p>
        </w:tc>
        <w:tc>
          <w:tcPr>
            <w:tcW w:w="5325" w:type="dxa"/>
            <w:noWrap w:val="0"/>
            <w:vAlign w:val="center"/>
          </w:tcPr>
          <w:p w14:paraId="077049CC">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19～23英寸，具体设计联络时确定尺寸。</w:t>
            </w:r>
          </w:p>
        </w:tc>
      </w:tr>
      <w:tr w14:paraId="1C087C3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continue"/>
            <w:noWrap w:val="0"/>
            <w:vAlign w:val="center"/>
          </w:tcPr>
          <w:p w14:paraId="742A9054">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p>
        </w:tc>
        <w:tc>
          <w:tcPr>
            <w:tcW w:w="2448" w:type="dxa"/>
            <w:noWrap w:val="0"/>
            <w:vAlign w:val="center"/>
          </w:tcPr>
          <w:p w14:paraId="69D248DF">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屏幕比例</w:t>
            </w:r>
          </w:p>
        </w:tc>
        <w:tc>
          <w:tcPr>
            <w:tcW w:w="5325" w:type="dxa"/>
            <w:noWrap w:val="0"/>
            <w:vAlign w:val="center"/>
          </w:tcPr>
          <w:p w14:paraId="740EA61A">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普屏或宽屏</w:t>
            </w:r>
          </w:p>
        </w:tc>
      </w:tr>
      <w:tr w14:paraId="482F96E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continue"/>
            <w:noWrap w:val="0"/>
            <w:vAlign w:val="center"/>
          </w:tcPr>
          <w:p w14:paraId="22924825">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p>
        </w:tc>
        <w:tc>
          <w:tcPr>
            <w:tcW w:w="2448" w:type="dxa"/>
            <w:noWrap w:val="0"/>
            <w:vAlign w:val="center"/>
          </w:tcPr>
          <w:p w14:paraId="61536417">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最佳分辨率</w:t>
            </w:r>
          </w:p>
        </w:tc>
        <w:tc>
          <w:tcPr>
            <w:tcW w:w="5325" w:type="dxa"/>
            <w:noWrap w:val="0"/>
            <w:vAlign w:val="center"/>
          </w:tcPr>
          <w:p w14:paraId="2248F4F1">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不低于1600×1200</w:t>
            </w:r>
          </w:p>
        </w:tc>
      </w:tr>
      <w:tr w14:paraId="7BC76D4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continue"/>
            <w:noWrap w:val="0"/>
            <w:vAlign w:val="center"/>
          </w:tcPr>
          <w:p w14:paraId="4EA5663A">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p>
        </w:tc>
        <w:tc>
          <w:tcPr>
            <w:tcW w:w="2448" w:type="dxa"/>
            <w:noWrap w:val="0"/>
            <w:vAlign w:val="center"/>
          </w:tcPr>
          <w:p w14:paraId="246A460B">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背光类型</w:t>
            </w:r>
          </w:p>
        </w:tc>
        <w:tc>
          <w:tcPr>
            <w:tcW w:w="5325" w:type="dxa"/>
            <w:noWrap w:val="0"/>
            <w:vAlign w:val="center"/>
          </w:tcPr>
          <w:p w14:paraId="667A1CF1">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LED背光</w:t>
            </w:r>
          </w:p>
        </w:tc>
      </w:tr>
      <w:tr w14:paraId="393CD27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continue"/>
            <w:noWrap w:val="0"/>
            <w:vAlign w:val="center"/>
          </w:tcPr>
          <w:p w14:paraId="2896DC3A">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p>
        </w:tc>
        <w:tc>
          <w:tcPr>
            <w:tcW w:w="2448" w:type="dxa"/>
            <w:noWrap w:val="0"/>
            <w:vAlign w:val="center"/>
          </w:tcPr>
          <w:p w14:paraId="6CDFF8CC">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动态对比度</w:t>
            </w:r>
          </w:p>
        </w:tc>
        <w:tc>
          <w:tcPr>
            <w:tcW w:w="5325" w:type="dxa"/>
            <w:noWrap w:val="0"/>
            <w:vAlign w:val="center"/>
          </w:tcPr>
          <w:p w14:paraId="7280BCD7">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800:1</w:t>
            </w:r>
          </w:p>
        </w:tc>
      </w:tr>
      <w:tr w14:paraId="6E2451B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continue"/>
            <w:noWrap w:val="0"/>
            <w:vAlign w:val="center"/>
          </w:tcPr>
          <w:p w14:paraId="3F8905AE">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p>
        </w:tc>
        <w:tc>
          <w:tcPr>
            <w:tcW w:w="2448" w:type="dxa"/>
            <w:noWrap w:val="0"/>
            <w:vAlign w:val="center"/>
          </w:tcPr>
          <w:p w14:paraId="4EF6BD24">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黑白响应时间</w:t>
            </w:r>
          </w:p>
        </w:tc>
        <w:tc>
          <w:tcPr>
            <w:tcW w:w="5325" w:type="dxa"/>
            <w:noWrap w:val="0"/>
            <w:vAlign w:val="center"/>
          </w:tcPr>
          <w:p w14:paraId="6932EB2D">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16ms</w:t>
            </w:r>
          </w:p>
        </w:tc>
      </w:tr>
      <w:tr w14:paraId="11D5DF9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restart"/>
            <w:noWrap w:val="0"/>
            <w:vAlign w:val="center"/>
          </w:tcPr>
          <w:p w14:paraId="791AD830">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r>
              <w:rPr>
                <w:rFonts w:hint="default" w:ascii="Times New Roman" w:hAnsi="Times New Roman"/>
                <w:b/>
                <w:bCs/>
                <w:color w:val="auto"/>
                <w:kern w:val="0"/>
                <w:szCs w:val="21"/>
                <w:highlight w:val="none"/>
              </w:rPr>
              <w:t>显示参数</w:t>
            </w:r>
          </w:p>
        </w:tc>
        <w:tc>
          <w:tcPr>
            <w:tcW w:w="2448" w:type="dxa"/>
            <w:noWrap w:val="0"/>
            <w:vAlign w:val="center"/>
          </w:tcPr>
          <w:p w14:paraId="00EC94E9">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点距</w:t>
            </w:r>
          </w:p>
        </w:tc>
        <w:tc>
          <w:tcPr>
            <w:tcW w:w="5325" w:type="dxa"/>
            <w:noWrap w:val="0"/>
            <w:vAlign w:val="center"/>
          </w:tcPr>
          <w:p w14:paraId="7B65EE8D">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0.255mm</w:t>
            </w:r>
          </w:p>
        </w:tc>
      </w:tr>
      <w:tr w14:paraId="6A919BE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continue"/>
            <w:noWrap w:val="0"/>
            <w:vAlign w:val="center"/>
          </w:tcPr>
          <w:p w14:paraId="03004E68">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p>
        </w:tc>
        <w:tc>
          <w:tcPr>
            <w:tcW w:w="2448" w:type="dxa"/>
            <w:noWrap w:val="0"/>
            <w:vAlign w:val="center"/>
          </w:tcPr>
          <w:p w14:paraId="3D2E3FA2">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亮度</w:t>
            </w:r>
          </w:p>
        </w:tc>
        <w:tc>
          <w:tcPr>
            <w:tcW w:w="5325" w:type="dxa"/>
            <w:noWrap w:val="0"/>
            <w:vAlign w:val="center"/>
          </w:tcPr>
          <w:p w14:paraId="169CF21F">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不小于250cd/㎡</w:t>
            </w:r>
          </w:p>
        </w:tc>
      </w:tr>
      <w:tr w14:paraId="0744A5A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vMerge w:val="continue"/>
            <w:noWrap w:val="0"/>
            <w:vAlign w:val="center"/>
          </w:tcPr>
          <w:p w14:paraId="7122DFB0">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p>
        </w:tc>
        <w:tc>
          <w:tcPr>
            <w:tcW w:w="2448" w:type="dxa"/>
            <w:noWrap w:val="0"/>
            <w:vAlign w:val="center"/>
          </w:tcPr>
          <w:p w14:paraId="1C215325">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可视角度</w:t>
            </w:r>
          </w:p>
        </w:tc>
        <w:tc>
          <w:tcPr>
            <w:tcW w:w="5325" w:type="dxa"/>
            <w:noWrap w:val="0"/>
            <w:vAlign w:val="center"/>
          </w:tcPr>
          <w:p w14:paraId="68EB6D2A">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178°</w:t>
            </w:r>
          </w:p>
        </w:tc>
      </w:tr>
      <w:tr w14:paraId="03C4591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noWrap w:val="0"/>
            <w:vAlign w:val="center"/>
          </w:tcPr>
          <w:p w14:paraId="66F156C2">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r>
              <w:rPr>
                <w:rFonts w:hint="default" w:ascii="Times New Roman" w:hAnsi="Times New Roman"/>
                <w:b/>
                <w:bCs/>
                <w:color w:val="auto"/>
                <w:kern w:val="0"/>
                <w:szCs w:val="21"/>
                <w:highlight w:val="none"/>
              </w:rPr>
              <w:t>音频</w:t>
            </w:r>
          </w:p>
        </w:tc>
        <w:tc>
          <w:tcPr>
            <w:tcW w:w="2448" w:type="dxa"/>
            <w:noWrap w:val="0"/>
            <w:vAlign w:val="center"/>
          </w:tcPr>
          <w:p w14:paraId="2E7DE5F2">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音频系统</w:t>
            </w:r>
          </w:p>
        </w:tc>
        <w:tc>
          <w:tcPr>
            <w:tcW w:w="5325" w:type="dxa"/>
            <w:noWrap w:val="0"/>
            <w:vAlign w:val="center"/>
          </w:tcPr>
          <w:p w14:paraId="559FB6CB">
            <w:pPr>
              <w:keepNext w:val="0"/>
              <w:keepLines w:val="0"/>
              <w:widowControl/>
              <w:suppressLineNumbers w:val="0"/>
              <w:spacing w:before="0" w:beforeAutospacing="0" w:after="0" w:afterAutospacing="0"/>
              <w:ind w:left="0" w:right="0"/>
              <w:jc w:val="left"/>
              <w:rPr>
                <w:rFonts w:hint="default" w:ascii="Times New Roman" w:hAnsi="Times New Roman" w:eastAsiaTheme="minorEastAsia"/>
                <w:color w:val="auto"/>
                <w:kern w:val="0"/>
                <w:szCs w:val="21"/>
                <w:highlight w:val="none"/>
                <w:lang w:val="en-US" w:eastAsia="zh-CN"/>
              </w:rPr>
            </w:pPr>
            <w:r>
              <w:rPr>
                <w:rFonts w:hint="default" w:ascii="Times New Roman" w:hAnsi="Times New Roman"/>
                <w:color w:val="auto"/>
                <w:kern w:val="0"/>
                <w:szCs w:val="21"/>
                <w:highlight w:val="none"/>
              </w:rPr>
              <w:t>内置扬声器</w:t>
            </w:r>
            <w:r>
              <w:rPr>
                <w:rFonts w:hint="eastAsia" w:ascii="Times New Roman" w:hAnsi="Times New Roman"/>
                <w:color w:val="auto"/>
                <w:kern w:val="0"/>
                <w:szCs w:val="21"/>
                <w:highlight w:val="none"/>
                <w:lang w:val="en-US" w:eastAsia="zh-CN"/>
              </w:rPr>
              <w:t>或另外提供音响</w:t>
            </w:r>
          </w:p>
        </w:tc>
      </w:tr>
      <w:tr w14:paraId="5DF22F1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340" w:hRule="atLeast"/>
          <w:jc w:val="center"/>
        </w:trPr>
        <w:tc>
          <w:tcPr>
            <w:tcW w:w="1401" w:type="dxa"/>
            <w:noWrap w:val="0"/>
            <w:vAlign w:val="center"/>
          </w:tcPr>
          <w:p w14:paraId="49CECE1F">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r>
              <w:rPr>
                <w:rFonts w:hint="default" w:ascii="Times New Roman" w:hAnsi="Times New Roman"/>
                <w:b/>
                <w:bCs/>
                <w:color w:val="auto"/>
                <w:kern w:val="0"/>
                <w:szCs w:val="21"/>
                <w:highlight w:val="none"/>
              </w:rPr>
              <w:t>其他</w:t>
            </w:r>
          </w:p>
        </w:tc>
        <w:tc>
          <w:tcPr>
            <w:tcW w:w="2448" w:type="dxa"/>
            <w:noWrap w:val="0"/>
            <w:vAlign w:val="center"/>
          </w:tcPr>
          <w:p w14:paraId="6670E7FE">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机身颜色</w:t>
            </w:r>
          </w:p>
        </w:tc>
        <w:tc>
          <w:tcPr>
            <w:tcW w:w="5325" w:type="dxa"/>
            <w:noWrap w:val="0"/>
            <w:vAlign w:val="center"/>
          </w:tcPr>
          <w:p w14:paraId="2851191B">
            <w:pPr>
              <w:keepNext w:val="0"/>
              <w:keepLines w:val="0"/>
              <w:widowControl/>
              <w:suppressLineNumbers w:val="0"/>
              <w:spacing w:before="0" w:beforeAutospacing="0" w:after="0" w:afterAutospacing="0"/>
              <w:ind w:left="0" w:right="0"/>
              <w:jc w:val="left"/>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由招标人最终确定</w:t>
            </w:r>
          </w:p>
        </w:tc>
      </w:tr>
      <w:tr w14:paraId="4D3FB86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440" w:hRule="atLeast"/>
          <w:jc w:val="center"/>
        </w:trPr>
        <w:tc>
          <w:tcPr>
            <w:tcW w:w="1401" w:type="dxa"/>
            <w:noWrap w:val="0"/>
            <w:vAlign w:val="center"/>
          </w:tcPr>
          <w:p w14:paraId="39CE044E">
            <w:pPr>
              <w:keepNext w:val="0"/>
              <w:keepLines w:val="0"/>
              <w:widowControl/>
              <w:suppressLineNumbers w:val="0"/>
              <w:spacing w:before="0" w:beforeAutospacing="0" w:after="0" w:afterAutospacing="0"/>
              <w:ind w:left="0" w:right="0"/>
              <w:jc w:val="center"/>
              <w:rPr>
                <w:rFonts w:hint="default" w:ascii="Times New Roman" w:hAnsi="Times New Roman"/>
                <w:b/>
                <w:bCs/>
                <w:color w:val="auto"/>
                <w:kern w:val="0"/>
                <w:szCs w:val="21"/>
                <w:highlight w:val="none"/>
              </w:rPr>
            </w:pPr>
            <w:r>
              <w:rPr>
                <w:rFonts w:hint="default" w:ascii="Times New Roman" w:hAnsi="Times New Roman"/>
                <w:b/>
                <w:bCs/>
                <w:color w:val="auto"/>
                <w:kern w:val="0"/>
                <w:szCs w:val="21"/>
                <w:highlight w:val="none"/>
              </w:rPr>
              <w:t>质保服务</w:t>
            </w:r>
          </w:p>
        </w:tc>
        <w:tc>
          <w:tcPr>
            <w:tcW w:w="7773" w:type="dxa"/>
            <w:gridSpan w:val="2"/>
            <w:noWrap w:val="0"/>
            <w:vAlign w:val="center"/>
          </w:tcPr>
          <w:p w14:paraId="1D185B3B">
            <w:pPr>
              <w:keepNext w:val="0"/>
              <w:keepLines w:val="0"/>
              <w:widowControl/>
              <w:suppressLineNumbers w:val="0"/>
              <w:spacing w:before="0" w:beforeAutospacing="0" w:after="0" w:afterAutospacing="0"/>
              <w:ind w:left="0" w:right="0"/>
              <w:rPr>
                <w:rFonts w:hint="default" w:ascii="Times New Roman" w:hAnsi="Times New Roman"/>
                <w:color w:val="auto"/>
                <w:kern w:val="0"/>
                <w:szCs w:val="21"/>
                <w:highlight w:val="none"/>
              </w:rPr>
            </w:pPr>
            <w:r>
              <w:rPr>
                <w:rFonts w:hint="default" w:ascii="Times New Roman" w:hAnsi="Times New Roman"/>
                <w:color w:val="auto"/>
                <w:kern w:val="0"/>
                <w:szCs w:val="21"/>
                <w:highlight w:val="none"/>
              </w:rPr>
              <w:t>全国联保，享受三包服务；质保期：整机1年、屏幕3年</w:t>
            </w:r>
          </w:p>
        </w:tc>
      </w:tr>
    </w:tbl>
    <w:p w14:paraId="76DAD6C6">
      <w:pPr>
        <w:tabs>
          <w:tab w:val="left" w:pos="420"/>
        </w:tabs>
        <w:adjustRightInd w:val="0"/>
        <w:snapToGrid w:val="0"/>
        <w:spacing w:line="440" w:lineRule="exact"/>
        <w:ind w:firstLine="420" w:firstLineChars="200"/>
        <w:jc w:val="left"/>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5.3.4.3行人道闸管理软件</w:t>
      </w:r>
    </w:p>
    <w:p w14:paraId="67286B80">
      <w:pPr>
        <w:tabs>
          <w:tab w:val="left" w:pos="840"/>
        </w:tabs>
        <w:spacing w:line="360" w:lineRule="auto"/>
        <w:ind w:firstLine="420" w:firstLineChars="200"/>
        <w:rPr>
          <w:rFonts w:hint="eastAsia" w:ascii="宋体" w:eastAsia="宋体"/>
          <w:color w:val="auto"/>
          <w:highlight w:val="none"/>
          <w:lang w:eastAsia="zh-CN"/>
        </w:rPr>
      </w:pPr>
      <w:r>
        <w:rPr>
          <w:rFonts w:hint="eastAsia" w:ascii="宋体"/>
          <w:color w:val="auto"/>
          <w:highlight w:val="none"/>
          <w:lang w:val="en-US" w:eastAsia="zh-CN"/>
        </w:rPr>
        <w:t>5.3.4.3.1软件</w:t>
      </w:r>
      <w:r>
        <w:rPr>
          <w:rFonts w:hint="eastAsia" w:ascii="宋体"/>
          <w:color w:val="auto"/>
          <w:highlight w:val="none"/>
        </w:rPr>
        <w:t>具有完备的运作模式，满足消防、安全等需要</w:t>
      </w:r>
      <w:r>
        <w:rPr>
          <w:rFonts w:hint="eastAsia" w:ascii="宋体"/>
          <w:color w:val="auto"/>
          <w:highlight w:val="none"/>
          <w:lang w:eastAsia="zh-CN"/>
        </w:rPr>
        <w:t>；</w:t>
      </w:r>
    </w:p>
    <w:p w14:paraId="1337F906">
      <w:pPr>
        <w:tabs>
          <w:tab w:val="left" w:pos="840"/>
        </w:tabs>
        <w:spacing w:line="360" w:lineRule="auto"/>
        <w:ind w:firstLine="420" w:firstLineChars="200"/>
        <w:rPr>
          <w:rFonts w:ascii="宋体"/>
          <w:color w:val="auto"/>
          <w:highlight w:val="none"/>
        </w:rPr>
      </w:pPr>
      <w:r>
        <w:rPr>
          <w:rFonts w:hint="eastAsia" w:ascii="宋体"/>
          <w:color w:val="auto"/>
          <w:highlight w:val="none"/>
          <w:lang w:val="en-US" w:eastAsia="zh-CN"/>
        </w:rPr>
        <w:t>5.3.4.3.2系统</w:t>
      </w:r>
      <w:r>
        <w:rPr>
          <w:rFonts w:hint="eastAsia" w:ascii="宋体"/>
          <w:color w:val="auto"/>
          <w:highlight w:val="none"/>
        </w:rPr>
        <w:t>监控</w:t>
      </w:r>
      <w:r>
        <w:rPr>
          <w:rFonts w:hint="eastAsia" w:ascii="宋体"/>
          <w:color w:val="auto"/>
          <w:highlight w:val="none"/>
          <w:lang w:val="en-US" w:eastAsia="zh-CN"/>
        </w:rPr>
        <w:t>行人道闸</w:t>
      </w:r>
      <w:r>
        <w:rPr>
          <w:rFonts w:hint="eastAsia" w:ascii="宋体"/>
          <w:color w:val="auto"/>
          <w:highlight w:val="none"/>
        </w:rPr>
        <w:t>运行状态，收集状态数据；</w:t>
      </w:r>
    </w:p>
    <w:p w14:paraId="62419D4F">
      <w:pPr>
        <w:tabs>
          <w:tab w:val="left" w:pos="840"/>
        </w:tabs>
        <w:spacing w:line="360" w:lineRule="auto"/>
        <w:ind w:firstLine="420" w:firstLineChars="200"/>
        <w:rPr>
          <w:rFonts w:hint="eastAsia" w:ascii="宋体" w:eastAsia="宋体"/>
          <w:color w:val="auto"/>
          <w:highlight w:val="none"/>
          <w:lang w:eastAsia="zh-CN"/>
        </w:rPr>
      </w:pPr>
      <w:r>
        <w:rPr>
          <w:rFonts w:hint="eastAsia" w:ascii="宋体"/>
          <w:color w:val="auto"/>
          <w:highlight w:val="none"/>
          <w:lang w:val="en-US" w:eastAsia="zh-CN"/>
        </w:rPr>
        <w:t>5.3.4.3.3</w:t>
      </w:r>
      <w:r>
        <w:rPr>
          <w:rFonts w:hint="eastAsia" w:ascii="宋体"/>
          <w:color w:val="auto"/>
          <w:highlight w:val="none"/>
        </w:rPr>
        <w:t>能够对系统的数据库进行管理</w:t>
      </w:r>
      <w:r>
        <w:rPr>
          <w:rFonts w:hint="eastAsia" w:ascii="宋体"/>
          <w:color w:val="auto"/>
          <w:highlight w:val="none"/>
          <w:lang w:eastAsia="zh-CN"/>
        </w:rPr>
        <w:t>，</w:t>
      </w:r>
      <w:r>
        <w:rPr>
          <w:rFonts w:hint="eastAsia" w:ascii="宋体"/>
          <w:color w:val="auto"/>
          <w:highlight w:val="none"/>
          <w:lang w:val="en-US" w:eastAsia="zh-CN"/>
        </w:rPr>
        <w:t>并能保存≥1年</w:t>
      </w:r>
      <w:r>
        <w:rPr>
          <w:rFonts w:hint="eastAsia" w:ascii="宋体"/>
          <w:color w:val="auto"/>
          <w:highlight w:val="none"/>
          <w:lang w:eastAsia="zh-CN"/>
        </w:rPr>
        <w:t>；</w:t>
      </w:r>
    </w:p>
    <w:p w14:paraId="006D117D">
      <w:pPr>
        <w:tabs>
          <w:tab w:val="left" w:pos="840"/>
        </w:tabs>
        <w:spacing w:line="360" w:lineRule="auto"/>
        <w:ind w:firstLine="420" w:firstLineChars="200"/>
        <w:rPr>
          <w:rFonts w:hint="eastAsia" w:ascii="宋体" w:eastAsia="宋体"/>
          <w:color w:val="auto"/>
          <w:highlight w:val="none"/>
          <w:lang w:eastAsia="zh-CN"/>
        </w:rPr>
      </w:pPr>
      <w:r>
        <w:rPr>
          <w:rFonts w:hint="eastAsia" w:ascii="宋体"/>
          <w:color w:val="auto"/>
          <w:highlight w:val="none"/>
          <w:lang w:val="en-US" w:eastAsia="zh-CN"/>
        </w:rPr>
        <w:t>5.3.4.3.4</w:t>
      </w:r>
      <w:r>
        <w:rPr>
          <w:rFonts w:hint="eastAsia" w:ascii="宋体"/>
          <w:color w:val="auto"/>
          <w:highlight w:val="none"/>
        </w:rPr>
        <w:t>对不同级别的操作权限，设置不同的操作密码对所有操作进行记录，以备检查，防止无操作权限的人员使用，影响系统的功能</w:t>
      </w:r>
      <w:r>
        <w:rPr>
          <w:rFonts w:hint="eastAsia" w:ascii="宋体"/>
          <w:color w:val="auto"/>
          <w:highlight w:val="none"/>
          <w:lang w:eastAsia="zh-CN"/>
        </w:rPr>
        <w:t>；</w:t>
      </w:r>
    </w:p>
    <w:p w14:paraId="72A986FC">
      <w:pPr>
        <w:tabs>
          <w:tab w:val="left" w:pos="840"/>
        </w:tabs>
        <w:spacing w:line="360" w:lineRule="auto"/>
        <w:ind w:firstLine="420" w:firstLineChars="200"/>
        <w:rPr>
          <w:rFonts w:hint="eastAsia" w:ascii="宋体" w:eastAsia="宋体"/>
          <w:color w:val="auto"/>
          <w:highlight w:val="none"/>
          <w:lang w:eastAsia="zh-CN"/>
        </w:rPr>
      </w:pPr>
      <w:r>
        <w:rPr>
          <w:rFonts w:hint="eastAsia" w:ascii="宋体"/>
          <w:color w:val="auto"/>
          <w:highlight w:val="none"/>
          <w:lang w:val="en-US" w:eastAsia="zh-CN"/>
        </w:rPr>
        <w:t>5.3.4.3.5</w:t>
      </w:r>
      <w:r>
        <w:rPr>
          <w:rFonts w:hint="eastAsia" w:ascii="宋体"/>
          <w:color w:val="auto"/>
          <w:highlight w:val="none"/>
        </w:rPr>
        <w:t>具有批量授权功能</w:t>
      </w:r>
      <w:r>
        <w:rPr>
          <w:rFonts w:hint="eastAsia" w:ascii="宋体"/>
          <w:color w:val="auto"/>
          <w:highlight w:val="none"/>
          <w:lang w:eastAsia="zh-CN"/>
        </w:rPr>
        <w:t>；</w:t>
      </w:r>
    </w:p>
    <w:p w14:paraId="29FD504D">
      <w:pPr>
        <w:tabs>
          <w:tab w:val="left" w:pos="840"/>
        </w:tabs>
        <w:spacing w:line="360" w:lineRule="auto"/>
        <w:ind w:firstLine="420" w:firstLineChars="200"/>
        <w:rPr>
          <w:rFonts w:hint="eastAsia" w:ascii="宋体"/>
          <w:color w:val="auto"/>
          <w:highlight w:val="none"/>
        </w:rPr>
      </w:pPr>
      <w:r>
        <w:rPr>
          <w:rFonts w:hint="eastAsia" w:ascii="宋体"/>
          <w:color w:val="auto"/>
          <w:highlight w:val="none"/>
          <w:lang w:val="en-US" w:eastAsia="zh-CN"/>
        </w:rPr>
        <w:t>5.3.4.3.6</w:t>
      </w:r>
      <w:r>
        <w:rPr>
          <w:rFonts w:hint="eastAsia" w:ascii="宋体"/>
          <w:color w:val="auto"/>
          <w:highlight w:val="none"/>
        </w:rPr>
        <w:t>对操作信息、报警信息进行实时记录</w:t>
      </w:r>
      <w:r>
        <w:rPr>
          <w:rFonts w:hint="eastAsia" w:ascii="宋体"/>
          <w:color w:val="auto"/>
          <w:highlight w:val="none"/>
          <w:lang w:eastAsia="zh-CN"/>
        </w:rPr>
        <w:t>，</w:t>
      </w:r>
      <w:r>
        <w:rPr>
          <w:rFonts w:hint="eastAsia" w:ascii="宋体"/>
          <w:color w:val="auto"/>
          <w:highlight w:val="none"/>
          <w:lang w:val="en-US" w:eastAsia="zh-CN"/>
        </w:rPr>
        <w:t>并能保存≥1年</w:t>
      </w:r>
      <w:r>
        <w:rPr>
          <w:rFonts w:hint="eastAsia" w:ascii="宋体"/>
          <w:color w:val="auto"/>
          <w:highlight w:val="none"/>
        </w:rPr>
        <w:t>；</w:t>
      </w:r>
    </w:p>
    <w:p w14:paraId="3C7E1073">
      <w:pPr>
        <w:tabs>
          <w:tab w:val="left" w:pos="840"/>
        </w:tabs>
        <w:spacing w:line="360" w:lineRule="auto"/>
        <w:ind w:firstLine="420" w:firstLineChars="200"/>
        <w:rPr>
          <w:rFonts w:hint="eastAsia" w:ascii="宋体"/>
          <w:color w:val="auto"/>
          <w:highlight w:val="none"/>
          <w:lang w:val="en-US" w:eastAsia="zh-CN"/>
        </w:rPr>
      </w:pPr>
      <w:r>
        <w:rPr>
          <w:rFonts w:hint="eastAsia" w:ascii="宋体"/>
          <w:color w:val="auto"/>
          <w:highlight w:val="none"/>
          <w:lang w:val="en-US" w:eastAsia="zh-CN"/>
        </w:rPr>
        <w:t>5.3.4.3.7能对行人道闸设定开门模式，例如常开、常闭、刷卡卡门等；</w:t>
      </w:r>
    </w:p>
    <w:p w14:paraId="3B9B94CE">
      <w:pPr>
        <w:tabs>
          <w:tab w:val="left" w:pos="840"/>
        </w:tabs>
        <w:spacing w:line="360" w:lineRule="auto"/>
        <w:ind w:firstLine="420" w:firstLineChars="200"/>
        <w:rPr>
          <w:rFonts w:hint="default" w:ascii="宋体"/>
          <w:color w:val="auto"/>
          <w:highlight w:val="none"/>
          <w:lang w:val="en-US" w:eastAsia="zh-CN"/>
        </w:rPr>
      </w:pPr>
      <w:r>
        <w:rPr>
          <w:rFonts w:hint="eastAsia" w:ascii="宋体"/>
          <w:color w:val="auto"/>
          <w:highlight w:val="none"/>
          <w:lang w:val="en-US" w:eastAsia="zh-CN"/>
        </w:rPr>
        <w:t>5.3.4.3.8对授权的人员信息可以进行分组管理，并能查询相关人员刷卡记录；</w:t>
      </w:r>
    </w:p>
    <w:p w14:paraId="51E53C4E">
      <w:pPr>
        <w:tabs>
          <w:tab w:val="left" w:pos="840"/>
        </w:tabs>
        <w:spacing w:line="360" w:lineRule="auto"/>
        <w:ind w:firstLine="420" w:firstLineChars="200"/>
        <w:rPr>
          <w:rFonts w:hint="eastAsia" w:ascii="宋体"/>
          <w:color w:val="auto"/>
          <w:highlight w:val="none"/>
          <w:lang w:val="en-US" w:eastAsia="zh-CN"/>
        </w:rPr>
      </w:pPr>
      <w:r>
        <w:rPr>
          <w:rFonts w:hint="eastAsia" w:ascii="宋体"/>
          <w:color w:val="auto"/>
          <w:highlight w:val="none"/>
          <w:lang w:val="en-US" w:eastAsia="zh-CN"/>
        </w:rPr>
        <w:t>5.3.4.3.9能对员工卡进行发卡，挂失，解挂，回收等操作；</w:t>
      </w:r>
    </w:p>
    <w:p w14:paraId="69C875E3">
      <w:pPr>
        <w:tabs>
          <w:tab w:val="left" w:pos="840"/>
        </w:tabs>
        <w:spacing w:line="360" w:lineRule="auto"/>
        <w:ind w:firstLine="420" w:firstLineChars="200"/>
        <w:rPr>
          <w:rFonts w:hint="eastAsia" w:ascii="宋体"/>
          <w:color w:val="auto"/>
          <w:highlight w:val="none"/>
          <w:lang w:val="en-US" w:eastAsia="zh-CN"/>
        </w:rPr>
      </w:pPr>
      <w:r>
        <w:rPr>
          <w:rFonts w:hint="eastAsia" w:ascii="宋体"/>
          <w:color w:val="auto"/>
          <w:highlight w:val="none"/>
          <w:lang w:val="en-US" w:eastAsia="zh-CN"/>
        </w:rPr>
        <w:t>5.3.4.3.10能导出相关信息文件。</w:t>
      </w:r>
    </w:p>
    <w:p w14:paraId="62F113D7">
      <w:pPr>
        <w:tabs>
          <w:tab w:val="left" w:pos="840"/>
        </w:tabs>
        <w:spacing w:line="360" w:lineRule="auto"/>
        <w:ind w:firstLine="420" w:firstLineChars="200"/>
        <w:rPr>
          <w:rFonts w:hint="eastAsia" w:ascii="宋体"/>
          <w:color w:val="auto"/>
          <w:highlight w:val="none"/>
          <w:lang w:val="en-US" w:eastAsia="zh-CN"/>
        </w:rPr>
      </w:pPr>
      <w:r>
        <w:rPr>
          <w:rFonts w:hint="eastAsia" w:ascii="宋体"/>
          <w:color w:val="auto"/>
          <w:highlight w:val="none"/>
          <w:lang w:val="en-US" w:eastAsia="zh-CN"/>
        </w:rPr>
        <w:t>5.3.5减速带</w:t>
      </w:r>
    </w:p>
    <w:p w14:paraId="3CE4EDAC">
      <w:pPr>
        <w:tabs>
          <w:tab w:val="left" w:pos="840"/>
        </w:tabs>
        <w:spacing w:line="360" w:lineRule="auto"/>
        <w:ind w:firstLine="420" w:firstLineChars="200"/>
        <w:rPr>
          <w:rFonts w:hint="default" w:ascii="宋体"/>
          <w:color w:val="auto"/>
          <w:highlight w:val="none"/>
          <w:lang w:val="en-US" w:eastAsia="zh-CN"/>
        </w:rPr>
      </w:pPr>
      <w:r>
        <w:rPr>
          <w:rFonts w:hint="eastAsia" w:ascii="宋体"/>
          <w:color w:val="auto"/>
          <w:highlight w:val="none"/>
          <w:lang w:val="en-US" w:eastAsia="zh-CN"/>
        </w:rPr>
        <w:t>5.3.5.1外观：截面形状应近似梯形,表面应带有增大抗滑力的凹凸结构；</w:t>
      </w:r>
    </w:p>
    <w:p w14:paraId="138FC34F">
      <w:pPr>
        <w:tabs>
          <w:tab w:val="left" w:pos="840"/>
        </w:tabs>
        <w:spacing w:line="360" w:lineRule="auto"/>
        <w:ind w:firstLine="420" w:firstLineChars="200"/>
        <w:rPr>
          <w:rFonts w:hint="eastAsia" w:ascii="宋体"/>
          <w:color w:val="auto"/>
          <w:highlight w:val="none"/>
          <w:lang w:val="en-US" w:eastAsia="zh-CN"/>
        </w:rPr>
      </w:pPr>
      <w:r>
        <w:rPr>
          <w:rFonts w:hint="eastAsia" w:ascii="宋体"/>
          <w:color w:val="auto"/>
          <w:highlight w:val="none"/>
          <w:lang w:val="en-US" w:eastAsia="zh-CN"/>
        </w:rPr>
        <w:t>5.3.5.2材质：橡胶材质，采用黑黄相间图案；</w:t>
      </w:r>
    </w:p>
    <w:p w14:paraId="734F56EA">
      <w:pPr>
        <w:tabs>
          <w:tab w:val="left" w:pos="840"/>
        </w:tabs>
        <w:spacing w:line="360" w:lineRule="auto"/>
        <w:ind w:firstLine="420" w:firstLineChars="200"/>
        <w:rPr>
          <w:rFonts w:hint="eastAsia" w:ascii="宋体"/>
          <w:color w:val="auto"/>
          <w:highlight w:val="none"/>
          <w:lang w:val="en-US" w:eastAsia="zh-CN"/>
        </w:rPr>
      </w:pPr>
      <w:r>
        <w:rPr>
          <w:rFonts w:hint="eastAsia" w:ascii="宋体"/>
          <w:color w:val="auto"/>
          <w:highlight w:val="none"/>
          <w:lang w:val="en-US" w:eastAsia="zh-CN"/>
        </w:rPr>
        <w:t>5.3.5.2宽度：300mm～400mm；</w:t>
      </w:r>
    </w:p>
    <w:p w14:paraId="03718186">
      <w:pPr>
        <w:tabs>
          <w:tab w:val="left" w:pos="840"/>
        </w:tabs>
        <w:spacing w:line="360" w:lineRule="auto"/>
        <w:ind w:firstLine="420" w:firstLineChars="200"/>
        <w:rPr>
          <w:rFonts w:hint="eastAsia" w:ascii="宋体"/>
          <w:color w:val="auto"/>
          <w:highlight w:val="none"/>
          <w:lang w:val="en-US" w:eastAsia="zh-CN"/>
        </w:rPr>
      </w:pPr>
      <w:r>
        <w:rPr>
          <w:rFonts w:hint="eastAsia" w:ascii="宋体"/>
          <w:color w:val="auto"/>
          <w:highlight w:val="none"/>
          <w:lang w:val="en-US" w:eastAsia="zh-CN"/>
        </w:rPr>
        <w:t>5.3.5.3高度：30mm；</w:t>
      </w:r>
    </w:p>
    <w:p w14:paraId="3302269B">
      <w:pPr>
        <w:tabs>
          <w:tab w:val="left" w:pos="840"/>
        </w:tabs>
        <w:spacing w:line="360" w:lineRule="auto"/>
        <w:ind w:firstLine="420" w:firstLineChars="200"/>
        <w:rPr>
          <w:rFonts w:hint="eastAsia" w:ascii="宋体"/>
          <w:color w:val="auto"/>
          <w:highlight w:val="none"/>
          <w:lang w:val="en-US" w:eastAsia="zh-CN"/>
        </w:rPr>
      </w:pPr>
      <w:r>
        <w:rPr>
          <w:rFonts w:hint="eastAsia" w:ascii="宋体"/>
          <w:color w:val="auto"/>
          <w:highlight w:val="none"/>
          <w:lang w:val="en-US" w:eastAsia="zh-CN"/>
        </w:rPr>
        <w:t>5.3.5.4安装方式：使用螺栓与路面连接，螺栓孔应为沉孔；</w:t>
      </w:r>
    </w:p>
    <w:p w14:paraId="70C2BC82">
      <w:pPr>
        <w:tabs>
          <w:tab w:val="left" w:pos="840"/>
        </w:tabs>
        <w:spacing w:line="360" w:lineRule="auto"/>
        <w:ind w:firstLine="420" w:firstLineChars="200"/>
        <w:rPr>
          <w:rFonts w:hint="eastAsia" w:ascii="宋体"/>
          <w:color w:val="auto"/>
          <w:highlight w:val="none"/>
          <w:lang w:val="en-US" w:eastAsia="zh-CN"/>
        </w:rPr>
      </w:pPr>
      <w:r>
        <w:rPr>
          <w:rFonts w:hint="eastAsia" w:ascii="宋体"/>
          <w:color w:val="auto"/>
          <w:highlight w:val="none"/>
          <w:lang w:val="en-US" w:eastAsia="zh-CN"/>
        </w:rPr>
        <w:t>现场实际安装方式和设备尺寸一切以现场安装为准。</w:t>
      </w:r>
    </w:p>
    <w:p w14:paraId="6A4930D8">
      <w:pPr>
        <w:tabs>
          <w:tab w:val="left" w:pos="840"/>
        </w:tabs>
        <w:spacing w:line="360" w:lineRule="auto"/>
        <w:ind w:firstLine="420" w:firstLineChars="200"/>
        <w:rPr>
          <w:rFonts w:hint="default" w:ascii="宋体"/>
          <w:color w:val="auto"/>
          <w:highlight w:val="none"/>
          <w:lang w:val="en-US" w:eastAsia="zh-CN"/>
        </w:rPr>
      </w:pPr>
      <w:r>
        <w:rPr>
          <w:rFonts w:hint="eastAsia" w:ascii="宋体"/>
          <w:color w:val="auto"/>
          <w:highlight w:val="none"/>
          <w:lang w:val="en-US" w:eastAsia="zh-CN"/>
        </w:rPr>
        <w:t>中标单位需提供至少两款设备的外观选型，供货时需与招标人沟通设备选型。</w:t>
      </w:r>
    </w:p>
    <w:p w14:paraId="676C6E2A">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六、</w:t>
      </w:r>
      <w:r>
        <w:rPr>
          <w:rFonts w:hint="eastAsia" w:ascii="宋体" w:hAnsi="宋体" w:cs="宋体"/>
          <w:b/>
          <w:bCs/>
          <w:color w:val="auto"/>
          <w:szCs w:val="21"/>
          <w:highlight w:val="none"/>
        </w:rPr>
        <w:t>文件</w:t>
      </w:r>
    </w:p>
    <w:p w14:paraId="4BA1731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6.1 图纸要求</w:t>
      </w:r>
    </w:p>
    <w:p w14:paraId="0E6325C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6.1.1 提供专门为本项工程设计、生产的产品、设备必须的全部图纸；</w:t>
      </w:r>
    </w:p>
    <w:p w14:paraId="419162D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6.1.2 对于从市场上采购的产品，必须提供产品说明书和合格证，说明书应能满足</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的维修和采购的要求；</w:t>
      </w:r>
    </w:p>
    <w:p w14:paraId="1125304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6.1.3 图纸应符合设备制造商的国家标准。</w:t>
      </w:r>
    </w:p>
    <w:p w14:paraId="10BE287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6.1.4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正式提交的图纸和设计文件应有相应的证明，以表明所提供的资料已经过</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审核并对本工程的使用是正确的。仅供参考的图纸必须明确注明，不需确认。</w:t>
      </w:r>
    </w:p>
    <w:p w14:paraId="48B8B1C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6.1.5 </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或系统集成商对</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图纸的确认并不能减少或解除</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对于该图正确性所负的任何一部分责任。</w:t>
      </w:r>
    </w:p>
    <w:p w14:paraId="0600D59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6.1.6 系统集成商和</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只能将</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提供的图纸用于本工程的操作和维护。</w:t>
      </w:r>
    </w:p>
    <w:p w14:paraId="09B8127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6.2  手册要求</w:t>
      </w:r>
    </w:p>
    <w:p w14:paraId="0F31D7A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6.2.1 安装手册：安装手册应由所需之全部图纸和文件组成，应定义：</w:t>
      </w:r>
    </w:p>
    <w:p w14:paraId="727A579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●电源、数据、控制和通信接口的配线规程；</w:t>
      </w:r>
    </w:p>
    <w:p w14:paraId="518DE22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●为设备就位所需之地板、导轨、支架的安装、钻孔和上螺丝的方法；</w:t>
      </w:r>
    </w:p>
    <w:p w14:paraId="1488900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●安全警告或注意事项；</w:t>
      </w:r>
    </w:p>
    <w:p w14:paraId="30E065D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●接地及其连接规程；</w:t>
      </w:r>
    </w:p>
    <w:p w14:paraId="5A1FC33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●通风说明；</w:t>
      </w:r>
    </w:p>
    <w:p w14:paraId="13E8A03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●测试和校准方法；</w:t>
      </w:r>
    </w:p>
    <w:p w14:paraId="5EC5795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●气候防护、灰尘防护和其他的环境防护；</w:t>
      </w:r>
    </w:p>
    <w:p w14:paraId="49F9DA0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●正确安装设备所需要的其他规程；</w:t>
      </w:r>
    </w:p>
    <w:p w14:paraId="49C4C11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●安装所需工具的功能及建议数量。</w:t>
      </w:r>
    </w:p>
    <w:p w14:paraId="704D758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6.2.2 操作手册：操作手册应为运营维护人员在系统操作和检查提供指导。</w:t>
      </w:r>
    </w:p>
    <w:p w14:paraId="6A97478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●系统概述；</w:t>
      </w:r>
    </w:p>
    <w:p w14:paraId="5B63ED2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●主要功能说明；</w:t>
      </w:r>
    </w:p>
    <w:p w14:paraId="79ED295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●操作指南；</w:t>
      </w:r>
    </w:p>
    <w:p w14:paraId="33B3084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●故障状态；</w:t>
      </w:r>
    </w:p>
    <w:p w14:paraId="23F73E8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●供货商提交的说明资料要对所规定的每一种设备及其如何操作予以阐述；</w:t>
      </w:r>
    </w:p>
    <w:p w14:paraId="0E5D952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6.2.3 维修手册：</w:t>
      </w:r>
    </w:p>
    <w:p w14:paraId="5B717D4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●维修手册应为系统维修人员的维护提供指导。</w:t>
      </w:r>
    </w:p>
    <w:p w14:paraId="6F3D03C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●手册应对各系统各级检修的内容、要求、方法、程序、设备、工具、材料等方面做出详细的说明；对主要的故障部件的更换、调整和测试做出详细的说明。</w:t>
      </w:r>
    </w:p>
    <w:p w14:paraId="5A0FB5E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●维修手册应用中文编制；</w:t>
      </w:r>
    </w:p>
    <w:p w14:paraId="06357C4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6.2.4、技术文件要求</w:t>
      </w:r>
    </w:p>
    <w:p w14:paraId="4392693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6.2.4.1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提供的技术文件应包括但不限于：</w:t>
      </w:r>
    </w:p>
    <w:p w14:paraId="0D152A7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●本项工程的最终技术文件；</w:t>
      </w:r>
    </w:p>
    <w:p w14:paraId="1E9000D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●非国标但经双方确认的标准。</w:t>
      </w:r>
    </w:p>
    <w:p w14:paraId="48A42E1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6.2.4.2 最终技术文件</w:t>
      </w:r>
    </w:p>
    <w:p w14:paraId="45B5A10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最终技术文件应包括所供系统的最终技术参数，它应能清晰规定所有实现子系统要求的硬件和软件，并取得系统集成商和</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的确认。</w:t>
      </w:r>
    </w:p>
    <w:p w14:paraId="7237D47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最终技术文件包括但不限于下列内容：</w:t>
      </w:r>
    </w:p>
    <w:p w14:paraId="4880087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●系统总说明；</w:t>
      </w:r>
    </w:p>
    <w:p w14:paraId="49C8B52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●系统构成；</w:t>
      </w:r>
    </w:p>
    <w:p w14:paraId="6510775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●功能详细描述；</w:t>
      </w:r>
    </w:p>
    <w:p w14:paraId="283799A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●技术参数；</w:t>
      </w:r>
    </w:p>
    <w:p w14:paraId="5D7F1D0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●设备布置；</w:t>
      </w:r>
    </w:p>
    <w:p w14:paraId="605921F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6.2.4.3 试验报告</w:t>
      </w:r>
    </w:p>
    <w:p w14:paraId="0145F7C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在工程完成后提交试验报告，试验报告应包括所有测试记录。</w:t>
      </w:r>
    </w:p>
    <w:p w14:paraId="07547F1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该报告应提供以正确的顺序列出所需要的全部检验和测试内容。所有试验结果均应记录在测试报告中，由</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签字后，提交</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进行确认。</w:t>
      </w:r>
    </w:p>
    <w:p w14:paraId="162356AF">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七、</w:t>
      </w:r>
      <w:r>
        <w:rPr>
          <w:rFonts w:hint="eastAsia" w:ascii="宋体" w:hAnsi="宋体" w:cs="宋体"/>
          <w:b/>
          <w:bCs/>
          <w:color w:val="auto"/>
          <w:szCs w:val="21"/>
          <w:highlight w:val="none"/>
        </w:rPr>
        <w:t>培训</w:t>
      </w:r>
    </w:p>
    <w:p w14:paraId="1816AF2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本项目培训为现场培训（免费，人数不限），要求如下：</w:t>
      </w:r>
    </w:p>
    <w:p w14:paraId="3AF9778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7.1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派出经验丰富的技术人员对</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的维修、操作人员进行现场培训。</w:t>
      </w:r>
    </w:p>
    <w:p w14:paraId="2D68768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7.2 现场培训在本项目终验之后进行，该培训在</w:t>
      </w:r>
      <w:r>
        <w:rPr>
          <w:rFonts w:hint="eastAsia" w:ascii="宋体" w:hAnsi="宋体" w:cs="宋体"/>
          <w:color w:val="auto"/>
          <w:kern w:val="0"/>
          <w:szCs w:val="21"/>
          <w:highlight w:val="none"/>
          <w:lang w:val="en-US" w:eastAsia="zh-CN"/>
        </w:rPr>
        <w:t>相官车辆段</w:t>
      </w:r>
      <w:r>
        <w:rPr>
          <w:rFonts w:hint="eastAsia" w:ascii="宋体" w:hAnsi="宋体" w:cs="宋体"/>
          <w:color w:val="auto"/>
          <w:kern w:val="0"/>
          <w:szCs w:val="21"/>
          <w:highlight w:val="none"/>
        </w:rPr>
        <w:t>进行，培训的内容包括正常操作程序和如何处理紧急情况。</w:t>
      </w:r>
    </w:p>
    <w:p w14:paraId="5A7D7E8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7.3 现场培训包括安装、调试、维护等项内容，使维护人员掌握操作维护</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提供的设备、专用仪表的能力。</w:t>
      </w:r>
    </w:p>
    <w:p w14:paraId="1E74CCD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7.4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提供培训人员所需的设备、工具、仪器仪表等。</w:t>
      </w:r>
    </w:p>
    <w:p w14:paraId="359DB4A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7.5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提供培训的相关资料及文本。</w:t>
      </w:r>
    </w:p>
    <w:p w14:paraId="2F69E6ED">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八</w:t>
      </w:r>
      <w:r>
        <w:rPr>
          <w:rFonts w:hint="eastAsia" w:ascii="宋体" w:hAnsi="宋体" w:cs="宋体"/>
          <w:b/>
          <w:bCs/>
          <w:color w:val="auto"/>
          <w:szCs w:val="21"/>
          <w:highlight w:val="none"/>
        </w:rPr>
        <w:t>、试验、检验、验收</w:t>
      </w:r>
    </w:p>
    <w:p w14:paraId="7F375FF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8.1 到货检查</w:t>
      </w:r>
    </w:p>
    <w:p w14:paraId="36C3459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合同项下的设备、材料和技术文件运抵规定的交货地点后，双方人员共同对其进行检查，并认真作好交接记录，各方签字。</w:t>
      </w:r>
    </w:p>
    <w:p w14:paraId="7739CCD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检查的内容主要有：满足合同对包装的要求；外观良好，运输途中未受损；</w:t>
      </w:r>
    </w:p>
    <w:p w14:paraId="26A40FA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编号、数量和名称与合同要求的货物清单核实无误。</w:t>
      </w:r>
    </w:p>
    <w:p w14:paraId="508EFDE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8.2 开箱检验</w:t>
      </w:r>
    </w:p>
    <w:p w14:paraId="647A6C3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在设备运到现场规定时间内，</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与</w:t>
      </w:r>
      <w:r>
        <w:rPr>
          <w:rFonts w:hint="eastAsia" w:ascii="宋体" w:hAnsi="宋体" w:cs="宋体"/>
          <w:color w:val="auto"/>
          <w:kern w:val="0"/>
          <w:szCs w:val="21"/>
          <w:highlight w:val="none"/>
          <w:lang w:val="en-US" w:eastAsia="zh-CN"/>
        </w:rPr>
        <w:t>招标人</w:t>
      </w:r>
      <w:r>
        <w:rPr>
          <w:rFonts w:hint="eastAsia" w:ascii="宋体" w:hAnsi="宋体" w:cs="宋体"/>
          <w:color w:val="auto"/>
          <w:kern w:val="0"/>
          <w:szCs w:val="21"/>
          <w:highlight w:val="none"/>
        </w:rPr>
        <w:t>到现场进行开箱检查若发现有诸如数量、型号、和外观与合同不符以及存在的质量问题，均由</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负责。开箱检查结果，不免除供应商对产品功能方面的任何责任。</w:t>
      </w:r>
    </w:p>
    <w:p w14:paraId="079366E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8.3 竣工验收</w:t>
      </w:r>
    </w:p>
    <w:p w14:paraId="069FF6E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8.3.1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应提前根据工程进度要求，制定设备安装、验收计划，提交</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审核，由</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审批、确认。</w:t>
      </w:r>
    </w:p>
    <w:p w14:paraId="53D3D5C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8.3.2 安装完成后，</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按照</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制定安装验收计划和行业相关安装验收标准进行竣工验收。</w:t>
      </w:r>
    </w:p>
    <w:p w14:paraId="702011E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竣工验收应包括但不限于以下内容：</w:t>
      </w:r>
    </w:p>
    <w:p w14:paraId="6EB3A3BA">
      <w:pPr>
        <w:tabs>
          <w:tab w:val="left" w:pos="420"/>
          <w:tab w:val="left" w:pos="981"/>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（1）所有设备、电缆布线和配电安全、可靠。</w:t>
      </w:r>
    </w:p>
    <w:p w14:paraId="59689449">
      <w:pPr>
        <w:pStyle w:val="41"/>
        <w:numPr>
          <w:ilvl w:val="0"/>
          <w:numId w:val="4"/>
        </w:numPr>
        <w:tabs>
          <w:tab w:val="left" w:pos="420"/>
          <w:tab w:val="left" w:pos="981"/>
        </w:tabs>
        <w:adjustRightInd w:val="0"/>
        <w:snapToGrid w:val="0"/>
        <w:spacing w:line="440" w:lineRule="exact"/>
        <w:ind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所有电源要加保险或其它保护，使得在故障情况下能安全自动断开。</w:t>
      </w:r>
    </w:p>
    <w:p w14:paraId="35E067FE">
      <w:pPr>
        <w:pStyle w:val="41"/>
        <w:numPr>
          <w:ilvl w:val="0"/>
          <w:numId w:val="4"/>
        </w:numPr>
        <w:tabs>
          <w:tab w:val="left" w:pos="420"/>
          <w:tab w:val="left" w:pos="981"/>
        </w:tabs>
        <w:adjustRightInd w:val="0"/>
        <w:snapToGrid w:val="0"/>
        <w:spacing w:line="440" w:lineRule="exact"/>
        <w:ind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所有保护盖要合适。提示和标签要正确，并安装在适当的位置。</w:t>
      </w:r>
    </w:p>
    <w:p w14:paraId="3DBEFCFF">
      <w:pPr>
        <w:pStyle w:val="41"/>
        <w:numPr>
          <w:ilvl w:val="0"/>
          <w:numId w:val="4"/>
        </w:numPr>
        <w:tabs>
          <w:tab w:val="left" w:pos="420"/>
          <w:tab w:val="left" w:pos="981"/>
        </w:tabs>
        <w:adjustRightInd w:val="0"/>
        <w:snapToGrid w:val="0"/>
        <w:spacing w:line="440" w:lineRule="exact"/>
        <w:ind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电缆和设备的绝缘电阻要大于IEC规定要求。</w:t>
      </w:r>
    </w:p>
    <w:p w14:paraId="071B9667">
      <w:pPr>
        <w:pStyle w:val="41"/>
        <w:numPr>
          <w:ilvl w:val="0"/>
          <w:numId w:val="4"/>
        </w:numPr>
        <w:tabs>
          <w:tab w:val="left" w:pos="420"/>
          <w:tab w:val="left" w:pos="981"/>
        </w:tabs>
        <w:adjustRightInd w:val="0"/>
        <w:snapToGrid w:val="0"/>
        <w:spacing w:line="440" w:lineRule="exact"/>
        <w:ind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所有用于故障指示和报警的电子回路应工作正常。</w:t>
      </w:r>
    </w:p>
    <w:p w14:paraId="0D630FDA">
      <w:pPr>
        <w:pStyle w:val="41"/>
        <w:numPr>
          <w:ilvl w:val="0"/>
          <w:numId w:val="4"/>
        </w:numPr>
        <w:tabs>
          <w:tab w:val="left" w:pos="420"/>
          <w:tab w:val="left" w:pos="981"/>
        </w:tabs>
        <w:adjustRightInd w:val="0"/>
        <w:snapToGrid w:val="0"/>
        <w:spacing w:line="440" w:lineRule="exact"/>
        <w:ind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设备外观检查：（现场检查，据图核对）</w:t>
      </w:r>
    </w:p>
    <w:p w14:paraId="4EAE61C8">
      <w:pPr>
        <w:pStyle w:val="41"/>
        <w:numPr>
          <w:ilvl w:val="0"/>
          <w:numId w:val="4"/>
        </w:numPr>
        <w:tabs>
          <w:tab w:val="left" w:pos="420"/>
          <w:tab w:val="left" w:pos="981"/>
        </w:tabs>
        <w:adjustRightInd w:val="0"/>
        <w:snapToGrid w:val="0"/>
        <w:spacing w:line="440" w:lineRule="exact"/>
        <w:ind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机房内设备整齐，连接可靠，标志、标识齐全清晰，绝缘接地符合要求，</w:t>
      </w:r>
    </w:p>
    <w:p w14:paraId="3C150DC5">
      <w:pPr>
        <w:pStyle w:val="41"/>
        <w:tabs>
          <w:tab w:val="left" w:pos="420"/>
          <w:tab w:val="left" w:pos="981"/>
        </w:tabs>
        <w:adjustRightInd w:val="0"/>
        <w:snapToGrid w:val="0"/>
        <w:spacing w:line="440" w:lineRule="exact"/>
        <w:ind w:left="210"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（8）在检查过程中，如发现</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未能满足施工图和</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需求表的功能要求，</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应无条件的按照要求进行整改，直至达到规定的要求。</w:t>
      </w:r>
    </w:p>
    <w:p w14:paraId="35B4A87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8.3.3 对未通过验收的安装项目，</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向</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发出修改、替换通知，限期修改、替换，由此而发生的费用由</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承担。</w:t>
      </w:r>
    </w:p>
    <w:p w14:paraId="0DFB073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8.3.4 竣工验收设备功能需满足</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要求的所有功能，如果系统功能不满足合同规定的技术要求，</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必须在规定的时间内进行解决，由此引起的一切费用由</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负责。</w:t>
      </w:r>
    </w:p>
    <w:p w14:paraId="323206F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8.4 最终验收</w:t>
      </w:r>
    </w:p>
    <w:p w14:paraId="69BC4D2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质量保证期结束后四十五(45)天内，</w:t>
      </w:r>
      <w:r>
        <w:rPr>
          <w:rFonts w:hint="eastAsia" w:ascii="宋体" w:hAnsi="宋体" w:cs="宋体"/>
          <w:color w:val="auto"/>
          <w:kern w:val="0"/>
          <w:szCs w:val="21"/>
          <w:highlight w:val="none"/>
          <w:lang w:val="en-US" w:eastAsia="zh-CN"/>
        </w:rPr>
        <w:t>招标人</w:t>
      </w:r>
      <w:r>
        <w:rPr>
          <w:rFonts w:hint="eastAsia" w:ascii="宋体" w:hAnsi="宋体" w:cs="宋体"/>
          <w:color w:val="auto"/>
          <w:kern w:val="0"/>
          <w:szCs w:val="21"/>
          <w:highlight w:val="none"/>
        </w:rPr>
        <w:t>确认设备运行可靠，功能齐全、各项指标及技术参数全部合格，对本工程项目无异议，即可开具最终验收证书。</w:t>
      </w:r>
    </w:p>
    <w:p w14:paraId="46C6E78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若</w:t>
      </w:r>
      <w:r>
        <w:rPr>
          <w:rFonts w:hint="eastAsia" w:ascii="宋体" w:hAnsi="宋体" w:cs="宋体"/>
          <w:color w:val="auto"/>
          <w:kern w:val="0"/>
          <w:szCs w:val="21"/>
          <w:highlight w:val="none"/>
          <w:lang w:val="en-US" w:eastAsia="zh-CN"/>
        </w:rPr>
        <w:t>招标人</w:t>
      </w:r>
      <w:r>
        <w:rPr>
          <w:rFonts w:hint="eastAsia" w:ascii="宋体" w:hAnsi="宋体" w:cs="宋体"/>
          <w:color w:val="auto"/>
          <w:kern w:val="0"/>
          <w:szCs w:val="21"/>
          <w:highlight w:val="none"/>
        </w:rPr>
        <w:t>认为设备中出现的疏漏和错误不影响最终验收证书的签署，</w:t>
      </w:r>
      <w:r>
        <w:rPr>
          <w:rFonts w:hint="eastAsia" w:ascii="宋体" w:hAnsi="宋体" w:cs="宋体"/>
          <w:color w:val="auto"/>
          <w:kern w:val="0"/>
          <w:szCs w:val="21"/>
          <w:highlight w:val="none"/>
          <w:lang w:val="en-US" w:eastAsia="zh-CN"/>
        </w:rPr>
        <w:t>招标人</w:t>
      </w:r>
      <w:r>
        <w:rPr>
          <w:rFonts w:hint="eastAsia" w:ascii="宋体" w:hAnsi="宋体" w:cs="宋体"/>
          <w:color w:val="auto"/>
          <w:kern w:val="0"/>
          <w:szCs w:val="21"/>
          <w:highlight w:val="none"/>
        </w:rPr>
        <w:t>应签署最终验收证书并注明存在的疏漏和错误。供应商应采取措施对存在的疏漏和错误(包括潜在的)进行修正，直至使</w:t>
      </w:r>
      <w:r>
        <w:rPr>
          <w:rFonts w:hint="eastAsia" w:ascii="宋体" w:hAnsi="宋体" w:cs="宋体"/>
          <w:color w:val="auto"/>
          <w:kern w:val="0"/>
          <w:szCs w:val="21"/>
          <w:highlight w:val="none"/>
          <w:lang w:val="en-US" w:eastAsia="zh-CN"/>
        </w:rPr>
        <w:t>招标人</w:t>
      </w:r>
      <w:r>
        <w:rPr>
          <w:rFonts w:hint="eastAsia" w:ascii="宋体" w:hAnsi="宋体" w:cs="宋体"/>
          <w:color w:val="auto"/>
          <w:kern w:val="0"/>
          <w:szCs w:val="21"/>
          <w:highlight w:val="none"/>
        </w:rPr>
        <w:t>满意为止。</w:t>
      </w:r>
    </w:p>
    <w:p w14:paraId="655F30E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在质量保证期内，供应商所供设备和产品出现任何质量问题，供应商将负责对故障设备或模块元件予以免费维修或更换。</w:t>
      </w:r>
    </w:p>
    <w:p w14:paraId="7ECF8579">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九、</w:t>
      </w:r>
      <w:r>
        <w:rPr>
          <w:rFonts w:hint="eastAsia" w:ascii="宋体" w:hAnsi="宋体" w:cs="宋体"/>
          <w:b/>
          <w:bCs/>
          <w:color w:val="auto"/>
          <w:szCs w:val="21"/>
          <w:highlight w:val="none"/>
        </w:rPr>
        <w:t>质保期及后继服务</w:t>
      </w:r>
    </w:p>
    <w:p w14:paraId="523DAF8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 质保期的服务</w:t>
      </w:r>
    </w:p>
    <w:p w14:paraId="691B0ED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9.1.1 质量保证期（以下简称“质保期”）从设备安装调试完毕并通过竣工验收之日开始计算。本项目质保期最少为</w:t>
      </w:r>
      <w:r>
        <w:rPr>
          <w:rFonts w:hint="eastAsia" w:ascii="宋体" w:hAnsi="宋体" w:cs="宋体"/>
          <w:color w:val="auto"/>
          <w:kern w:val="0"/>
          <w:szCs w:val="21"/>
          <w:highlight w:val="none"/>
          <w:lang w:val="en-US" w:eastAsia="zh-CN"/>
        </w:rPr>
        <w:t>一</w:t>
      </w:r>
      <w:r>
        <w:rPr>
          <w:rFonts w:hint="eastAsia" w:ascii="宋体" w:hAnsi="宋体" w:cs="宋体"/>
          <w:color w:val="auto"/>
          <w:kern w:val="0"/>
          <w:szCs w:val="21"/>
          <w:highlight w:val="none"/>
        </w:rPr>
        <w:t>年。</w:t>
      </w:r>
    </w:p>
    <w:p w14:paraId="2FBEC8F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9.1.2 在质保期内，</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将做到以下几点：</w:t>
      </w:r>
    </w:p>
    <w:p w14:paraId="3CD8C38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9.1.2.1 继续对所提供的系统和设备负责。</w:t>
      </w:r>
    </w:p>
    <w:p w14:paraId="354D969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9.1.2.2 继续纪录各子系统和设备运行的所有故障。</w:t>
      </w:r>
    </w:p>
    <w:p w14:paraId="56BD3D6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9.1.2.3 对由</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原因引起或造成系统（或设备）故障或板卡等部件损坏，</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将免费修理或更换。修理的时间为：</w:t>
      </w:r>
      <w:r>
        <w:rPr>
          <w:rFonts w:hint="eastAsia" w:ascii="宋体" w:hAnsi="宋体" w:cs="宋体"/>
          <w:color w:val="auto"/>
          <w:kern w:val="0"/>
          <w:szCs w:val="21"/>
          <w:highlight w:val="none"/>
          <w:lang w:val="en-US" w:eastAsia="zh-CN"/>
        </w:rPr>
        <w:t>一</w:t>
      </w:r>
      <w:r>
        <w:rPr>
          <w:rFonts w:hint="eastAsia" w:ascii="宋体" w:hAnsi="宋体" w:cs="宋体"/>
          <w:color w:val="auto"/>
          <w:kern w:val="0"/>
          <w:szCs w:val="21"/>
          <w:highlight w:val="none"/>
        </w:rPr>
        <w:t>个月。如在规定时间未能完成，且无任何原因，</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将视情节扣除相应的合同价款。</w:t>
      </w:r>
    </w:p>
    <w:p w14:paraId="38CD3DC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9.1.3.4 对维修（或更换）后的设备，</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同时提供设备维修（或更换）书面报告。书面报告的内容包括但不限于以下内容：</w:t>
      </w:r>
    </w:p>
    <w:p w14:paraId="6DE3394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（1）故障报告人（</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w:t>
      </w:r>
    </w:p>
    <w:p w14:paraId="48BDE86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（2）故障受理人（</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w:t>
      </w:r>
    </w:p>
    <w:p w14:paraId="52D7A78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（3）故障发生时间；</w:t>
      </w:r>
    </w:p>
    <w:p w14:paraId="474A4AE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（4）故障现象；</w:t>
      </w:r>
    </w:p>
    <w:p w14:paraId="49D865C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（5）故障产生的原因；</w:t>
      </w:r>
    </w:p>
    <w:p w14:paraId="7769C13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（6）处理、解决办法；</w:t>
      </w:r>
    </w:p>
    <w:p w14:paraId="16E3C60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（7）故障修复时间；</w:t>
      </w:r>
    </w:p>
    <w:p w14:paraId="230E4E7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（8）处理人签名。</w:t>
      </w:r>
    </w:p>
    <w:p w14:paraId="42324B5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9.1.3.5 对所提供的设备实行“三包”。既包修、包换、包退。</w:t>
      </w:r>
    </w:p>
    <w:p w14:paraId="338A066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9.1.3.6 对所提供的设备免费提供日常维护服务、排除故障及抢修服务、软件升级服务。</w:t>
      </w:r>
    </w:p>
    <w:p w14:paraId="615FF9C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9.1.3.7 如果发生故障的设备或材料需要更换或修理，在修理期间可使用</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的备件，但</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必须购买全新的替换件提供给</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w:t>
      </w:r>
    </w:p>
    <w:p w14:paraId="09EA299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9.1.3.8 如果</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提供的设备出现的故障在质保期内未能解决，</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将不受质保期制约无条件负责直至故障解决。</w:t>
      </w:r>
    </w:p>
    <w:p w14:paraId="08631BF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9.1.3.9 重新计算质保期：对于未能通过最终验收的设备，</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应提供一台新的设备，并重新开始质保期，所产生的费用由</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承担。</w:t>
      </w:r>
    </w:p>
    <w:p w14:paraId="770BCBD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9.2 质保期责任</w:t>
      </w:r>
    </w:p>
    <w:p w14:paraId="654713B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9.2.1 在质保期内，由</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完成任何扫尾工作或履行质保期服务义务所致，或由发生在最终验收日期之前任何</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的风险所致的原因引起的任何损失或损害投保所需的全部保险费均由</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支付。</w:t>
      </w:r>
    </w:p>
    <w:p w14:paraId="7878CB7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9.2.2 在质保期内，</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应在</w:t>
      </w:r>
      <w:r>
        <w:rPr>
          <w:rFonts w:hint="eastAsia" w:ascii="宋体" w:hAnsi="宋体" w:cs="宋体"/>
          <w:color w:val="auto"/>
          <w:kern w:val="0"/>
          <w:szCs w:val="21"/>
          <w:highlight w:val="none"/>
          <w:lang w:val="en-US" w:eastAsia="zh-CN"/>
        </w:rPr>
        <w:t>滁州</w:t>
      </w:r>
      <w:r>
        <w:rPr>
          <w:rFonts w:hint="eastAsia" w:ascii="宋体" w:hAnsi="宋体" w:cs="宋体"/>
          <w:color w:val="auto"/>
          <w:kern w:val="0"/>
          <w:szCs w:val="21"/>
          <w:highlight w:val="none"/>
        </w:rPr>
        <w:t>设置专职售后服务人员</w:t>
      </w:r>
      <w:r>
        <w:rPr>
          <w:rFonts w:hint="eastAsia" w:ascii="宋体" w:hAnsi="宋体" w:cs="宋体"/>
          <w:color w:val="auto"/>
          <w:kern w:val="0"/>
          <w:szCs w:val="21"/>
          <w:highlight w:val="none"/>
          <w:lang w:val="en-US" w:eastAsia="zh-CN"/>
        </w:rPr>
        <w:t>或</w:t>
      </w:r>
      <w:r>
        <w:rPr>
          <w:rFonts w:hint="eastAsia"/>
          <w:color w:val="auto"/>
          <w:highlight w:val="none"/>
        </w:rPr>
        <w:t>提供7*24小时线上远程技术指导服务</w:t>
      </w:r>
      <w:r>
        <w:rPr>
          <w:rFonts w:hint="eastAsia" w:ascii="宋体" w:hAnsi="宋体" w:cs="宋体"/>
          <w:color w:val="auto"/>
          <w:kern w:val="0"/>
          <w:szCs w:val="21"/>
          <w:highlight w:val="none"/>
        </w:rPr>
        <w:t>，对与设备有关的各类问题要及时回复。</w:t>
      </w:r>
    </w:p>
    <w:p w14:paraId="4E93973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9.2.3 在质保期内，</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应现场指导技术人员对设备进行养护与维修。</w:t>
      </w:r>
    </w:p>
    <w:p w14:paraId="270A3F2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9.3 质保期后服务</w:t>
      </w:r>
    </w:p>
    <w:p w14:paraId="0F787E2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9.3.1 质保期过后，</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提供相关的维修服务，并明确维修服务的流程和方法；在收到</w:t>
      </w:r>
      <w:r>
        <w:rPr>
          <w:rFonts w:hint="eastAsia" w:ascii="宋体" w:hAnsi="宋体" w:cs="宋体"/>
          <w:color w:val="auto"/>
          <w:kern w:val="0"/>
          <w:szCs w:val="21"/>
          <w:highlight w:val="none"/>
          <w:lang w:val="en-US" w:eastAsia="zh-CN"/>
        </w:rPr>
        <w:t>招标人</w:t>
      </w:r>
      <w:r>
        <w:rPr>
          <w:rFonts w:hint="eastAsia" w:ascii="宋体" w:hAnsi="宋体" w:cs="宋体"/>
          <w:color w:val="auto"/>
          <w:kern w:val="0"/>
          <w:szCs w:val="21"/>
          <w:highlight w:val="none"/>
        </w:rPr>
        <w:t>维修服务请求后，供应商必须在24小时内做出响应，</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个工作日内赶到</w:t>
      </w:r>
      <w:r>
        <w:rPr>
          <w:rFonts w:hint="eastAsia" w:ascii="宋体" w:hAnsi="宋体" w:cs="宋体"/>
          <w:color w:val="auto"/>
          <w:kern w:val="0"/>
          <w:szCs w:val="21"/>
          <w:highlight w:val="none"/>
          <w:lang w:val="en-US" w:eastAsia="zh-CN"/>
        </w:rPr>
        <w:t>现场</w:t>
      </w:r>
      <w:r>
        <w:rPr>
          <w:rFonts w:hint="eastAsia" w:ascii="宋体" w:hAnsi="宋体" w:cs="宋体"/>
          <w:color w:val="auto"/>
          <w:kern w:val="0"/>
          <w:szCs w:val="21"/>
          <w:highlight w:val="none"/>
        </w:rPr>
        <w:t>。</w:t>
      </w:r>
    </w:p>
    <w:p w14:paraId="1028DB1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9.3.2 </w:t>
      </w:r>
      <w:r>
        <w:rPr>
          <w:rFonts w:hint="eastAsia" w:ascii="宋体" w:hAnsi="宋体" w:cs="宋体"/>
          <w:color w:val="auto"/>
          <w:kern w:val="0"/>
          <w:szCs w:val="21"/>
          <w:highlight w:val="none"/>
          <w:lang w:val="en-US" w:eastAsia="zh-CN"/>
        </w:rPr>
        <w:t>中标人</w:t>
      </w:r>
      <w:r>
        <w:rPr>
          <w:rFonts w:hint="eastAsia" w:ascii="宋体" w:hAnsi="宋体" w:cs="宋体"/>
          <w:color w:val="auto"/>
          <w:kern w:val="0"/>
          <w:szCs w:val="21"/>
          <w:highlight w:val="none"/>
        </w:rPr>
        <w:t>应经常性地进行多种方式的巡检（例如电话），随时了解设备运行情况；定期安排专职技术人员对设备进行现场巡检，并根据需要对设备的主要技术指标进行测试，保证设备的固有性能，同时提供设备检查测试报告，签字确认。</w:t>
      </w:r>
    </w:p>
    <w:p w14:paraId="7A0B46AF">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十、</w:t>
      </w:r>
      <w:r>
        <w:rPr>
          <w:rFonts w:hint="eastAsia" w:ascii="宋体" w:hAnsi="宋体" w:cs="宋体"/>
          <w:b/>
          <w:bCs/>
          <w:color w:val="auto"/>
          <w:szCs w:val="21"/>
          <w:highlight w:val="none"/>
        </w:rPr>
        <w:t>施工作业要求</w:t>
      </w:r>
    </w:p>
    <w:p w14:paraId="4D4D7C8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 施工工艺要求</w:t>
      </w:r>
    </w:p>
    <w:p w14:paraId="4B8528A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10.1.1 施工场地与条件</w:t>
      </w:r>
    </w:p>
    <w:p w14:paraId="0788775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全面负责施工范围内的现场施工管理，对施工场地内的用水、用电、施工现场的安全与卫生、场地内的施工协调负有全面的管理责任。</w:t>
      </w:r>
    </w:p>
    <w:p w14:paraId="394A159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10.1.2 施工准备</w:t>
      </w:r>
    </w:p>
    <w:p w14:paraId="10CD91F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10.1.2.1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充分考虑本工程的特点，包括工期要求和施工时的相互干扰等，提出切实可行的施工方法和施工组织方案。</w:t>
      </w:r>
    </w:p>
    <w:p w14:paraId="17CD6A7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10.1.2.2 认真作好施工图交底工作。</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根据</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要求做好施工图设计，负责施工图的细化工作。</w:t>
      </w:r>
    </w:p>
    <w:p w14:paraId="32FD25A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10.1.2.3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在开工前派出技术人员，根据</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的要求进行现场勘测。</w:t>
      </w:r>
    </w:p>
    <w:p w14:paraId="790923E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10.1.2.4 编制施工组织方案，并与其他设备与建筑装修工作相协调。</w:t>
      </w:r>
    </w:p>
    <w:p w14:paraId="63C2824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10.1.2.5 由</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负责所有货物的仓储，工程完毕后向</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进行交接。</w:t>
      </w:r>
    </w:p>
    <w:p w14:paraId="4C03723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10.1.3 开工准备</w:t>
      </w:r>
    </w:p>
    <w:p w14:paraId="0464085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为保证工程顺利实施，正式开工前必须具备下列条件：</w:t>
      </w:r>
    </w:p>
    <w:p w14:paraId="39EE800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10.1.3.1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在开工前应组织施工调查，并根据合同做好施工组织工作，提出施工组织计划以及质量保证措施。</w:t>
      </w:r>
    </w:p>
    <w:p w14:paraId="76506E0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10.1.3.2 安装验收规范书</w:t>
      </w:r>
    </w:p>
    <w:p w14:paraId="125849F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在工程进行安装前2周向</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提供安装工程规范（包括验收工程、标准、方法以及对不合格工程的修理和替换的规定等），经</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批准后，安装验收规范书正式生效。</w:t>
      </w:r>
    </w:p>
    <w:p w14:paraId="5041A80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10.1.3.3 用于安装的设计文件及施工图应满足施工需要，</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应核实</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的需求能否满足，工程能否顺利实施，发现问题应及时通知</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。施工人员应熟悉施工图纸及有关资料，包括工程特点、施工方案、工艺要求、施工质量标准等。</w:t>
      </w:r>
    </w:p>
    <w:p w14:paraId="2FE3584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10.1.3.4 设备、器材供货、货源、规格数量与施工图相吻合，施工机具、仪表（器），劳动力已安排落实，可满足连续施工和阶段施工要求。</w:t>
      </w:r>
    </w:p>
    <w:p w14:paraId="57CFD75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10.1.3.5 乙供的材料型号、规格必须符合设计要求，并有产品合格证书，未经鉴定批准的产品或不合格产品不得在本工程使用，所有乙供材料的试验和检验应执行合同的有关规定。</w:t>
      </w:r>
    </w:p>
    <w:p w14:paraId="060CFC8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 施工技术要求</w:t>
      </w:r>
    </w:p>
    <w:p w14:paraId="752EF32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10.2.1 </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施工中采用和推广经批准的新技术、新材料、新工艺，应制定不低于现行国家或部及行业规范水平的质量标准和工艺要求，并经</w:t>
      </w:r>
      <w:r>
        <w:rPr>
          <w:rFonts w:hint="eastAsia" w:ascii="宋体" w:hAnsi="宋体" w:cs="宋体"/>
          <w:color w:val="auto"/>
          <w:kern w:val="0"/>
          <w:szCs w:val="21"/>
          <w:highlight w:val="none"/>
          <w:lang w:eastAsia="zh-CN"/>
        </w:rPr>
        <w:t>招标人</w:t>
      </w:r>
      <w:r>
        <w:rPr>
          <w:rFonts w:hint="eastAsia" w:ascii="宋体" w:hAnsi="宋体" w:cs="宋体"/>
          <w:color w:val="auto"/>
          <w:kern w:val="0"/>
          <w:szCs w:val="21"/>
          <w:highlight w:val="none"/>
        </w:rPr>
        <w:t>代表批准。</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在工程中所用设备、材料及其安装必须符合设计要求及国家现行标准。</w:t>
      </w:r>
    </w:p>
    <w:p w14:paraId="40C6883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10.2.2 在工程施工过程中，如果工程的位置、标高尺寸或准线出现错误，</w:t>
      </w:r>
      <w:r>
        <w:rPr>
          <w:rFonts w:hint="eastAsia" w:ascii="宋体" w:hAnsi="宋体" w:cs="宋体"/>
          <w:color w:val="auto"/>
          <w:kern w:val="0"/>
          <w:szCs w:val="21"/>
          <w:highlight w:val="none"/>
          <w:lang w:eastAsia="zh-CN"/>
        </w:rPr>
        <w:t>中标人</w:t>
      </w:r>
      <w:r>
        <w:rPr>
          <w:rFonts w:hint="eastAsia" w:ascii="宋体" w:hAnsi="宋体" w:cs="宋体"/>
          <w:color w:val="auto"/>
          <w:kern w:val="0"/>
          <w:szCs w:val="21"/>
          <w:highlight w:val="none"/>
        </w:rPr>
        <w:t>应修正上述错误并负担修正错误的一切费用。</w:t>
      </w:r>
    </w:p>
    <w:p w14:paraId="23D839B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10.2.3 乙供材料的型号、规格、货源、数量符合设计及合同规定。内部设备接 (插)件 (盘)完整，符合施工图设计。</w:t>
      </w:r>
    </w:p>
    <w:p w14:paraId="5AE0E73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10.2.4 机架 (柜)的安装</w:t>
      </w:r>
    </w:p>
    <w:p w14:paraId="41D115D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10.2.4.1 设备安装位置符合设计要求。机架 (柜)安装与地面垂直、平稳。吊装后机架 (柜)倾斜偏差应小于机架 (柜)身高千分之一。</w:t>
      </w:r>
    </w:p>
    <w:p w14:paraId="18E7D5C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10.2.4.2 机架、机柜固定符合设计规定。固定螺丝、垫片和弹簧圈应按要求紧固，不得漏装。</w:t>
      </w:r>
    </w:p>
    <w:p w14:paraId="7876364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10.2.4.3 机架 (柜)内设备、部件安装应在机架 (柜)定位并加固安装，安装牢固、端正，符合安装手册要求。</w:t>
      </w:r>
    </w:p>
    <w:p w14:paraId="738875B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10.2.5 室内配线</w:t>
      </w:r>
    </w:p>
    <w:p w14:paraId="324001B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10.2.5.1 配线的规格型号及敷设方式符合设计规定。</w:t>
      </w:r>
    </w:p>
    <w:p w14:paraId="49A627E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10.2.5.2 配线用线、缆应完整，无破损、发霉、受潮现象，芯线应无错线、断线、混线。配线（缆）不扭曲，不褶皱，封头良好，施工前应进行对号、环阻、绝缘测试，测试结果必须满足衰减要求并记录。</w:t>
      </w:r>
    </w:p>
    <w:p w14:paraId="3718264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10.2.5.3配线正确，无错、漏现象。</w:t>
      </w:r>
    </w:p>
    <w:p w14:paraId="46B3F21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10.2.5.4 配线电缆在室内走线架上敷设及编扎执行“TB10205-99”中的有关规定（也可参考安装手册），应按机架、机列顺序平直排列正确，互相靠拢，不得起伏不平，纽绞和交叉，绑扎线扣应正确一致。</w:t>
      </w:r>
    </w:p>
    <w:p w14:paraId="125371B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10.2.5.5 室内电缆走线架的安装、制作应符合有关规定，走线架安装位置与设计规定位置偏差不大于50mm，相邻走线架水平偏差不大于3mm。</w:t>
      </w:r>
    </w:p>
    <w:p w14:paraId="5DDBF6A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10.2.5.6 配线焊接牢固，扭结正确、密实。</w:t>
      </w:r>
    </w:p>
    <w:p w14:paraId="18495C4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10.2.5.7 接地装置的种类、接地电阻阻值、用材规格、引入方式符合设计规定。</w:t>
      </w:r>
    </w:p>
    <w:p w14:paraId="6A944D1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10.2.5.8 所有线路必须走线槽或由钢管/护套管进行防护；</w:t>
      </w:r>
    </w:p>
    <w:p w14:paraId="0626060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10.2.6  通信线路的敷设</w:t>
      </w:r>
    </w:p>
    <w:p w14:paraId="64B9C2B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工程中通信线路包括同轴电缆、电源电缆、控制电缆及站（段）市话电缆敷设等部分。其中明敷的电缆，应具有抗太阳辐射能力。直埋敷设时应该使用PE子管，做好线缆防护；经过路面敷设时，需使用镀锌钢管对线缆做防护；对于长距离的线缆敷设时，应该在起始端、经过的主要路面两端、穿过的建筑物两端，明确线缆标识。</w:t>
      </w:r>
    </w:p>
    <w:p w14:paraId="60CE334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10.2.6.1 电缆规格、型号、电气特性必须符合设计要求。</w:t>
      </w:r>
    </w:p>
    <w:p w14:paraId="1855C15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10.2.6.2 敷设电缆时电缆变曲半径应大于电缆直径的15倍，电缆余长为1.5米。</w:t>
      </w:r>
    </w:p>
    <w:p w14:paraId="27A4ABB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10.2.6.3 两线对地绝缘电阻不小于2MΩ。</w:t>
      </w:r>
    </w:p>
    <w:p w14:paraId="29B4C7B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10.2.6.4 电缆穿管道直涂抹黄油或滑石粉，以免损伤电缆。</w:t>
      </w:r>
    </w:p>
    <w:p w14:paraId="3865A37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10.2.6.5 视频电缆长度应逐盘核对，适当选配电缆。</w:t>
      </w:r>
    </w:p>
    <w:p w14:paraId="3FF4C0F1">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十一、</w:t>
      </w:r>
      <w:r>
        <w:rPr>
          <w:rFonts w:hint="eastAsia" w:ascii="宋体" w:hAnsi="宋体" w:cs="宋体"/>
          <w:b/>
          <w:bCs/>
          <w:color w:val="auto"/>
          <w:szCs w:val="21"/>
          <w:highlight w:val="none"/>
        </w:rPr>
        <w:t>作业要求</w:t>
      </w:r>
    </w:p>
    <w:p w14:paraId="7050034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11.1 中标人进场前需向招标人缴纳履约保证金及签订安全协议，要通过招标人的安全培训并且合格。</w:t>
      </w:r>
    </w:p>
    <w:p w14:paraId="02CEF07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11.2 中标人自行将每日施工所需材料运至现场，并做好未完品保护。</w:t>
      </w:r>
    </w:p>
    <w:p w14:paraId="52212052">
      <w:pPr>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11.3 中标人每日作业完成后须经双方检查确认合格后方可撤离现场。</w:t>
      </w:r>
    </w:p>
    <w:p w14:paraId="2148613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11.4 中标人应严格遵守</w:t>
      </w:r>
      <w:r>
        <w:rPr>
          <w:rFonts w:ascii="宋体" w:hAnsi="宋体" w:cs="宋体"/>
          <w:color w:val="auto"/>
          <w:kern w:val="0"/>
          <w:szCs w:val="21"/>
          <w:highlight w:val="none"/>
        </w:rPr>
        <w:t>滁宁城铁</w:t>
      </w:r>
      <w:r>
        <w:rPr>
          <w:rFonts w:hint="eastAsia" w:ascii="宋体" w:hAnsi="宋体" w:cs="宋体"/>
          <w:color w:val="auto"/>
          <w:kern w:val="0"/>
          <w:szCs w:val="21"/>
          <w:highlight w:val="none"/>
        </w:rPr>
        <w:t>的安全施工制度要求，做好现场的作业安全防护，文明施工，保证施工现场工完料清。</w:t>
      </w:r>
    </w:p>
    <w:p w14:paraId="0B3D49B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11.5 现场作业人员防护用品必须齐备（反光背心、安全帽、劳保手套、劳保鞋等），否则不予操作，操作时须规范佩戴防护用品。</w:t>
      </w:r>
    </w:p>
    <w:p w14:paraId="4C01257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11.6 施工完成后必须清理现场，做到“三清”，并配合招标人检查完毕后方可撤离现场。</w:t>
      </w:r>
    </w:p>
    <w:p w14:paraId="55A8179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11.7 密切加强与运营部门的协调工作，并按管理规定对人员、物件及时清场，施工场所要做到工完料尽。</w:t>
      </w:r>
    </w:p>
    <w:p w14:paraId="3715E32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11.8 实施人员工作前不许饮酒，进入施工现场不准嬉笑打闹。 实施期间应做好相应的安全保护措施。</w:t>
      </w:r>
    </w:p>
    <w:p w14:paraId="7FBB85D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11.9 实施前须由项目负责人向操作人员进行技术交底和安全交底，并做好记录（签字确认），未经交底者不得进入现场作业。</w:t>
      </w:r>
    </w:p>
    <w:p w14:paraId="0E4D3E5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11.10 对既有设施、设备的操作，中标人需在招标人监督下，由相关专业配合完成。</w:t>
      </w:r>
    </w:p>
    <w:p w14:paraId="2ED3485F">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十二</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保证措施</w:t>
      </w:r>
    </w:p>
    <w:p w14:paraId="53C7B0E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12.1严格遵守和执行国家、地方、行业的相关法律、法规、规范、规程、标准及招标人的各项管理制度及规定。</w:t>
      </w:r>
    </w:p>
    <w:p w14:paraId="21F93EF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12.2遵守合同协议，组织足够力量的技术人员、技术工人，完成合同约定。</w:t>
      </w:r>
    </w:p>
    <w:p w14:paraId="6E2F4C6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12.3对组织机构定岗、定员。队伍人员素质、专业技术结构满足各项要求，并保证人员稳定。</w:t>
      </w:r>
    </w:p>
    <w:p w14:paraId="365CD5C8">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12.4严格按照招标人管理模式，及招标人审定的工作计划和方案组织实施。</w:t>
      </w:r>
    </w:p>
    <w:p w14:paraId="691FE99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12.5按照合同协议认真执行，及时完成初验、问题反馈以及最终验收。</w:t>
      </w:r>
    </w:p>
    <w:p w14:paraId="52BB42C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12.6同招标人密切配合，有权利也有义务为招标人生产及设备维护提出合理化建议，形成“相溶、相敬、互通、互助”的局面。</w:t>
      </w:r>
    </w:p>
    <w:p w14:paraId="391DE77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12.7强化对工期的检查、监督。</w:t>
      </w:r>
    </w:p>
    <w:p w14:paraId="7338911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12.8严格控制质量。认真做好每一项工作任务，做到工作不留尾项，不留隐患，不出现返工，降低总体成本，提高经济效益。</w:t>
      </w:r>
    </w:p>
    <w:p w14:paraId="020FBC7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12.9加强安全管理力度，杜绝各类事故的发生。</w:t>
      </w:r>
    </w:p>
    <w:p w14:paraId="7FD63CA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12.10团队人员的病假、事假、调休轮休、探亲等各种假期，中标人必须在定编不缺员的情况下合理安排，并经招标人批准。</w:t>
      </w:r>
    </w:p>
    <w:p w14:paraId="45F549FC">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12.11项目负责人及主要技术骨干休息，离开岗位，必须向招标人办理请假手续。岗位缺员，招标人有权另行临时聘员或工作外协，所发生的费用由中标人承担。</w:t>
      </w:r>
    </w:p>
    <w:p w14:paraId="39C6FD65">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十</w:t>
      </w:r>
      <w:r>
        <w:rPr>
          <w:rFonts w:hint="eastAsia" w:ascii="宋体" w:hAnsi="宋体" w:cs="宋体"/>
          <w:b/>
          <w:bCs/>
          <w:color w:val="auto"/>
          <w:szCs w:val="21"/>
          <w:highlight w:val="none"/>
          <w:lang w:val="en-US" w:eastAsia="zh-CN"/>
        </w:rPr>
        <w:t>三</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质量管理</w:t>
      </w:r>
    </w:p>
    <w:p w14:paraId="7D248F8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.1中标人必须有明确的项目质量方针、质量目标并按此进行质量管理。</w:t>
      </w:r>
    </w:p>
    <w:p w14:paraId="4D1F835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.2中标人必须认真贯彻执行GB/T19001-ISO9001质量保证标准。以完整的质量管理体系对待每一项检测工作，从准备到交工的各个环节都要做到精心组织，科学管理，对检测质量严格要求。</w:t>
      </w:r>
    </w:p>
    <w:p w14:paraId="7F58BF3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.3质量保证</w:t>
      </w:r>
    </w:p>
    <w:p w14:paraId="6D37902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.3.1认真贯彻执行国家、地方、行业及招标人有关部门对设备质量的有关规范、规定和《质量管理和质量保证》体系等有关规定。</w:t>
      </w:r>
    </w:p>
    <w:p w14:paraId="3C82178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.3.2坚持把“质量第一，用户至上”作为质量控制的基本原则。</w:t>
      </w:r>
    </w:p>
    <w:p w14:paraId="51D08D9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.3.3针对质量目标编制质量检验与管理体制实施细则，编制工作关键项目的施工（检修）作业技术措施或作业指导书，并严格执行，做好预防措施、控制质量通病。</w:t>
      </w:r>
    </w:p>
    <w:p w14:paraId="1181ECE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.3.4选派作业水平较高且有丰富经验的专业人员上岗，并组织学习滁宁城铁设备特性和技术标准以及要求，努力提高人员的业务素质，避免人为失误。以人的工作质量保工序质量、促工程质量，确保作业质量。</w:t>
      </w:r>
    </w:p>
    <w:p w14:paraId="5C100DD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.3.5“以人为核心”，加强对员工的质量意识教育，充分调动所有施工人员的积极性，增强人的责任感，抓好施工过程中的质量控制，加大质量管理和质量检验力度，虚心接受招标人意见。</w:t>
      </w:r>
    </w:p>
    <w:p w14:paraId="65243B8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.3.6项目保证资料真实、完整、规范、及时、满足要求。</w:t>
      </w:r>
    </w:p>
    <w:p w14:paraId="643DD2A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.3.7检测管理标准化，检测操作规范化。</w:t>
      </w:r>
    </w:p>
    <w:p w14:paraId="2AD791E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.3.8强化全过程的质量管理，在工作准备阶段主动与招标人取得联系，确保质量和工期。</w:t>
      </w:r>
    </w:p>
    <w:p w14:paraId="6820FDC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.3.9加强隐蔽工程的质量管理，隐蔽工程施工必须经招标人检查，并办好签字手续后方可隐蔽。</w:t>
      </w:r>
    </w:p>
    <w:p w14:paraId="1E32E9E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.3.10 坚持预防为主，确保工程的内在质量和外观质量均符合要求。</w:t>
      </w:r>
    </w:p>
    <w:p w14:paraId="4470BE7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.3.11对施工（检修）用机具、设备、计量器具严格管理。对施工（检修）用检验、测量和试验设备分类按期进行校验、校准，使用前进行仔细检查，保证使用合格的计量器具。</w:t>
      </w:r>
    </w:p>
    <w:p w14:paraId="3D2FBC3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.3.12认真填写记录，做到不合格工序不转序，不合格项目不移交。尤其是对关键工序和特殊过程严加控制，确保工序质量。</w:t>
      </w:r>
    </w:p>
    <w:p w14:paraId="66496AB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.3.13认真做好每次开工作业前的准备，工作结束的质量总结。</w:t>
      </w:r>
    </w:p>
    <w:p w14:paraId="6AE7F53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w:t>
      </w: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过程中发生的质量问题或质量事故要及时报告招标人，中标人必须及时制定处理方案，经招标人和有关部门审批后进行实施。</w:t>
      </w:r>
    </w:p>
    <w:p w14:paraId="0EDA845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w:t>
      </w: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中标人应对工作内容认真自检，确认合格后，再报招标人确认。</w:t>
      </w:r>
    </w:p>
    <w:p w14:paraId="78AFD24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w:t>
      </w: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中标人必须对现场跟踪检查，发现问题及时组织处理。</w:t>
      </w:r>
    </w:p>
    <w:p w14:paraId="01E5585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.3.17工作完成后，及时整理完工资料，并交付招标人审核、确认。</w:t>
      </w:r>
    </w:p>
    <w:p w14:paraId="4559808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.4 质量管理组织机构及主要职责</w:t>
      </w:r>
    </w:p>
    <w:p w14:paraId="4A305B9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中标人必须提供该项目的质量管理组织架构图及各岗位的主要职责。</w:t>
      </w:r>
    </w:p>
    <w:p w14:paraId="2E33343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.5中标人必须有明确的安全质量检验标准及技术规范并参照执行。</w:t>
      </w:r>
    </w:p>
    <w:p w14:paraId="47CEE0A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.6 除非另有规定，本项目应按中国技术规范和标准设计及施工（检修）作业。如遇遗漏所需项目实施的作业规范，应征得招标人同意，补充规范以满足合同要求。原则上没有国家标准、规范的，适用行业标准、规范；没有国家和行业标准、规范的，适用工程所在地地方标准、规范；国内没有相应标准、规范的，由招标人向中标人提出施工（检修）作业技术要求，中标人提出施工（检修）工艺，经招标人批准后执行。</w:t>
      </w:r>
    </w:p>
    <w:p w14:paraId="7E8F415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.7文件资料控制</w:t>
      </w:r>
    </w:p>
    <w:p w14:paraId="34D7EED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.7.1所有与检测相关文件和记录应分别进行编号、分类、登记、发放、传递、保管和回收，必须与招标人管理同步。</w:t>
      </w:r>
    </w:p>
    <w:p w14:paraId="7B3D655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.7.2图纸及计划、任务单、各类会议纪要（记录）按程序文件的要求统一编号、分类、登记、标识、存档，按招标人批准的范围发放、传递。</w:t>
      </w:r>
    </w:p>
    <w:p w14:paraId="7B64427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.7.3如项目修改原设计，中标人必须征得招标人同意并在资料相应位置明确标识，并将修改存档，同时将修改指令复印件附在图中。对作废图纸应及时回收，交招标人统一处理。</w:t>
      </w:r>
    </w:p>
    <w:p w14:paraId="3B10F87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13</w:t>
      </w:r>
      <w:r>
        <w:rPr>
          <w:rFonts w:hint="eastAsia" w:ascii="宋体" w:hAnsi="宋体" w:cs="宋体"/>
          <w:color w:val="auto"/>
          <w:kern w:val="0"/>
          <w:szCs w:val="21"/>
          <w:highlight w:val="none"/>
        </w:rPr>
        <w:t>.7.4有一整套检修规范、标准等文件，对于标准的更新及规程、规范的变化应及时报告招标人，并在相应部位做代替说明，待</w:t>
      </w:r>
      <w:r>
        <w:rPr>
          <w:rFonts w:hint="eastAsia" w:ascii="宋体" w:hAnsi="宋体" w:cs="宋体"/>
          <w:color w:val="auto"/>
          <w:kern w:val="0"/>
          <w:szCs w:val="21"/>
          <w:highlight w:val="none"/>
          <w:lang w:val="en-US" w:eastAsia="zh-CN"/>
        </w:rPr>
        <w:t>招标人</w:t>
      </w:r>
      <w:r>
        <w:rPr>
          <w:rFonts w:hint="eastAsia" w:ascii="宋体" w:hAnsi="宋体" w:cs="宋体"/>
          <w:color w:val="auto"/>
          <w:kern w:val="0"/>
          <w:szCs w:val="21"/>
          <w:highlight w:val="none"/>
        </w:rPr>
        <w:t>批准后执行。</w:t>
      </w:r>
    </w:p>
    <w:p w14:paraId="752B4883">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十</w:t>
      </w:r>
      <w:r>
        <w:rPr>
          <w:rFonts w:hint="eastAsia" w:ascii="宋体" w:hAnsi="宋体" w:cs="宋体"/>
          <w:b/>
          <w:bCs/>
          <w:color w:val="auto"/>
          <w:szCs w:val="21"/>
          <w:highlight w:val="none"/>
          <w:lang w:val="en-US" w:eastAsia="zh-CN"/>
        </w:rPr>
        <w:t>四</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安全管理</w:t>
      </w:r>
    </w:p>
    <w:p w14:paraId="6995E07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.1中标人必须有明确的该项目的安全目标、安全指标并进行安全管理。</w:t>
      </w:r>
    </w:p>
    <w:p w14:paraId="7071BC7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.2中标人必须提供该项目的安全控制组织架构及主要岗位职责。</w:t>
      </w:r>
    </w:p>
    <w:p w14:paraId="77E301C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.3安全控制管理制度</w:t>
      </w:r>
    </w:p>
    <w:p w14:paraId="069B304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.3.1在作业过程中，首先牢固树立“安全第一、预防为主”的思想。</w:t>
      </w:r>
    </w:p>
    <w:p w14:paraId="014C069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.3.2全面执行中标人发布的安全管理制度：</w:t>
      </w:r>
    </w:p>
    <w:p w14:paraId="46631FF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.4安全组织、技术措施</w:t>
      </w:r>
    </w:p>
    <w:p w14:paraId="7EB5708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4.1遵照现行国家及有关部门的安全法规、规范、规定对本项目进行安全管理、健康管理、环境管理，确保安全施工（检修），杜绝一切人身伤亡事故。要有完整的安全管理组织体制，有专兼职安全干部，安全员负责设备检测和日常的安全、防火工作等。</w:t>
      </w:r>
    </w:p>
    <w:p w14:paraId="2070BA9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4.2实行“三级”安全管理，坚持“管施工（检修）的同时必须抓安全”，“项目负责人是第一安全责任人”的原则，开展好正常的安全活动。中标人对本合同工作范围内的安全、消防等负责，对本单位进场人员治安保卫工作负责。</w:t>
      </w:r>
    </w:p>
    <w:p w14:paraId="1811B54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4.3强化各级安全监察网络，一级抓一级，层层落实安全生产责任制，抓好安全基础工作，重点放在预防上，有针对性的开展好作业前的安全预想预防工作，在布置工作的同时也要布置安全，认真做好内部的各种安全管理台帐。</w:t>
      </w:r>
    </w:p>
    <w:p w14:paraId="6D17B28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.4.4执行招标人制定的安全管理制度、安全操作规程及安全奖惩办法等规章制度，强化安全管理。</w:t>
      </w:r>
    </w:p>
    <w:p w14:paraId="23AAA2BD">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.4.5推行安全风险制，执行《“安全风险抵押金”制度》，从负责人到施工（检修）人员，逐级签订安全风险责任合同。</w:t>
      </w:r>
    </w:p>
    <w:p w14:paraId="135ADE4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.4.6专、兼职安全员固定在作业现场，掌握安全动态，加强安全监督管理，抓好安全措施的落实，及时向负责人提供安全信息，协助抓好整个项目的安全工作。</w:t>
      </w:r>
    </w:p>
    <w:p w14:paraId="0A0B54D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.4.7项目负责人、安全员都有责任搞好本单位的施工（检修）安全。凡发现有违反安全操作规程者，有权令其停止工作。</w:t>
      </w:r>
    </w:p>
    <w:p w14:paraId="066BDC8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.4.8加强对职工的安全教育，定期组织安全学习，施工（检修）中严格执行安全措施和安全规程，狠抓安全措施的落实，防患于未然。</w:t>
      </w:r>
    </w:p>
    <w:p w14:paraId="3BC760E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.4.9在危险作业区域和交叉作业区域，增加临时性安全监察岗，加强预控和监督。</w:t>
      </w:r>
    </w:p>
    <w:p w14:paraId="7EE0EB4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.4.10各级领导和业务部门定期深入作业现场，进行安全大检查，查思想、查管理、查落实，查隐患，对安全上的薄弱环节决不放过。</w:t>
      </w:r>
    </w:p>
    <w:p w14:paraId="78341532">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.4.11坚持文明施工（检修），保证施工（检修）机械、设备完好和清洁，安全操作规程齐全，持证上岗，施工（检修）现场的安全管理、安全设施、安全工器具要符合规定。</w:t>
      </w:r>
    </w:p>
    <w:p w14:paraId="4FB16AE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.4.12作业现场设置安全标志，安全员上岗监督，作业人员一律戴安全帽，闲杂人员不得进入作业现场；登高时必须佩好安全带及安全绳后才能进行高空作业，严禁高空落物。</w:t>
      </w:r>
    </w:p>
    <w:p w14:paraId="23D96EB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4.13施工（检修）中严格按照安规办事，施工（检修）现场坚持特殊工种100%持有效证件上岗作业的准则；所有检测人员应办理招标人场地出入证，进入招标人场地必须执行招标人有关安全、消防和治安管理制度。所有检测人员均要有操作证及经过安全培训，并向招标人提供详细的操作技术等级证书和操作证的复印件供招标人备案。</w:t>
      </w:r>
    </w:p>
    <w:p w14:paraId="47E0AFE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w:t>
      </w: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各分项作业都制定明确的安全保证措施，贯彻执行于作业的全过程。</w:t>
      </w:r>
    </w:p>
    <w:p w14:paraId="6312717A">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w:t>
      </w: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加强对机具设备的维护管理，操作前检查；操作人员必须经考试合格，才能上岗，其它人员不能顶岗操作。</w:t>
      </w:r>
    </w:p>
    <w:p w14:paraId="245FC01B">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w:t>
      </w: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加强对车辆使用的管理，加强车辆保养和司机安全意识教育；加强所有作业人员在地铁隧道中行走的安全教育，防止行车伤害，杜绝交通事故发生。</w:t>
      </w:r>
    </w:p>
    <w:p w14:paraId="0C20BF54">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.4.17作业用临时电源箱，下班后应将闸刀拉开上锁，所有机电设备都应设接地接零等保护装置，严禁乱拉、乱接电源线。</w:t>
      </w:r>
    </w:p>
    <w:p w14:paraId="3309ABA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.4.18夏季施工（检修）应做好防暑降温工作。</w:t>
      </w:r>
    </w:p>
    <w:p w14:paraId="640AF98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.4.19工作负责人必须要办理许可手续后方可带领工作人员进入工作现场。</w:t>
      </w:r>
    </w:p>
    <w:p w14:paraId="4DCFFAA3">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.4.20在危险区域动火必须到招标人安保部办理动火证。并派专人监护，方可实施。</w:t>
      </w:r>
    </w:p>
    <w:p w14:paraId="4DC6873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.4.21对设备缺陷的处理工作，必须在工作前将缺陷发生的原因、处理的方法以及处理工作时对现场条件的要求、工作中的安全注意事项等核查清楚。</w:t>
      </w:r>
    </w:p>
    <w:p w14:paraId="7FC2A49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4.22对大型作业等较为复杂的施工（检修）作业项目，有关人员必须在施工（检修）前深入到现场，对大型施工（检修）机械的行走路线和工作位置以及对施工（检修）构成障碍的物体等核查清楚，以确定可行的施工（检修）方案和作业中的不安全因素，制定可靠的安全防范措施。</w:t>
      </w:r>
    </w:p>
    <w:p w14:paraId="26183B8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.4.23保证作业区内的清洁卫生。</w:t>
      </w:r>
    </w:p>
    <w:p w14:paraId="146435B1">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.4.24爱护招标人的消防设施，按招标人有关规定及时到指定地点调换使用过的灭火器材。</w:t>
      </w:r>
    </w:p>
    <w:p w14:paraId="7ECCBC59">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.4.25中标人必须严格遵守招标人及中标人规定的劳动纪律，中标人规定的劳动纪律及各类规章制度、规程不得与招标人的规章制度、规程相违背。</w:t>
      </w:r>
    </w:p>
    <w:p w14:paraId="10C0AA60">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14</w:t>
      </w:r>
      <w:r>
        <w:rPr>
          <w:rFonts w:hint="eastAsia" w:ascii="宋体" w:hAnsi="宋体" w:cs="宋体"/>
          <w:color w:val="auto"/>
          <w:kern w:val="0"/>
          <w:szCs w:val="21"/>
          <w:highlight w:val="none"/>
        </w:rPr>
        <w:t>.4.26中标人必须严格遵守招标人所在地的“社会治安管理条例”。</w:t>
      </w:r>
    </w:p>
    <w:p w14:paraId="1A29629D">
      <w:pPr>
        <w:spacing w:line="440" w:lineRule="exact"/>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十</w:t>
      </w:r>
      <w:r>
        <w:rPr>
          <w:rFonts w:hint="eastAsia" w:ascii="宋体" w:hAnsi="宋体" w:cs="宋体"/>
          <w:b/>
          <w:bCs/>
          <w:color w:val="auto"/>
          <w:szCs w:val="21"/>
          <w:highlight w:val="none"/>
          <w:lang w:val="en-US" w:eastAsia="zh-CN"/>
        </w:rPr>
        <w:t>五</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文明管理</w:t>
      </w:r>
    </w:p>
    <w:p w14:paraId="442F84BF">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15</w:t>
      </w:r>
      <w:r>
        <w:rPr>
          <w:rFonts w:hint="eastAsia" w:ascii="宋体" w:hAnsi="宋体" w:cs="宋体"/>
          <w:color w:val="auto"/>
          <w:kern w:val="0"/>
          <w:szCs w:val="21"/>
          <w:highlight w:val="none"/>
        </w:rPr>
        <w:t>.1作业过程中，严格按照“规范化管理、标准化作业”规定要求，实施文明管理。</w:t>
      </w:r>
    </w:p>
    <w:p w14:paraId="413D2E87">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15</w:t>
      </w:r>
      <w:r>
        <w:rPr>
          <w:rFonts w:hint="eastAsia" w:ascii="宋体" w:hAnsi="宋体" w:cs="宋体"/>
          <w:color w:val="auto"/>
          <w:kern w:val="0"/>
          <w:szCs w:val="21"/>
          <w:highlight w:val="none"/>
        </w:rPr>
        <w:t>.2作业过程中，中标人应合理地保持作业现场中不出现不必要的障碍，处置好作业设备及多余材料，保持现场整洁和道路畅通。</w:t>
      </w:r>
    </w:p>
    <w:p w14:paraId="385A6965">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15</w:t>
      </w:r>
      <w:r>
        <w:rPr>
          <w:rFonts w:hint="eastAsia" w:ascii="宋体" w:hAnsi="宋体" w:cs="宋体"/>
          <w:color w:val="auto"/>
          <w:kern w:val="0"/>
          <w:szCs w:val="21"/>
          <w:highlight w:val="none"/>
        </w:rPr>
        <w:t>.3保护作业区域内各种管线、输电及通信线路、控制开关、生产通道、测量标点等，不得随意破坏、操作、占用。如与其他作业平面发生矛盾，应事先通报招标人，在得到招标人同意后方可按要求执行。如发现未经请示同意而擅自行事，将视其具体情况给予罚款处理。</w:t>
      </w:r>
    </w:p>
    <w:p w14:paraId="433D579E">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15</w:t>
      </w:r>
      <w:r>
        <w:rPr>
          <w:rFonts w:hint="eastAsia" w:ascii="宋体" w:hAnsi="宋体" w:cs="宋体"/>
          <w:color w:val="auto"/>
          <w:kern w:val="0"/>
          <w:szCs w:val="21"/>
          <w:highlight w:val="none"/>
        </w:rPr>
        <w:t>.4必须负责作业现场日常卫生清理工作，保证公共环境整洁。</w:t>
      </w:r>
    </w:p>
    <w:p w14:paraId="4C3DE206">
      <w:pPr>
        <w:tabs>
          <w:tab w:val="left" w:pos="420"/>
        </w:tabs>
        <w:adjustRightInd w:val="0"/>
        <w:snapToGrid w:val="0"/>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15</w:t>
      </w:r>
      <w:r>
        <w:rPr>
          <w:rFonts w:hint="eastAsia" w:ascii="宋体" w:hAnsi="宋体" w:cs="宋体"/>
          <w:color w:val="auto"/>
          <w:kern w:val="0"/>
          <w:szCs w:val="21"/>
          <w:highlight w:val="none"/>
        </w:rPr>
        <w:t>.5运至作业现场的备品备件，剩余部分由中标人及时回收，并放到招标人指定的地点。</w:t>
      </w:r>
    </w:p>
    <w:p w14:paraId="2D81AD5F">
      <w:pPr>
        <w:ind w:firstLine="630" w:firstLineChars="300"/>
        <w:rPr>
          <w:rFonts w:hint="eastAsia" w:ascii="黑体" w:hAnsi="黑体" w:eastAsia="黑体" w:cs="黑体"/>
          <w:b w:val="0"/>
          <w:bCs w:val="0"/>
          <w:color w:val="auto"/>
          <w:sz w:val="32"/>
          <w:szCs w:val="32"/>
          <w:highlight w:val="none"/>
          <w:lang w:val="en-US" w:eastAsia="zh-CN"/>
        </w:rPr>
      </w:pPr>
      <w:r>
        <w:rPr>
          <w:rFonts w:hint="eastAsia" w:ascii="宋体" w:hAnsi="宋体" w:cs="宋体"/>
          <w:color w:val="auto"/>
          <w:kern w:val="0"/>
          <w:szCs w:val="21"/>
          <w:highlight w:val="none"/>
          <w:lang w:eastAsia="zh-CN"/>
        </w:rPr>
        <w:t>15</w:t>
      </w:r>
      <w:r>
        <w:rPr>
          <w:rFonts w:hint="eastAsia" w:ascii="宋体" w:hAnsi="宋体" w:cs="宋体"/>
          <w:color w:val="auto"/>
          <w:kern w:val="0"/>
          <w:szCs w:val="21"/>
          <w:highlight w:val="none"/>
        </w:rPr>
        <w:t>.6作业现场讲文明、讲礼貌，遇事商量解决，严禁打架、斗殴。</w:t>
      </w:r>
    </w:p>
    <w:p w14:paraId="076B3C7D">
      <w:pPr>
        <w:tabs>
          <w:tab w:val="left" w:pos="420"/>
        </w:tabs>
        <w:adjustRightInd w:val="0"/>
        <w:snapToGrid w:val="0"/>
        <w:spacing w:line="440" w:lineRule="exact"/>
        <w:ind w:firstLine="420" w:firstLineChars="200"/>
        <w:jc w:val="center"/>
        <w:rPr>
          <w:rFonts w:hint="eastAsia" w:ascii="宋体" w:hAnsi="宋体" w:cs="宋体"/>
          <w:szCs w:val="21"/>
          <w:highlight w:val="none"/>
          <w:lang w:val="en-US" w:eastAsia="zh-CN"/>
        </w:rPr>
      </w:pPr>
    </w:p>
    <w:p w14:paraId="0626FACB">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2880BDC6">
      <w:pPr>
        <w:numPr>
          <w:ilvl w:val="0"/>
          <w:numId w:val="5"/>
        </w:num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 xml:space="preserve"> 合同条款及格式</w:t>
      </w:r>
    </w:p>
    <w:p w14:paraId="25206C00">
      <w:pPr>
        <w:numPr>
          <w:ilvl w:val="0"/>
          <w:numId w:val="0"/>
        </w:numPr>
        <w:jc w:val="left"/>
        <w:rPr>
          <w:rFonts w:hint="eastAsia" w:eastAsia="仿宋"/>
          <w:b/>
          <w:lang w:eastAsia="zh-CN"/>
        </w:rPr>
      </w:pPr>
      <w:r>
        <w:rPr>
          <w:rFonts w:hint="eastAsia" w:eastAsia="仿宋"/>
          <w:b/>
        </w:rPr>
        <w:t>甲方：</w:t>
      </w:r>
    </w:p>
    <w:p w14:paraId="441AFBEF">
      <w:pPr>
        <w:spacing w:line="360" w:lineRule="auto"/>
        <w:rPr>
          <w:rFonts w:eastAsia="仿宋"/>
          <w:b/>
          <w:u w:val="single"/>
        </w:rPr>
      </w:pPr>
      <w:r>
        <w:rPr>
          <w:rFonts w:hint="eastAsia" w:eastAsia="仿宋"/>
          <w:b/>
        </w:rPr>
        <w:t>乙方：</w:t>
      </w:r>
    </w:p>
    <w:p w14:paraId="7B550967">
      <w:pPr>
        <w:spacing w:line="360" w:lineRule="auto"/>
        <w:ind w:firstLine="420" w:firstLineChars="200"/>
        <w:rPr>
          <w:rFonts w:eastAsia="仿宋"/>
        </w:rPr>
      </w:pPr>
      <w:r>
        <w:rPr>
          <w:rFonts w:eastAsia="仿宋"/>
        </w:rPr>
        <w:t>根据有关法律</w:t>
      </w:r>
      <w:r>
        <w:rPr>
          <w:rFonts w:hint="eastAsia" w:eastAsia="仿宋"/>
        </w:rPr>
        <w:t>法规</w:t>
      </w:r>
      <w:r>
        <w:rPr>
          <w:rFonts w:eastAsia="仿宋"/>
        </w:rPr>
        <w:t>规定，遵循平等、自愿、公平和诚信的原则，</w:t>
      </w:r>
      <w:r>
        <w:rPr>
          <w:rFonts w:hint="eastAsia" w:eastAsia="仿宋"/>
        </w:rPr>
        <w:t>甲、乙</w:t>
      </w:r>
      <w:r>
        <w:rPr>
          <w:rFonts w:eastAsia="仿宋"/>
        </w:rPr>
        <w:t>双方就</w:t>
      </w:r>
      <w:r>
        <w:rPr>
          <w:rFonts w:hint="eastAsia" w:eastAsia="仿宋"/>
          <w:u w:val="single"/>
          <w:lang w:eastAsia="zh-CN"/>
        </w:rPr>
        <w:t xml:space="preserve"> 滁州至南京城际铁路（滁州段）一期车辆段北门门岗安全改造项目</w:t>
      </w:r>
      <w:r>
        <w:rPr>
          <w:rFonts w:hint="eastAsia" w:eastAsia="仿宋"/>
        </w:rPr>
        <w:t>（以下称“本项目”）的实施</w:t>
      </w:r>
      <w:r>
        <w:rPr>
          <w:rFonts w:eastAsia="仿宋"/>
        </w:rPr>
        <w:t>及有关事项协商一致</w:t>
      </w:r>
      <w:r>
        <w:rPr>
          <w:rFonts w:hint="eastAsia" w:eastAsia="仿宋"/>
        </w:rPr>
        <w:t>，</w:t>
      </w:r>
      <w:r>
        <w:rPr>
          <w:rFonts w:eastAsia="仿宋"/>
        </w:rPr>
        <w:t>共同达成如下协议：</w:t>
      </w:r>
    </w:p>
    <w:p w14:paraId="0789248B">
      <w:pPr>
        <w:pStyle w:val="41"/>
        <w:numPr>
          <w:ilvl w:val="0"/>
          <w:numId w:val="0"/>
        </w:numPr>
        <w:spacing w:line="360" w:lineRule="auto"/>
        <w:ind w:leftChars="0"/>
        <w:rPr>
          <w:rFonts w:eastAsia="仿宋"/>
          <w:b/>
        </w:rPr>
      </w:pPr>
      <w:bookmarkStart w:id="84" w:name="_Toc351203486"/>
      <w:r>
        <w:rPr>
          <w:rFonts w:hint="eastAsia" w:eastAsia="仿宋"/>
          <w:b/>
          <w:lang w:val="en-US" w:eastAsia="zh-CN"/>
        </w:rPr>
        <w:t>一、</w:t>
      </w:r>
      <w:r>
        <w:rPr>
          <w:rFonts w:eastAsia="仿宋"/>
          <w:b/>
        </w:rPr>
        <w:t>合同文件构成</w:t>
      </w:r>
      <w:bookmarkEnd w:id="84"/>
    </w:p>
    <w:p w14:paraId="040B1419">
      <w:pPr>
        <w:spacing w:line="360" w:lineRule="auto"/>
        <w:rPr>
          <w:rFonts w:eastAsia="仿宋"/>
          <w:bCs/>
        </w:rPr>
      </w:pPr>
      <w:bookmarkStart w:id="85" w:name="_Hlk14188859"/>
      <w:r>
        <w:rPr>
          <w:rFonts w:eastAsia="仿宋"/>
          <w:bCs/>
        </w:rPr>
        <w:t>本</w:t>
      </w:r>
      <w:r>
        <w:rPr>
          <w:rFonts w:hint="eastAsia" w:eastAsia="仿宋"/>
          <w:bCs/>
          <w:lang w:eastAsia="zh-CN"/>
        </w:rPr>
        <w:t>合同</w:t>
      </w:r>
      <w:r>
        <w:rPr>
          <w:rFonts w:eastAsia="仿宋"/>
          <w:bCs/>
        </w:rPr>
        <w:t>书与下列文件一起构成合同文件：</w:t>
      </w:r>
    </w:p>
    <w:p w14:paraId="4E0A9042">
      <w:pPr>
        <w:pStyle w:val="41"/>
        <w:numPr>
          <w:ilvl w:val="0"/>
          <w:numId w:val="6"/>
        </w:numPr>
        <w:spacing w:line="360" w:lineRule="auto"/>
        <w:ind w:firstLineChars="0"/>
        <w:rPr>
          <w:rFonts w:eastAsia="仿宋"/>
        </w:rPr>
      </w:pPr>
      <w:r>
        <w:rPr>
          <w:rFonts w:hint="eastAsia" w:eastAsia="仿宋"/>
        </w:rPr>
        <w:t>招标文件、投标文件、</w:t>
      </w:r>
      <w:r>
        <w:rPr>
          <w:rFonts w:eastAsia="仿宋"/>
        </w:rPr>
        <w:t>中标通知书（如有）；</w:t>
      </w:r>
    </w:p>
    <w:p w14:paraId="739DD1EF">
      <w:pPr>
        <w:pStyle w:val="41"/>
        <w:numPr>
          <w:ilvl w:val="0"/>
          <w:numId w:val="6"/>
        </w:numPr>
        <w:spacing w:line="360" w:lineRule="auto"/>
        <w:ind w:firstLineChars="0"/>
        <w:rPr>
          <w:rFonts w:eastAsia="仿宋"/>
        </w:rPr>
      </w:pPr>
      <w:bookmarkStart w:id="86" w:name="_Hlk14189050"/>
      <w:r>
        <w:rPr>
          <w:rFonts w:hint="eastAsia" w:eastAsia="仿宋"/>
        </w:rPr>
        <w:t>竞争性磋商</w:t>
      </w:r>
      <w:r>
        <w:rPr>
          <w:rFonts w:hint="eastAsia" w:eastAsia="仿宋"/>
          <w:lang w:val="en-US" w:eastAsia="zh-CN"/>
        </w:rPr>
        <w:t>文件</w:t>
      </w:r>
      <w:r>
        <w:rPr>
          <w:rFonts w:hint="eastAsia" w:eastAsia="仿宋"/>
        </w:rPr>
        <w:t>、谈判文件及申请文件（如有）</w:t>
      </w:r>
      <w:r>
        <w:rPr>
          <w:rFonts w:eastAsia="仿宋"/>
        </w:rPr>
        <w:t>；</w:t>
      </w:r>
    </w:p>
    <w:p w14:paraId="4EBDBF58">
      <w:pPr>
        <w:numPr>
          <w:ilvl w:val="0"/>
          <w:numId w:val="6"/>
        </w:numPr>
        <w:spacing w:line="360" w:lineRule="auto"/>
        <w:ind w:left="720" w:leftChars="0" w:hanging="720" w:firstLineChars="0"/>
        <w:rPr>
          <w:rFonts w:eastAsia="仿宋"/>
        </w:rPr>
      </w:pPr>
      <w:r>
        <w:rPr>
          <w:rFonts w:eastAsia="仿宋"/>
        </w:rPr>
        <w:t>技术标准和要求</w:t>
      </w:r>
      <w:r>
        <w:rPr>
          <w:rFonts w:hint="eastAsia" w:eastAsia="仿宋"/>
          <w:lang w:eastAsia="zh-CN"/>
        </w:rPr>
        <w:t>（</w:t>
      </w:r>
      <w:r>
        <w:rPr>
          <w:rFonts w:hint="eastAsia" w:eastAsia="仿宋"/>
          <w:lang w:val="en-US" w:eastAsia="zh-CN"/>
        </w:rPr>
        <w:t>用户需求书</w:t>
      </w:r>
      <w:r>
        <w:rPr>
          <w:rFonts w:hint="eastAsia" w:eastAsia="仿宋"/>
          <w:lang w:eastAsia="zh-CN"/>
        </w:rPr>
        <w:t>）</w:t>
      </w:r>
      <w:r>
        <w:rPr>
          <w:rFonts w:eastAsia="仿宋"/>
        </w:rPr>
        <w:t>；</w:t>
      </w:r>
      <w:bookmarkEnd w:id="86"/>
    </w:p>
    <w:p w14:paraId="681E10EE">
      <w:pPr>
        <w:numPr>
          <w:ilvl w:val="0"/>
          <w:numId w:val="6"/>
        </w:numPr>
        <w:spacing w:line="360" w:lineRule="auto"/>
        <w:ind w:left="720" w:leftChars="0" w:hanging="720" w:firstLineChars="0"/>
        <w:rPr>
          <w:rFonts w:eastAsia="仿宋"/>
          <w:highlight w:val="none"/>
        </w:rPr>
      </w:pPr>
      <w:r>
        <w:rPr>
          <w:rFonts w:eastAsia="仿宋"/>
        </w:rPr>
        <w:t>图纸</w:t>
      </w:r>
      <w:r>
        <w:rPr>
          <w:rFonts w:hint="eastAsia" w:eastAsia="仿宋"/>
          <w:lang w:eastAsia="zh-CN"/>
        </w:rPr>
        <w:t>（</w:t>
      </w:r>
      <w:r>
        <w:rPr>
          <w:rFonts w:hint="eastAsia" w:eastAsia="仿宋"/>
          <w:lang w:val="en-US" w:eastAsia="zh-CN"/>
        </w:rPr>
        <w:t>如有</w:t>
      </w:r>
      <w:r>
        <w:rPr>
          <w:rFonts w:hint="eastAsia" w:eastAsia="仿宋"/>
          <w:lang w:eastAsia="zh-CN"/>
        </w:rPr>
        <w:t>）</w:t>
      </w:r>
      <w:r>
        <w:rPr>
          <w:rFonts w:eastAsia="仿宋"/>
        </w:rPr>
        <w:t>；</w:t>
      </w:r>
    </w:p>
    <w:p w14:paraId="070942C0">
      <w:pPr>
        <w:numPr>
          <w:ilvl w:val="0"/>
          <w:numId w:val="6"/>
        </w:numPr>
        <w:spacing w:line="360" w:lineRule="auto"/>
        <w:ind w:left="720" w:leftChars="0" w:hanging="720" w:firstLineChars="0"/>
        <w:rPr>
          <w:rFonts w:eastAsia="仿宋"/>
        </w:rPr>
      </w:pPr>
      <w:r>
        <w:rPr>
          <w:rFonts w:eastAsia="仿宋"/>
          <w:highlight w:val="none"/>
        </w:rPr>
        <w:t>已标价工程量清单或预算书</w:t>
      </w:r>
      <w:r>
        <w:rPr>
          <w:rFonts w:hint="eastAsia" w:eastAsia="仿宋"/>
          <w:highlight w:val="none"/>
          <w:lang w:eastAsia="zh-CN"/>
        </w:rPr>
        <w:t>（</w:t>
      </w:r>
      <w:r>
        <w:rPr>
          <w:rFonts w:hint="eastAsia" w:eastAsia="仿宋"/>
          <w:highlight w:val="none"/>
          <w:lang w:val="en-US" w:eastAsia="zh-CN"/>
        </w:rPr>
        <w:t>如有</w:t>
      </w:r>
      <w:r>
        <w:rPr>
          <w:rFonts w:hint="eastAsia" w:eastAsia="仿宋"/>
          <w:highlight w:val="none"/>
          <w:lang w:eastAsia="zh-CN"/>
        </w:rPr>
        <w:t>）</w:t>
      </w:r>
      <w:r>
        <w:rPr>
          <w:rFonts w:eastAsia="仿宋"/>
          <w:highlight w:val="none"/>
        </w:rPr>
        <w:t>；</w:t>
      </w:r>
      <w:bookmarkStart w:id="87" w:name="_Hlk14189066"/>
    </w:p>
    <w:p w14:paraId="3B8D39D1">
      <w:pPr>
        <w:numPr>
          <w:ilvl w:val="0"/>
          <w:numId w:val="6"/>
        </w:numPr>
        <w:spacing w:line="360" w:lineRule="auto"/>
        <w:ind w:left="720" w:leftChars="0" w:hanging="720" w:firstLineChars="0"/>
        <w:rPr>
          <w:rFonts w:eastAsia="仿宋"/>
        </w:rPr>
      </w:pPr>
      <w:r>
        <w:rPr>
          <w:rFonts w:hint="eastAsia" w:eastAsia="仿宋"/>
        </w:rPr>
        <w:t>其他文件：_</w:t>
      </w:r>
      <w:r>
        <w:rPr>
          <w:rFonts w:eastAsia="仿宋"/>
        </w:rPr>
        <w:t>____________________</w:t>
      </w:r>
      <w:bookmarkEnd w:id="85"/>
      <w:bookmarkEnd w:id="87"/>
    </w:p>
    <w:p w14:paraId="39501BA3">
      <w:pPr>
        <w:spacing w:line="360" w:lineRule="auto"/>
        <w:ind w:firstLine="420" w:firstLineChars="200"/>
        <w:rPr>
          <w:rFonts w:eastAsia="仿宋"/>
        </w:rPr>
      </w:pPr>
      <w:r>
        <w:rPr>
          <w:rFonts w:eastAsia="仿宋"/>
        </w:rPr>
        <w:t>上述各项合同文件包括合同当事人就该项合同文件所作出的补充和修改，属于同一类内容的文件，应以最新签署的为准。</w:t>
      </w:r>
    </w:p>
    <w:p w14:paraId="19EEF47B">
      <w:pPr>
        <w:spacing w:line="360" w:lineRule="auto"/>
        <w:outlineLvl w:val="0"/>
        <w:rPr>
          <w:rFonts w:eastAsia="仿宋"/>
          <w:b/>
          <w:bCs/>
        </w:rPr>
      </w:pPr>
      <w:r>
        <w:rPr>
          <w:rFonts w:hint="eastAsia" w:eastAsia="仿宋"/>
          <w:b/>
          <w:bCs/>
        </w:rPr>
        <w:t>二、项目概况</w:t>
      </w:r>
    </w:p>
    <w:p w14:paraId="13059FA8">
      <w:pPr>
        <w:spacing w:line="360" w:lineRule="auto"/>
        <w:rPr>
          <w:rFonts w:eastAsia="仿宋"/>
        </w:rPr>
      </w:pPr>
      <w:r>
        <w:rPr>
          <w:rFonts w:hint="eastAsia" w:eastAsia="仿宋"/>
        </w:rPr>
        <w:t>2</w:t>
      </w:r>
      <w:r>
        <w:rPr>
          <w:rFonts w:eastAsia="仿宋"/>
        </w:rPr>
        <w:t>.1</w:t>
      </w:r>
      <w:r>
        <w:rPr>
          <w:rFonts w:hint="eastAsia" w:eastAsia="仿宋"/>
          <w:lang w:val="en-US" w:eastAsia="zh-CN"/>
        </w:rPr>
        <w:t xml:space="preserve"> </w:t>
      </w:r>
      <w:r>
        <w:rPr>
          <w:rFonts w:hint="eastAsia" w:eastAsia="仿宋"/>
        </w:rPr>
        <w:t>项目实施</w:t>
      </w:r>
      <w:r>
        <w:rPr>
          <w:rFonts w:eastAsia="仿宋"/>
        </w:rPr>
        <w:t>地点：</w:t>
      </w:r>
      <w:r>
        <w:rPr>
          <w:rFonts w:hint="eastAsia" w:eastAsia="仿宋"/>
          <w:u w:val="single"/>
          <w:lang w:val="en-US" w:eastAsia="zh-CN"/>
        </w:rPr>
        <w:t xml:space="preserve"> </w:t>
      </w:r>
      <w:r>
        <w:rPr>
          <w:rFonts w:eastAsia="仿宋"/>
          <w:u w:val="single"/>
        </w:rPr>
        <w:t xml:space="preserve">    </w:t>
      </w:r>
      <w:r>
        <w:rPr>
          <w:rFonts w:hint="eastAsia" w:eastAsia="仿宋"/>
          <w:u w:val="single"/>
          <w:lang w:val="en-US" w:eastAsia="zh-CN"/>
        </w:rPr>
        <w:t xml:space="preserve">         </w:t>
      </w:r>
      <w:r>
        <w:rPr>
          <w:rFonts w:eastAsia="仿宋"/>
          <w:u w:val="single"/>
        </w:rPr>
        <w:t xml:space="preserve">   </w:t>
      </w:r>
    </w:p>
    <w:p w14:paraId="075C2815">
      <w:pPr>
        <w:spacing w:line="360" w:lineRule="auto"/>
        <w:rPr>
          <w:rFonts w:eastAsia="仿宋"/>
        </w:rPr>
      </w:pPr>
      <w:r>
        <w:rPr>
          <w:rFonts w:hint="eastAsia" w:eastAsia="仿宋"/>
        </w:rPr>
        <w:t>2</w:t>
      </w:r>
      <w:r>
        <w:rPr>
          <w:rFonts w:eastAsia="仿宋"/>
        </w:rPr>
        <w:t xml:space="preserve">.2 </w:t>
      </w:r>
      <w:r>
        <w:rPr>
          <w:rFonts w:hint="eastAsia" w:eastAsia="仿宋"/>
        </w:rPr>
        <w:t>项目内容：</w:t>
      </w:r>
      <w:r>
        <w:rPr>
          <w:rFonts w:hint="eastAsia" w:eastAsia="仿宋"/>
          <w:u w:val="single"/>
          <w:lang w:val="en-US" w:eastAsia="zh-CN"/>
        </w:rPr>
        <w:t xml:space="preserve"> </w:t>
      </w:r>
      <w:r>
        <w:rPr>
          <w:rFonts w:eastAsia="仿宋"/>
          <w:u w:val="single"/>
        </w:rPr>
        <w:t xml:space="preserve"> </w:t>
      </w:r>
      <w:r>
        <w:rPr>
          <w:rFonts w:hint="eastAsia" w:eastAsia="仿宋"/>
          <w:u w:val="single"/>
          <w:lang w:val="en-US" w:eastAsia="zh-CN"/>
        </w:rPr>
        <w:t>详见用户需求书</w:t>
      </w:r>
      <w:r>
        <w:rPr>
          <w:rFonts w:eastAsia="仿宋"/>
          <w:u w:val="single"/>
        </w:rPr>
        <w:t xml:space="preserve">     </w:t>
      </w:r>
    </w:p>
    <w:p w14:paraId="035981DF">
      <w:pPr>
        <w:spacing w:line="360" w:lineRule="auto"/>
        <w:outlineLvl w:val="0"/>
        <w:rPr>
          <w:rFonts w:hint="eastAsia" w:eastAsia="仿宋"/>
          <w:b/>
          <w:bCs/>
        </w:rPr>
      </w:pPr>
      <w:r>
        <w:rPr>
          <w:rFonts w:hint="eastAsia" w:eastAsia="仿宋"/>
          <w:b/>
          <w:bCs/>
        </w:rPr>
        <w:t>三、合同工期</w:t>
      </w:r>
    </w:p>
    <w:p w14:paraId="75E6596F">
      <w:pPr>
        <w:spacing w:line="360" w:lineRule="auto"/>
        <w:rPr>
          <w:rFonts w:eastAsia="仿宋"/>
          <w:u w:val="single"/>
        </w:rPr>
      </w:pPr>
      <w:r>
        <w:rPr>
          <w:rFonts w:hint="eastAsia" w:eastAsia="仿宋"/>
          <w:lang w:val="en-US" w:eastAsia="zh-CN"/>
        </w:rPr>
        <w:t xml:space="preserve">3.1 </w:t>
      </w:r>
      <w:r>
        <w:rPr>
          <w:rFonts w:hint="eastAsia" w:eastAsia="仿宋"/>
        </w:rPr>
        <w:t>本项目工期为</w:t>
      </w:r>
      <w:r>
        <w:rPr>
          <w:rFonts w:hint="eastAsia" w:eastAsia="仿宋"/>
          <w:u w:val="single"/>
          <w:lang w:val="en-US" w:eastAsia="zh-CN"/>
        </w:rPr>
        <w:t xml:space="preserve">     </w:t>
      </w:r>
      <w:r>
        <w:rPr>
          <w:rFonts w:hint="eastAsia" w:eastAsia="仿宋"/>
        </w:rPr>
        <w:t>天（日历天），自</w:t>
      </w:r>
      <w:r>
        <w:rPr>
          <w:rFonts w:hint="eastAsia" w:eastAsia="仿宋"/>
          <w:u w:val="single"/>
        </w:rPr>
        <w:t>甲方下达开工通知书之日起计算</w:t>
      </w:r>
      <w:r>
        <w:rPr>
          <w:rFonts w:hint="eastAsia" w:eastAsia="仿宋"/>
          <w:u w:val="none"/>
        </w:rPr>
        <w:t>。</w:t>
      </w:r>
    </w:p>
    <w:p w14:paraId="6AA8635C">
      <w:pPr>
        <w:spacing w:line="360" w:lineRule="auto"/>
        <w:rPr>
          <w:rFonts w:hint="default" w:eastAsia="仿宋"/>
          <w:b/>
          <w:lang w:val="en-US" w:eastAsia="zh-CN"/>
        </w:rPr>
      </w:pPr>
      <w:bookmarkStart w:id="88" w:name="_Toc351203484"/>
      <w:r>
        <w:rPr>
          <w:rFonts w:hint="eastAsia" w:eastAsia="仿宋"/>
          <w:b/>
        </w:rPr>
        <w:t>四</w:t>
      </w:r>
      <w:r>
        <w:rPr>
          <w:rFonts w:eastAsia="仿宋"/>
          <w:b/>
        </w:rPr>
        <w:t>、合同价</w:t>
      </w:r>
      <w:bookmarkEnd w:id="88"/>
      <w:r>
        <w:rPr>
          <w:rFonts w:hint="eastAsia" w:eastAsia="仿宋"/>
          <w:b/>
        </w:rPr>
        <w:t>款</w:t>
      </w:r>
      <w:r>
        <w:rPr>
          <w:rFonts w:hint="eastAsia" w:eastAsia="仿宋"/>
          <w:b/>
          <w:lang w:val="en-US" w:eastAsia="zh-CN"/>
        </w:rPr>
        <w:t>及付款方式</w:t>
      </w:r>
    </w:p>
    <w:p w14:paraId="11554297">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b/>
          <w:bCs/>
          <w:sz w:val="21"/>
          <w:szCs w:val="21"/>
          <w:highlight w:val="yellow"/>
        </w:rPr>
      </w:pPr>
      <w:r>
        <w:rPr>
          <w:rFonts w:hint="eastAsia" w:eastAsia="仿宋"/>
          <w:sz w:val="21"/>
          <w:szCs w:val="21"/>
        </w:rPr>
        <w:t>4</w:t>
      </w:r>
      <w:r>
        <w:rPr>
          <w:rFonts w:eastAsia="仿宋"/>
          <w:sz w:val="21"/>
          <w:szCs w:val="21"/>
        </w:rPr>
        <w:t xml:space="preserve">.1 </w:t>
      </w:r>
      <w:r>
        <w:rPr>
          <w:rFonts w:ascii="仿宋" w:hAnsi="仿宋" w:eastAsia="仿宋"/>
          <w:sz w:val="21"/>
          <w:szCs w:val="21"/>
        </w:rPr>
        <w:t>本合同不含税价</w:t>
      </w:r>
      <w:r>
        <w:rPr>
          <w:rFonts w:hint="eastAsia" w:ascii="仿宋" w:hAnsi="仿宋" w:eastAsia="仿宋"/>
          <w:sz w:val="21"/>
          <w:szCs w:val="21"/>
          <w:lang w:val="en-US" w:eastAsia="zh-CN"/>
        </w:rPr>
        <w:t>款</w:t>
      </w:r>
      <w:r>
        <w:rPr>
          <w:rFonts w:ascii="仿宋" w:hAnsi="仿宋" w:eastAsia="仿宋"/>
          <w:sz w:val="21"/>
          <w:szCs w:val="21"/>
        </w:rPr>
        <w:t>为</w:t>
      </w:r>
      <w:r>
        <w:rPr>
          <w:rFonts w:hint="eastAsia" w:ascii="仿宋" w:hAnsi="仿宋" w:eastAsia="仿宋"/>
          <w:sz w:val="21"/>
          <w:szCs w:val="21"/>
        </w:rPr>
        <w:t>人民币（大写）</w:t>
      </w:r>
      <w:r>
        <w:rPr>
          <w:rFonts w:hint="eastAsia" w:ascii="仿宋" w:hAnsi="仿宋" w:eastAsia="仿宋"/>
          <w:sz w:val="21"/>
          <w:szCs w:val="21"/>
          <w:u w:val="single"/>
        </w:rPr>
        <w:t xml:space="preserve">                  </w:t>
      </w:r>
      <w:r>
        <w:rPr>
          <w:rFonts w:hint="eastAsia" w:ascii="仿宋" w:hAnsi="仿宋" w:eastAsia="仿宋"/>
          <w:sz w:val="21"/>
          <w:szCs w:val="21"/>
        </w:rPr>
        <w:t>（¥</w:t>
      </w:r>
      <w:r>
        <w:rPr>
          <w:rFonts w:hint="eastAsia" w:ascii="仿宋" w:hAnsi="仿宋" w:eastAsia="仿宋"/>
          <w:sz w:val="21"/>
          <w:szCs w:val="21"/>
          <w:u w:val="single"/>
        </w:rPr>
        <w:t xml:space="preserve">           </w:t>
      </w:r>
      <w:r>
        <w:rPr>
          <w:rFonts w:hint="eastAsia" w:ascii="仿宋" w:hAnsi="仿宋" w:eastAsia="仿宋"/>
          <w:sz w:val="21"/>
          <w:szCs w:val="21"/>
        </w:rPr>
        <w:t>元）</w:t>
      </w:r>
      <w:r>
        <w:rPr>
          <w:rFonts w:ascii="仿宋" w:hAnsi="仿宋" w:eastAsia="仿宋"/>
          <w:sz w:val="21"/>
          <w:szCs w:val="21"/>
        </w:rPr>
        <w:t>，含税总价共计为</w:t>
      </w:r>
      <w:r>
        <w:rPr>
          <w:rFonts w:hint="eastAsia" w:ascii="仿宋" w:hAnsi="仿宋" w:eastAsia="仿宋"/>
          <w:sz w:val="21"/>
          <w:szCs w:val="21"/>
        </w:rPr>
        <w:t>人民币（大写）</w:t>
      </w:r>
      <w:r>
        <w:rPr>
          <w:rFonts w:hint="eastAsia" w:ascii="仿宋" w:hAnsi="仿宋" w:eastAsia="仿宋"/>
          <w:sz w:val="21"/>
          <w:szCs w:val="21"/>
          <w:u w:val="single"/>
        </w:rPr>
        <w:t xml:space="preserve">                  </w:t>
      </w:r>
      <w:r>
        <w:rPr>
          <w:rFonts w:hint="eastAsia" w:ascii="仿宋" w:hAnsi="仿宋" w:eastAsia="仿宋"/>
          <w:sz w:val="21"/>
          <w:szCs w:val="21"/>
        </w:rPr>
        <w:t>（¥</w:t>
      </w:r>
      <w:r>
        <w:rPr>
          <w:rFonts w:hint="eastAsia" w:ascii="仿宋" w:hAnsi="仿宋" w:eastAsia="仿宋"/>
          <w:sz w:val="21"/>
          <w:szCs w:val="21"/>
          <w:u w:val="single"/>
        </w:rPr>
        <w:t xml:space="preserve">           </w:t>
      </w:r>
      <w:r>
        <w:rPr>
          <w:rFonts w:hint="eastAsia" w:ascii="仿宋" w:hAnsi="仿宋" w:eastAsia="仿宋"/>
          <w:sz w:val="21"/>
          <w:szCs w:val="21"/>
        </w:rPr>
        <w:t>元）,税率为_</w:t>
      </w:r>
      <w:r>
        <w:rPr>
          <w:rFonts w:ascii="仿宋" w:hAnsi="仿宋" w:eastAsia="仿宋"/>
          <w:sz w:val="21"/>
          <w:szCs w:val="21"/>
        </w:rPr>
        <w:t>____%。</w:t>
      </w:r>
    </w:p>
    <w:p w14:paraId="5440D66E">
      <w:pPr>
        <w:spacing w:line="360" w:lineRule="auto"/>
        <w:rPr>
          <w:rFonts w:eastAsia="仿宋"/>
          <w:highlight w:val="yellow"/>
        </w:rPr>
      </w:pPr>
      <w:r>
        <w:rPr>
          <w:rFonts w:hint="eastAsia" w:eastAsia="仿宋"/>
        </w:rPr>
        <w:t>4</w:t>
      </w:r>
      <w:r>
        <w:rPr>
          <w:rFonts w:eastAsia="仿宋"/>
        </w:rPr>
        <w:t xml:space="preserve">.2 </w:t>
      </w:r>
      <w:r>
        <w:rPr>
          <w:rFonts w:hint="eastAsia" w:eastAsia="仿宋"/>
        </w:rPr>
        <w:t>本合同采用以下第</w:t>
      </w:r>
      <w:r>
        <w:rPr>
          <w:rFonts w:hint="eastAsia" w:eastAsia="仿宋"/>
          <w:u w:val="single"/>
          <w:lang w:val="en-US" w:eastAsia="zh-CN"/>
        </w:rPr>
        <w:t>1</w:t>
      </w:r>
      <w:r>
        <w:rPr>
          <w:rFonts w:hint="eastAsia" w:eastAsia="仿宋"/>
        </w:rPr>
        <w:t>种价格形式：</w:t>
      </w:r>
    </w:p>
    <w:p w14:paraId="352F481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yellow"/>
        </w:rPr>
      </w:pPr>
      <w:r>
        <w:rPr>
          <w:rFonts w:hint="eastAsia" w:eastAsia="仿宋"/>
        </w:rPr>
        <w:t>1.总价合同形式</w:t>
      </w:r>
    </w:p>
    <w:p w14:paraId="1E8F7F8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（1）合同价款包括合同项目范围内的合同设备（含合同规定的各种材料、备品备件、专用工具）、设计、土建、安装、保管、调试、试验、验收、并网、技术服务等费用。</w:t>
      </w:r>
    </w:p>
    <w:p w14:paraId="3F8128D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eastAsia="仿宋"/>
        </w:rPr>
      </w:pPr>
      <w:r>
        <w:rPr>
          <w:rFonts w:hint="eastAsia" w:eastAsia="仿宋"/>
        </w:rPr>
        <w:t>（</w:t>
      </w:r>
      <w:r>
        <w:rPr>
          <w:rFonts w:eastAsia="仿宋"/>
        </w:rPr>
        <w:t>2</w:t>
      </w:r>
      <w:r>
        <w:rPr>
          <w:rFonts w:hint="eastAsia" w:eastAsia="仿宋"/>
        </w:rPr>
        <w:t>）</w:t>
      </w:r>
      <w:r>
        <w:rPr>
          <w:rFonts w:hint="eastAsia" w:eastAsia="仿宋"/>
          <w:color w:val="auto"/>
        </w:rPr>
        <w:t>以甲方提供的工</w:t>
      </w:r>
      <w:r>
        <w:rPr>
          <w:rFonts w:hint="eastAsia" w:eastAsia="仿宋"/>
        </w:rPr>
        <w:t>程量清单包干，在合同约定的范围内合同总价原则上不作任何调整。</w:t>
      </w:r>
    </w:p>
    <w:p w14:paraId="5A5B2FE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（3）</w:t>
      </w:r>
      <w:r>
        <w:rPr>
          <w:rFonts w:eastAsia="仿宋"/>
        </w:rPr>
        <w:t>本合同总价在合同有效期内为不变价</w:t>
      </w:r>
      <w:r>
        <w:rPr>
          <w:rFonts w:hint="eastAsia" w:eastAsia="仿宋"/>
        </w:rPr>
        <w:t>，除非发生下列情形可作调整外，不会因为其他情形发生任何调整：</w:t>
      </w:r>
    </w:p>
    <w:p w14:paraId="1BC8E5C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a</w:t>
      </w:r>
      <w:r>
        <w:rPr>
          <w:rFonts w:eastAsia="仿宋"/>
        </w:rPr>
        <w:t xml:space="preserve">. </w:t>
      </w:r>
      <w:r>
        <w:rPr>
          <w:rFonts w:hint="eastAsia" w:eastAsia="仿宋"/>
        </w:rPr>
        <w:t>按照甲方要求或指示的设计变更，导致不包含在合同范围内的工程量或费用的增加，或者导致合同范围内的工程量或费用的减少；</w:t>
      </w:r>
    </w:p>
    <w:p w14:paraId="3AD7367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b</w:t>
      </w:r>
      <w:r>
        <w:rPr>
          <w:rFonts w:eastAsia="仿宋"/>
        </w:rPr>
        <w:t>.</w:t>
      </w:r>
      <w:r>
        <w:rPr>
          <w:rFonts w:hint="eastAsia" w:eastAsia="仿宋"/>
        </w:rPr>
        <w:t>经甲方签证确认的非乙方原因导致的合同工程现场签证事项。</w:t>
      </w:r>
    </w:p>
    <w:p w14:paraId="7937A90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2.单价合同形式</w:t>
      </w:r>
    </w:p>
    <w:p w14:paraId="4D65682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1）本合同采用固定单价合同形式，固定单价所包含的范围，除合同另有约定外，工程量清单中有标价的单价均包括了实施和完成合同项目所需的人工、材料、机械、质检、安装、缺陷修复、管理、利润等费用，以及合同明示或暗示的所有责任、风险。</w:t>
      </w:r>
    </w:p>
    <w:p w14:paraId="0466428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（2）构成合同价款的项目单价一经甲方和乙方签订合同确定后不作调整。</w:t>
      </w:r>
    </w:p>
    <w:p w14:paraId="03609C4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3.其他形式</w:t>
      </w:r>
    </w:p>
    <w:p w14:paraId="7C01B5B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cs="仿宋"/>
        </w:rPr>
        <w:t>本项目中的</w:t>
      </w:r>
      <w:r>
        <w:rPr>
          <w:rFonts w:hint="eastAsia" w:eastAsia="仿宋"/>
        </w:rPr>
        <w:t>_________</w:t>
      </w:r>
      <w:r>
        <w:rPr>
          <w:rFonts w:hint="eastAsia" w:eastAsia="仿宋"/>
          <w:color w:val="auto"/>
        </w:rPr>
        <w:t>_(</w:t>
      </w:r>
      <w:r>
        <w:rPr>
          <w:rFonts w:hint="eastAsia" w:eastAsia="仿宋" w:cs="仿宋"/>
          <w:color w:val="auto"/>
        </w:rPr>
        <w:t>工程量确定的子项目名称</w:t>
      </w:r>
      <w:r>
        <w:rPr>
          <w:rFonts w:hint="eastAsia" w:eastAsia="仿宋"/>
          <w:color w:val="auto"/>
        </w:rPr>
        <w:t>)</w:t>
      </w:r>
      <w:r>
        <w:rPr>
          <w:rFonts w:hint="eastAsia" w:eastAsia="仿宋" w:cs="仿宋"/>
          <w:color w:val="auto"/>
        </w:rPr>
        <w:t>以双方确认的</w:t>
      </w:r>
      <w:r>
        <w:rPr>
          <w:rFonts w:hint="eastAsia" w:eastAsia="仿宋"/>
          <w:color w:val="auto"/>
        </w:rPr>
        <w:t>/</w:t>
      </w:r>
      <w:r>
        <w:rPr>
          <w:rFonts w:hint="eastAsia" w:eastAsia="仿宋" w:cs="仿宋"/>
          <w:color w:val="auto"/>
        </w:rPr>
        <w:t>甲方提供的报价清单中固定总价包干，这部分项目的合同价款在约定的范围内原则上不作任何调整；本项目中的</w:t>
      </w:r>
      <w:r>
        <w:rPr>
          <w:rFonts w:hint="eastAsia" w:eastAsia="仿宋"/>
          <w:color w:val="auto"/>
        </w:rPr>
        <w:t>__________(</w:t>
      </w:r>
      <w:r>
        <w:rPr>
          <w:rFonts w:hint="eastAsia" w:eastAsia="仿宋" w:cs="仿宋"/>
          <w:color w:val="auto"/>
        </w:rPr>
        <w:t>工程量预估的子项目名称</w:t>
      </w:r>
      <w:r>
        <w:rPr>
          <w:rFonts w:hint="eastAsia" w:eastAsia="仿宋"/>
          <w:color w:val="auto"/>
        </w:rPr>
        <w:t>)</w:t>
      </w:r>
      <w:r>
        <w:rPr>
          <w:rFonts w:hint="eastAsia" w:eastAsia="仿宋" w:cs="仿宋"/>
          <w:color w:val="auto"/>
        </w:rPr>
        <w:t>工程量为预估，以双方或者甲方确认的报价</w:t>
      </w:r>
      <w:r>
        <w:rPr>
          <w:rFonts w:hint="eastAsia" w:eastAsia="仿宋" w:cs="仿宋"/>
        </w:rPr>
        <w:t>清单中的固定单价包干，这部分项目的合同价款按双方最终确认的工程量据实计算，固定单价原则上不作任何调整。</w:t>
      </w:r>
    </w:p>
    <w:p w14:paraId="438592D4">
      <w:pPr>
        <w:spacing w:line="360" w:lineRule="auto"/>
        <w:rPr>
          <w:rFonts w:eastAsia="仿宋"/>
        </w:rPr>
      </w:pPr>
      <w:r>
        <w:rPr>
          <w:rFonts w:hint="eastAsia" w:eastAsia="仿宋"/>
        </w:rPr>
        <w:t>4</w:t>
      </w:r>
      <w:r>
        <w:rPr>
          <w:rFonts w:eastAsia="仿宋"/>
        </w:rPr>
        <w:t xml:space="preserve">.3 </w:t>
      </w:r>
      <w:r>
        <w:rPr>
          <w:rFonts w:hint="eastAsia" w:eastAsia="仿宋"/>
        </w:rPr>
        <w:t>出现合同约定的合同价款调增事项后的七个工作日内，乙方应向甲方提交合同价款调增报告并附上相关资料，若乙方在七个工作日内未提交合同价款调增报告的，视为乙方对该事项不存在调整价款。</w:t>
      </w:r>
    </w:p>
    <w:p w14:paraId="688B0130">
      <w:pPr>
        <w:spacing w:line="360" w:lineRule="auto"/>
        <w:rPr>
          <w:rFonts w:eastAsia="仿宋"/>
        </w:rPr>
      </w:pPr>
      <w:r>
        <w:rPr>
          <w:rFonts w:hint="eastAsia" w:eastAsia="仿宋"/>
        </w:rPr>
        <w:t>4</w:t>
      </w:r>
      <w:r>
        <w:rPr>
          <w:rFonts w:eastAsia="仿宋"/>
        </w:rPr>
        <w:t xml:space="preserve">.4 </w:t>
      </w:r>
      <w:r>
        <w:rPr>
          <w:rFonts w:hint="eastAsia" w:eastAsia="仿宋"/>
        </w:rPr>
        <w:t>甲方应</w:t>
      </w:r>
      <w:r>
        <w:rPr>
          <w:rFonts w:eastAsia="仿宋"/>
        </w:rPr>
        <w:t>在收到</w:t>
      </w:r>
      <w:r>
        <w:rPr>
          <w:rFonts w:hint="eastAsia" w:eastAsia="仿宋"/>
        </w:rPr>
        <w:t>乙方</w:t>
      </w:r>
      <w:r>
        <w:rPr>
          <w:rFonts w:eastAsia="仿宋"/>
        </w:rPr>
        <w:t>合同价款调增报告及相关资料之日起</w:t>
      </w:r>
      <w:r>
        <w:rPr>
          <w:rFonts w:eastAsia="仿宋"/>
          <w:u w:val="single"/>
        </w:rPr>
        <w:t>14</w:t>
      </w:r>
      <w:r>
        <w:rPr>
          <w:rFonts w:hint="eastAsia" w:eastAsia="仿宋"/>
          <w:u w:val="none"/>
          <w:lang w:val="en-US" w:eastAsia="zh-CN"/>
        </w:rPr>
        <w:t>个</w:t>
      </w:r>
      <w:r>
        <w:rPr>
          <w:rFonts w:hint="eastAsia" w:eastAsia="仿宋"/>
        </w:rPr>
        <w:t>工作日内</w:t>
      </w:r>
      <w:r>
        <w:rPr>
          <w:rFonts w:eastAsia="仿宋"/>
        </w:rPr>
        <w:t>对其核实，予以确认的</w:t>
      </w:r>
      <w:r>
        <w:rPr>
          <w:rFonts w:hint="eastAsia" w:eastAsia="仿宋"/>
        </w:rPr>
        <w:t>，</w:t>
      </w:r>
      <w:r>
        <w:rPr>
          <w:rFonts w:eastAsia="仿宋"/>
        </w:rPr>
        <w:t>应书面通知</w:t>
      </w:r>
      <w:r>
        <w:rPr>
          <w:rFonts w:hint="eastAsia" w:eastAsia="仿宋"/>
        </w:rPr>
        <w:t>乙方</w:t>
      </w:r>
      <w:r>
        <w:rPr>
          <w:rFonts w:eastAsia="仿宋"/>
        </w:rPr>
        <w:t>。</w:t>
      </w:r>
      <w:r>
        <w:rPr>
          <w:rFonts w:hint="eastAsia" w:eastAsia="仿宋"/>
        </w:rPr>
        <w:t>甲方未予确认的部分，乙方不得擅自变更或增加。</w:t>
      </w:r>
    </w:p>
    <w:p w14:paraId="6D992FED">
      <w:pPr>
        <w:spacing w:line="360" w:lineRule="auto"/>
        <w:rPr>
          <w:rFonts w:eastAsia="仿宋"/>
        </w:rPr>
      </w:pPr>
      <w:r>
        <w:rPr>
          <w:rFonts w:hint="eastAsia" w:eastAsia="仿宋"/>
        </w:rPr>
        <w:t>4</w:t>
      </w:r>
      <w:r>
        <w:rPr>
          <w:rFonts w:eastAsia="仿宋"/>
        </w:rPr>
        <w:t xml:space="preserve">.5 </w:t>
      </w:r>
      <w:r>
        <w:rPr>
          <w:rFonts w:hint="eastAsia" w:eastAsia="仿宋"/>
        </w:rPr>
        <w:t>出现合同约定的合同价款调减事项后的</w:t>
      </w:r>
      <w:r>
        <w:rPr>
          <w:rFonts w:hint="eastAsia" w:eastAsia="仿宋"/>
          <w:u w:val="single"/>
        </w:rPr>
        <w:t>7</w:t>
      </w:r>
      <w:r>
        <w:rPr>
          <w:rFonts w:hint="eastAsia" w:eastAsia="仿宋"/>
        </w:rPr>
        <w:t>个工作日内，甲方应向乙方提交合同价款调减报告并说明理由。乙方在收到甲方合同价款调减报告及相关资料之日起</w:t>
      </w:r>
      <w:r>
        <w:rPr>
          <w:rFonts w:hint="eastAsia" w:eastAsia="仿宋"/>
          <w:u w:val="single"/>
          <w:lang w:val="en-US" w:eastAsia="zh-CN"/>
        </w:rPr>
        <w:t>7</w:t>
      </w:r>
      <w:r>
        <w:rPr>
          <w:rFonts w:hint="eastAsia" w:eastAsia="仿宋"/>
        </w:rPr>
        <w:t>个工作日内不予确认也未提出不同意见的，视为乙方认可甲方的价款调减请求。</w:t>
      </w:r>
    </w:p>
    <w:p w14:paraId="1A2254B5">
      <w:pPr>
        <w:spacing w:line="360" w:lineRule="auto"/>
        <w:rPr>
          <w:rFonts w:hint="eastAsia" w:eastAsia="仿宋"/>
        </w:rPr>
      </w:pPr>
      <w:r>
        <w:rPr>
          <w:rFonts w:hint="eastAsia" w:eastAsia="仿宋"/>
        </w:rPr>
        <w:t>4</w:t>
      </w:r>
      <w:r>
        <w:rPr>
          <w:rFonts w:eastAsia="仿宋"/>
        </w:rPr>
        <w:t xml:space="preserve">.6 </w:t>
      </w:r>
      <w:r>
        <w:rPr>
          <w:rFonts w:hint="eastAsia" w:eastAsia="仿宋"/>
        </w:rPr>
        <w:t>经过甲乙双方确认调整的合同价款，作为追加（减）合同价款，与工程进度款或结算款同期支付。</w:t>
      </w:r>
    </w:p>
    <w:p w14:paraId="75330161">
      <w:pPr>
        <w:spacing w:line="360" w:lineRule="auto"/>
        <w:rPr>
          <w:rFonts w:eastAsia="仿宋"/>
        </w:rPr>
      </w:pPr>
      <w:r>
        <w:rPr>
          <w:rFonts w:hint="eastAsia" w:eastAsia="仿宋"/>
          <w:lang w:val="en-US" w:eastAsia="zh-CN"/>
        </w:rPr>
        <w:t>4.7 本合同款项应按</w:t>
      </w:r>
      <w:r>
        <w:rPr>
          <w:rFonts w:hint="eastAsia" w:eastAsia="仿宋"/>
        </w:rPr>
        <w:t>下列第</w:t>
      </w:r>
      <w:r>
        <w:rPr>
          <w:rFonts w:hint="eastAsia" w:eastAsia="仿宋"/>
          <w:u w:val="single"/>
          <w:lang w:val="en-US" w:eastAsia="zh-CN"/>
        </w:rPr>
        <w:t>1</w:t>
      </w:r>
      <w:r>
        <w:rPr>
          <w:rFonts w:hint="eastAsia" w:eastAsia="仿宋"/>
        </w:rPr>
        <w:t>种方式</w:t>
      </w:r>
      <w:r>
        <w:rPr>
          <w:rFonts w:hint="eastAsia" w:eastAsia="仿宋"/>
          <w:lang w:val="en-US" w:eastAsia="zh-CN"/>
        </w:rPr>
        <w:t>支付</w:t>
      </w:r>
      <w:r>
        <w:rPr>
          <w:rFonts w:hint="eastAsia" w:eastAsia="仿宋"/>
        </w:rPr>
        <w:t>：</w:t>
      </w:r>
    </w:p>
    <w:p w14:paraId="4CB7E36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eastAsia="仿宋"/>
          <w:color w:val="auto"/>
          <w:highlight w:val="none"/>
        </w:rPr>
        <w:t>1</w:t>
      </w:r>
      <w:r>
        <w:rPr>
          <w:rFonts w:hint="eastAsia" w:eastAsia="仿宋"/>
          <w:color w:val="auto"/>
          <w:highlight w:val="none"/>
        </w:rPr>
        <w:t>.一次性付款</w:t>
      </w:r>
    </w:p>
    <w:p w14:paraId="458D550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eastAsia="仿宋"/>
          <w:color w:val="auto"/>
          <w:highlight w:val="none"/>
        </w:rPr>
        <w:t>(1)</w:t>
      </w:r>
      <w:r>
        <w:rPr>
          <w:rFonts w:hint="eastAsia" w:eastAsia="仿宋"/>
          <w:color w:val="auto"/>
          <w:highlight w:val="none"/>
        </w:rPr>
        <w:t>在本</w:t>
      </w:r>
      <w:r>
        <w:rPr>
          <w:rFonts w:eastAsia="仿宋"/>
          <w:color w:val="auto"/>
          <w:highlight w:val="none"/>
        </w:rPr>
        <w:t>项目</w:t>
      </w:r>
      <w:r>
        <w:rPr>
          <w:rFonts w:hint="eastAsia" w:eastAsia="仿宋"/>
          <w:color w:val="auto"/>
          <w:highlight w:val="none"/>
        </w:rPr>
        <w:t>竣工验收合格后（</w:t>
      </w:r>
      <w:r>
        <w:rPr>
          <w:rFonts w:hint="eastAsia" w:ascii="仿宋" w:eastAsia="仿宋"/>
          <w:color w:val="auto"/>
          <w:szCs w:val="28"/>
          <w:highlight w:val="none"/>
        </w:rPr>
        <w:t>如达到甲方结算审计条件，还须完成结算审计</w:t>
      </w:r>
      <w:r>
        <w:rPr>
          <w:rFonts w:hint="eastAsia" w:eastAsia="仿宋"/>
          <w:color w:val="auto"/>
          <w:highlight w:val="none"/>
        </w:rPr>
        <w:t>）</w:t>
      </w:r>
      <w:r>
        <w:rPr>
          <w:rFonts w:eastAsia="仿宋"/>
          <w:color w:val="auto"/>
          <w:highlight w:val="none"/>
        </w:rPr>
        <w:t>，</w:t>
      </w:r>
      <w:r>
        <w:rPr>
          <w:rFonts w:hint="eastAsia" w:eastAsia="仿宋"/>
        </w:rPr>
        <w:t>乙方提交</w:t>
      </w:r>
      <w:r>
        <w:rPr>
          <w:rFonts w:eastAsia="仿宋"/>
        </w:rPr>
        <w:t>全额有效</w:t>
      </w:r>
      <w:r>
        <w:rPr>
          <w:rFonts w:hint="eastAsia" w:eastAsia="仿宋"/>
          <w:lang w:val="en-US" w:eastAsia="zh-CN"/>
        </w:rPr>
        <w:t>且</w:t>
      </w:r>
      <w:r>
        <w:rPr>
          <w:rFonts w:hint="eastAsia" w:eastAsia="仿宋"/>
        </w:rPr>
        <w:t>经甲方确认无误的增值税专用发票后三十日内，甲方</w:t>
      </w:r>
      <w:r>
        <w:rPr>
          <w:rFonts w:eastAsia="仿宋"/>
        </w:rPr>
        <w:t>应付至结算价的</w:t>
      </w:r>
      <w:r>
        <w:rPr>
          <w:rFonts w:hint="eastAsia" w:eastAsia="仿宋"/>
          <w:u w:val="single"/>
        </w:rPr>
        <w:t>97</w:t>
      </w:r>
      <w:r>
        <w:rPr>
          <w:rFonts w:eastAsia="仿宋"/>
        </w:rPr>
        <w:t>%</w:t>
      </w:r>
      <w:r>
        <w:rPr>
          <w:rFonts w:hint="eastAsia" w:eastAsia="仿宋"/>
        </w:rPr>
        <w:t>；</w:t>
      </w:r>
      <w:bookmarkStart w:id="89" w:name="OLE_LINK5"/>
    </w:p>
    <w:p w14:paraId="684D85A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w:t>
      </w:r>
      <w:r>
        <w:rPr>
          <w:rFonts w:eastAsia="仿宋"/>
        </w:rPr>
        <w:t>2)余下</w:t>
      </w:r>
      <w:r>
        <w:rPr>
          <w:rFonts w:hint="eastAsia" w:eastAsia="仿宋"/>
          <w:u w:val="single"/>
        </w:rPr>
        <w:t>3</w:t>
      </w:r>
      <w:r>
        <w:rPr>
          <w:rFonts w:eastAsia="仿宋"/>
        </w:rPr>
        <w:t>%</w:t>
      </w:r>
      <w:r>
        <w:rPr>
          <w:rFonts w:hint="eastAsia" w:eastAsia="仿宋"/>
        </w:rPr>
        <w:t>的</w:t>
      </w:r>
      <w:r>
        <w:rPr>
          <w:rFonts w:eastAsia="仿宋"/>
        </w:rPr>
        <w:t>合同费用作为质保金</w:t>
      </w:r>
      <w:r>
        <w:rPr>
          <w:rFonts w:hint="eastAsia" w:eastAsia="仿宋"/>
        </w:rPr>
        <w:t>，</w:t>
      </w:r>
      <w:r>
        <w:rPr>
          <w:rFonts w:eastAsia="仿宋"/>
        </w:rPr>
        <w:t>在</w:t>
      </w:r>
      <w:r>
        <w:rPr>
          <w:rFonts w:hint="eastAsia" w:eastAsia="仿宋"/>
        </w:rPr>
        <w:t>本</w:t>
      </w:r>
      <w:r>
        <w:rPr>
          <w:rFonts w:eastAsia="仿宋"/>
        </w:rPr>
        <w:t>项目</w:t>
      </w:r>
      <w:r>
        <w:rPr>
          <w:rFonts w:hint="eastAsia" w:eastAsia="仿宋"/>
        </w:rPr>
        <w:t>质保期结束并经</w:t>
      </w:r>
      <w:r>
        <w:rPr>
          <w:rFonts w:eastAsia="仿宋"/>
        </w:rPr>
        <w:t>验收</w:t>
      </w:r>
      <w:r>
        <w:rPr>
          <w:rFonts w:hint="eastAsia" w:eastAsia="仿宋"/>
        </w:rPr>
        <w:t>合格后三十日内，</w:t>
      </w:r>
      <w:r>
        <w:rPr>
          <w:rFonts w:eastAsia="仿宋"/>
        </w:rPr>
        <w:t>乙方提供（甲方</w:t>
      </w:r>
      <w:r>
        <w:rPr>
          <w:rFonts w:hint="eastAsia" w:eastAsia="仿宋"/>
        </w:rPr>
        <w:t>出具</w:t>
      </w:r>
      <w:r>
        <w:rPr>
          <w:rFonts w:eastAsia="仿宋"/>
        </w:rPr>
        <w:t>的）验收证明文件，由甲方支付给乙方。</w:t>
      </w:r>
      <w:bookmarkEnd w:id="89"/>
    </w:p>
    <w:p w14:paraId="1C42198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eastAsia="仿宋"/>
        </w:rPr>
        <w:t>2.</w:t>
      </w:r>
      <w:r>
        <w:rPr>
          <w:rFonts w:hint="eastAsia" w:eastAsia="仿宋"/>
        </w:rPr>
        <w:t>分阶段付款：</w:t>
      </w:r>
    </w:p>
    <w:p w14:paraId="22238C1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（1）首期付款：【</w:t>
      </w:r>
      <w:r>
        <w:rPr>
          <w:rFonts w:hint="eastAsia" w:eastAsia="仿宋"/>
          <w:u w:val="single"/>
        </w:rPr>
        <w:t>付款条件</w:t>
      </w:r>
      <w:r>
        <w:rPr>
          <w:rFonts w:hint="eastAsia" w:eastAsia="仿宋"/>
        </w:rPr>
        <w:t>】，【</w:t>
      </w:r>
      <w:r>
        <w:rPr>
          <w:rFonts w:hint="eastAsia" w:eastAsia="仿宋"/>
          <w:u w:val="single"/>
        </w:rPr>
        <w:t>付款时间</w:t>
      </w:r>
      <w:r>
        <w:rPr>
          <w:rFonts w:hint="eastAsia" w:eastAsia="仿宋"/>
        </w:rPr>
        <w:t>】，【</w:t>
      </w:r>
      <w:r>
        <w:rPr>
          <w:rFonts w:hint="eastAsia" w:eastAsia="仿宋"/>
          <w:u w:val="single"/>
        </w:rPr>
        <w:t>付款比例</w:t>
      </w:r>
      <w:r>
        <w:rPr>
          <w:rFonts w:hint="eastAsia" w:eastAsia="仿宋"/>
        </w:rPr>
        <w:t>】%，即人民币（大写）_____元(￥_____元)；</w:t>
      </w:r>
    </w:p>
    <w:p w14:paraId="438C403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（2）第二期付款：【</w:t>
      </w:r>
      <w:r>
        <w:rPr>
          <w:rFonts w:hint="eastAsia" w:eastAsia="仿宋"/>
          <w:u w:val="single"/>
        </w:rPr>
        <w:t>付款条件</w:t>
      </w:r>
      <w:r>
        <w:rPr>
          <w:rFonts w:hint="eastAsia" w:eastAsia="仿宋"/>
        </w:rPr>
        <w:t>】，【</w:t>
      </w:r>
      <w:r>
        <w:rPr>
          <w:rFonts w:hint="eastAsia" w:eastAsia="仿宋"/>
          <w:u w:val="single"/>
        </w:rPr>
        <w:t>付款时间</w:t>
      </w:r>
      <w:r>
        <w:rPr>
          <w:rFonts w:hint="eastAsia" w:eastAsia="仿宋"/>
        </w:rPr>
        <w:t>】，【</w:t>
      </w:r>
      <w:r>
        <w:rPr>
          <w:rFonts w:hint="eastAsia" w:eastAsia="仿宋"/>
          <w:u w:val="single"/>
        </w:rPr>
        <w:t>付款比例</w:t>
      </w:r>
      <w:r>
        <w:rPr>
          <w:rFonts w:hint="eastAsia" w:eastAsia="仿宋"/>
        </w:rPr>
        <w:t>】%，即人民币（大写）_____元(￥_____元)；</w:t>
      </w:r>
    </w:p>
    <w:p w14:paraId="2E31D88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（3）末期付款：在本</w:t>
      </w:r>
      <w:r>
        <w:rPr>
          <w:rFonts w:eastAsia="仿宋"/>
        </w:rPr>
        <w:t>项目</w:t>
      </w:r>
      <w:r>
        <w:rPr>
          <w:rFonts w:hint="eastAsia" w:eastAsia="仿宋"/>
        </w:rPr>
        <w:t>竣工验收通过后（如果存在项目变更，须完成结算审计）</w:t>
      </w:r>
      <w:r>
        <w:rPr>
          <w:rFonts w:eastAsia="仿宋"/>
        </w:rPr>
        <w:t>，甲方</w:t>
      </w:r>
      <w:r>
        <w:rPr>
          <w:rFonts w:hint="eastAsia" w:eastAsia="仿宋"/>
        </w:rPr>
        <w:t>收到</w:t>
      </w:r>
      <w:r>
        <w:rPr>
          <w:rFonts w:eastAsia="仿宋"/>
        </w:rPr>
        <w:t>乙方提供的有效</w:t>
      </w:r>
      <w:r>
        <w:rPr>
          <w:rFonts w:hint="eastAsia" w:eastAsia="仿宋"/>
        </w:rPr>
        <w:t>增值税专用发票后三十日内，甲方向乙方</w:t>
      </w:r>
      <w:r>
        <w:rPr>
          <w:rFonts w:eastAsia="仿宋"/>
        </w:rPr>
        <w:t>支付至结算价的</w:t>
      </w:r>
      <w:r>
        <w:rPr>
          <w:rFonts w:hint="eastAsia" w:eastAsia="仿宋"/>
          <w:u w:val="single"/>
        </w:rPr>
        <w:t>97</w:t>
      </w:r>
      <w:r>
        <w:rPr>
          <w:rFonts w:eastAsia="仿宋"/>
        </w:rPr>
        <w:t>%</w:t>
      </w:r>
      <w:r>
        <w:rPr>
          <w:rFonts w:hint="eastAsia" w:eastAsia="仿宋"/>
        </w:rPr>
        <w:t>；</w:t>
      </w:r>
    </w:p>
    <w:p w14:paraId="4AE5BB5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rPr>
      </w:pPr>
      <w:r>
        <w:rPr>
          <w:rFonts w:hint="eastAsia" w:eastAsia="仿宋"/>
        </w:rPr>
        <w:t>（4）</w:t>
      </w:r>
      <w:r>
        <w:rPr>
          <w:rFonts w:eastAsia="仿宋"/>
        </w:rPr>
        <w:t>余下</w:t>
      </w:r>
      <w:r>
        <w:rPr>
          <w:rFonts w:hint="eastAsia" w:eastAsia="仿宋"/>
          <w:u w:val="single"/>
        </w:rPr>
        <w:t>3</w:t>
      </w:r>
      <w:r>
        <w:rPr>
          <w:rFonts w:eastAsia="仿宋"/>
        </w:rPr>
        <w:t>%</w:t>
      </w:r>
      <w:r>
        <w:rPr>
          <w:rFonts w:hint="eastAsia" w:eastAsia="仿宋"/>
        </w:rPr>
        <w:t>的</w:t>
      </w:r>
      <w:r>
        <w:rPr>
          <w:rFonts w:eastAsia="仿宋"/>
        </w:rPr>
        <w:t>合同</w:t>
      </w:r>
      <w:r>
        <w:rPr>
          <w:rFonts w:hint="eastAsia" w:eastAsia="仿宋"/>
        </w:rPr>
        <w:t>价款</w:t>
      </w:r>
      <w:r>
        <w:rPr>
          <w:rFonts w:eastAsia="仿宋"/>
        </w:rPr>
        <w:t>作为质保金</w:t>
      </w:r>
      <w:r>
        <w:rPr>
          <w:rFonts w:hint="eastAsia" w:eastAsia="仿宋"/>
        </w:rPr>
        <w:t>，</w:t>
      </w:r>
      <w:r>
        <w:rPr>
          <w:rFonts w:eastAsia="仿宋"/>
        </w:rPr>
        <w:t>在</w:t>
      </w:r>
      <w:r>
        <w:rPr>
          <w:rFonts w:hint="eastAsia" w:eastAsia="仿宋"/>
        </w:rPr>
        <w:t>本</w:t>
      </w:r>
      <w:r>
        <w:rPr>
          <w:rFonts w:eastAsia="仿宋"/>
        </w:rPr>
        <w:t>项目</w:t>
      </w:r>
      <w:r>
        <w:rPr>
          <w:rFonts w:hint="eastAsia" w:eastAsia="仿宋"/>
        </w:rPr>
        <w:t>质保期结束并经</w:t>
      </w:r>
      <w:r>
        <w:rPr>
          <w:rFonts w:eastAsia="仿宋"/>
        </w:rPr>
        <w:t>验收</w:t>
      </w:r>
      <w:r>
        <w:rPr>
          <w:rFonts w:hint="eastAsia" w:eastAsia="仿宋"/>
        </w:rPr>
        <w:t>合格后三十日内，</w:t>
      </w:r>
      <w:r>
        <w:rPr>
          <w:rFonts w:eastAsia="仿宋"/>
        </w:rPr>
        <w:t>乙方提供（甲方</w:t>
      </w:r>
      <w:r>
        <w:rPr>
          <w:rFonts w:hint="eastAsia" w:eastAsia="仿宋"/>
        </w:rPr>
        <w:t>出具</w:t>
      </w:r>
      <w:r>
        <w:rPr>
          <w:rFonts w:eastAsia="仿宋"/>
        </w:rPr>
        <w:t>的）验收证明文件，由甲方支付给乙方。</w:t>
      </w:r>
    </w:p>
    <w:p w14:paraId="29642C90">
      <w:pPr>
        <w:spacing w:line="360" w:lineRule="auto"/>
        <w:rPr>
          <w:rFonts w:hint="eastAsia" w:eastAsia="仿宋"/>
          <w:lang w:val="en-US" w:eastAsia="zh-CN"/>
        </w:rPr>
      </w:pPr>
      <w:r>
        <w:rPr>
          <w:rFonts w:hint="eastAsia" w:eastAsia="仿宋"/>
          <w:lang w:val="en-US" w:eastAsia="zh-CN"/>
        </w:rPr>
        <w:t>4.8 合同价款以</w:t>
      </w:r>
      <w:r>
        <w:rPr>
          <w:rFonts w:hint="eastAsia" w:eastAsia="仿宋"/>
          <w:u w:val="single"/>
          <w:lang w:val="en-US" w:eastAsia="zh-CN"/>
        </w:rPr>
        <w:t xml:space="preserve"> 银行转账 </w:t>
      </w:r>
      <w:r>
        <w:rPr>
          <w:rFonts w:hint="eastAsia" w:eastAsia="仿宋"/>
          <w:lang w:val="en-US" w:eastAsia="zh-CN"/>
        </w:rPr>
        <w:t>的方式支付。</w:t>
      </w:r>
    </w:p>
    <w:p w14:paraId="4018C542">
      <w:pPr>
        <w:spacing w:line="360" w:lineRule="auto"/>
        <w:rPr>
          <w:rFonts w:hint="eastAsia" w:eastAsia="仿宋"/>
          <w:lang w:val="en-US" w:eastAsia="zh-CN"/>
        </w:rPr>
      </w:pPr>
      <w:r>
        <w:rPr>
          <w:rFonts w:hint="eastAsia" w:eastAsia="仿宋"/>
          <w:lang w:val="en-US" w:eastAsia="zh-CN"/>
        </w:rPr>
        <w:t>乙方银行账户信息确认如下：</w:t>
      </w:r>
    </w:p>
    <w:p w14:paraId="65C45F78">
      <w:pPr>
        <w:spacing w:line="360" w:lineRule="auto"/>
        <w:rPr>
          <w:rFonts w:hint="eastAsia" w:eastAsia="仿宋"/>
          <w:u w:val="none"/>
          <w:lang w:val="en-US" w:eastAsia="zh-CN"/>
        </w:rPr>
      </w:pPr>
      <w:r>
        <w:rPr>
          <w:rFonts w:hint="eastAsia" w:eastAsia="仿宋"/>
          <w:lang w:val="en-US" w:eastAsia="zh-CN"/>
        </w:rPr>
        <w:t>账户名：_____________________</w:t>
      </w:r>
      <w:r>
        <w:rPr>
          <w:rFonts w:hint="eastAsia" w:eastAsia="仿宋"/>
          <w:u w:val="none"/>
          <w:lang w:val="en-US" w:eastAsia="zh-CN"/>
        </w:rPr>
        <w:t xml:space="preserve">  </w:t>
      </w:r>
    </w:p>
    <w:p w14:paraId="59C5C8A9">
      <w:pPr>
        <w:spacing w:line="360" w:lineRule="auto"/>
        <w:rPr>
          <w:rFonts w:hint="default" w:eastAsia="仿宋"/>
          <w:lang w:val="en-US" w:eastAsia="zh-CN"/>
        </w:rPr>
      </w:pPr>
      <w:r>
        <w:rPr>
          <w:rFonts w:hint="eastAsia" w:eastAsia="仿宋"/>
          <w:lang w:val="en-US" w:eastAsia="zh-CN"/>
        </w:rPr>
        <w:t xml:space="preserve">开户行：_____________________                                   </w:t>
      </w:r>
    </w:p>
    <w:p w14:paraId="68B4FBE4">
      <w:pPr>
        <w:spacing w:line="360" w:lineRule="auto"/>
        <w:rPr>
          <w:rFonts w:hint="default" w:eastAsia="仿宋"/>
          <w:lang w:val="en-US" w:eastAsia="zh-CN"/>
        </w:rPr>
      </w:pPr>
      <w:r>
        <w:rPr>
          <w:rFonts w:hint="eastAsia" w:eastAsia="仿宋"/>
          <w:lang w:val="en-US" w:eastAsia="zh-CN"/>
        </w:rPr>
        <w:t xml:space="preserve">账号： ______________________                                         </w:t>
      </w:r>
    </w:p>
    <w:p w14:paraId="293CCCD3">
      <w:pPr>
        <w:spacing w:line="360" w:lineRule="auto"/>
        <w:rPr>
          <w:rFonts w:hint="eastAsia" w:eastAsia="仿宋"/>
          <w:lang w:val="en-US" w:eastAsia="zh-CN"/>
        </w:rPr>
      </w:pPr>
      <w:r>
        <w:rPr>
          <w:rFonts w:hint="eastAsia" w:eastAsia="仿宋"/>
          <w:lang w:val="en-US" w:eastAsia="zh-CN"/>
        </w:rPr>
        <w:t>甲方开票信息确认如下：</w:t>
      </w:r>
    </w:p>
    <w:p w14:paraId="14A355E7">
      <w:pPr>
        <w:spacing w:line="360" w:lineRule="auto"/>
        <w:rPr>
          <w:rFonts w:hint="eastAsia" w:eastAsia="仿宋"/>
          <w:lang w:val="en-US" w:eastAsia="zh-CN"/>
        </w:rPr>
      </w:pPr>
      <w:r>
        <w:rPr>
          <w:rFonts w:hint="eastAsia" w:eastAsia="仿宋"/>
          <w:lang w:val="en-US" w:eastAsia="zh-CN"/>
        </w:rPr>
        <w:t xml:space="preserve">单位名称：_____________________                                    </w:t>
      </w:r>
    </w:p>
    <w:p w14:paraId="7E7ACC75">
      <w:pPr>
        <w:spacing w:line="360" w:lineRule="auto"/>
        <w:rPr>
          <w:rFonts w:hint="eastAsia" w:eastAsia="仿宋"/>
          <w:lang w:val="en-US" w:eastAsia="zh-CN"/>
        </w:rPr>
      </w:pPr>
      <w:r>
        <w:rPr>
          <w:rFonts w:hint="eastAsia" w:eastAsia="仿宋"/>
          <w:lang w:val="en-US" w:eastAsia="zh-CN"/>
        </w:rPr>
        <w:t xml:space="preserve">纳税人识别号：_____________________                           </w:t>
      </w:r>
    </w:p>
    <w:p w14:paraId="1FCF13D4">
      <w:pPr>
        <w:spacing w:line="360" w:lineRule="auto"/>
        <w:rPr>
          <w:rFonts w:hint="eastAsia" w:eastAsia="仿宋"/>
          <w:lang w:val="en-US" w:eastAsia="zh-CN"/>
        </w:rPr>
      </w:pPr>
      <w:r>
        <w:rPr>
          <w:rFonts w:hint="eastAsia" w:eastAsia="仿宋"/>
          <w:lang w:val="en-US" w:eastAsia="zh-CN"/>
        </w:rPr>
        <w:t xml:space="preserve">地址、电话：____________________                             </w:t>
      </w:r>
    </w:p>
    <w:p w14:paraId="3F07AE6C">
      <w:pPr>
        <w:spacing w:line="360" w:lineRule="auto"/>
        <w:rPr>
          <w:rFonts w:hint="eastAsia" w:eastAsia="仿宋"/>
          <w:u w:val="single"/>
          <w:lang w:val="en-US" w:eastAsia="zh-CN"/>
        </w:rPr>
      </w:pPr>
      <w:r>
        <w:rPr>
          <w:rFonts w:hint="eastAsia" w:eastAsia="仿宋"/>
          <w:lang w:val="en-US" w:eastAsia="zh-CN"/>
        </w:rPr>
        <w:t>开户行、账号：_____________________</w:t>
      </w:r>
    </w:p>
    <w:p w14:paraId="79E5541A">
      <w:pPr>
        <w:spacing w:line="360" w:lineRule="auto"/>
        <w:rPr>
          <w:rFonts w:eastAsia="仿宋"/>
        </w:rPr>
      </w:pPr>
      <w:r>
        <w:rPr>
          <w:rFonts w:hint="eastAsia" w:eastAsia="仿宋"/>
          <w:lang w:val="en-US" w:eastAsia="zh-CN"/>
        </w:rPr>
        <w:t xml:space="preserve">4.9 </w:t>
      </w:r>
      <w:r>
        <w:rPr>
          <w:rFonts w:hint="eastAsia" w:eastAsia="仿宋"/>
        </w:rPr>
        <w:t>乙方应支付的违约金、损失赔偿金等均可由甲方直接从未付的合同价款、履约保证金或质保金中扣除。如不足以赔付，甲方有权向乙方另行主张赔偿。</w:t>
      </w:r>
    </w:p>
    <w:p w14:paraId="083F2074">
      <w:pPr>
        <w:spacing w:line="360" w:lineRule="auto"/>
        <w:rPr>
          <w:rFonts w:hint="eastAsia" w:eastAsia="仿宋"/>
          <w:highlight w:val="none"/>
        </w:rPr>
      </w:pPr>
      <w:r>
        <w:rPr>
          <w:rFonts w:hint="eastAsia" w:eastAsia="仿宋"/>
          <w:highlight w:val="none"/>
          <w:lang w:val="en-US" w:eastAsia="zh-CN"/>
        </w:rPr>
        <w:t xml:space="preserve">4.10 </w:t>
      </w:r>
      <w:r>
        <w:rPr>
          <w:rFonts w:hint="eastAsia" w:eastAsia="仿宋"/>
          <w:highlight w:val="none"/>
        </w:rPr>
        <w:t>本合同约定的为含税合同价款。在合同履行期间，如遇国家的税率调整或其他政策影响税率的，税率随变化而变化，则合同价款及综合单价金额不做调整。</w:t>
      </w:r>
    </w:p>
    <w:p w14:paraId="51E95700">
      <w:pPr>
        <w:spacing w:line="360" w:lineRule="auto"/>
        <w:rPr>
          <w:rFonts w:eastAsia="仿宋"/>
        </w:rPr>
      </w:pPr>
      <w:r>
        <w:rPr>
          <w:rFonts w:hint="eastAsia" w:eastAsia="仿宋"/>
          <w:lang w:val="en-US" w:eastAsia="zh-CN"/>
        </w:rPr>
        <w:t xml:space="preserve">4.11 </w:t>
      </w:r>
      <w:r>
        <w:rPr>
          <w:rFonts w:hint="eastAsia" w:eastAsia="仿宋"/>
        </w:rPr>
        <w:t>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76DE4F9A">
      <w:pPr>
        <w:spacing w:line="360" w:lineRule="auto"/>
        <w:rPr>
          <w:rFonts w:eastAsia="仿宋"/>
          <w:b/>
        </w:rPr>
      </w:pPr>
      <w:r>
        <w:rPr>
          <w:rFonts w:hint="eastAsia" w:eastAsia="仿宋"/>
          <w:b/>
        </w:rPr>
        <w:t>五、甲方权利义务</w:t>
      </w:r>
    </w:p>
    <w:p w14:paraId="323C04E8">
      <w:pPr>
        <w:spacing w:line="360" w:lineRule="auto"/>
        <w:rPr>
          <w:rFonts w:eastAsia="仿宋"/>
        </w:rPr>
      </w:pPr>
      <w:r>
        <w:rPr>
          <w:rFonts w:hint="eastAsia" w:eastAsia="仿宋"/>
        </w:rPr>
        <w:t>5</w:t>
      </w:r>
      <w:r>
        <w:rPr>
          <w:rFonts w:eastAsia="仿宋"/>
        </w:rPr>
        <w:t>.1</w:t>
      </w:r>
      <w:r>
        <w:rPr>
          <w:rFonts w:hint="eastAsia" w:eastAsia="仿宋"/>
          <w:lang w:val="en-US" w:eastAsia="zh-CN"/>
        </w:rPr>
        <w:t xml:space="preserve"> </w:t>
      </w:r>
      <w:r>
        <w:rPr>
          <w:rFonts w:hint="eastAsia" w:eastAsia="仿宋"/>
        </w:rPr>
        <w:t>负责按照本合同约定向乙方支付相应的费用。</w:t>
      </w:r>
    </w:p>
    <w:p w14:paraId="2B7F3C97">
      <w:pPr>
        <w:spacing w:line="360" w:lineRule="auto"/>
        <w:rPr>
          <w:rFonts w:eastAsia="仿宋"/>
        </w:rPr>
      </w:pPr>
      <w:r>
        <w:rPr>
          <w:rFonts w:hint="eastAsia" w:eastAsia="仿宋"/>
        </w:rPr>
        <w:t>5</w:t>
      </w:r>
      <w:r>
        <w:rPr>
          <w:rFonts w:eastAsia="仿宋"/>
        </w:rPr>
        <w:t>.2</w:t>
      </w:r>
      <w:r>
        <w:rPr>
          <w:rFonts w:hint="eastAsia" w:eastAsia="仿宋"/>
          <w:lang w:val="en-US" w:eastAsia="zh-CN"/>
        </w:rPr>
        <w:t xml:space="preserve"> </w:t>
      </w:r>
      <w:r>
        <w:rPr>
          <w:rFonts w:hint="eastAsia" w:eastAsia="仿宋"/>
        </w:rPr>
        <w:t>负责向乙方提供本项目相关的图纸和资料，并审批乙方提供的施工方案和计划。</w:t>
      </w:r>
    </w:p>
    <w:p w14:paraId="5FA7BC9C">
      <w:pPr>
        <w:spacing w:line="360" w:lineRule="auto"/>
        <w:rPr>
          <w:rFonts w:eastAsia="仿宋"/>
        </w:rPr>
      </w:pPr>
      <w:r>
        <w:rPr>
          <w:rFonts w:hint="eastAsia" w:eastAsia="仿宋"/>
        </w:rPr>
        <w:t>5</w:t>
      </w:r>
      <w:r>
        <w:rPr>
          <w:rFonts w:eastAsia="仿宋"/>
        </w:rPr>
        <w:t xml:space="preserve">.3 </w:t>
      </w:r>
      <w:r>
        <w:rPr>
          <w:rFonts w:hint="eastAsia" w:eastAsia="仿宋"/>
        </w:rPr>
        <w:t>对乙方维修中的项目的施工质量、工程进度、安全生产、文明、环保施工等有协调、监督、监察的权利。</w:t>
      </w:r>
    </w:p>
    <w:p w14:paraId="19E9C4D1">
      <w:pPr>
        <w:spacing w:line="360" w:lineRule="auto"/>
        <w:rPr>
          <w:rFonts w:eastAsia="仿宋"/>
        </w:rPr>
      </w:pPr>
      <w:r>
        <w:rPr>
          <w:rFonts w:hint="eastAsia" w:eastAsia="仿宋"/>
        </w:rPr>
        <w:t>5.</w:t>
      </w:r>
      <w:r>
        <w:rPr>
          <w:rFonts w:eastAsia="仿宋"/>
        </w:rPr>
        <w:t>4</w:t>
      </w:r>
      <w:r>
        <w:rPr>
          <w:rFonts w:hint="eastAsia" w:eastAsia="仿宋"/>
          <w:lang w:val="en-US" w:eastAsia="zh-CN"/>
        </w:rPr>
        <w:t xml:space="preserve"> </w:t>
      </w:r>
      <w:r>
        <w:rPr>
          <w:rFonts w:hint="eastAsia" w:eastAsia="仿宋"/>
        </w:rPr>
        <w:t>负责本项目的完工验收，并办理项目结算。</w:t>
      </w:r>
    </w:p>
    <w:p w14:paraId="1CE8B7FE">
      <w:pPr>
        <w:spacing w:line="360" w:lineRule="auto"/>
        <w:rPr>
          <w:rFonts w:eastAsia="仿宋"/>
          <w:b/>
        </w:rPr>
      </w:pPr>
      <w:r>
        <w:rPr>
          <w:rFonts w:hint="eastAsia" w:eastAsia="仿宋"/>
          <w:b/>
        </w:rPr>
        <w:t>六、乙方权利义务</w:t>
      </w:r>
    </w:p>
    <w:p w14:paraId="4050084B">
      <w:pPr>
        <w:spacing w:line="360" w:lineRule="auto"/>
        <w:rPr>
          <w:rFonts w:eastAsia="仿宋"/>
        </w:rPr>
      </w:pPr>
      <w:r>
        <w:rPr>
          <w:rFonts w:hint="eastAsia" w:eastAsia="仿宋"/>
        </w:rPr>
        <w:t>6</w:t>
      </w:r>
      <w:r>
        <w:rPr>
          <w:rFonts w:eastAsia="仿宋"/>
        </w:rPr>
        <w:t>.1</w:t>
      </w:r>
      <w:r>
        <w:rPr>
          <w:rFonts w:hint="eastAsia" w:eastAsia="仿宋"/>
          <w:lang w:val="en-US" w:eastAsia="zh-CN"/>
        </w:rPr>
        <w:t xml:space="preserve"> </w:t>
      </w:r>
      <w:r>
        <w:rPr>
          <w:rFonts w:hint="eastAsia" w:eastAsia="仿宋"/>
        </w:rPr>
        <w:t>乙方应具有完成本项目的施工资质，在施工前应向甲方提供符合要求的施工计划、施工方案以及施工设计图纸等材料。</w:t>
      </w:r>
    </w:p>
    <w:p w14:paraId="2E8A6ADE">
      <w:pPr>
        <w:spacing w:line="360" w:lineRule="auto"/>
        <w:rPr>
          <w:rFonts w:eastAsia="仿宋"/>
        </w:rPr>
      </w:pPr>
      <w:r>
        <w:rPr>
          <w:rFonts w:hint="eastAsia" w:eastAsia="仿宋"/>
        </w:rPr>
        <w:t>6</w:t>
      </w:r>
      <w:r>
        <w:rPr>
          <w:rFonts w:eastAsia="仿宋"/>
        </w:rPr>
        <w:t>.2</w:t>
      </w:r>
      <w:r>
        <w:rPr>
          <w:rFonts w:hint="eastAsia" w:eastAsia="仿宋"/>
          <w:lang w:val="en-US" w:eastAsia="zh-CN"/>
        </w:rPr>
        <w:t xml:space="preserve"> </w:t>
      </w:r>
      <w:r>
        <w:rPr>
          <w:rFonts w:hint="eastAsia" w:eastAsia="仿宋"/>
        </w:rPr>
        <w:t>乙方指派项目经理负责组织施工，保质、保量、按期完成施工任务。</w:t>
      </w:r>
    </w:p>
    <w:p w14:paraId="5B9C4442">
      <w:pPr>
        <w:spacing w:line="360" w:lineRule="auto"/>
        <w:rPr>
          <w:rFonts w:eastAsia="仿宋"/>
        </w:rPr>
      </w:pPr>
      <w:r>
        <w:rPr>
          <w:rFonts w:hint="eastAsia" w:eastAsia="仿宋"/>
        </w:rPr>
        <w:t>6</w:t>
      </w:r>
      <w:r>
        <w:rPr>
          <w:rFonts w:eastAsia="仿宋"/>
        </w:rPr>
        <w:t>.3</w:t>
      </w:r>
      <w:r>
        <w:rPr>
          <w:rFonts w:hint="eastAsia" w:eastAsia="仿宋"/>
          <w:lang w:val="en-US" w:eastAsia="zh-CN"/>
        </w:rPr>
        <w:t xml:space="preserve"> </w:t>
      </w:r>
      <w:r>
        <w:rPr>
          <w:rFonts w:hint="eastAsia" w:eastAsia="仿宋"/>
        </w:rPr>
        <w:t>在项目实施前向甲方提交一份现场主要施工人员和施工设备的清单，严格执行施工规范、安全操作规程，遵守防火安全、环境保护等规定，做好各项质量检查记录。</w:t>
      </w:r>
    </w:p>
    <w:p w14:paraId="78AACF17">
      <w:pPr>
        <w:spacing w:line="360" w:lineRule="auto"/>
        <w:rPr>
          <w:rFonts w:eastAsia="仿宋"/>
        </w:rPr>
      </w:pPr>
      <w:r>
        <w:rPr>
          <w:rFonts w:hint="eastAsia" w:eastAsia="仿宋"/>
        </w:rPr>
        <w:t>6</w:t>
      </w:r>
      <w:r>
        <w:rPr>
          <w:rFonts w:eastAsia="仿宋"/>
        </w:rPr>
        <w:t>.4</w:t>
      </w:r>
      <w:r>
        <w:rPr>
          <w:rFonts w:hint="eastAsia" w:eastAsia="仿宋"/>
          <w:lang w:val="en-US" w:eastAsia="zh-CN"/>
        </w:rPr>
        <w:t xml:space="preserve"> </w:t>
      </w:r>
      <w:r>
        <w:rPr>
          <w:rFonts w:hint="eastAsia" w:eastAsia="仿宋"/>
        </w:rPr>
        <w:t>本项目实施过程中，应接受甲方的检查、检验，并为检查、检验提供便利条件。</w:t>
      </w:r>
    </w:p>
    <w:p w14:paraId="279B723A">
      <w:pPr>
        <w:spacing w:line="360" w:lineRule="auto"/>
        <w:rPr>
          <w:rFonts w:eastAsia="仿宋"/>
        </w:rPr>
      </w:pPr>
      <w:r>
        <w:rPr>
          <w:rFonts w:hint="eastAsia" w:eastAsia="仿宋"/>
        </w:rPr>
        <w:t>6</w:t>
      </w:r>
      <w:r>
        <w:rPr>
          <w:rFonts w:eastAsia="仿宋"/>
        </w:rPr>
        <w:t>.5</w:t>
      </w:r>
      <w:r>
        <w:rPr>
          <w:rFonts w:hint="eastAsia" w:eastAsia="仿宋"/>
          <w:lang w:val="en-US" w:eastAsia="zh-CN"/>
        </w:rPr>
        <w:t xml:space="preserve"> </w:t>
      </w:r>
      <w:r>
        <w:rPr>
          <w:rFonts w:hint="eastAsia" w:eastAsia="仿宋"/>
        </w:rPr>
        <w:t>乙方应当严格按照国家颁布的安全法规安全施工，如本项目施工过程中发生安全、火灾等事故的，乙方应立即采取适当救助措施并通知甲方。出现安全事故或造成乙方雇员、第三人人身损害、财产损失的，由乙方承担全部赔偿责任。</w:t>
      </w:r>
    </w:p>
    <w:p w14:paraId="09B954DC">
      <w:pPr>
        <w:spacing w:line="360" w:lineRule="auto"/>
        <w:rPr>
          <w:rFonts w:eastAsia="仿宋"/>
        </w:rPr>
      </w:pPr>
      <w:r>
        <w:rPr>
          <w:rFonts w:hint="eastAsia" w:eastAsia="仿宋"/>
        </w:rPr>
        <w:t>6</w:t>
      </w:r>
      <w:r>
        <w:rPr>
          <w:rFonts w:eastAsia="仿宋"/>
        </w:rPr>
        <w:t>.6</w:t>
      </w:r>
      <w:r>
        <w:rPr>
          <w:rFonts w:hint="eastAsia" w:eastAsia="仿宋"/>
          <w:lang w:val="en-US" w:eastAsia="zh-CN"/>
        </w:rPr>
        <w:t xml:space="preserve"> </w:t>
      </w:r>
      <w:r>
        <w:rPr>
          <w:rFonts w:hint="eastAsia" w:eastAsia="仿宋"/>
        </w:rPr>
        <w:t>遵守国家、地方政府及行政主管部门对施工现场管理的规定，妥善保护好施工现场周围建筑物、设备管线不受损坏，保护期间发生侵权或损坏事件的，由乙方负责解决，并承担由此产生的一切费用和损失；做好施工现场保卫和垃圾清运等工作，保证在本项目竣工之日起7天内清理所有的垃圾。</w:t>
      </w:r>
    </w:p>
    <w:p w14:paraId="0D633E09">
      <w:pPr>
        <w:spacing w:line="360" w:lineRule="auto"/>
        <w:rPr>
          <w:rFonts w:eastAsia="仿宋"/>
        </w:rPr>
      </w:pPr>
      <w:r>
        <w:rPr>
          <w:rFonts w:hint="eastAsia" w:eastAsia="仿宋"/>
        </w:rPr>
        <w:t>6</w:t>
      </w:r>
      <w:r>
        <w:rPr>
          <w:rFonts w:eastAsia="仿宋"/>
        </w:rPr>
        <w:t>.7</w:t>
      </w:r>
      <w:r>
        <w:rPr>
          <w:rFonts w:hint="eastAsia" w:eastAsia="仿宋"/>
          <w:lang w:val="en-US" w:eastAsia="zh-CN"/>
        </w:rPr>
        <w:t xml:space="preserve"> </w:t>
      </w:r>
      <w:r>
        <w:rPr>
          <w:rFonts w:hint="eastAsia" w:eastAsia="仿宋"/>
        </w:rPr>
        <w:t>本项目完工未移交甲方之前，乙方应负责保管现场的一切设施和工程成品。</w:t>
      </w:r>
    </w:p>
    <w:p w14:paraId="19AD62F2">
      <w:pPr>
        <w:spacing w:line="360" w:lineRule="auto"/>
        <w:rPr>
          <w:rFonts w:eastAsia="仿宋"/>
        </w:rPr>
      </w:pPr>
      <w:r>
        <w:rPr>
          <w:rFonts w:hint="eastAsia" w:eastAsia="仿宋"/>
        </w:rPr>
        <w:t>6</w:t>
      </w:r>
      <w:r>
        <w:rPr>
          <w:rFonts w:eastAsia="仿宋"/>
        </w:rPr>
        <w:t>.8</w:t>
      </w:r>
      <w:r>
        <w:rPr>
          <w:rFonts w:hint="eastAsia" w:eastAsia="仿宋"/>
          <w:lang w:val="en-US" w:eastAsia="zh-CN"/>
        </w:rPr>
        <w:t xml:space="preserve"> </w:t>
      </w:r>
      <w:r>
        <w:rPr>
          <w:rFonts w:hint="eastAsia" w:eastAsia="仿宋"/>
        </w:rPr>
        <w:t>未经甲方的书面同意，乙方不得将其在本合同项下的权利和义务转让给第三方。</w:t>
      </w:r>
    </w:p>
    <w:p w14:paraId="0569550B">
      <w:pPr>
        <w:spacing w:line="360" w:lineRule="auto"/>
        <w:rPr>
          <w:rFonts w:hint="eastAsia" w:eastAsia="仿宋"/>
        </w:rPr>
      </w:pPr>
      <w:r>
        <w:rPr>
          <w:rFonts w:hint="eastAsia" w:eastAsia="仿宋"/>
        </w:rPr>
        <w:t>6</w:t>
      </w:r>
      <w:r>
        <w:rPr>
          <w:rFonts w:eastAsia="仿宋"/>
        </w:rPr>
        <w:t>.9</w:t>
      </w:r>
      <w:r>
        <w:rPr>
          <w:rFonts w:hint="eastAsia" w:eastAsia="仿宋"/>
          <w:lang w:val="en-US" w:eastAsia="zh-CN"/>
        </w:rPr>
        <w:t xml:space="preserve"> </w:t>
      </w:r>
      <w:r>
        <w:rPr>
          <w:rFonts w:hint="eastAsia" w:eastAsia="仿宋"/>
        </w:rPr>
        <w:t>负责办理</w:t>
      </w:r>
      <w:r>
        <w:rPr>
          <w:rFonts w:hint="eastAsia" w:eastAsia="仿宋"/>
          <w:lang w:val="en-US" w:eastAsia="zh-CN"/>
        </w:rPr>
        <w:t>项目</w:t>
      </w:r>
      <w:r>
        <w:rPr>
          <w:rFonts w:hint="eastAsia" w:eastAsia="仿宋"/>
        </w:rPr>
        <w:t>施工期间乙方相关雇员的工伤保险、意外伤害保险、第三者责任保险及工程设备保险等事宜并承担相关费用，并负责处理与其雇员、员工之间的劳动人事争议。</w:t>
      </w:r>
    </w:p>
    <w:p w14:paraId="6D4FF2E7">
      <w:pPr>
        <w:spacing w:line="360" w:lineRule="auto"/>
        <w:rPr>
          <w:rFonts w:hint="eastAsia" w:eastAsia="仿宋" w:cs="Times New Roman (正文 CS 字体)"/>
          <w:highlight w:val="none"/>
        </w:rPr>
      </w:pPr>
      <w:r>
        <w:rPr>
          <w:rFonts w:hint="eastAsia" w:eastAsia="仿宋"/>
          <w:lang w:val="en-US" w:eastAsia="zh-CN"/>
        </w:rPr>
        <w:t xml:space="preserve">6.10 </w:t>
      </w:r>
      <w:r>
        <w:rPr>
          <w:rFonts w:hint="eastAsia" w:eastAsia="仿宋"/>
          <w:highlight w:val="none"/>
        </w:rPr>
        <w:t>乙方承诺严格规范劳动用工，</w:t>
      </w:r>
      <w:r>
        <w:rPr>
          <w:rFonts w:hint="eastAsia" w:eastAsia="仿宋"/>
          <w:highlight w:val="none"/>
          <w:lang w:val="en-US" w:eastAsia="zh-CN"/>
        </w:rPr>
        <w:t>并</w:t>
      </w:r>
      <w:r>
        <w:rPr>
          <w:rFonts w:hint="eastAsia" w:eastAsia="仿宋"/>
          <w:highlight w:val="none"/>
        </w:rPr>
        <w:t>不得发生任何拖欠第三方材料款、拖欠农民工工资或集体聚集、上访、打架等群体事件，</w:t>
      </w:r>
      <w:r>
        <w:rPr>
          <w:rFonts w:hint="eastAsia" w:eastAsia="仿宋"/>
          <w:highlight w:val="none"/>
          <w:lang w:val="en-US" w:eastAsia="zh-CN"/>
        </w:rPr>
        <w:t>否则甲方有权解除合同，并有权从应付未付的合同款项、履约保证金中扣除因</w:t>
      </w:r>
      <w:r>
        <w:rPr>
          <w:rFonts w:hint="eastAsia" w:eastAsia="仿宋" w:cs="Times New Roman (正文 CS 字体)"/>
          <w:highlight w:val="none"/>
        </w:rPr>
        <w:t>乙方</w:t>
      </w:r>
      <w:r>
        <w:rPr>
          <w:rFonts w:hint="eastAsia" w:eastAsia="仿宋" w:cs="Times New Roman (正文 CS 字体)"/>
          <w:highlight w:val="none"/>
          <w:lang w:val="en-US" w:eastAsia="zh-CN"/>
        </w:rPr>
        <w:t>原因</w:t>
      </w:r>
      <w:r>
        <w:rPr>
          <w:rFonts w:hint="eastAsia" w:eastAsia="仿宋" w:cs="Times New Roman (正文 CS 字体)"/>
          <w:highlight w:val="none"/>
        </w:rPr>
        <w:t>导致的任何费用支出、违约金、损失或损害赔偿金。</w:t>
      </w:r>
    </w:p>
    <w:p w14:paraId="4D12B00B">
      <w:pPr>
        <w:spacing w:line="360" w:lineRule="auto"/>
        <w:rPr>
          <w:rFonts w:hint="eastAsia" w:eastAsia="仿宋"/>
          <w:highlight w:val="none"/>
          <w:lang w:val="en-US" w:eastAsia="zh-CN"/>
        </w:rPr>
      </w:pPr>
      <w:r>
        <w:rPr>
          <w:rFonts w:hint="default" w:eastAsia="仿宋"/>
          <w:highlight w:val="none"/>
          <w:lang w:eastAsia="zh-CN"/>
        </w:rPr>
        <w:t>6.11</w:t>
      </w:r>
      <w:r>
        <w:rPr>
          <w:rFonts w:hint="eastAsia" w:eastAsia="仿宋"/>
          <w:highlight w:val="none"/>
          <w:lang w:val="en-US" w:eastAsia="zh-CN"/>
        </w:rPr>
        <w:t xml:space="preserve"> 乙方</w:t>
      </w:r>
      <w:r>
        <w:rPr>
          <w:rFonts w:hint="eastAsia" w:eastAsia="仿宋"/>
          <w:highlight w:val="none"/>
          <w:lang w:val="en-US" w:eastAsia="zh-Hans"/>
        </w:rPr>
        <w:t>如</w:t>
      </w:r>
      <w:r>
        <w:rPr>
          <w:rFonts w:hint="eastAsia" w:eastAsia="仿宋"/>
          <w:highlight w:val="none"/>
          <w:lang w:val="en-US" w:eastAsia="zh-CN"/>
        </w:rPr>
        <w:t>在中标后</w:t>
      </w:r>
      <w:r>
        <w:rPr>
          <w:rFonts w:hint="eastAsia" w:eastAsia="仿宋"/>
          <w:highlight w:val="none"/>
          <w:lang w:val="en-US" w:eastAsia="zh-Hans"/>
        </w:rPr>
        <w:t>或者合同履行期间发生</w:t>
      </w:r>
      <w:r>
        <w:rPr>
          <w:rFonts w:hint="eastAsia" w:eastAsia="仿宋"/>
          <w:highlight w:val="none"/>
          <w:lang w:val="en-US" w:eastAsia="zh-CN"/>
        </w:rPr>
        <w:t>被人民法院列为失信被执行人、影响合同履约能力的重大行政处罚等情形，应及时向</w:t>
      </w:r>
      <w:r>
        <w:rPr>
          <w:rFonts w:hint="eastAsia" w:eastAsia="仿宋"/>
          <w:highlight w:val="none"/>
          <w:lang w:val="en-US" w:eastAsia="zh-Hans"/>
        </w:rPr>
        <w:t>甲方的</w:t>
      </w:r>
      <w:r>
        <w:rPr>
          <w:rFonts w:hint="eastAsia" w:eastAsia="仿宋"/>
          <w:highlight w:val="none"/>
          <w:lang w:val="en-US" w:eastAsia="zh-CN"/>
        </w:rPr>
        <w:t>履约管理单位</w:t>
      </w:r>
      <w:r>
        <w:rPr>
          <w:rFonts w:hint="eastAsia" w:eastAsia="仿宋"/>
          <w:highlight w:val="none"/>
          <w:lang w:val="en-US" w:eastAsia="zh-Hans"/>
        </w:rPr>
        <w:t>、</w:t>
      </w:r>
      <w:r>
        <w:rPr>
          <w:rFonts w:hint="eastAsia" w:eastAsia="仿宋"/>
          <w:highlight w:val="none"/>
          <w:lang w:val="en-US" w:eastAsia="zh-CN"/>
        </w:rPr>
        <w:t>物资部报备。</w:t>
      </w:r>
    </w:p>
    <w:p w14:paraId="7CBADB6F">
      <w:pPr>
        <w:spacing w:line="360" w:lineRule="auto"/>
        <w:rPr>
          <w:rFonts w:eastAsia="仿宋"/>
          <w:b/>
        </w:rPr>
      </w:pPr>
      <w:r>
        <w:rPr>
          <w:rFonts w:hint="eastAsia" w:eastAsia="仿宋"/>
          <w:b/>
          <w:lang w:val="en-US" w:eastAsia="zh-CN"/>
        </w:rPr>
        <w:t>七</w:t>
      </w:r>
      <w:r>
        <w:rPr>
          <w:rFonts w:hint="eastAsia" w:eastAsia="仿宋"/>
          <w:b/>
        </w:rPr>
        <w:t>、质量及验收要求</w:t>
      </w:r>
    </w:p>
    <w:p w14:paraId="24592128">
      <w:pPr>
        <w:spacing w:line="360" w:lineRule="auto"/>
        <w:rPr>
          <w:rFonts w:eastAsia="仿宋"/>
        </w:rPr>
      </w:pPr>
      <w:r>
        <w:rPr>
          <w:rFonts w:hint="eastAsia" w:eastAsia="仿宋"/>
        </w:rPr>
        <w:t>7</w:t>
      </w:r>
      <w:r>
        <w:rPr>
          <w:rFonts w:eastAsia="仿宋"/>
        </w:rPr>
        <w:t>.1</w:t>
      </w:r>
      <w:r>
        <w:rPr>
          <w:rFonts w:hint="eastAsia" w:eastAsia="仿宋"/>
          <w:lang w:val="en-US" w:eastAsia="zh-CN"/>
        </w:rPr>
        <w:t xml:space="preserve"> </w:t>
      </w:r>
      <w:r>
        <w:rPr>
          <w:rFonts w:hint="eastAsia" w:eastAsia="仿宋"/>
        </w:rPr>
        <w:t>乙方为本项目提供的材料均须符合国家标准，有质量合格证明，主要材料的品种、规格等经甲方认可后方可使用。</w:t>
      </w:r>
    </w:p>
    <w:p w14:paraId="232BC6F9">
      <w:pPr>
        <w:spacing w:line="360" w:lineRule="auto"/>
        <w:rPr>
          <w:rFonts w:eastAsia="仿宋"/>
        </w:rPr>
      </w:pPr>
      <w:r>
        <w:rPr>
          <w:rFonts w:hint="eastAsia" w:eastAsia="仿宋"/>
        </w:rPr>
        <w:t>7</w:t>
      </w:r>
      <w:r>
        <w:rPr>
          <w:rFonts w:eastAsia="仿宋"/>
        </w:rPr>
        <w:t>.2</w:t>
      </w:r>
      <w:r>
        <w:rPr>
          <w:rFonts w:hint="eastAsia" w:eastAsia="仿宋"/>
          <w:lang w:val="en-US" w:eastAsia="zh-CN"/>
        </w:rPr>
        <w:t xml:space="preserve"> </w:t>
      </w:r>
      <w:r>
        <w:rPr>
          <w:rFonts w:hint="eastAsia" w:eastAsia="仿宋"/>
        </w:rPr>
        <w:t>本项目施工质量应符合</w:t>
      </w:r>
      <w:r>
        <w:rPr>
          <w:rFonts w:eastAsia="仿宋"/>
        </w:rPr>
        <w:t>国家标准、行业标准、工程所在地的地方性标准</w:t>
      </w:r>
      <w:r>
        <w:rPr>
          <w:rFonts w:hint="eastAsia" w:eastAsia="仿宋"/>
        </w:rPr>
        <w:t>，并达到合同规定要求，各项技术指标符合施工图纸中所列举的指标要求。</w:t>
      </w:r>
    </w:p>
    <w:p w14:paraId="5F170DCF">
      <w:pPr>
        <w:spacing w:line="360" w:lineRule="auto"/>
        <w:rPr>
          <w:rFonts w:eastAsia="仿宋"/>
          <w:highlight w:val="none"/>
        </w:rPr>
      </w:pPr>
      <w:r>
        <w:rPr>
          <w:rFonts w:hint="eastAsia" w:eastAsia="仿宋"/>
          <w:highlight w:val="none"/>
        </w:rPr>
        <w:t>7.3</w:t>
      </w:r>
      <w:r>
        <w:rPr>
          <w:rFonts w:hint="eastAsia" w:eastAsia="仿宋"/>
          <w:highlight w:val="none"/>
          <w:lang w:val="en-US" w:eastAsia="zh-CN"/>
        </w:rPr>
        <w:t xml:space="preserve"> </w:t>
      </w:r>
      <w:r>
        <w:rPr>
          <w:rFonts w:hint="eastAsia" w:eastAsia="仿宋"/>
          <w:highlight w:val="none"/>
        </w:rPr>
        <w:t>原则上没有国家标准、规范的，适用行业标准、规范；没有国家和行业标准、规范的，适用项目所在地的地方标准、规范；国内没有相应标准、规范的，由甲方向乙方提出技术要求，乙方提出维修方案，经甲方批准后执行。</w:t>
      </w:r>
    </w:p>
    <w:p w14:paraId="52A1C298">
      <w:pPr>
        <w:spacing w:line="360" w:lineRule="auto"/>
        <w:rPr>
          <w:rFonts w:eastAsia="仿宋"/>
          <w:highlight w:val="none"/>
        </w:rPr>
      </w:pPr>
      <w:r>
        <w:rPr>
          <w:rFonts w:hint="eastAsia" w:eastAsia="仿宋"/>
          <w:highlight w:val="none"/>
        </w:rPr>
        <w:t>7.4</w:t>
      </w:r>
      <w:r>
        <w:rPr>
          <w:rFonts w:hint="eastAsia" w:eastAsia="仿宋"/>
          <w:highlight w:val="none"/>
          <w:lang w:val="en-US" w:eastAsia="zh-CN"/>
        </w:rPr>
        <w:t xml:space="preserve"> </w:t>
      </w:r>
      <w:r>
        <w:rPr>
          <w:rFonts w:hint="eastAsia" w:eastAsia="仿宋"/>
          <w:highlight w:val="none"/>
        </w:rPr>
        <w:t>如遇规范、标准、技术规程对同一问题的处理出现相互矛盾的情况时，乙方应通知甲方，提出解决办法并征得甲方的同意。本项目所用的规范及标准应采用双方最新确定的方案。</w:t>
      </w:r>
    </w:p>
    <w:p w14:paraId="6B2E976F">
      <w:pPr>
        <w:spacing w:line="360" w:lineRule="auto"/>
        <w:rPr>
          <w:rFonts w:eastAsia="仿宋"/>
        </w:rPr>
      </w:pPr>
      <w:r>
        <w:rPr>
          <w:rFonts w:hint="eastAsia" w:eastAsia="仿宋"/>
        </w:rPr>
        <w:t>7</w:t>
      </w:r>
      <w:r>
        <w:rPr>
          <w:rFonts w:eastAsia="仿宋"/>
        </w:rPr>
        <w:t>.</w:t>
      </w:r>
      <w:r>
        <w:rPr>
          <w:rFonts w:hint="eastAsia" w:eastAsia="仿宋"/>
        </w:rPr>
        <w:t>5</w:t>
      </w:r>
      <w:r>
        <w:rPr>
          <w:rFonts w:hint="eastAsia" w:eastAsia="仿宋"/>
          <w:lang w:val="en-US" w:eastAsia="zh-CN"/>
        </w:rPr>
        <w:t xml:space="preserve"> </w:t>
      </w:r>
      <w:r>
        <w:rPr>
          <w:rFonts w:hint="eastAsia" w:eastAsia="仿宋"/>
        </w:rPr>
        <w:t>工程完工后七日内，乙方应书面通知甲方验收，甲方自接到验收通知之日起七日内组织验收；如果性能及施工质量不能满足甲方要求，乙方将全部或部分重新设计施工，延误的工期以及造成的损失由乙方承担。甲、乙双方可另定验收之日组织验收，验收合格之日为质保期起算日。</w:t>
      </w:r>
    </w:p>
    <w:p w14:paraId="67B86106">
      <w:pPr>
        <w:spacing w:line="360" w:lineRule="auto"/>
        <w:rPr>
          <w:rFonts w:eastAsia="仿宋"/>
        </w:rPr>
      </w:pPr>
      <w:r>
        <w:rPr>
          <w:rFonts w:hint="eastAsia" w:eastAsia="仿宋"/>
        </w:rPr>
        <w:t>7</w:t>
      </w:r>
      <w:r>
        <w:rPr>
          <w:rFonts w:eastAsia="仿宋"/>
        </w:rPr>
        <w:t>.</w:t>
      </w:r>
      <w:r>
        <w:rPr>
          <w:rFonts w:hint="eastAsia" w:eastAsia="仿宋"/>
        </w:rPr>
        <w:t>6</w:t>
      </w:r>
      <w:r>
        <w:rPr>
          <w:rFonts w:hint="eastAsia" w:eastAsia="仿宋"/>
          <w:lang w:val="en-US" w:eastAsia="zh-CN"/>
        </w:rPr>
        <w:t xml:space="preserve"> </w:t>
      </w:r>
      <w:r>
        <w:rPr>
          <w:rFonts w:hint="eastAsia" w:eastAsia="仿宋"/>
        </w:rPr>
        <w:t>甲乙双方对工程质量有争议，应协商确定第三方工程质量检验机构进行鉴定，所需费用及由此造成的损失，由责任方承担。</w:t>
      </w:r>
    </w:p>
    <w:p w14:paraId="79C4323B">
      <w:pPr>
        <w:spacing w:line="360" w:lineRule="auto"/>
        <w:rPr>
          <w:rFonts w:eastAsia="仿宋"/>
          <w:b/>
        </w:rPr>
      </w:pPr>
      <w:r>
        <w:rPr>
          <w:rFonts w:hint="eastAsia" w:eastAsia="仿宋"/>
          <w:b/>
        </w:rPr>
        <w:t>八、质量保证</w:t>
      </w:r>
    </w:p>
    <w:p w14:paraId="1E4CDD10">
      <w:pPr>
        <w:spacing w:line="360" w:lineRule="auto"/>
        <w:ind w:firstLine="420" w:firstLineChars="200"/>
        <w:rPr>
          <w:rFonts w:eastAsia="仿宋"/>
        </w:rPr>
      </w:pPr>
      <w:r>
        <w:rPr>
          <w:rFonts w:hint="eastAsia" w:eastAsia="仿宋"/>
        </w:rPr>
        <w:t>乙方应按法律法规及本合同约定，对交付甲方使用的工程或设备在质量保证期内承担质量保证责任。</w:t>
      </w:r>
    </w:p>
    <w:p w14:paraId="2D3A36F6">
      <w:pPr>
        <w:spacing w:line="360" w:lineRule="auto"/>
        <w:rPr>
          <w:rFonts w:eastAsia="仿宋"/>
        </w:rPr>
      </w:pPr>
      <w:r>
        <w:rPr>
          <w:rFonts w:hint="eastAsia" w:eastAsia="仿宋"/>
        </w:rPr>
        <w:t>8</w:t>
      </w:r>
      <w:r>
        <w:rPr>
          <w:rFonts w:eastAsia="仿宋"/>
        </w:rPr>
        <w:t>.1</w:t>
      </w:r>
      <w:r>
        <w:rPr>
          <w:rFonts w:hint="eastAsia" w:eastAsia="仿宋"/>
          <w:lang w:val="en-US" w:eastAsia="zh-CN"/>
        </w:rPr>
        <w:t xml:space="preserve"> </w:t>
      </w:r>
      <w:r>
        <w:rPr>
          <w:rFonts w:hint="eastAsia" w:eastAsia="仿宋"/>
        </w:rPr>
        <w:t>质量保证范围</w:t>
      </w:r>
    </w:p>
    <w:p w14:paraId="40E14083">
      <w:pPr>
        <w:keepNext w:val="0"/>
        <w:keepLines w:val="0"/>
        <w:pageBreakBefore w:val="0"/>
        <w:widowControl/>
        <w:kinsoku/>
        <w:wordWrap/>
        <w:overflowPunct/>
        <w:topLinePunct w:val="0"/>
        <w:autoSpaceDE/>
        <w:autoSpaceDN/>
        <w:bidi w:val="0"/>
        <w:adjustRightInd/>
        <w:snapToGrid/>
        <w:spacing w:line="360" w:lineRule="auto"/>
        <w:textAlignment w:val="auto"/>
        <w:rPr>
          <w:rFonts w:eastAsia="仿宋"/>
        </w:rPr>
      </w:pPr>
      <w:r>
        <w:rPr>
          <w:rFonts w:hint="eastAsia" w:eastAsia="仿宋"/>
        </w:rPr>
        <w:t>质量保证范围包括乙方承担的本项目一切工作和合同约定的其他工作。</w:t>
      </w:r>
    </w:p>
    <w:p w14:paraId="5CEE4F48">
      <w:pPr>
        <w:spacing w:line="360" w:lineRule="auto"/>
        <w:rPr>
          <w:rFonts w:eastAsia="仿宋"/>
        </w:rPr>
      </w:pPr>
      <w:r>
        <w:rPr>
          <w:rFonts w:hint="eastAsia" w:eastAsia="仿宋"/>
        </w:rPr>
        <w:t>8</w:t>
      </w:r>
      <w:r>
        <w:rPr>
          <w:rFonts w:eastAsia="仿宋"/>
        </w:rPr>
        <w:t>.2</w:t>
      </w:r>
      <w:r>
        <w:rPr>
          <w:rFonts w:hint="eastAsia" w:eastAsia="仿宋"/>
          <w:lang w:val="en-US" w:eastAsia="zh-CN"/>
        </w:rPr>
        <w:t xml:space="preserve"> </w:t>
      </w:r>
      <w:r>
        <w:rPr>
          <w:rFonts w:hint="eastAsia" w:eastAsia="仿宋"/>
        </w:rPr>
        <w:t>质量保证期限</w:t>
      </w:r>
    </w:p>
    <w:p w14:paraId="3CA964A3">
      <w:pPr>
        <w:spacing w:line="360" w:lineRule="auto"/>
        <w:rPr>
          <w:rFonts w:eastAsia="仿宋"/>
        </w:rPr>
      </w:pPr>
      <w:r>
        <w:rPr>
          <w:rFonts w:hint="eastAsia" w:eastAsia="仿宋"/>
        </w:rPr>
        <w:t>乙方对本项目承担质量保证责任的期限为</w:t>
      </w:r>
      <w:r>
        <w:rPr>
          <w:rFonts w:hint="eastAsia" w:ascii="宋体" w:hAnsi="宋体" w:eastAsia="宋体" w:cs="宋体"/>
          <w:u w:val="single"/>
          <w:lang w:val="en-US" w:eastAsia="zh-CN"/>
        </w:rPr>
        <w:t>1</w:t>
      </w:r>
      <w:r>
        <w:rPr>
          <w:rFonts w:hint="eastAsia" w:ascii="宋体" w:hAnsi="宋体" w:eastAsia="宋体" w:cs="宋体"/>
          <w:u w:val="single"/>
        </w:rPr>
        <w:t>年</w:t>
      </w:r>
      <w:r>
        <w:rPr>
          <w:rFonts w:eastAsia="仿宋"/>
        </w:rPr>
        <w:t>，</w:t>
      </w:r>
      <w:r>
        <w:rPr>
          <w:rFonts w:hint="eastAsia" w:eastAsia="仿宋"/>
        </w:rPr>
        <w:t>从验收合格之日起计算。</w:t>
      </w:r>
    </w:p>
    <w:p w14:paraId="10D4A0D2">
      <w:pPr>
        <w:spacing w:line="360" w:lineRule="auto"/>
        <w:rPr>
          <w:rFonts w:eastAsia="仿宋"/>
        </w:rPr>
      </w:pPr>
      <w:r>
        <w:rPr>
          <w:rFonts w:hint="eastAsia" w:eastAsia="仿宋"/>
        </w:rPr>
        <w:t>8</w:t>
      </w:r>
      <w:r>
        <w:rPr>
          <w:rFonts w:eastAsia="仿宋"/>
        </w:rPr>
        <w:t>.3</w:t>
      </w:r>
      <w:r>
        <w:rPr>
          <w:rFonts w:hint="eastAsia" w:eastAsia="仿宋"/>
          <w:lang w:val="en-US" w:eastAsia="zh-CN"/>
        </w:rPr>
        <w:t xml:space="preserve"> </w:t>
      </w:r>
      <w:r>
        <w:rPr>
          <w:rFonts w:hint="eastAsia" w:eastAsia="仿宋"/>
        </w:rPr>
        <w:t>质量保证责任承担</w:t>
      </w:r>
    </w:p>
    <w:p w14:paraId="661B6560">
      <w:pPr>
        <w:spacing w:line="360" w:lineRule="auto"/>
        <w:rPr>
          <w:rFonts w:eastAsia="仿宋"/>
        </w:rPr>
      </w:pPr>
      <w:r>
        <w:rPr>
          <w:rFonts w:eastAsia="仿宋"/>
        </w:rPr>
        <w:t>1）</w:t>
      </w:r>
      <w:r>
        <w:rPr>
          <w:rFonts w:hint="eastAsia" w:eastAsia="仿宋"/>
        </w:rPr>
        <w:t>属于保证范围和内容的项目，甲方在保证期间内发现本项目维修改造工作有缺陷，可要求乙方立即修复，乙方必须在收到甲方的通知后立即派人员到现场免费修复。如乙方拖延修复，甲方可自行组织修复，由此产生的一切费用和损失由乙方承担。在质量保证期内，由于乙方的原因造成的维修费用损失和甲方的损失由乙方承担，且不能抵扣质量保证金。</w:t>
      </w:r>
    </w:p>
    <w:p w14:paraId="4AFA0C8F">
      <w:pPr>
        <w:spacing w:line="360" w:lineRule="auto"/>
        <w:rPr>
          <w:rFonts w:eastAsia="仿宋"/>
        </w:rPr>
      </w:pPr>
      <w:r>
        <w:rPr>
          <w:rFonts w:eastAsia="仿宋"/>
        </w:rPr>
        <w:t>2</w:t>
      </w:r>
      <w:r>
        <w:rPr>
          <w:rFonts w:hint="eastAsia" w:eastAsia="仿宋"/>
        </w:rPr>
        <w:t>）发生须紧急抢修的事故时，乙方接</w:t>
      </w:r>
      <w:r>
        <w:rPr>
          <w:rFonts w:hint="eastAsia" w:eastAsia="仿宋"/>
          <w:highlight w:val="none"/>
        </w:rPr>
        <w:t>到通知后，应立即到达事故现场抢修。非乙方作业质量引起的事故，抢修费用由甲方承担（属于合同工作范围的在该合同项下支付）。</w:t>
      </w:r>
    </w:p>
    <w:p w14:paraId="706DBF66">
      <w:pPr>
        <w:spacing w:line="360" w:lineRule="auto"/>
        <w:rPr>
          <w:rFonts w:eastAsia="仿宋"/>
        </w:rPr>
      </w:pPr>
      <w:r>
        <w:rPr>
          <w:rFonts w:eastAsia="仿宋"/>
        </w:rPr>
        <w:t>3</w:t>
      </w:r>
      <w:r>
        <w:rPr>
          <w:rFonts w:hint="eastAsia" w:eastAsia="仿宋"/>
        </w:rPr>
        <w:t>）在国家规定的合理使用期限内，因乙方作业质量原因致使本项目在合理使用期限内造成人身伤亡和财产损害的，由乙方承担损害赔偿责任。</w:t>
      </w:r>
    </w:p>
    <w:p w14:paraId="7CAAA652">
      <w:pPr>
        <w:spacing w:line="360" w:lineRule="auto"/>
        <w:rPr>
          <w:rFonts w:eastAsia="仿宋"/>
          <w:b/>
        </w:rPr>
      </w:pPr>
      <w:r>
        <w:rPr>
          <w:rFonts w:hint="eastAsia" w:eastAsia="仿宋"/>
          <w:b/>
        </w:rPr>
        <w:t>九、履约担保</w:t>
      </w:r>
    </w:p>
    <w:p w14:paraId="702A23F7">
      <w:pPr>
        <w:spacing w:line="360" w:lineRule="auto"/>
        <w:rPr>
          <w:rFonts w:eastAsia="仿宋"/>
        </w:rPr>
      </w:pPr>
      <w:r>
        <w:rPr>
          <w:rFonts w:hint="eastAsia" w:eastAsia="仿宋"/>
        </w:rPr>
        <w:t>9</w:t>
      </w:r>
      <w:r>
        <w:rPr>
          <w:rFonts w:eastAsia="仿宋"/>
        </w:rPr>
        <w:t>.1</w:t>
      </w:r>
      <w:bookmarkStart w:id="90" w:name="_Toc198693812"/>
      <w:bookmarkStart w:id="91" w:name="_Toc198694697"/>
      <w:r>
        <w:rPr>
          <w:rFonts w:hint="eastAsia" w:eastAsia="仿宋"/>
          <w:lang w:val="en-US" w:eastAsia="zh-CN"/>
        </w:rPr>
        <w:t xml:space="preserve"> </w:t>
      </w:r>
      <w:r>
        <w:rPr>
          <w:rFonts w:hint="eastAsia" w:eastAsia="仿宋"/>
        </w:rPr>
        <w:t>履约担保</w:t>
      </w:r>
    </w:p>
    <w:p w14:paraId="03EB424E">
      <w:pPr>
        <w:spacing w:line="360" w:lineRule="auto"/>
        <w:rPr>
          <w:rFonts w:eastAsia="仿宋" w:cs="Times New Roman (正文 CS 字体)"/>
          <w:highlight w:val="none"/>
        </w:rPr>
      </w:pPr>
      <w:r>
        <w:rPr>
          <w:rFonts w:hint="eastAsia" w:eastAsia="仿宋" w:cs="Times New Roman (正文 CS 字体)"/>
        </w:rPr>
        <w:t>1</w:t>
      </w:r>
      <w:r>
        <w:rPr>
          <w:rFonts w:eastAsia="仿宋" w:cs="Times New Roman (正文 CS 字体)"/>
        </w:rPr>
        <w:t>.在本合同签订时，乙方应向甲方提交履约保证金，本项目履约保证金的金额为合同总价</w:t>
      </w:r>
      <w:r>
        <w:rPr>
          <w:rFonts w:eastAsia="仿宋" w:cs="Times New Roman (正文 CS 字体)"/>
          <w:highlight w:val="none"/>
        </w:rPr>
        <w:t>款</w:t>
      </w:r>
      <w:r>
        <w:rPr>
          <w:rFonts w:hint="eastAsia" w:eastAsia="仿宋" w:cs="Times New Roman (正文 CS 字体)"/>
          <w:highlight w:val="none"/>
          <w:u w:val="single"/>
          <w:lang w:val="en-US" w:eastAsia="zh-CN"/>
        </w:rPr>
        <w:t>10</w:t>
      </w:r>
      <w:r>
        <w:rPr>
          <w:rFonts w:eastAsia="仿宋" w:cs="Times New Roman (正文 CS 字体)"/>
          <w:highlight w:val="none"/>
          <w:u w:val="single"/>
        </w:rPr>
        <w:t>%</w:t>
      </w:r>
      <w:r>
        <w:rPr>
          <w:rFonts w:eastAsia="仿宋" w:cs="Times New Roman (正文 CS 字体)"/>
          <w:highlight w:val="none"/>
        </w:rPr>
        <w:t>。</w:t>
      </w:r>
    </w:p>
    <w:p w14:paraId="13F07B54">
      <w:pPr>
        <w:spacing w:line="360" w:lineRule="auto"/>
        <w:rPr>
          <w:rFonts w:eastAsia="仿宋" w:cs="Times New Roman (正文 CS 字体)"/>
          <w:highlight w:val="none"/>
        </w:rPr>
      </w:pPr>
      <w:r>
        <w:rPr>
          <w:rFonts w:eastAsia="仿宋" w:cs="Times New Roman (正文 CS 字体)"/>
        </w:rPr>
        <w:t>2.履约保证金由甲方持有，甲方有权在该保证金内扣除任何乙方应付而未付之任何款项</w:t>
      </w:r>
      <w:r>
        <w:rPr>
          <w:rFonts w:hint="eastAsia" w:eastAsia="仿宋" w:cs="Times New Roman (正文 CS 字体)"/>
        </w:rPr>
        <w:t>（包括但不限于合同约定的乙方应支付款项、甲方垫付的其他费用等），及任何因乙方在不遵守或不履行本</w:t>
      </w:r>
      <w:r>
        <w:rPr>
          <w:rFonts w:hint="eastAsia" w:eastAsia="仿宋" w:cs="Times New Roman (正文 CS 字体)"/>
          <w:lang w:eastAsia="zh-CN"/>
        </w:rPr>
        <w:t>合同</w:t>
      </w:r>
      <w:r>
        <w:rPr>
          <w:rFonts w:hint="eastAsia" w:eastAsia="仿宋" w:cs="Times New Roman (正文 CS 字体)"/>
        </w:rPr>
        <w:t>条款之任何部分而导致的任何费用支出、违约金、损失或损害赔偿金。</w:t>
      </w:r>
      <w:r>
        <w:rPr>
          <w:rFonts w:eastAsia="仿宋" w:cs="Times New Roman (正文 CS 字体)"/>
        </w:rPr>
        <w:t>如甲方根据</w:t>
      </w:r>
      <w:r>
        <w:rPr>
          <w:rFonts w:hint="eastAsia" w:eastAsia="仿宋" w:cs="Times New Roman (正文 CS 字体)"/>
        </w:rPr>
        <w:t>上述</w:t>
      </w:r>
      <w:r>
        <w:rPr>
          <w:rFonts w:eastAsia="仿宋" w:cs="Times New Roman (正文 CS 字体)"/>
        </w:rPr>
        <w:t>情况扣除保证金，乙方必</w:t>
      </w:r>
      <w:r>
        <w:rPr>
          <w:rFonts w:eastAsia="仿宋" w:cs="Times New Roman (正文 CS 字体)"/>
          <w:highlight w:val="none"/>
        </w:rPr>
        <w:t>须在扣款后七个工作日内，补足相等于该扣除款额的履约保证金，以保证合同履行期间履约保证金的完整。如履约保证金尚不能弥补甲方的损失，甲方有权另行向乙方主张赔偿。</w:t>
      </w:r>
    </w:p>
    <w:p w14:paraId="06A7B3F3">
      <w:pPr>
        <w:spacing w:line="360" w:lineRule="auto"/>
        <w:ind w:firstLine="105" w:firstLineChars="50"/>
        <w:rPr>
          <w:rFonts w:eastAsia="仿宋" w:cs="Times New Roman (正文 CS 字体)"/>
          <w:highlight w:val="none"/>
        </w:rPr>
      </w:pPr>
      <w:r>
        <w:rPr>
          <w:rFonts w:hint="eastAsia" w:eastAsia="仿宋" w:cs="Times New Roman (正文 CS 字体)"/>
          <w:highlight w:val="none"/>
        </w:rPr>
        <w:t>（采用履约保证金的方式时选用）</w:t>
      </w:r>
    </w:p>
    <w:p w14:paraId="2659DB8A">
      <w:pPr>
        <w:spacing w:line="360" w:lineRule="auto"/>
        <w:rPr>
          <w:rFonts w:eastAsia="仿宋" w:cs="Times New Roman (正文 CS 字体)"/>
          <w:b/>
          <w:highlight w:val="none"/>
        </w:rPr>
      </w:pPr>
      <w:r>
        <w:rPr>
          <w:rFonts w:hint="eastAsia" w:eastAsia="仿宋" w:cs="Times New Roman (正文 CS 字体)"/>
          <w:b/>
          <w:highlight w:val="none"/>
        </w:rPr>
        <w:t>或</w:t>
      </w:r>
    </w:p>
    <w:p w14:paraId="40F0A449">
      <w:pPr>
        <w:spacing w:line="360" w:lineRule="auto"/>
        <w:rPr>
          <w:rFonts w:eastAsia="仿宋" w:cs="Times New Roman (正文 CS 字体)"/>
          <w:highlight w:val="none"/>
        </w:rPr>
      </w:pPr>
      <w:r>
        <w:rPr>
          <w:rFonts w:eastAsia="仿宋" w:cs="Times New Roman (正文 CS 字体)"/>
          <w:highlight w:val="none"/>
        </w:rPr>
        <w:t>1.在本合同签订时，乙方应</w:t>
      </w:r>
      <w:r>
        <w:rPr>
          <w:rFonts w:hint="eastAsia" w:eastAsia="仿宋" w:cs="Times New Roman (正文 CS 字体)"/>
          <w:highlight w:val="none"/>
        </w:rPr>
        <w:t>提交经甲方认可的银行履约保函，保函金</w:t>
      </w:r>
      <w:r>
        <w:rPr>
          <w:rFonts w:eastAsia="仿宋" w:cs="Times New Roman (正文 CS 字体)"/>
          <w:highlight w:val="none"/>
        </w:rPr>
        <w:t>额为合同总价款</w:t>
      </w:r>
      <w:r>
        <w:rPr>
          <w:rFonts w:hint="eastAsia" w:eastAsia="仿宋" w:cs="Times New Roman (正文 CS 字体)"/>
          <w:highlight w:val="none"/>
          <w:u w:val="single"/>
          <w:lang w:val="en-US" w:eastAsia="zh-CN"/>
        </w:rPr>
        <w:t>10</w:t>
      </w:r>
      <w:r>
        <w:rPr>
          <w:rFonts w:eastAsia="仿宋" w:cs="Times New Roman (正文 CS 字体)"/>
          <w:highlight w:val="none"/>
          <w:u w:val="single"/>
        </w:rPr>
        <w:t>%</w:t>
      </w:r>
      <w:r>
        <w:rPr>
          <w:rFonts w:eastAsia="仿宋" w:cs="Times New Roman (正文 CS 字体)"/>
          <w:highlight w:val="none"/>
        </w:rPr>
        <w:t>。</w:t>
      </w:r>
    </w:p>
    <w:p w14:paraId="4F0155FF">
      <w:pPr>
        <w:spacing w:line="360" w:lineRule="auto"/>
        <w:rPr>
          <w:rFonts w:eastAsia="仿宋" w:cs="Times New Roman (正文 CS 字体)"/>
          <w:highlight w:val="none"/>
        </w:rPr>
      </w:pPr>
      <w:r>
        <w:rPr>
          <w:rFonts w:hint="eastAsia" w:eastAsia="仿宋" w:cs="Times New Roman (正文 CS 字体)"/>
          <w:highlight w:val="none"/>
        </w:rPr>
        <w:t>2</w:t>
      </w:r>
      <w:r>
        <w:rPr>
          <w:rFonts w:eastAsia="仿宋" w:cs="Times New Roman (正文 CS 字体)"/>
          <w:highlight w:val="none"/>
        </w:rPr>
        <w:t>.甲方有权在履约保函内提取任何乙方应付而未付之任何款项</w:t>
      </w:r>
      <w:bookmarkStart w:id="92" w:name="_Hlk18247249"/>
      <w:r>
        <w:rPr>
          <w:rFonts w:hint="eastAsia" w:eastAsia="仿宋" w:cs="Times New Roman (正文 CS 字体)"/>
          <w:highlight w:val="none"/>
        </w:rPr>
        <w:t>（包括但不限于合同约定的乙方应支付款项、甲方垫付的其他费用等），</w:t>
      </w:r>
      <w:bookmarkStart w:id="93" w:name="_Hlk17966884"/>
      <w:r>
        <w:rPr>
          <w:rFonts w:hint="eastAsia" w:eastAsia="仿宋" w:cs="Times New Roman (正文 CS 字体)"/>
          <w:highlight w:val="none"/>
        </w:rPr>
        <w:t>及任何因乙方在不遵守或不履行本</w:t>
      </w:r>
      <w:r>
        <w:rPr>
          <w:rFonts w:hint="eastAsia" w:eastAsia="仿宋" w:cs="Times New Roman (正文 CS 字体)"/>
          <w:highlight w:val="none"/>
          <w:lang w:eastAsia="zh-CN"/>
        </w:rPr>
        <w:t>合同</w:t>
      </w:r>
      <w:r>
        <w:rPr>
          <w:rFonts w:hint="eastAsia" w:eastAsia="仿宋" w:cs="Times New Roman (正文 CS 字体)"/>
          <w:highlight w:val="none"/>
        </w:rPr>
        <w:t>条款之任何部分而导致的任何费用支出、违约金、损失或损害赔偿金。</w:t>
      </w:r>
      <w:bookmarkEnd w:id="92"/>
      <w:bookmarkEnd w:id="93"/>
      <w:r>
        <w:rPr>
          <w:rFonts w:eastAsia="仿宋" w:cs="Times New Roman (正文 CS 字体)"/>
          <w:highlight w:val="none"/>
        </w:rPr>
        <w:t>如甲方根据上述情况提取保函金额，乙方必须在该项提取发生之日起七个工作日内，补足至原履约保函金额</w:t>
      </w:r>
      <w:r>
        <w:rPr>
          <w:rFonts w:hint="eastAsia" w:eastAsia="仿宋" w:cs="Times New Roman (正文 CS 字体)"/>
          <w:highlight w:val="none"/>
        </w:rPr>
        <w:t>即元</w:t>
      </w:r>
      <w:r>
        <w:rPr>
          <w:rFonts w:eastAsia="仿宋" w:cs="Times New Roman (正文 CS 字体)"/>
          <w:highlight w:val="none"/>
        </w:rPr>
        <w:t>整，以保证合同履行期间履约保函的完整。如履约保函金额全部提取尚不能弥补甲方的损失，甲方有权另行向乙方主张赔偿。</w:t>
      </w:r>
      <w:r>
        <w:rPr>
          <w:rFonts w:hint="eastAsia" w:eastAsia="仿宋" w:cs="Times New Roman (正文 CS 字体)"/>
          <w:highlight w:val="none"/>
        </w:rPr>
        <w:t>（采用履约保函的方式时选用）</w:t>
      </w:r>
    </w:p>
    <w:p w14:paraId="19B7ADA3">
      <w:pPr>
        <w:spacing w:line="360" w:lineRule="auto"/>
        <w:rPr>
          <w:rFonts w:eastAsia="仿宋" w:cs="Times New Roman (正文 CS 字体)"/>
          <w:highlight w:val="none"/>
        </w:rPr>
      </w:pPr>
      <w:r>
        <w:rPr>
          <w:rFonts w:eastAsia="仿宋" w:cs="Times New Roman (正文 CS 字体)"/>
          <w:highlight w:val="none"/>
        </w:rPr>
        <w:t>3</w:t>
      </w:r>
      <w:r>
        <w:rPr>
          <w:rFonts w:hint="eastAsia" w:eastAsia="仿宋" w:cs="Times New Roman (正文 CS 字体)"/>
          <w:highlight w:val="none"/>
        </w:rPr>
        <w:t>.</w:t>
      </w:r>
      <w:r>
        <w:rPr>
          <w:rFonts w:eastAsia="仿宋" w:cs="Times New Roman (正文 CS 字体)"/>
          <w:highlight w:val="none"/>
        </w:rPr>
        <w:t>履约担保的有效期</w:t>
      </w:r>
      <w:r>
        <w:rPr>
          <w:rFonts w:hint="eastAsia" w:eastAsia="仿宋" w:cs="Times New Roman (正文 CS 字体)"/>
          <w:highlight w:val="none"/>
        </w:rPr>
        <w:t>（采用履约保函的方式时选用）</w:t>
      </w:r>
    </w:p>
    <w:p w14:paraId="6DB9DEE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s="Times New Roman (正文 CS 字体)"/>
          <w:highlight w:val="none"/>
        </w:rPr>
      </w:pPr>
      <w:r>
        <w:rPr>
          <w:rFonts w:eastAsia="仿宋" w:cs="Times New Roman (正文 CS 字体)"/>
          <w:highlight w:val="none"/>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14:paraId="2DEA6A2F">
      <w:pPr>
        <w:spacing w:line="360" w:lineRule="auto"/>
        <w:rPr>
          <w:rFonts w:eastAsia="仿宋" w:cs="Times New Roman (正文 CS 字体)"/>
          <w:highlight w:val="none"/>
        </w:rPr>
      </w:pPr>
      <w:r>
        <w:rPr>
          <w:rFonts w:hint="eastAsia" w:eastAsia="仿宋" w:cs="Times New Roman (正文 CS 字体)"/>
          <w:highlight w:val="none"/>
          <w:lang w:val="en-US" w:eastAsia="zh-CN"/>
        </w:rPr>
        <w:t xml:space="preserve">9.2 </w:t>
      </w:r>
      <w:r>
        <w:rPr>
          <w:rFonts w:hint="eastAsia" w:eastAsia="仿宋" w:cs="Times New Roman (正文 CS 字体)"/>
          <w:highlight w:val="none"/>
        </w:rPr>
        <w:t>履约担保</w:t>
      </w:r>
      <w:r>
        <w:rPr>
          <w:rFonts w:eastAsia="仿宋" w:cs="Times New Roman (正文 CS 字体)"/>
          <w:highlight w:val="none"/>
        </w:rPr>
        <w:t>的</w:t>
      </w:r>
      <w:r>
        <w:rPr>
          <w:rFonts w:hint="eastAsia" w:eastAsia="仿宋" w:cs="Times New Roman (正文 CS 字体)"/>
          <w:highlight w:val="none"/>
        </w:rPr>
        <w:t>退</w:t>
      </w:r>
      <w:r>
        <w:rPr>
          <w:rFonts w:eastAsia="仿宋" w:cs="Times New Roman (正文 CS 字体)"/>
          <w:highlight w:val="none"/>
        </w:rPr>
        <w:t>还</w:t>
      </w:r>
    </w:p>
    <w:bookmarkEnd w:id="90"/>
    <w:bookmarkEnd w:id="91"/>
    <w:p w14:paraId="2C0241D9">
      <w:pPr>
        <w:spacing w:line="360" w:lineRule="auto"/>
        <w:ind w:firstLine="420" w:firstLineChars="200"/>
        <w:rPr>
          <w:rFonts w:eastAsia="仿宋" w:cs="Times New Roman (正文 CS 字体)"/>
          <w:highlight w:val="none"/>
        </w:rPr>
      </w:pPr>
      <w:r>
        <w:rPr>
          <w:rFonts w:hint="eastAsia" w:eastAsia="仿宋" w:cs="Times New Roman (正文 CS 字体)"/>
          <w:highlight w:val="none"/>
          <w:lang w:val="en-US" w:eastAsia="zh-CN"/>
        </w:rPr>
        <w:t xml:space="preserve">乙方在本合同约定的服务期限届满并经甲方验收合格后30日内办理履约保证金（或履约保函）退还手续。 </w:t>
      </w:r>
    </w:p>
    <w:p w14:paraId="22A2AF58">
      <w:pPr>
        <w:spacing w:line="360" w:lineRule="auto"/>
        <w:rPr>
          <w:rFonts w:eastAsia="仿宋"/>
          <w:b/>
          <w:highlight w:val="none"/>
        </w:rPr>
      </w:pPr>
      <w:r>
        <w:rPr>
          <w:rFonts w:hint="eastAsia" w:eastAsia="仿宋"/>
          <w:b/>
          <w:highlight w:val="none"/>
        </w:rPr>
        <w:t>十、违约责任</w:t>
      </w:r>
    </w:p>
    <w:p w14:paraId="32217B45">
      <w:pPr>
        <w:spacing w:line="360" w:lineRule="auto"/>
        <w:rPr>
          <w:rFonts w:eastAsia="仿宋"/>
          <w:highlight w:val="none"/>
        </w:rPr>
      </w:pPr>
      <w:r>
        <w:rPr>
          <w:rFonts w:hint="eastAsia" w:eastAsia="仿宋"/>
          <w:highlight w:val="none"/>
        </w:rPr>
        <w:t>10</w:t>
      </w:r>
      <w:r>
        <w:rPr>
          <w:rFonts w:eastAsia="仿宋"/>
          <w:highlight w:val="none"/>
        </w:rPr>
        <w:t>.1</w:t>
      </w:r>
      <w:r>
        <w:rPr>
          <w:rFonts w:hint="eastAsia" w:eastAsia="仿宋"/>
          <w:highlight w:val="none"/>
          <w:lang w:val="en-US" w:eastAsia="zh-CN"/>
        </w:rPr>
        <w:t xml:space="preserve"> </w:t>
      </w:r>
      <w:r>
        <w:rPr>
          <w:rFonts w:hint="eastAsia" w:eastAsia="仿宋"/>
          <w:highlight w:val="none"/>
        </w:rPr>
        <w:t>在合同履行中，乙方不按照甲方的管理规定以及现场检查人员的施工管理要求进行施工的，每发现一次应向甲方支付1000元作为违约金，如同时给甲方造成损失的，乙方还应承担赔偿责任。</w:t>
      </w:r>
    </w:p>
    <w:p w14:paraId="308393AE">
      <w:pPr>
        <w:spacing w:line="360" w:lineRule="auto"/>
        <w:rPr>
          <w:rFonts w:hint="eastAsia" w:eastAsia="仿宋"/>
          <w:highlight w:val="none"/>
        </w:rPr>
      </w:pPr>
      <w:r>
        <w:rPr>
          <w:rFonts w:eastAsia="仿宋"/>
          <w:highlight w:val="none"/>
        </w:rPr>
        <w:t>10.2</w:t>
      </w:r>
      <w:r>
        <w:rPr>
          <w:rFonts w:hint="eastAsia" w:eastAsia="仿宋"/>
          <w:highlight w:val="none"/>
          <w:lang w:val="en-US" w:eastAsia="zh-CN"/>
        </w:rPr>
        <w:t xml:space="preserve"> </w:t>
      </w:r>
      <w:r>
        <w:rPr>
          <w:rFonts w:hint="eastAsia" w:eastAsia="仿宋"/>
          <w:highlight w:val="none"/>
        </w:rPr>
        <w:t>违反本合同第</w:t>
      </w:r>
      <w:r>
        <w:rPr>
          <w:rFonts w:eastAsia="仿宋"/>
          <w:highlight w:val="none"/>
        </w:rPr>
        <w:t>6.9</w:t>
      </w:r>
      <w:r>
        <w:rPr>
          <w:rFonts w:hint="eastAsia" w:eastAsia="仿宋"/>
          <w:highlight w:val="none"/>
        </w:rPr>
        <w:t>条规定，每发</w:t>
      </w:r>
      <w:r>
        <w:rPr>
          <w:rFonts w:hint="eastAsia" w:eastAsia="仿宋"/>
          <w:highlight w:val="none"/>
          <w:lang w:val="en-US" w:eastAsia="zh-CN"/>
        </w:rPr>
        <w:t>生一次</w:t>
      </w:r>
      <w:r>
        <w:rPr>
          <w:rFonts w:hint="eastAsia" w:eastAsia="仿宋"/>
          <w:highlight w:val="none"/>
        </w:rPr>
        <w:t>应向甲方支付</w:t>
      </w:r>
      <w:r>
        <w:rPr>
          <w:rFonts w:eastAsia="仿宋"/>
          <w:highlight w:val="none"/>
        </w:rPr>
        <w:t>1000</w:t>
      </w:r>
      <w:r>
        <w:rPr>
          <w:rFonts w:hint="eastAsia" w:eastAsia="仿宋"/>
          <w:highlight w:val="none"/>
        </w:rPr>
        <w:t>元作为违约金，如同时给甲方造成损失的，乙方还应承担赔偿责任。</w:t>
      </w:r>
    </w:p>
    <w:p w14:paraId="4A817B87">
      <w:pPr>
        <w:spacing w:line="360" w:lineRule="auto"/>
        <w:rPr>
          <w:rFonts w:eastAsia="仿宋"/>
        </w:rPr>
      </w:pPr>
      <w:r>
        <w:rPr>
          <w:rFonts w:hint="eastAsia" w:eastAsia="仿宋"/>
        </w:rPr>
        <w:t>10</w:t>
      </w:r>
      <w:r>
        <w:rPr>
          <w:rFonts w:eastAsia="仿宋"/>
        </w:rPr>
        <w:t>.</w:t>
      </w:r>
      <w:r>
        <w:rPr>
          <w:rFonts w:hint="eastAsia" w:eastAsia="仿宋"/>
        </w:rPr>
        <w:t>3</w:t>
      </w:r>
      <w:r>
        <w:rPr>
          <w:rFonts w:hint="eastAsia" w:eastAsia="仿宋"/>
          <w:lang w:val="en-US" w:eastAsia="zh-CN"/>
        </w:rPr>
        <w:t xml:space="preserve"> </w:t>
      </w:r>
      <w:r>
        <w:rPr>
          <w:rFonts w:hint="eastAsia" w:eastAsia="仿宋"/>
        </w:rPr>
        <w:t>乙方未能按照甲方审查确认的施工图纸或做法说明进行施工而造成的工程量变更，乙方不得提出费用增加的要求，甲方也不需为此支付额外的费用。</w:t>
      </w:r>
    </w:p>
    <w:p w14:paraId="5C873073">
      <w:pPr>
        <w:spacing w:line="360" w:lineRule="auto"/>
        <w:rPr>
          <w:rFonts w:eastAsia="仿宋"/>
        </w:rPr>
      </w:pPr>
      <w:r>
        <w:rPr>
          <w:rFonts w:hint="eastAsia" w:eastAsia="仿宋"/>
        </w:rPr>
        <w:t>10</w:t>
      </w:r>
      <w:r>
        <w:rPr>
          <w:rFonts w:eastAsia="仿宋"/>
        </w:rPr>
        <w:t>.</w:t>
      </w:r>
      <w:r>
        <w:rPr>
          <w:rFonts w:hint="eastAsia" w:eastAsia="仿宋"/>
        </w:rPr>
        <w:t>4</w:t>
      </w:r>
      <w:r>
        <w:rPr>
          <w:rFonts w:hint="eastAsia" w:eastAsia="仿宋"/>
          <w:lang w:val="en-US" w:eastAsia="zh-CN"/>
        </w:rPr>
        <w:t xml:space="preserve"> </w:t>
      </w:r>
      <w:r>
        <w:rPr>
          <w:rFonts w:hint="eastAsia" w:eastAsia="仿宋"/>
        </w:rPr>
        <w:t>由于乙方原因造成工程质量不合格或设计不符合双方约定的，乙方应按合同价款的</w:t>
      </w:r>
      <w:r>
        <w:rPr>
          <w:rFonts w:hint="eastAsia" w:eastAsia="仿宋"/>
          <w:u w:val="single"/>
        </w:rPr>
        <w:t>10%</w:t>
      </w:r>
      <w:r>
        <w:rPr>
          <w:rFonts w:hint="eastAsia" w:eastAsia="仿宋"/>
        </w:rPr>
        <w:t>向甲方支付违约金，并负责在本合同规定工期内返工至约定的质量标准要求，若违约金不足以弥补甲方的损失，乙方应足额赔偿甲方的损失。</w:t>
      </w:r>
    </w:p>
    <w:p w14:paraId="09CA3538">
      <w:pPr>
        <w:spacing w:line="360" w:lineRule="auto"/>
        <w:rPr>
          <w:rFonts w:eastAsia="仿宋"/>
        </w:rPr>
      </w:pPr>
      <w:r>
        <w:rPr>
          <w:rFonts w:hint="eastAsia" w:eastAsia="仿宋"/>
        </w:rPr>
        <w:t>10</w:t>
      </w:r>
      <w:r>
        <w:rPr>
          <w:rFonts w:eastAsia="仿宋"/>
        </w:rPr>
        <w:t>.</w:t>
      </w:r>
      <w:r>
        <w:rPr>
          <w:rFonts w:hint="eastAsia" w:eastAsia="仿宋"/>
        </w:rPr>
        <w:t>5</w:t>
      </w:r>
      <w:r>
        <w:rPr>
          <w:rFonts w:hint="eastAsia" w:eastAsia="仿宋"/>
          <w:lang w:val="en-US" w:eastAsia="zh-CN"/>
        </w:rPr>
        <w:t xml:space="preserve"> </w:t>
      </w:r>
      <w:r>
        <w:rPr>
          <w:rFonts w:hint="eastAsia" w:eastAsia="仿宋"/>
        </w:rPr>
        <w:t>乙方未能在规定日期内竣工验收并交付甲方使用的，每逾期一日，乙方须按合同价款的</w:t>
      </w:r>
      <w:r>
        <w:rPr>
          <w:rFonts w:hint="eastAsia" w:eastAsia="仿宋"/>
          <w:u w:val="single"/>
        </w:rPr>
        <w:t>0.5%</w:t>
      </w:r>
      <w:r>
        <w:rPr>
          <w:rFonts w:hint="eastAsia" w:eastAsia="仿宋"/>
        </w:rPr>
        <w:t>向甲方支付违约金。</w:t>
      </w:r>
    </w:p>
    <w:p w14:paraId="06CE7E5C">
      <w:pPr>
        <w:spacing w:line="360" w:lineRule="auto"/>
        <w:rPr>
          <w:rFonts w:eastAsia="仿宋"/>
        </w:rPr>
      </w:pPr>
      <w:r>
        <w:rPr>
          <w:rFonts w:hint="eastAsia" w:eastAsia="仿宋"/>
        </w:rPr>
        <w:t>10</w:t>
      </w:r>
      <w:r>
        <w:rPr>
          <w:rFonts w:eastAsia="仿宋"/>
        </w:rPr>
        <w:t>.</w:t>
      </w:r>
      <w:r>
        <w:rPr>
          <w:rFonts w:hint="eastAsia" w:eastAsia="仿宋"/>
        </w:rPr>
        <w:t>6</w:t>
      </w:r>
      <w:r>
        <w:rPr>
          <w:rFonts w:hint="eastAsia" w:eastAsia="仿宋"/>
          <w:lang w:val="en-US" w:eastAsia="zh-CN"/>
        </w:rPr>
        <w:t xml:space="preserve"> </w:t>
      </w:r>
      <w:r>
        <w:rPr>
          <w:rFonts w:hint="eastAsia" w:eastAsia="仿宋"/>
        </w:rPr>
        <w:t>乙方发生下列情形之一，甲方有权解除本合同</w:t>
      </w:r>
      <w:r>
        <w:rPr>
          <w:rFonts w:hint="eastAsia" w:eastAsia="仿宋"/>
          <w:lang w:val="en-US" w:eastAsia="zh-CN"/>
        </w:rPr>
        <w:t>并不予退还履约保证金，</w:t>
      </w:r>
      <w:r>
        <w:rPr>
          <w:rFonts w:hint="eastAsia" w:eastAsia="仿宋"/>
        </w:rPr>
        <w:t>甲方因合同解除而遭受损失的，乙方</w:t>
      </w:r>
      <w:r>
        <w:rPr>
          <w:rFonts w:hint="eastAsia" w:eastAsia="仿宋"/>
          <w:lang w:val="en-US" w:eastAsia="zh-CN"/>
        </w:rPr>
        <w:t>还</w:t>
      </w:r>
      <w:r>
        <w:rPr>
          <w:rFonts w:hint="eastAsia" w:eastAsia="仿宋"/>
        </w:rPr>
        <w:t>应承担赔偿责任：</w:t>
      </w:r>
    </w:p>
    <w:p w14:paraId="5F3FBCD4">
      <w:pPr>
        <w:spacing w:line="360" w:lineRule="auto"/>
        <w:rPr>
          <w:rFonts w:eastAsia="仿宋"/>
        </w:rPr>
      </w:pPr>
      <w:r>
        <w:rPr>
          <w:rFonts w:hint="eastAsia" w:eastAsia="仿宋"/>
        </w:rPr>
        <w:t>1）因乙方未能按照本合同规定，导致工程开工延误</w:t>
      </w:r>
      <w:r>
        <w:rPr>
          <w:rFonts w:hint="eastAsia" w:eastAsia="仿宋"/>
          <w:u w:val="single"/>
        </w:rPr>
        <w:t>20日</w:t>
      </w:r>
      <w:r>
        <w:rPr>
          <w:rFonts w:hint="eastAsia" w:eastAsia="仿宋"/>
        </w:rPr>
        <w:t>以上；</w:t>
      </w:r>
    </w:p>
    <w:p w14:paraId="57CC1CE5">
      <w:pPr>
        <w:spacing w:line="360" w:lineRule="auto"/>
        <w:rPr>
          <w:rFonts w:eastAsia="仿宋"/>
        </w:rPr>
      </w:pPr>
      <w:r>
        <w:rPr>
          <w:rFonts w:hint="eastAsia" w:eastAsia="仿宋"/>
        </w:rPr>
        <w:t>2）因乙方原因导致工程未能在本合同约定的期限内完工，且工期延误</w:t>
      </w:r>
      <w:r>
        <w:rPr>
          <w:rFonts w:hint="eastAsia" w:eastAsia="仿宋"/>
          <w:u w:val="single"/>
        </w:rPr>
        <w:t>30日</w:t>
      </w:r>
      <w:r>
        <w:rPr>
          <w:rFonts w:hint="eastAsia" w:eastAsia="仿宋"/>
        </w:rPr>
        <w:t>以上；</w:t>
      </w:r>
    </w:p>
    <w:p w14:paraId="581A71E4">
      <w:pPr>
        <w:spacing w:line="360" w:lineRule="auto"/>
        <w:rPr>
          <w:rFonts w:eastAsia="仿宋"/>
        </w:rPr>
      </w:pPr>
      <w:r>
        <w:rPr>
          <w:rFonts w:hint="eastAsia" w:eastAsia="仿宋"/>
        </w:rPr>
        <w:t>3）乙方违反本合同第六条的规定，导致发生安全事故的；</w:t>
      </w:r>
    </w:p>
    <w:p w14:paraId="377EB593">
      <w:pPr>
        <w:spacing w:line="360" w:lineRule="auto"/>
        <w:rPr>
          <w:rFonts w:eastAsia="仿宋"/>
        </w:rPr>
      </w:pPr>
      <w:r>
        <w:rPr>
          <w:rFonts w:hint="eastAsia" w:eastAsia="仿宋"/>
        </w:rPr>
        <w:t>4）乙方违反本合同项下的其他义务，并且在甲方发出违约通知后</w:t>
      </w:r>
      <w:r>
        <w:rPr>
          <w:rFonts w:hint="eastAsia" w:eastAsia="仿宋"/>
          <w:u w:val="single"/>
        </w:rPr>
        <w:t>10</w:t>
      </w:r>
      <w:r>
        <w:rPr>
          <w:rFonts w:hint="eastAsia" w:eastAsia="仿宋"/>
        </w:rPr>
        <w:t>天内或在违约通知限定的期限内仍未纠正，或纠正后仍不符合本合同的约定或甲方要求。</w:t>
      </w:r>
    </w:p>
    <w:p w14:paraId="46F65E24">
      <w:pPr>
        <w:spacing w:line="360" w:lineRule="auto"/>
        <w:rPr>
          <w:rFonts w:eastAsia="仿宋"/>
        </w:rPr>
      </w:pPr>
      <w:r>
        <w:rPr>
          <w:rFonts w:hint="eastAsia" w:eastAsia="仿宋"/>
        </w:rPr>
        <w:t>10</w:t>
      </w:r>
      <w:r>
        <w:rPr>
          <w:rFonts w:eastAsia="仿宋"/>
        </w:rPr>
        <w:t>.</w:t>
      </w:r>
      <w:r>
        <w:rPr>
          <w:rFonts w:hint="eastAsia" w:eastAsia="仿宋"/>
        </w:rPr>
        <w:t>7</w:t>
      </w:r>
      <w:r>
        <w:rPr>
          <w:rFonts w:hint="eastAsia" w:eastAsia="仿宋"/>
          <w:lang w:val="en-US" w:eastAsia="zh-CN"/>
        </w:rPr>
        <w:t xml:space="preserve"> </w:t>
      </w:r>
      <w:r>
        <w:rPr>
          <w:rFonts w:hint="eastAsia" w:eastAsia="仿宋"/>
        </w:rPr>
        <w:t>在合同履行期间，擅自解除合同方，应按合同总金额的20％作为违约金付给</w:t>
      </w:r>
      <w:r>
        <w:rPr>
          <w:rFonts w:hint="eastAsia" w:eastAsia="仿宋"/>
          <w:lang w:val="en-US" w:eastAsia="zh-CN"/>
        </w:rPr>
        <w:t>守约</w:t>
      </w:r>
      <w:r>
        <w:rPr>
          <w:rFonts w:hint="eastAsia" w:eastAsia="仿宋"/>
        </w:rPr>
        <w:t>方。因擅自解除合同，使对方造成的实际损失超过违约金的，责任方应足额赔偿另一方损失。</w:t>
      </w:r>
    </w:p>
    <w:p w14:paraId="26ED1767">
      <w:pPr>
        <w:pageBreakBefore w:val="0"/>
        <w:kinsoku/>
        <w:wordWrap/>
        <w:overflowPunct/>
        <w:topLinePunct w:val="0"/>
        <w:bidi w:val="0"/>
        <w:snapToGrid/>
        <w:spacing w:line="360" w:lineRule="auto"/>
        <w:textAlignment w:val="auto"/>
        <w:rPr>
          <w:rFonts w:hint="eastAsia" w:eastAsia="仿宋"/>
        </w:rPr>
      </w:pPr>
      <w:r>
        <w:rPr>
          <w:rFonts w:hint="eastAsia" w:eastAsia="仿宋"/>
        </w:rPr>
        <w:t>10</w:t>
      </w:r>
      <w:r>
        <w:rPr>
          <w:rFonts w:eastAsia="仿宋"/>
        </w:rPr>
        <w:t>.</w:t>
      </w:r>
      <w:r>
        <w:rPr>
          <w:rFonts w:hint="eastAsia" w:eastAsia="仿宋"/>
        </w:rPr>
        <w:t>8</w:t>
      </w:r>
      <w:r>
        <w:rPr>
          <w:rFonts w:hint="eastAsia" w:eastAsia="仿宋"/>
          <w:lang w:val="en-US" w:eastAsia="zh-CN"/>
        </w:rPr>
        <w:t xml:space="preserve"> </w:t>
      </w:r>
      <w:r>
        <w:rPr>
          <w:rFonts w:hint="eastAsia" w:ascii="仿宋" w:hAnsi="仿宋" w:eastAsia="仿宋" w:cs="仿宋"/>
          <w:sz w:val="24"/>
          <w:szCs w:val="24"/>
          <w:lang w:eastAsia="zh-CN"/>
        </w:rPr>
        <w:t>本合同所称不可抗力事件指合同当事人不能预见、不能避免、不能克服的客观情况，包括但不限于地震、</w:t>
      </w:r>
      <w:r>
        <w:rPr>
          <w:rFonts w:hint="eastAsia" w:ascii="仿宋" w:hAnsi="仿宋" w:eastAsia="仿宋" w:cs="仿宋"/>
          <w:sz w:val="24"/>
          <w:szCs w:val="24"/>
          <w:lang w:val="en-US" w:eastAsia="zh-CN"/>
        </w:rPr>
        <w:t>火灾、</w:t>
      </w:r>
      <w:r>
        <w:rPr>
          <w:rFonts w:hint="eastAsia" w:ascii="仿宋" w:hAnsi="仿宋" w:eastAsia="仿宋" w:cs="仿宋"/>
          <w:sz w:val="24"/>
          <w:szCs w:val="24"/>
          <w:lang w:eastAsia="zh-CN"/>
        </w:rPr>
        <w:t>水灾、雷击、雪灾等天灾，战争、恐怖袭击、内乱、</w:t>
      </w:r>
      <w:r>
        <w:rPr>
          <w:rFonts w:hint="eastAsia" w:ascii="仿宋" w:hAnsi="仿宋" w:eastAsia="仿宋" w:cs="仿宋"/>
          <w:sz w:val="24"/>
          <w:szCs w:val="24"/>
          <w:lang w:val="en-US" w:eastAsia="zh-CN"/>
        </w:rPr>
        <w:t>疫情等</w:t>
      </w:r>
      <w:r>
        <w:rPr>
          <w:rFonts w:hint="eastAsia" w:ascii="仿宋" w:hAnsi="仿宋" w:eastAsia="仿宋" w:cs="仿宋"/>
          <w:sz w:val="24"/>
          <w:szCs w:val="24"/>
          <w:lang w:eastAsia="zh-CN"/>
        </w:rPr>
        <w:t>严重威胁安全或健康的情形。</w:t>
      </w:r>
      <w:r>
        <w:rPr>
          <w:rFonts w:hint="eastAsia" w:eastAsia="仿宋"/>
        </w:rPr>
        <w:t>因不可抗力使本合同的履行受到影响的，受不可抗力影响方应于该事由发生后</w:t>
      </w:r>
      <w:r>
        <w:rPr>
          <w:rFonts w:hint="eastAsia" w:eastAsia="仿宋"/>
          <w:u w:val="single"/>
        </w:rPr>
        <w:t>10</w:t>
      </w:r>
      <w:r>
        <w:rPr>
          <w:rFonts w:hint="eastAsia" w:eastAsia="仿宋"/>
        </w:rPr>
        <w:t>日内通知对方并提供相关证明。双方可根据受不可抗力影响的程度决定全部或部分免除本合同项下义务或解除本合同。因不可抗力导致的合同义务减免或合同终止，双方均不承担责任。</w:t>
      </w:r>
    </w:p>
    <w:p w14:paraId="03D2E371">
      <w:pPr>
        <w:spacing w:line="360" w:lineRule="auto"/>
        <w:rPr>
          <w:rFonts w:hint="eastAsia" w:eastAsia="仿宋"/>
          <w:b/>
          <w:lang w:eastAsia="zh-CN"/>
        </w:rPr>
      </w:pPr>
      <w:bookmarkStart w:id="94" w:name="_Toc424651548"/>
      <w:r>
        <w:rPr>
          <w:rFonts w:hint="eastAsia" w:eastAsia="仿宋"/>
          <w:b/>
          <w:lang w:val="en-US" w:eastAsia="zh-CN"/>
        </w:rPr>
        <w:t>十一、</w:t>
      </w:r>
      <w:r>
        <w:rPr>
          <w:rFonts w:hint="eastAsia" w:eastAsia="仿宋"/>
          <w:b/>
          <w:lang w:eastAsia="zh-CN"/>
        </w:rPr>
        <w:t>通知</w:t>
      </w:r>
      <w:bookmarkEnd w:id="94"/>
    </w:p>
    <w:p w14:paraId="705DF8D7">
      <w:pPr>
        <w:spacing w:line="360" w:lineRule="auto"/>
        <w:rPr>
          <w:rFonts w:hint="eastAsia" w:eastAsia="仿宋"/>
          <w:b w:val="0"/>
          <w:bCs/>
          <w:lang w:eastAsia="zh-CN"/>
        </w:rPr>
      </w:pPr>
      <w:r>
        <w:rPr>
          <w:rFonts w:hint="eastAsia" w:eastAsia="仿宋"/>
          <w:b w:val="0"/>
          <w:bCs/>
          <w:lang w:val="en-US" w:eastAsia="zh-CN"/>
        </w:rPr>
        <w:t xml:space="preserve">11.1 </w:t>
      </w:r>
      <w:r>
        <w:rPr>
          <w:rFonts w:hint="eastAsia" w:eastAsia="仿宋"/>
          <w:b w:val="0"/>
          <w:bCs/>
          <w:lang w:eastAsia="zh-CN"/>
        </w:rPr>
        <w:t>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5ABBDB6">
      <w:pPr>
        <w:spacing w:line="360" w:lineRule="auto"/>
        <w:rPr>
          <w:rFonts w:hint="eastAsia" w:eastAsia="仿宋"/>
          <w:b w:val="0"/>
          <w:bCs/>
          <w:lang w:eastAsia="zh-CN"/>
        </w:rPr>
      </w:pPr>
      <w:r>
        <w:rPr>
          <w:rFonts w:hint="eastAsia" w:eastAsia="仿宋"/>
          <w:b w:val="0"/>
          <w:bCs/>
          <w:lang w:eastAsia="zh-CN"/>
        </w:rPr>
        <w:t>各方的联络及通讯方法以各方的下列信息为准：</w:t>
      </w:r>
    </w:p>
    <w:p w14:paraId="7E86F170">
      <w:pPr>
        <w:spacing w:line="360" w:lineRule="auto"/>
        <w:rPr>
          <w:rFonts w:hint="eastAsia" w:eastAsia="仿宋"/>
          <w:b w:val="0"/>
          <w:bCs/>
          <w:lang w:val="en-US" w:eastAsia="zh-CN"/>
        </w:rPr>
      </w:pPr>
      <w:r>
        <w:rPr>
          <w:rFonts w:hint="eastAsia" w:eastAsia="仿宋"/>
          <w:b w:val="0"/>
          <w:bCs/>
          <w:lang w:val="en-US" w:eastAsia="zh-CN"/>
        </w:rPr>
        <w:t xml:space="preserve">甲方： </w:t>
      </w:r>
    </w:p>
    <w:p w14:paraId="6E06AA81">
      <w:pPr>
        <w:spacing w:line="360" w:lineRule="auto"/>
        <w:rPr>
          <w:rFonts w:hint="eastAsia" w:eastAsia="仿宋"/>
          <w:b w:val="0"/>
          <w:bCs/>
          <w:lang w:eastAsia="zh-CN"/>
        </w:rPr>
      </w:pPr>
      <w:r>
        <w:rPr>
          <w:rFonts w:hint="eastAsia" w:eastAsia="仿宋"/>
          <w:b w:val="0"/>
          <w:bCs/>
          <w:lang w:eastAsia="zh-CN"/>
        </w:rPr>
        <w:t>地址：_____________________</w:t>
      </w:r>
    </w:p>
    <w:p w14:paraId="0E3D4F52">
      <w:pPr>
        <w:spacing w:line="360" w:lineRule="auto"/>
        <w:rPr>
          <w:rFonts w:hint="eastAsia" w:eastAsia="仿宋"/>
          <w:b w:val="0"/>
          <w:bCs/>
          <w:lang w:eastAsia="zh-CN"/>
        </w:rPr>
      </w:pPr>
      <w:r>
        <w:rPr>
          <w:rFonts w:hint="eastAsia" w:eastAsia="仿宋"/>
          <w:b w:val="0"/>
          <w:bCs/>
          <w:lang w:eastAsia="zh-CN"/>
        </w:rPr>
        <w:t>电话：_____________________</w:t>
      </w:r>
    </w:p>
    <w:p w14:paraId="3C608947">
      <w:pPr>
        <w:spacing w:line="360" w:lineRule="auto"/>
        <w:rPr>
          <w:rFonts w:hint="eastAsia" w:eastAsia="仿宋"/>
          <w:b w:val="0"/>
          <w:bCs/>
          <w:lang w:eastAsia="zh-CN"/>
        </w:rPr>
      </w:pPr>
      <w:r>
        <w:rPr>
          <w:rFonts w:hint="eastAsia" w:eastAsia="仿宋"/>
          <w:b w:val="0"/>
          <w:bCs/>
          <w:lang w:eastAsia="zh-CN"/>
        </w:rPr>
        <w:t>收件人：_____________________</w:t>
      </w:r>
    </w:p>
    <w:p w14:paraId="30211E70">
      <w:pPr>
        <w:spacing w:line="360" w:lineRule="auto"/>
        <w:rPr>
          <w:rFonts w:hint="eastAsia" w:eastAsia="仿宋"/>
          <w:b w:val="0"/>
          <w:bCs/>
          <w:lang w:eastAsia="zh-CN"/>
        </w:rPr>
      </w:pPr>
      <w:r>
        <w:rPr>
          <w:rFonts w:hint="eastAsia" w:eastAsia="仿宋"/>
          <w:b w:val="0"/>
          <w:bCs/>
          <w:lang w:eastAsia="zh-CN"/>
        </w:rPr>
        <w:t>联系人：_____________________</w:t>
      </w:r>
    </w:p>
    <w:p w14:paraId="5D70738B">
      <w:pPr>
        <w:spacing w:line="360" w:lineRule="auto"/>
        <w:rPr>
          <w:rFonts w:hint="eastAsia" w:eastAsia="仿宋"/>
          <w:b w:val="0"/>
          <w:bCs/>
          <w:lang w:eastAsia="zh-CN"/>
        </w:rPr>
      </w:pPr>
    </w:p>
    <w:p w14:paraId="743D5C09">
      <w:pPr>
        <w:spacing w:line="360" w:lineRule="auto"/>
        <w:rPr>
          <w:rFonts w:hint="eastAsia" w:eastAsia="仿宋"/>
          <w:b w:val="0"/>
          <w:bCs/>
          <w:lang w:eastAsia="zh-CN"/>
        </w:rPr>
      </w:pPr>
      <w:r>
        <w:rPr>
          <w:rFonts w:hint="eastAsia" w:eastAsia="仿宋"/>
          <w:b w:val="0"/>
          <w:bCs/>
          <w:lang w:eastAsia="zh-CN"/>
        </w:rPr>
        <w:t>乙方：</w:t>
      </w:r>
    </w:p>
    <w:p w14:paraId="5DC89FF7">
      <w:pPr>
        <w:spacing w:line="360" w:lineRule="auto"/>
        <w:rPr>
          <w:rFonts w:hint="eastAsia" w:eastAsia="仿宋"/>
          <w:b w:val="0"/>
          <w:bCs/>
          <w:lang w:eastAsia="zh-CN"/>
        </w:rPr>
      </w:pPr>
      <w:r>
        <w:rPr>
          <w:rFonts w:hint="eastAsia" w:eastAsia="仿宋"/>
          <w:b w:val="0"/>
          <w:bCs/>
          <w:lang w:eastAsia="zh-CN"/>
        </w:rPr>
        <w:t>地址：_____________________</w:t>
      </w:r>
    </w:p>
    <w:p w14:paraId="573A37F1">
      <w:pPr>
        <w:spacing w:line="360" w:lineRule="auto"/>
        <w:rPr>
          <w:rFonts w:hint="eastAsia" w:eastAsia="仿宋"/>
          <w:b w:val="0"/>
          <w:bCs/>
          <w:lang w:eastAsia="zh-CN"/>
        </w:rPr>
      </w:pPr>
      <w:r>
        <w:rPr>
          <w:rFonts w:hint="eastAsia" w:eastAsia="仿宋"/>
          <w:b w:val="0"/>
          <w:bCs/>
          <w:lang w:eastAsia="zh-CN"/>
        </w:rPr>
        <w:t>电话：_____________________</w:t>
      </w:r>
    </w:p>
    <w:p w14:paraId="75D5F75A">
      <w:pPr>
        <w:spacing w:line="360" w:lineRule="auto"/>
        <w:rPr>
          <w:rFonts w:hint="eastAsia" w:eastAsia="仿宋"/>
          <w:b w:val="0"/>
          <w:bCs/>
          <w:lang w:eastAsia="zh-CN"/>
        </w:rPr>
      </w:pPr>
      <w:r>
        <w:rPr>
          <w:rFonts w:hint="eastAsia" w:eastAsia="仿宋"/>
          <w:b w:val="0"/>
          <w:bCs/>
          <w:lang w:eastAsia="zh-CN"/>
        </w:rPr>
        <w:t>收件人：____________________</w:t>
      </w:r>
    </w:p>
    <w:p w14:paraId="6FC567FA">
      <w:pPr>
        <w:spacing w:line="360" w:lineRule="auto"/>
        <w:rPr>
          <w:rFonts w:hint="eastAsia" w:eastAsia="仿宋"/>
          <w:b w:val="0"/>
          <w:bCs/>
          <w:lang w:eastAsia="zh-CN"/>
        </w:rPr>
      </w:pPr>
      <w:r>
        <w:rPr>
          <w:rFonts w:hint="eastAsia" w:eastAsia="仿宋"/>
          <w:b w:val="0"/>
          <w:bCs/>
          <w:lang w:eastAsia="zh-CN"/>
        </w:rPr>
        <w:t>联系人：__________________</w:t>
      </w:r>
    </w:p>
    <w:p w14:paraId="127EBB1F">
      <w:pPr>
        <w:spacing w:line="360" w:lineRule="auto"/>
        <w:rPr>
          <w:rFonts w:hint="eastAsia" w:eastAsia="仿宋"/>
          <w:b w:val="0"/>
          <w:bCs/>
          <w:lang w:val="en-US" w:eastAsia="zh-CN"/>
        </w:rPr>
      </w:pPr>
      <w:r>
        <w:rPr>
          <w:rFonts w:hint="eastAsia" w:eastAsia="仿宋"/>
          <w:b w:val="0"/>
          <w:bCs/>
          <w:lang w:val="en-US" w:eastAsia="zh-CN"/>
        </w:rPr>
        <w:t xml:space="preserve">11.2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71179729">
      <w:pPr>
        <w:spacing w:line="360" w:lineRule="auto"/>
        <w:rPr>
          <w:rFonts w:hint="eastAsia" w:eastAsia="仿宋"/>
          <w:b w:val="0"/>
          <w:bCs/>
        </w:rPr>
      </w:pPr>
      <w:r>
        <w:rPr>
          <w:rFonts w:hint="eastAsia" w:eastAsia="仿宋"/>
          <w:b w:val="0"/>
          <w:bCs/>
          <w:lang w:val="en-US" w:eastAsia="zh-CN"/>
        </w:rPr>
        <w:t>11.3 本条款为独立条款，不受协议整体或其他条款的效力的影响，始终有效。</w:t>
      </w:r>
    </w:p>
    <w:p w14:paraId="5821E501">
      <w:pPr>
        <w:spacing w:line="360" w:lineRule="auto"/>
        <w:rPr>
          <w:rFonts w:eastAsia="仿宋"/>
          <w:b/>
        </w:rPr>
      </w:pPr>
      <w:r>
        <w:rPr>
          <w:rFonts w:hint="eastAsia" w:eastAsia="仿宋"/>
          <w:b/>
        </w:rPr>
        <w:t>十</w:t>
      </w:r>
      <w:r>
        <w:rPr>
          <w:rFonts w:hint="eastAsia" w:eastAsia="仿宋"/>
          <w:b/>
          <w:lang w:val="en-US" w:eastAsia="zh-CN"/>
        </w:rPr>
        <w:t>二</w:t>
      </w:r>
      <w:r>
        <w:rPr>
          <w:rFonts w:hint="eastAsia" w:eastAsia="仿宋"/>
          <w:b/>
        </w:rPr>
        <w:t>、争议解决</w:t>
      </w:r>
    </w:p>
    <w:p w14:paraId="0A93F26D">
      <w:pPr>
        <w:spacing w:line="360" w:lineRule="auto"/>
        <w:ind w:firstLine="420" w:firstLineChars="200"/>
        <w:rPr>
          <w:rFonts w:hint="eastAsia" w:eastAsia="仿宋"/>
          <w:b/>
          <w:lang w:val="en-US" w:eastAsia="zh-CN"/>
        </w:rPr>
      </w:pPr>
      <w:r>
        <w:rPr>
          <w:rFonts w:hint="eastAsia" w:eastAsia="仿宋"/>
        </w:rPr>
        <w:t>因履行合同所发生的或与本合同有关的一切争议，双方应通过友好协商解决。如果双方协商不成，任何一方可向</w:t>
      </w:r>
      <w:r>
        <w:rPr>
          <w:rFonts w:hint="eastAsia" w:eastAsia="仿宋"/>
          <w:lang w:val="en-US" w:eastAsia="zh-CN"/>
        </w:rPr>
        <w:t>甲方</w:t>
      </w:r>
      <w:r>
        <w:rPr>
          <w:rFonts w:hint="eastAsia" w:eastAsia="仿宋"/>
        </w:rPr>
        <w:t>所在地有管辖权的人民法院起诉。</w:t>
      </w:r>
    </w:p>
    <w:p w14:paraId="34F2CA80">
      <w:pPr>
        <w:spacing w:line="360" w:lineRule="auto"/>
        <w:rPr>
          <w:rFonts w:hint="default" w:eastAsia="仿宋"/>
          <w:b/>
          <w:lang w:val="en-US" w:eastAsia="zh-CN"/>
        </w:rPr>
      </w:pPr>
      <w:r>
        <w:rPr>
          <w:rFonts w:hint="eastAsia" w:eastAsia="仿宋"/>
          <w:b/>
          <w:lang w:val="en-US" w:eastAsia="zh-CN"/>
        </w:rPr>
        <w:t>十三、廉洁规范条款</w:t>
      </w:r>
    </w:p>
    <w:p w14:paraId="395FE2DD">
      <w:pPr>
        <w:spacing w:line="360" w:lineRule="auto"/>
        <w:ind w:firstLine="420" w:firstLineChars="200"/>
        <w:rPr>
          <w:rFonts w:hint="eastAsia" w:eastAsia="仿宋"/>
          <w:lang w:val="zh-CN"/>
        </w:rPr>
      </w:pPr>
      <w:r>
        <w:rPr>
          <w:rFonts w:hint="eastAsia" w:eastAsia="仿宋"/>
          <w:lang w:val="en-US" w:eastAsia="zh-CN"/>
        </w:rPr>
        <w:t>合同各方</w:t>
      </w:r>
      <w:r>
        <w:rPr>
          <w:rFonts w:hint="eastAsia" w:eastAsia="仿宋"/>
        </w:rPr>
        <w:t>承诺：在</w:t>
      </w:r>
      <w:r>
        <w:rPr>
          <w:rFonts w:hint="eastAsia" w:eastAsia="仿宋"/>
          <w:lang w:val="en-US" w:eastAsia="zh-CN"/>
        </w:rPr>
        <w:t>本项目实施</w:t>
      </w:r>
      <w:r>
        <w:rPr>
          <w:rFonts w:hint="eastAsia" w:eastAsia="仿宋"/>
        </w:rPr>
        <w:t>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w:t>
      </w:r>
      <w:r>
        <w:rPr>
          <w:rFonts w:hint="eastAsia" w:eastAsia="仿宋"/>
          <w:lang w:eastAsia="zh-CN"/>
        </w:rPr>
        <w:t>合同，</w:t>
      </w:r>
      <w:r>
        <w:rPr>
          <w:rFonts w:hint="eastAsia" w:ascii="仿宋" w:hAnsi="仿宋" w:eastAsia="仿宋" w:cs="仿宋"/>
          <w:color w:val="000000"/>
          <w:sz w:val="24"/>
          <w:lang w:val="en-US" w:eastAsia="zh-CN"/>
        </w:rPr>
        <w:t>甲方解除本合同的，有权不予退还乙方履约保证金</w:t>
      </w:r>
      <w:r>
        <w:rPr>
          <w:rFonts w:hint="eastAsia" w:eastAsia="仿宋"/>
        </w:rPr>
        <w:t>。</w:t>
      </w:r>
    </w:p>
    <w:p w14:paraId="5F5EB6C0">
      <w:pPr>
        <w:spacing w:line="360" w:lineRule="auto"/>
        <w:rPr>
          <w:rFonts w:eastAsia="仿宋"/>
          <w:b/>
        </w:rPr>
      </w:pPr>
      <w:r>
        <w:rPr>
          <w:rFonts w:hint="eastAsia" w:eastAsia="仿宋"/>
          <w:b/>
        </w:rPr>
        <w:t>十</w:t>
      </w:r>
      <w:r>
        <w:rPr>
          <w:rFonts w:hint="eastAsia" w:eastAsia="仿宋"/>
          <w:b/>
          <w:lang w:val="en-US" w:eastAsia="zh-CN"/>
        </w:rPr>
        <w:t>四</w:t>
      </w:r>
      <w:r>
        <w:rPr>
          <w:rFonts w:hint="eastAsia" w:eastAsia="仿宋"/>
          <w:b/>
        </w:rPr>
        <w:t>、附则</w:t>
      </w:r>
    </w:p>
    <w:p w14:paraId="21516AD2">
      <w:pPr>
        <w:spacing w:line="360" w:lineRule="auto"/>
        <w:rPr>
          <w:rFonts w:eastAsia="仿宋"/>
          <w:highlight w:val="none"/>
        </w:rPr>
      </w:pPr>
      <w:r>
        <w:rPr>
          <w:rFonts w:eastAsia="仿宋"/>
        </w:rPr>
        <w:t>1</w:t>
      </w:r>
      <w:r>
        <w:rPr>
          <w:rFonts w:hint="eastAsia" w:eastAsia="仿宋"/>
          <w:lang w:val="en-US" w:eastAsia="zh-CN"/>
        </w:rPr>
        <w:t>4</w:t>
      </w:r>
      <w:r>
        <w:rPr>
          <w:rFonts w:eastAsia="仿宋"/>
        </w:rPr>
        <w:t xml:space="preserve">.1 </w:t>
      </w:r>
      <w:bookmarkStart w:id="95" w:name="_Toc478650037"/>
      <w:r>
        <w:rPr>
          <w:rFonts w:hint="eastAsia" w:eastAsia="仿宋"/>
        </w:rPr>
        <w:t>本合同经甲、乙双方法定代表人或授权代表人签</w:t>
      </w:r>
      <w:r>
        <w:rPr>
          <w:rFonts w:hint="eastAsia" w:eastAsia="仿宋"/>
          <w:highlight w:val="none"/>
        </w:rPr>
        <w:t>名</w:t>
      </w:r>
      <w:r>
        <w:rPr>
          <w:rFonts w:hint="eastAsia" w:eastAsia="仿宋"/>
          <w:highlight w:val="none"/>
          <w:lang w:val="en-US" w:eastAsia="zh-CN"/>
        </w:rPr>
        <w:t>（如为授权代表签名，乙方需提交法定代表人授权委托书</w:t>
      </w:r>
      <w:r>
        <w:rPr>
          <w:rFonts w:hint="eastAsia" w:eastAsia="仿宋"/>
          <w:highlight w:val="none"/>
          <w:lang w:eastAsia="zh-CN"/>
        </w:rPr>
        <w:t>）</w:t>
      </w:r>
      <w:r>
        <w:rPr>
          <w:rFonts w:hint="eastAsia" w:eastAsia="仿宋"/>
          <w:highlight w:val="none"/>
        </w:rPr>
        <w:t>并加盖单位公章或者合同专用章后生效。</w:t>
      </w:r>
      <w:r>
        <w:rPr>
          <w:rFonts w:eastAsia="仿宋"/>
          <w:highlight w:val="none"/>
        </w:rPr>
        <w:t>未尽事宜，双方根据需要，经协商可另外签订补充</w:t>
      </w:r>
      <w:r>
        <w:rPr>
          <w:rFonts w:hint="eastAsia" w:eastAsia="仿宋"/>
          <w:highlight w:val="none"/>
          <w:lang w:eastAsia="zh-CN"/>
        </w:rPr>
        <w:t>合同</w:t>
      </w:r>
      <w:r>
        <w:rPr>
          <w:rFonts w:eastAsia="仿宋"/>
          <w:highlight w:val="none"/>
        </w:rPr>
        <w:t>。</w:t>
      </w:r>
      <w:bookmarkEnd w:id="95"/>
    </w:p>
    <w:p w14:paraId="0A67CA98">
      <w:pPr>
        <w:spacing w:line="360" w:lineRule="auto"/>
        <w:rPr>
          <w:rFonts w:eastAsia="仿宋"/>
        </w:rPr>
      </w:pPr>
      <w:r>
        <w:rPr>
          <w:rFonts w:eastAsia="仿宋"/>
          <w:highlight w:val="none"/>
        </w:rPr>
        <w:t>1</w:t>
      </w:r>
      <w:r>
        <w:rPr>
          <w:rFonts w:hint="eastAsia" w:eastAsia="仿宋"/>
          <w:highlight w:val="none"/>
          <w:lang w:val="en-US" w:eastAsia="zh-CN"/>
        </w:rPr>
        <w:t>4</w:t>
      </w:r>
      <w:r>
        <w:rPr>
          <w:rFonts w:eastAsia="仿宋"/>
          <w:highlight w:val="none"/>
        </w:rPr>
        <w:t>.2 本合同一式</w:t>
      </w:r>
      <w:r>
        <w:rPr>
          <w:rFonts w:eastAsia="仿宋"/>
          <w:highlight w:val="none"/>
          <w:u w:val="single"/>
        </w:rPr>
        <w:t>9</w:t>
      </w:r>
      <w:r>
        <w:rPr>
          <w:rFonts w:eastAsia="仿宋"/>
          <w:highlight w:val="none"/>
        </w:rPr>
        <w:t>份，其中正本</w:t>
      </w:r>
      <w:r>
        <w:rPr>
          <w:rFonts w:eastAsia="仿宋"/>
          <w:highlight w:val="none"/>
          <w:u w:val="single"/>
        </w:rPr>
        <w:t>3</w:t>
      </w:r>
      <w:r>
        <w:rPr>
          <w:rFonts w:eastAsia="仿宋"/>
          <w:highlight w:val="none"/>
        </w:rPr>
        <w:t>份，甲方执</w:t>
      </w:r>
      <w:r>
        <w:rPr>
          <w:rFonts w:eastAsia="仿宋"/>
          <w:highlight w:val="none"/>
          <w:u w:val="single"/>
        </w:rPr>
        <w:t>1</w:t>
      </w:r>
      <w:r>
        <w:rPr>
          <w:rFonts w:eastAsia="仿宋"/>
          <w:highlight w:val="none"/>
        </w:rPr>
        <w:t>份，乙方执</w:t>
      </w:r>
      <w:r>
        <w:rPr>
          <w:rFonts w:eastAsia="仿宋"/>
          <w:u w:val="single"/>
        </w:rPr>
        <w:t>2</w:t>
      </w:r>
      <w:r>
        <w:rPr>
          <w:rFonts w:eastAsia="仿宋"/>
        </w:rPr>
        <w:t>份；副本</w:t>
      </w:r>
      <w:r>
        <w:rPr>
          <w:rFonts w:eastAsia="仿宋"/>
          <w:u w:val="single"/>
        </w:rPr>
        <w:t>6</w:t>
      </w:r>
      <w:r>
        <w:rPr>
          <w:rFonts w:eastAsia="仿宋"/>
        </w:rPr>
        <w:t>份，甲方执</w:t>
      </w:r>
      <w:r>
        <w:rPr>
          <w:rFonts w:eastAsia="仿宋"/>
          <w:u w:val="single"/>
        </w:rPr>
        <w:t>4</w:t>
      </w:r>
      <w:r>
        <w:rPr>
          <w:rFonts w:eastAsia="仿宋"/>
        </w:rPr>
        <w:t>份，乙方执</w:t>
      </w:r>
      <w:r>
        <w:rPr>
          <w:rFonts w:eastAsia="仿宋"/>
          <w:u w:val="single"/>
        </w:rPr>
        <w:t>2</w:t>
      </w:r>
      <w:r>
        <w:rPr>
          <w:rFonts w:eastAsia="仿宋"/>
        </w:rPr>
        <w:t>份；</w:t>
      </w:r>
      <w:r>
        <w:rPr>
          <w:rFonts w:hint="eastAsia" w:eastAsia="仿宋"/>
        </w:rPr>
        <w:t>正本和副本</w:t>
      </w:r>
      <w:r>
        <w:rPr>
          <w:rFonts w:eastAsia="仿宋"/>
        </w:rPr>
        <w:t>具有同等的法律效力</w:t>
      </w:r>
      <w:r>
        <w:rPr>
          <w:rFonts w:hint="eastAsia" w:eastAsia="仿宋"/>
        </w:rPr>
        <w:t>，如有互相矛盾之处，以正本为准。</w:t>
      </w:r>
    </w:p>
    <w:p w14:paraId="681D6EC2">
      <w:pPr>
        <w:spacing w:line="360" w:lineRule="auto"/>
        <w:rPr>
          <w:rFonts w:eastAsia="仿宋"/>
        </w:rPr>
      </w:pPr>
      <w:r>
        <w:rPr>
          <w:rFonts w:hint="eastAsia" w:eastAsia="仿宋"/>
        </w:rPr>
        <w:t>1</w:t>
      </w:r>
      <w:r>
        <w:rPr>
          <w:rFonts w:hint="eastAsia" w:eastAsia="仿宋"/>
          <w:lang w:val="en-US" w:eastAsia="zh-CN"/>
        </w:rPr>
        <w:t>4</w:t>
      </w:r>
      <w:r>
        <w:rPr>
          <w:rFonts w:hint="eastAsia" w:eastAsia="仿宋"/>
        </w:rPr>
        <w:t>.3</w:t>
      </w:r>
      <w:r>
        <w:rPr>
          <w:rFonts w:hint="eastAsia" w:eastAsia="仿宋"/>
          <w:lang w:val="en-US" w:eastAsia="zh-CN"/>
        </w:rPr>
        <w:t xml:space="preserve"> </w:t>
      </w:r>
      <w:r>
        <w:rPr>
          <w:rFonts w:hint="eastAsia" w:eastAsia="仿宋"/>
        </w:rPr>
        <w:t>本合同的附件内容作为合同的组成部分，与本合同具有同等法律效力。</w:t>
      </w:r>
    </w:p>
    <w:p w14:paraId="3B7996CC">
      <w:pPr>
        <w:spacing w:line="360" w:lineRule="auto"/>
        <w:rPr>
          <w:rFonts w:eastAsia="仿宋"/>
          <w:b/>
          <w:bCs/>
        </w:rPr>
      </w:pPr>
      <w:r>
        <w:rPr>
          <w:rFonts w:hint="eastAsia" w:eastAsia="仿宋"/>
          <w:b/>
          <w:bCs/>
        </w:rPr>
        <w:t>十</w:t>
      </w:r>
      <w:r>
        <w:rPr>
          <w:rFonts w:hint="eastAsia" w:eastAsia="仿宋"/>
          <w:b/>
          <w:bCs/>
          <w:lang w:val="en-US" w:eastAsia="zh-CN"/>
        </w:rPr>
        <w:t>五</w:t>
      </w:r>
      <w:r>
        <w:rPr>
          <w:rFonts w:hint="eastAsia" w:eastAsia="仿宋"/>
          <w:b/>
          <w:bCs/>
        </w:rPr>
        <w:t>、合同附件</w:t>
      </w:r>
    </w:p>
    <w:p w14:paraId="3AB7E9DF">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附件一：</w:t>
      </w:r>
      <w:r>
        <w:rPr>
          <w:rFonts w:hint="eastAsia" w:ascii="仿宋" w:hAnsi="仿宋" w:eastAsia="仿宋" w:cs="仿宋"/>
          <w:sz w:val="21"/>
          <w:szCs w:val="21"/>
          <w:highlight w:val="none"/>
          <w:lang w:val="en-US" w:eastAsia="zh-CN"/>
        </w:rPr>
        <w:t>用户</w:t>
      </w:r>
      <w:r>
        <w:rPr>
          <w:rFonts w:hint="eastAsia" w:ascii="仿宋" w:hAnsi="仿宋" w:eastAsia="仿宋" w:cs="仿宋"/>
          <w:sz w:val="21"/>
          <w:szCs w:val="21"/>
          <w:highlight w:val="none"/>
        </w:rPr>
        <w:t>需求书</w:t>
      </w:r>
    </w:p>
    <w:p w14:paraId="1E055B59">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附件二：价格明细表</w:t>
      </w:r>
    </w:p>
    <w:p w14:paraId="3FB2AA6E">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附件三：项目组成员</w:t>
      </w:r>
    </w:p>
    <w:p w14:paraId="0CCAA860">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附件四：拟投入设备一览表</w:t>
      </w:r>
    </w:p>
    <w:p w14:paraId="7DB29068">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附件五：乙方技术方案及承诺（</w:t>
      </w:r>
      <w:r>
        <w:rPr>
          <w:rFonts w:hint="eastAsia" w:ascii="仿宋" w:hAnsi="仿宋" w:eastAsia="仿宋" w:cs="仿宋"/>
          <w:sz w:val="21"/>
          <w:szCs w:val="21"/>
          <w:highlight w:val="none"/>
          <w:lang w:val="en-US" w:eastAsia="zh-CN"/>
        </w:rPr>
        <w:t>或</w:t>
      </w:r>
      <w:r>
        <w:rPr>
          <w:rFonts w:hint="eastAsia" w:ascii="仿宋" w:hAnsi="仿宋" w:eastAsia="仿宋" w:cs="仿宋"/>
          <w:sz w:val="21"/>
          <w:szCs w:val="21"/>
          <w:highlight w:val="none"/>
        </w:rPr>
        <w:t>授权书）</w:t>
      </w:r>
    </w:p>
    <w:p w14:paraId="74EC129F">
      <w:pPr>
        <w:spacing w:line="360" w:lineRule="auto"/>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附件六：法定代表人授权书及法定代表人身份证复印件</w:t>
      </w:r>
    </w:p>
    <w:p w14:paraId="41E59E0E">
      <w:pPr>
        <w:spacing w:line="360" w:lineRule="auto"/>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附件七：履约保证金收据/履约保函复印件</w:t>
      </w:r>
    </w:p>
    <w:p w14:paraId="345888E7">
      <w:pPr>
        <w:spacing w:line="360" w:lineRule="auto"/>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附件八：中标通知书/成交通知书复印件</w:t>
      </w:r>
    </w:p>
    <w:p w14:paraId="514FD059">
      <w:pPr>
        <w:spacing w:line="360" w:lineRule="auto"/>
        <w:ind w:firstLine="480" w:firstLineChars="200"/>
        <w:rPr>
          <w:rFonts w:ascii="Arial" w:hAnsi="Arial" w:cs="宋体"/>
          <w:sz w:val="24"/>
        </w:rPr>
      </w:pPr>
    </w:p>
    <w:p w14:paraId="71B0CFF2">
      <w:pPr>
        <w:spacing w:line="360" w:lineRule="auto"/>
        <w:ind w:firstLine="480" w:firstLineChars="200"/>
        <w:rPr>
          <w:rFonts w:ascii="Arial" w:hAnsi="Arial" w:cs="宋体"/>
          <w:sz w:val="24"/>
        </w:rPr>
      </w:pPr>
    </w:p>
    <w:p w14:paraId="63AF2035">
      <w:pPr>
        <w:spacing w:line="360" w:lineRule="auto"/>
        <w:rPr>
          <w:rFonts w:ascii="Arial" w:hAnsi="Arial" w:cs="宋体"/>
          <w:sz w:val="24"/>
        </w:rPr>
      </w:pPr>
    </w:p>
    <w:p w14:paraId="7D697222">
      <w:pPr>
        <w:spacing w:line="360" w:lineRule="auto"/>
        <w:rPr>
          <w:rFonts w:ascii="Arial" w:hAnsi="Arial" w:cs="宋体"/>
          <w:sz w:val="24"/>
        </w:rPr>
      </w:pPr>
    </w:p>
    <w:p w14:paraId="067A9639"/>
    <w:p w14:paraId="294B1AFD"/>
    <w:p w14:paraId="29873A26"/>
    <w:p w14:paraId="3DE23829"/>
    <w:p w14:paraId="51864C53"/>
    <w:p w14:paraId="42F74275"/>
    <w:p w14:paraId="37EB5115"/>
    <w:p w14:paraId="795BF467"/>
    <w:p w14:paraId="66467677"/>
    <w:p w14:paraId="139B3F68"/>
    <w:p w14:paraId="12972CCF"/>
    <w:p w14:paraId="61E3E4AA"/>
    <w:p w14:paraId="7AD86687"/>
    <w:p w14:paraId="6B754E16">
      <w:pPr>
        <w:pStyle w:val="14"/>
        <w:spacing w:line="360" w:lineRule="exact"/>
        <w:jc w:val="center"/>
        <w:rPr>
          <w:rFonts w:hAnsi="宋体"/>
          <w:b/>
          <w:sz w:val="24"/>
          <w:szCs w:val="24"/>
        </w:rPr>
      </w:pPr>
    </w:p>
    <w:p w14:paraId="62D2A023">
      <w:pPr>
        <w:pStyle w:val="14"/>
        <w:spacing w:line="360" w:lineRule="exact"/>
        <w:jc w:val="center"/>
        <w:rPr>
          <w:rFonts w:hint="eastAsia" w:hAnsi="宋体"/>
          <w:b/>
          <w:sz w:val="24"/>
          <w:szCs w:val="24"/>
        </w:rPr>
      </w:pPr>
    </w:p>
    <w:p w14:paraId="2D8E8A0D">
      <w:pPr>
        <w:pStyle w:val="14"/>
        <w:spacing w:line="360" w:lineRule="exact"/>
        <w:jc w:val="center"/>
        <w:rPr>
          <w:rFonts w:hint="eastAsia" w:hAnsi="宋体"/>
          <w:b/>
          <w:sz w:val="24"/>
          <w:szCs w:val="24"/>
        </w:rPr>
      </w:pPr>
    </w:p>
    <w:p w14:paraId="1A65A772">
      <w:pPr>
        <w:pStyle w:val="14"/>
        <w:spacing w:line="360" w:lineRule="exact"/>
        <w:jc w:val="center"/>
        <w:rPr>
          <w:rFonts w:hint="eastAsia" w:hAnsi="宋体"/>
          <w:b/>
          <w:sz w:val="24"/>
          <w:szCs w:val="24"/>
        </w:rPr>
      </w:pPr>
    </w:p>
    <w:p w14:paraId="48551250">
      <w:pPr>
        <w:rPr>
          <w:rFonts w:hint="eastAsia" w:hAnsi="宋体"/>
          <w:b/>
          <w:sz w:val="24"/>
          <w:szCs w:val="24"/>
        </w:rPr>
      </w:pPr>
      <w:r>
        <w:rPr>
          <w:rFonts w:hint="eastAsia" w:hAnsi="宋体"/>
          <w:b/>
          <w:sz w:val="24"/>
          <w:szCs w:val="24"/>
        </w:rPr>
        <w:br w:type="page"/>
      </w:r>
    </w:p>
    <w:p w14:paraId="1BFC7788">
      <w:pPr>
        <w:pStyle w:val="14"/>
        <w:spacing w:line="360" w:lineRule="exact"/>
        <w:jc w:val="center"/>
        <w:rPr>
          <w:rFonts w:hint="eastAsia" w:hAnsi="宋体"/>
          <w:b/>
          <w:sz w:val="24"/>
          <w:szCs w:val="24"/>
        </w:rPr>
      </w:pPr>
    </w:p>
    <w:p w14:paraId="4D86F8F5">
      <w:pPr>
        <w:pStyle w:val="14"/>
        <w:spacing w:line="360" w:lineRule="exact"/>
        <w:jc w:val="center"/>
        <w:rPr>
          <w:rFonts w:hAnsi="宋体"/>
          <w:b/>
          <w:sz w:val="24"/>
          <w:szCs w:val="24"/>
        </w:rPr>
      </w:pPr>
      <w:r>
        <w:rPr>
          <w:rFonts w:hint="eastAsia" w:hAnsi="宋体"/>
          <w:b/>
          <w:sz w:val="24"/>
          <w:szCs w:val="24"/>
        </w:rPr>
        <w:t>（此页无正文，为合同签署页）</w:t>
      </w:r>
    </w:p>
    <w:p w14:paraId="61A8A274">
      <w:pPr>
        <w:pStyle w:val="14"/>
        <w:jc w:val="left"/>
        <w:rPr>
          <w:rFonts w:hAnsi="宋体"/>
          <w:b/>
          <w:sz w:val="24"/>
          <w:szCs w:val="24"/>
        </w:rPr>
      </w:pPr>
    </w:p>
    <w:p w14:paraId="382424A2">
      <w:pPr>
        <w:pStyle w:val="14"/>
        <w:jc w:val="left"/>
        <w:rPr>
          <w:rFonts w:hAnsi="宋体"/>
          <w:b/>
          <w:sz w:val="24"/>
          <w:szCs w:val="24"/>
        </w:rPr>
      </w:pPr>
      <w:r>
        <w:rPr>
          <w:b/>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8" name="文本框 8"/>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711626A6">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43CC8E57">
                            <w:pPr>
                              <w:pStyle w:val="2"/>
                              <w:tabs>
                                <w:tab w:val="left" w:pos="180"/>
                              </w:tabs>
                              <w:rPr>
                                <w:rFonts w:hAnsi="宋体"/>
                                <w:b/>
                                <w:color w:val="auto"/>
                                <w:kern w:val="2"/>
                                <w:sz w:val="24"/>
                                <w:szCs w:val="24"/>
                              </w:rPr>
                            </w:pPr>
                          </w:p>
                          <w:p w14:paraId="5704F75C">
                            <w:pPr>
                              <w:pStyle w:val="2"/>
                              <w:tabs>
                                <w:tab w:val="left" w:pos="180"/>
                              </w:tabs>
                              <w:rPr>
                                <w:rFonts w:hAnsi="宋体"/>
                                <w:b/>
                                <w:color w:val="auto"/>
                                <w:kern w:val="2"/>
                                <w:sz w:val="24"/>
                                <w:szCs w:val="24"/>
                              </w:rPr>
                            </w:pPr>
                          </w:p>
                          <w:p w14:paraId="4765B22F">
                            <w:pPr>
                              <w:spacing w:line="360" w:lineRule="auto"/>
                              <w:ind w:left="14" w:hanging="14" w:hangingChars="6"/>
                              <w:rPr>
                                <w:rFonts w:ascii="宋体" w:hAnsi="宋体"/>
                                <w:b/>
                                <w:sz w:val="24"/>
                              </w:rPr>
                            </w:pPr>
                          </w:p>
                          <w:p w14:paraId="02AD0269">
                            <w:pPr>
                              <w:spacing w:line="360" w:lineRule="auto"/>
                              <w:ind w:left="14" w:hanging="14" w:hangingChars="6"/>
                              <w:rPr>
                                <w:rFonts w:ascii="宋体" w:hAnsi="宋体"/>
                                <w:b/>
                                <w:sz w:val="24"/>
                              </w:rPr>
                            </w:pPr>
                            <w:r>
                              <w:rPr>
                                <w:rFonts w:hint="eastAsia" w:ascii="宋体" w:hAnsi="宋体"/>
                                <w:b/>
                                <w:sz w:val="24"/>
                              </w:rPr>
                              <w:t>地址：</w:t>
                            </w:r>
                          </w:p>
                          <w:p w14:paraId="68EE164F">
                            <w:pPr>
                              <w:spacing w:line="360" w:lineRule="auto"/>
                              <w:ind w:left="14" w:hanging="14" w:hangingChars="6"/>
                              <w:rPr>
                                <w:rFonts w:ascii="宋体" w:hAnsi="宋体"/>
                                <w:b/>
                                <w:sz w:val="24"/>
                              </w:rPr>
                            </w:pPr>
                          </w:p>
                          <w:p w14:paraId="7B673EF5">
                            <w:pPr>
                              <w:spacing w:line="360" w:lineRule="auto"/>
                              <w:ind w:left="14" w:hanging="14" w:hangingChars="6"/>
                              <w:rPr>
                                <w:rFonts w:hAnsi="宋体"/>
                                <w:b/>
                                <w:color w:val="auto"/>
                                <w:kern w:val="2"/>
                                <w:sz w:val="24"/>
                                <w:szCs w:val="24"/>
                              </w:rPr>
                            </w:pPr>
                            <w:r>
                              <w:rPr>
                                <w:rFonts w:hint="eastAsia" w:ascii="宋体" w:hAnsi="宋体"/>
                                <w:b/>
                                <w:sz w:val="24"/>
                              </w:rPr>
                              <w:t>法人（或授权）代表：</w:t>
                            </w:r>
                          </w:p>
                          <w:p w14:paraId="2EF24AB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06681A1A">
                            <w:pPr>
                              <w:rPr>
                                <w:rFonts w:ascii="宋体" w:hAnsi="宋体"/>
                                <w:b/>
                                <w:sz w:val="24"/>
                                <w:szCs w:val="20"/>
                              </w:rPr>
                            </w:pPr>
                          </w:p>
                          <w:p w14:paraId="0A5647DD">
                            <w:pPr>
                              <w:rPr>
                                <w:rFonts w:ascii="宋体" w:hAnsi="宋体"/>
                                <w:b/>
                                <w:sz w:val="24"/>
                                <w:szCs w:val="20"/>
                              </w:rPr>
                            </w:pPr>
                          </w:p>
                          <w:p w14:paraId="45ED59E1">
                            <w:r>
                              <w:rPr>
                                <w:rFonts w:hint="eastAsia" w:ascii="宋体" w:hAnsi="宋体"/>
                                <w:b/>
                                <w:sz w:val="24"/>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UI0ylyQEAAIYDAAAOAAAAAAAAAAEAIAAAACcBAABk&#10;cnMvZTJvRG9jLnhtbFBLBQYAAAAABgAGAFkBAABiBQAAAAA=&#10;">
                <v:fill on="t" focussize="0,0"/>
                <v:stroke on="f"/>
                <v:imagedata o:title=""/>
                <o:lock v:ext="edit" aspectratio="f"/>
                <v:textbox>
                  <w:txbxContent>
                    <w:p w14:paraId="711626A6">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43CC8E57">
                      <w:pPr>
                        <w:pStyle w:val="2"/>
                        <w:tabs>
                          <w:tab w:val="left" w:pos="180"/>
                        </w:tabs>
                        <w:rPr>
                          <w:rFonts w:hAnsi="宋体"/>
                          <w:b/>
                          <w:color w:val="auto"/>
                          <w:kern w:val="2"/>
                          <w:sz w:val="24"/>
                          <w:szCs w:val="24"/>
                        </w:rPr>
                      </w:pPr>
                    </w:p>
                    <w:p w14:paraId="5704F75C">
                      <w:pPr>
                        <w:pStyle w:val="2"/>
                        <w:tabs>
                          <w:tab w:val="left" w:pos="180"/>
                        </w:tabs>
                        <w:rPr>
                          <w:rFonts w:hAnsi="宋体"/>
                          <w:b/>
                          <w:color w:val="auto"/>
                          <w:kern w:val="2"/>
                          <w:sz w:val="24"/>
                          <w:szCs w:val="24"/>
                        </w:rPr>
                      </w:pPr>
                    </w:p>
                    <w:p w14:paraId="4765B22F">
                      <w:pPr>
                        <w:spacing w:line="360" w:lineRule="auto"/>
                        <w:ind w:left="14" w:hanging="14" w:hangingChars="6"/>
                        <w:rPr>
                          <w:rFonts w:ascii="宋体" w:hAnsi="宋体"/>
                          <w:b/>
                          <w:sz w:val="24"/>
                        </w:rPr>
                      </w:pPr>
                    </w:p>
                    <w:p w14:paraId="02AD0269">
                      <w:pPr>
                        <w:spacing w:line="360" w:lineRule="auto"/>
                        <w:ind w:left="14" w:hanging="14" w:hangingChars="6"/>
                        <w:rPr>
                          <w:rFonts w:ascii="宋体" w:hAnsi="宋体"/>
                          <w:b/>
                          <w:sz w:val="24"/>
                        </w:rPr>
                      </w:pPr>
                      <w:r>
                        <w:rPr>
                          <w:rFonts w:hint="eastAsia" w:ascii="宋体" w:hAnsi="宋体"/>
                          <w:b/>
                          <w:sz w:val="24"/>
                        </w:rPr>
                        <w:t>地址：</w:t>
                      </w:r>
                    </w:p>
                    <w:p w14:paraId="68EE164F">
                      <w:pPr>
                        <w:spacing w:line="360" w:lineRule="auto"/>
                        <w:ind w:left="14" w:hanging="14" w:hangingChars="6"/>
                        <w:rPr>
                          <w:rFonts w:ascii="宋体" w:hAnsi="宋体"/>
                          <w:b/>
                          <w:sz w:val="24"/>
                        </w:rPr>
                      </w:pPr>
                    </w:p>
                    <w:p w14:paraId="7B673EF5">
                      <w:pPr>
                        <w:spacing w:line="360" w:lineRule="auto"/>
                        <w:ind w:left="14" w:hanging="14" w:hangingChars="6"/>
                        <w:rPr>
                          <w:rFonts w:hAnsi="宋体"/>
                          <w:b/>
                          <w:color w:val="auto"/>
                          <w:kern w:val="2"/>
                          <w:sz w:val="24"/>
                          <w:szCs w:val="24"/>
                        </w:rPr>
                      </w:pPr>
                      <w:r>
                        <w:rPr>
                          <w:rFonts w:hint="eastAsia" w:ascii="宋体" w:hAnsi="宋体"/>
                          <w:b/>
                          <w:sz w:val="24"/>
                        </w:rPr>
                        <w:t>法人（或授权）代表：</w:t>
                      </w:r>
                    </w:p>
                    <w:p w14:paraId="2EF24AB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06681A1A">
                      <w:pPr>
                        <w:rPr>
                          <w:rFonts w:ascii="宋体" w:hAnsi="宋体"/>
                          <w:b/>
                          <w:sz w:val="24"/>
                          <w:szCs w:val="20"/>
                        </w:rPr>
                      </w:pPr>
                    </w:p>
                    <w:p w14:paraId="0A5647DD">
                      <w:pPr>
                        <w:rPr>
                          <w:rFonts w:ascii="宋体" w:hAnsi="宋体"/>
                          <w:b/>
                          <w:sz w:val="24"/>
                          <w:szCs w:val="20"/>
                        </w:rPr>
                      </w:pPr>
                    </w:p>
                    <w:p w14:paraId="45ED59E1">
                      <w:r>
                        <w:rPr>
                          <w:rFonts w:hint="eastAsia" w:ascii="宋体" w:hAnsi="宋体"/>
                          <w:b/>
                          <w:sz w:val="24"/>
                          <w:szCs w:val="20"/>
                        </w:rPr>
                        <w:t>日期:      年   月   日</w:t>
                      </w:r>
                    </w:p>
                  </w:txbxContent>
                </v:textbox>
              </v:shape>
            </w:pict>
          </mc:Fallback>
        </mc:AlternateContent>
      </w:r>
      <w:r>
        <w:rPr>
          <w: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5" name="文本框 5"/>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0A854F5A"/>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AuVJpLxQEAAIYDAAAOAAAAAAAAAAEAIAAAACIBAABkcnMvZTJvRG9j&#10;LnhtbFBLBQYAAAAABgAGAFkBAABZBQAAAAA=&#10;">
                <v:fill on="t" focussize="0,0"/>
                <v:stroke on="f"/>
                <v:imagedata o:title=""/>
                <o:lock v:ext="edit" aspectratio="f"/>
                <v:textbox>
                  <w:txbxContent>
                    <w:p w14:paraId="0A854F5A"/>
                  </w:txbxContent>
                </v:textbox>
              </v:shape>
            </w:pict>
          </mc:Fallback>
        </mc:AlternateContent>
      </w:r>
      <w:r>
        <w:rPr>
          <w:b/>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12" name="文本框 12"/>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71EB1585">
                            <w:pPr>
                              <w:spacing w:line="360" w:lineRule="auto"/>
                              <w:rPr>
                                <w:rFonts w:hint="eastAsia" w:ascii="宋体" w:hAnsi="宋体" w:eastAsia="宋体"/>
                                <w:b/>
                                <w:sz w:val="24"/>
                                <w:lang w:eastAsia="zh-CN"/>
                              </w:rPr>
                            </w:pPr>
                            <w:r>
                              <w:rPr>
                                <w:rFonts w:hint="eastAsia" w:ascii="宋体" w:hAnsi="宋体"/>
                                <w:b/>
                                <w:sz w:val="24"/>
                              </w:rPr>
                              <w:t>甲</w:t>
                            </w:r>
                            <w:r>
                              <w:rPr>
                                <w:rFonts w:ascii="宋体" w:hAnsi="宋体"/>
                                <w:b/>
                                <w:sz w:val="24"/>
                              </w:rPr>
                              <w:t>方：</w:t>
                            </w:r>
                          </w:p>
                          <w:p w14:paraId="1648B6BF">
                            <w:pPr>
                              <w:spacing w:line="360" w:lineRule="auto"/>
                              <w:ind w:left="14" w:hanging="14" w:hangingChars="6"/>
                              <w:rPr>
                                <w:rFonts w:ascii="宋体" w:hAnsi="宋体"/>
                                <w:b/>
                                <w:sz w:val="24"/>
                              </w:rPr>
                            </w:pPr>
                            <w:r>
                              <w:rPr>
                                <w:rFonts w:ascii="宋体" w:hAnsi="宋体"/>
                                <w:b/>
                                <w:sz w:val="24"/>
                              </w:rPr>
                              <w:t>（盖章）</w:t>
                            </w:r>
                          </w:p>
                          <w:p w14:paraId="58562E31">
                            <w:pPr>
                              <w:spacing w:line="360" w:lineRule="auto"/>
                              <w:ind w:left="14" w:hanging="14" w:hangingChars="6"/>
                              <w:rPr>
                                <w:rFonts w:ascii="宋体" w:hAnsi="宋体"/>
                                <w:b/>
                                <w:sz w:val="24"/>
                              </w:rPr>
                            </w:pPr>
                          </w:p>
                          <w:p w14:paraId="33646B62">
                            <w:pPr>
                              <w:spacing w:line="360" w:lineRule="auto"/>
                              <w:ind w:left="14" w:hanging="14" w:hangingChars="6"/>
                              <w:rPr>
                                <w:rFonts w:ascii="宋体" w:hAnsi="宋体"/>
                                <w:b/>
                                <w:sz w:val="24"/>
                              </w:rPr>
                            </w:pPr>
                            <w:r>
                              <w:rPr>
                                <w:rFonts w:ascii="宋体" w:hAnsi="宋体"/>
                                <w:b/>
                                <w:sz w:val="24"/>
                              </w:rPr>
                              <w:t>地址：</w:t>
                            </w:r>
                          </w:p>
                          <w:p w14:paraId="20F3CFD0">
                            <w:pPr>
                              <w:spacing w:line="360" w:lineRule="auto"/>
                              <w:ind w:left="14" w:hanging="14" w:hangingChars="6"/>
                              <w:rPr>
                                <w:rFonts w:ascii="宋体" w:hAnsi="宋体"/>
                                <w:b/>
                                <w:sz w:val="24"/>
                              </w:rPr>
                            </w:pPr>
                          </w:p>
                          <w:p w14:paraId="6FE7A7D8">
                            <w:pPr>
                              <w:spacing w:line="360" w:lineRule="auto"/>
                              <w:ind w:left="14" w:hanging="14" w:hangingChars="6"/>
                              <w:rPr>
                                <w:rFonts w:ascii="宋体" w:hAnsi="宋体"/>
                                <w:b/>
                                <w:sz w:val="24"/>
                              </w:rPr>
                            </w:pPr>
                            <w:r>
                              <w:rPr>
                                <w:rFonts w:ascii="宋体" w:hAnsi="宋体"/>
                                <w:b/>
                                <w:sz w:val="24"/>
                              </w:rPr>
                              <w:t>法人（或授权）代表：</w:t>
                            </w:r>
                          </w:p>
                          <w:p w14:paraId="5E44EF3F">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6C51E269">
                            <w:pPr>
                              <w:spacing w:line="360" w:lineRule="auto"/>
                              <w:ind w:left="14" w:hanging="14" w:hangingChars="6"/>
                              <w:rPr>
                                <w:rFonts w:ascii="宋体" w:hAnsi="宋体"/>
                                <w:b/>
                                <w:sz w:val="24"/>
                              </w:rPr>
                            </w:pPr>
                          </w:p>
                          <w:p w14:paraId="3AA49C60">
                            <w:pPr>
                              <w:spacing w:line="360" w:lineRule="auto"/>
                              <w:ind w:left="14" w:hanging="14" w:hangingChars="6"/>
                              <w:rPr>
                                <w:rFonts w:ascii="宋体" w:hAnsi="宋体"/>
                                <w:b/>
                                <w:sz w:val="24"/>
                              </w:rPr>
                            </w:pPr>
                            <w:r>
                              <w:rPr>
                                <w:rFonts w:ascii="宋体" w:hAnsi="宋体"/>
                                <w:b/>
                                <w:sz w:val="24"/>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4Mni0wAAAAUBAAAPAAAAAAAAAAEAIAAAACIAAABkcnMvZG93bnJldi54&#10;bWxQSwECFAAUAAAACACHTuJAVoF4rMYBAACIAwAADgAAAAAAAAABACAAAAAiAQAAZHJzL2Uyb0Rv&#10;Yy54bWxQSwUGAAAAAAYABgBZAQAAWgUAAAAA&#10;">
                <v:fill on="t" focussize="0,0"/>
                <v:stroke on="f"/>
                <v:imagedata o:title=""/>
                <o:lock v:ext="edit" aspectratio="f"/>
                <v:textbox>
                  <w:txbxContent>
                    <w:p w14:paraId="71EB1585">
                      <w:pPr>
                        <w:spacing w:line="360" w:lineRule="auto"/>
                        <w:rPr>
                          <w:rFonts w:hint="eastAsia" w:ascii="宋体" w:hAnsi="宋体" w:eastAsia="宋体"/>
                          <w:b/>
                          <w:sz w:val="24"/>
                          <w:lang w:eastAsia="zh-CN"/>
                        </w:rPr>
                      </w:pPr>
                      <w:r>
                        <w:rPr>
                          <w:rFonts w:hint="eastAsia" w:ascii="宋体" w:hAnsi="宋体"/>
                          <w:b/>
                          <w:sz w:val="24"/>
                        </w:rPr>
                        <w:t>甲</w:t>
                      </w:r>
                      <w:r>
                        <w:rPr>
                          <w:rFonts w:ascii="宋体" w:hAnsi="宋体"/>
                          <w:b/>
                          <w:sz w:val="24"/>
                        </w:rPr>
                        <w:t>方：</w:t>
                      </w:r>
                    </w:p>
                    <w:p w14:paraId="1648B6BF">
                      <w:pPr>
                        <w:spacing w:line="360" w:lineRule="auto"/>
                        <w:ind w:left="14" w:hanging="14" w:hangingChars="6"/>
                        <w:rPr>
                          <w:rFonts w:ascii="宋体" w:hAnsi="宋体"/>
                          <w:b/>
                          <w:sz w:val="24"/>
                        </w:rPr>
                      </w:pPr>
                      <w:r>
                        <w:rPr>
                          <w:rFonts w:ascii="宋体" w:hAnsi="宋体"/>
                          <w:b/>
                          <w:sz w:val="24"/>
                        </w:rPr>
                        <w:t>（盖章）</w:t>
                      </w:r>
                    </w:p>
                    <w:p w14:paraId="58562E31">
                      <w:pPr>
                        <w:spacing w:line="360" w:lineRule="auto"/>
                        <w:ind w:left="14" w:hanging="14" w:hangingChars="6"/>
                        <w:rPr>
                          <w:rFonts w:ascii="宋体" w:hAnsi="宋体"/>
                          <w:b/>
                          <w:sz w:val="24"/>
                        </w:rPr>
                      </w:pPr>
                    </w:p>
                    <w:p w14:paraId="33646B62">
                      <w:pPr>
                        <w:spacing w:line="360" w:lineRule="auto"/>
                        <w:ind w:left="14" w:hanging="14" w:hangingChars="6"/>
                        <w:rPr>
                          <w:rFonts w:ascii="宋体" w:hAnsi="宋体"/>
                          <w:b/>
                          <w:sz w:val="24"/>
                        </w:rPr>
                      </w:pPr>
                      <w:r>
                        <w:rPr>
                          <w:rFonts w:ascii="宋体" w:hAnsi="宋体"/>
                          <w:b/>
                          <w:sz w:val="24"/>
                        </w:rPr>
                        <w:t>地址：</w:t>
                      </w:r>
                    </w:p>
                    <w:p w14:paraId="20F3CFD0">
                      <w:pPr>
                        <w:spacing w:line="360" w:lineRule="auto"/>
                        <w:ind w:left="14" w:hanging="14" w:hangingChars="6"/>
                        <w:rPr>
                          <w:rFonts w:ascii="宋体" w:hAnsi="宋体"/>
                          <w:b/>
                          <w:sz w:val="24"/>
                        </w:rPr>
                      </w:pPr>
                    </w:p>
                    <w:p w14:paraId="6FE7A7D8">
                      <w:pPr>
                        <w:spacing w:line="360" w:lineRule="auto"/>
                        <w:ind w:left="14" w:hanging="14" w:hangingChars="6"/>
                        <w:rPr>
                          <w:rFonts w:ascii="宋体" w:hAnsi="宋体"/>
                          <w:b/>
                          <w:sz w:val="24"/>
                        </w:rPr>
                      </w:pPr>
                      <w:r>
                        <w:rPr>
                          <w:rFonts w:ascii="宋体" w:hAnsi="宋体"/>
                          <w:b/>
                          <w:sz w:val="24"/>
                        </w:rPr>
                        <w:t>法人（或授权）代表：</w:t>
                      </w:r>
                    </w:p>
                    <w:p w14:paraId="5E44EF3F">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6C51E269">
                      <w:pPr>
                        <w:spacing w:line="360" w:lineRule="auto"/>
                        <w:ind w:left="14" w:hanging="14" w:hangingChars="6"/>
                        <w:rPr>
                          <w:rFonts w:ascii="宋体" w:hAnsi="宋体"/>
                          <w:b/>
                          <w:sz w:val="24"/>
                        </w:rPr>
                      </w:pPr>
                    </w:p>
                    <w:p w14:paraId="3AA49C60">
                      <w:pPr>
                        <w:spacing w:line="360" w:lineRule="auto"/>
                        <w:ind w:left="14" w:hanging="14" w:hangingChars="6"/>
                        <w:rPr>
                          <w:rFonts w:ascii="宋体" w:hAnsi="宋体"/>
                          <w:b/>
                          <w:sz w:val="24"/>
                        </w:rPr>
                      </w:pPr>
                      <w:r>
                        <w:rPr>
                          <w:rFonts w:ascii="宋体" w:hAnsi="宋体"/>
                          <w:b/>
                          <w:sz w:val="24"/>
                        </w:rPr>
                        <w:t>日期:      年   月   日</w:t>
                      </w:r>
                    </w:p>
                  </w:txbxContent>
                </v:textbox>
              </v:shape>
            </w:pict>
          </mc:Fallback>
        </mc:AlternateContent>
      </w:r>
    </w:p>
    <w:p w14:paraId="1DC2D81A">
      <w:pPr>
        <w:pStyle w:val="14"/>
        <w:jc w:val="left"/>
        <w:rPr>
          <w:rFonts w:hAnsi="宋体"/>
          <w:b/>
          <w:sz w:val="24"/>
          <w:szCs w:val="24"/>
        </w:rPr>
      </w:pPr>
    </w:p>
    <w:p w14:paraId="5A774302">
      <w:pPr>
        <w:pStyle w:val="14"/>
        <w:jc w:val="left"/>
        <w:rPr>
          <w:rFonts w:hAnsi="宋体"/>
          <w:b/>
          <w:sz w:val="24"/>
          <w:szCs w:val="24"/>
        </w:rPr>
      </w:pPr>
    </w:p>
    <w:p w14:paraId="7A1E1CCA">
      <w:pPr>
        <w:pStyle w:val="14"/>
        <w:spacing w:line="360" w:lineRule="auto"/>
        <w:jc w:val="left"/>
        <w:rPr>
          <w:rFonts w:hAnsi="宋体"/>
          <w:b/>
          <w:sz w:val="24"/>
          <w:szCs w:val="24"/>
        </w:rPr>
      </w:pPr>
    </w:p>
    <w:p w14:paraId="7B1903DC">
      <w:pPr>
        <w:pStyle w:val="14"/>
        <w:spacing w:line="360" w:lineRule="auto"/>
        <w:jc w:val="left"/>
        <w:rPr>
          <w:rFonts w:hAnsi="宋体"/>
          <w:b/>
          <w:sz w:val="24"/>
          <w:szCs w:val="24"/>
        </w:rPr>
      </w:pPr>
    </w:p>
    <w:p w14:paraId="30F2110F">
      <w:pPr>
        <w:pStyle w:val="14"/>
        <w:spacing w:line="360" w:lineRule="auto"/>
        <w:rPr>
          <w:rFonts w:hAnsi="宋体" w:cs="Arial"/>
          <w:sz w:val="24"/>
        </w:rPr>
      </w:pPr>
    </w:p>
    <w:p w14:paraId="04C0108E">
      <w:pPr>
        <w:pStyle w:val="14"/>
        <w:spacing w:line="360" w:lineRule="auto"/>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3EA9E6F0">
      <w:pPr>
        <w:rPr>
          <w:rFonts w:hint="eastAsia" w:ascii="宋体" w:hAnsi="宋体" w:eastAsia="宋体" w:cs="宋体"/>
          <w:color w:val="auto"/>
          <w:kern w:val="2"/>
          <w:sz w:val="28"/>
          <w:szCs w:val="28"/>
          <w:highlight w:val="none"/>
          <w:u w:color="auto"/>
          <w:lang w:val="en-US" w:eastAsia="zh-CN" w:bidi="ar"/>
        </w:rPr>
      </w:pPr>
    </w:p>
    <w:p w14:paraId="6DBDE40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14:paraId="559917C0">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14:paraId="37C94678">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p>
    <w:p w14:paraId="4BA9F3DE">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bookmarkStart w:id="96" w:name="_Toc21573"/>
      <w:bookmarkEnd w:id="96"/>
    </w:p>
    <w:p w14:paraId="246666FC">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97"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97"/>
    </w:p>
    <w:p w14:paraId="6EECEAA5">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98" w:name="_Toc19336_WPSOffice_Level2"/>
      <w:bookmarkEnd w:id="98"/>
      <w:r>
        <w:rPr>
          <w:rFonts w:hint="eastAsia" w:ascii="黑体" w:hAnsi="宋体" w:eastAsia="黑体" w:cs="黑体"/>
          <w:color w:val="000000"/>
          <w:kern w:val="0"/>
          <w:sz w:val="44"/>
          <w:szCs w:val="44"/>
          <w:highlight w:val="none"/>
          <w:u w:color="000000"/>
          <w:lang w:val="en-US" w:eastAsia="zh-CN" w:bidi="ar"/>
        </w:rPr>
        <w:t xml:space="preserve"> </w:t>
      </w:r>
    </w:p>
    <w:p w14:paraId="0E77BCFD">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99" w:name="_Toc7180_WPSOffice_Level3"/>
      <w:bookmarkEnd w:id="99"/>
      <w:r>
        <w:rPr>
          <w:rFonts w:hint="eastAsia" w:ascii="宋体" w:hAnsi="宋体" w:eastAsia="宋体" w:cs="宋体"/>
          <w:color w:val="000000"/>
          <w:kern w:val="0"/>
          <w:sz w:val="30"/>
          <w:szCs w:val="30"/>
          <w:highlight w:val="none"/>
          <w:u w:color="000000"/>
          <w:lang w:val="en-US" w:eastAsia="zh-CN" w:bidi="ar"/>
        </w:rPr>
        <w:t>项目名称：</w:t>
      </w:r>
    </w:p>
    <w:p w14:paraId="62BD026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BEB12CC">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69E1BC79">
      <w:pPr>
        <w:pStyle w:val="9"/>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76134514">
      <w:pPr>
        <w:pStyle w:val="20"/>
        <w:widowControl/>
        <w:rPr>
          <w:highlight w:val="none"/>
          <w:lang w:val="en-US"/>
        </w:rPr>
      </w:pPr>
      <w:r>
        <w:rPr>
          <w:highlight w:val="none"/>
          <w:lang w:val="en-US"/>
        </w:rPr>
        <w:t xml:space="preserve"> </w:t>
      </w:r>
    </w:p>
    <w:p w14:paraId="5477395E">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0770C05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1D8010EB">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705AFAD3">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6D24C94F">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6EC873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2511EEA3">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100" w:name="_Toc14710_WPSOffice_Level1"/>
      <w:bookmarkEnd w:id="100"/>
      <w:r>
        <w:rPr>
          <w:rFonts w:hint="eastAsia" w:ascii="宋体" w:hAnsi="宋体" w:eastAsia="宋体" w:cs="宋体"/>
          <w:b/>
          <w:bCs w:val="0"/>
          <w:color w:val="000000"/>
          <w:kern w:val="0"/>
          <w:sz w:val="44"/>
          <w:szCs w:val="44"/>
          <w:highlight w:val="none"/>
          <w:u w:color="000000"/>
          <w:lang w:val="en-US" w:eastAsia="zh-CN" w:bidi="ar"/>
        </w:rPr>
        <w:t>目   录</w:t>
      </w:r>
    </w:p>
    <w:p w14:paraId="161FF9A7">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332B2548">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66AE26FA">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29AADE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73951022">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5B87188B">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14:paraId="41D3EAF7">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（5）开标一览表（格式见附件）；</w:t>
      </w:r>
    </w:p>
    <w:p w14:paraId="3EAF57FF">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（6）投标函（格式见附件）；</w:t>
      </w:r>
    </w:p>
    <w:p w14:paraId="42951A5B">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投标人认为需要提供的其他证明材料。</w:t>
      </w:r>
    </w:p>
    <w:p w14:paraId="02B3DBDA">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5762840B">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465587F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3E809E94">
      <w:pPr>
        <w:pStyle w:val="40"/>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67B29470">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69A2B6F7">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6DB79AD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0022CFFA">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5A8A989C">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23BBAC49">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4AD26A3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14:paraId="1E5E1AB8">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14:paraId="6F039E07">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10A76931">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14:paraId="0F754A1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3FB938A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14:paraId="4D3B2CF9">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7F90624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0A935B70">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F6CD56">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7667E0E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7E111A4B">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7FBC2353">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57F72B99">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6015DCCD">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78550558">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71D34958">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36E3B59D">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170C226D">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3496123B">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4ACABA9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101" w:name="_Toc425084385"/>
      <w:bookmarkStart w:id="102" w:name="_Toc451384148"/>
      <w:r>
        <w:rPr>
          <w:rFonts w:hint="eastAsia" w:ascii="宋体" w:hAnsi="宋体"/>
          <w:color w:val="000000"/>
          <w:szCs w:val="21"/>
          <w:highlight w:val="none"/>
        </w:rPr>
        <w:t>一、将遵循公</w:t>
      </w:r>
      <w:bookmarkStart w:id="103" w:name="_Toc503196197"/>
      <w:bookmarkStart w:id="104" w:name="_Toc506107356"/>
      <w:bookmarkStart w:id="105" w:name="_Toc26598"/>
      <w:r>
        <w:rPr>
          <w:rFonts w:hint="eastAsia" w:ascii="宋体" w:hAnsi="宋体"/>
          <w:color w:val="000000"/>
          <w:szCs w:val="21"/>
          <w:highlight w:val="none"/>
        </w:rPr>
        <w:t>开、公正和诚实信用</w:t>
      </w:r>
      <w:bookmarkEnd w:id="103"/>
      <w:bookmarkEnd w:id="104"/>
      <w:r>
        <w:rPr>
          <w:rFonts w:hint="eastAsia" w:ascii="宋体" w:hAnsi="宋体"/>
          <w:color w:val="000000"/>
          <w:szCs w:val="21"/>
          <w:highlight w:val="none"/>
        </w:rPr>
        <w:t>的</w:t>
      </w:r>
      <w:bookmarkEnd w:id="105"/>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09C0E71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04D2923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591DA1B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0D29816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3CBCD0F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w:t>
      </w:r>
      <w:bookmarkStart w:id="106" w:name="OLE_LINK134"/>
      <w:bookmarkStart w:id="107" w:name="OLE_LINK133"/>
      <w:r>
        <w:rPr>
          <w:rFonts w:hint="eastAsia" w:ascii="宋体" w:hAnsi="宋体"/>
          <w:color w:val="000000"/>
          <w:szCs w:val="21"/>
          <w:highlight w:val="none"/>
        </w:rPr>
        <w:t>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拖欠农民工工资失信联合惩戒对象名单”的；④被列入“信用中国”网站“严重失信主体名单”的；⑤在“信用中国”网站上披露的仍在公示期的严重失信行为的</w:t>
      </w:r>
      <w:r>
        <w:rPr>
          <w:rFonts w:hint="eastAsia" w:ascii="宋体" w:hAnsi="宋体"/>
          <w:color w:val="000000"/>
          <w:szCs w:val="21"/>
          <w:highlight w:val="none"/>
          <w:lang w:eastAsia="zh-CN"/>
        </w:rPr>
        <w:t>；</w:t>
      </w:r>
      <w:r>
        <w:rPr>
          <w:rFonts w:hint="eastAsia" w:ascii="宋体" w:hAnsi="宋体"/>
          <w:color w:val="000000"/>
          <w:szCs w:val="21"/>
          <w:highlight w:val="none"/>
        </w:rPr>
        <w:t>⑥被列入国家企业信用信息公示系统网站“经营异常名录”或者“严重违法失信名单”的。⑦前三年有行贿犯罪行为的单位和个人</w:t>
      </w:r>
      <w:bookmarkEnd w:id="106"/>
      <w:bookmarkEnd w:id="107"/>
      <w:r>
        <w:rPr>
          <w:rFonts w:hint="eastAsia" w:ascii="宋体" w:hAnsi="宋体"/>
          <w:color w:val="000000"/>
          <w:szCs w:val="21"/>
          <w:highlight w:val="none"/>
          <w:lang w:eastAsia="zh-CN"/>
        </w:rPr>
        <w:t>。</w:t>
      </w:r>
    </w:p>
    <w:p w14:paraId="704F352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0BEFC2F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、保证中标之后，按照投标文件承诺派驻管理人员及投入机械设备，如有违反，同意接受建设单位违约处罚；</w:t>
      </w:r>
    </w:p>
    <w:p w14:paraId="58E29BE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075AF7F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7C1A34D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121038A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71751A0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3D57FD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EA53B6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654BAEA8">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760D4728">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5F7E9732">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14:paraId="3B262F83">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02E3582A">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14:paraId="43CC56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729E5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本承诺声明：（投标人名称）对本招标文件所有要求完全响应，若有幸中标将严格按照以上承诺进行服务且提供不少于1年的质保期。若发现有偏离且不能按招标人要求调整的，招标人有权终止合同重新招标，我方承担因此产生的所有经济及工期责任。</w:t>
      </w:r>
    </w:p>
    <w:p w14:paraId="5692EB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特此声明。</w:t>
      </w:r>
    </w:p>
    <w:p w14:paraId="7E75DDF1">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101BEA8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33F52DD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3BAF78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22D42F3A">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180FA262">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3AFB0F11">
      <w:pPr>
        <w:spacing w:line="400" w:lineRule="exact"/>
        <w:ind w:firstLine="482" w:firstLineChars="200"/>
        <w:rPr>
          <w:rFonts w:ascii="宋体" w:hAnsi="宋体"/>
          <w:b/>
          <w:color w:val="000000"/>
          <w:sz w:val="24"/>
          <w:highlight w:val="none"/>
        </w:rPr>
      </w:pPr>
    </w:p>
    <w:bookmarkEnd w:id="101"/>
    <w:bookmarkEnd w:id="102"/>
    <w:p w14:paraId="45610A89">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宋体" w:hAnsi="宋体"/>
          <w:b/>
          <w:color w:val="auto"/>
          <w:sz w:val="30"/>
          <w:szCs w:val="30"/>
          <w:highlight w:val="none"/>
          <w:lang w:val="en-US" w:eastAsia="zh-CN"/>
        </w:rPr>
        <w:br w:type="page"/>
      </w:r>
    </w:p>
    <w:p w14:paraId="5F9AA834">
      <w:pPr>
        <w:jc w:val="left"/>
        <w:rPr>
          <w:rFonts w:hint="default"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附件4</w:t>
      </w:r>
    </w:p>
    <w:p w14:paraId="28C025CC">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14:paraId="5151B3D5">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0FFEFC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796D442E">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9110E2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4CC747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0FA3D833">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4EE28A0B">
            <w:pPr>
              <w:pStyle w:val="15"/>
              <w:widowControl/>
              <w:spacing w:line="460" w:lineRule="exact"/>
              <w:ind w:left="86" w:leftChars="41"/>
              <w:rPr>
                <w:rFonts w:hint="eastAsia" w:ascii="宋体" w:hAnsi="Arial" w:eastAsia="宋体" w:cs="宋体"/>
                <w:sz w:val="24"/>
                <w:szCs w:val="24"/>
                <w:highlight w:val="none"/>
                <w:lang w:val="en-US"/>
              </w:rPr>
            </w:pPr>
          </w:p>
        </w:tc>
      </w:tr>
      <w:tr w14:paraId="09FCEB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3F3B7CB6">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投标报价\供货期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5A49A2CC">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r>
              <w:rPr>
                <w:rFonts w:hint="eastAsia" w:ascii="宋体" w:hAnsi="宋体" w:eastAsia="宋体" w:cs="宋体"/>
                <w:color w:val="000000"/>
                <w:kern w:val="2"/>
                <w:sz w:val="24"/>
                <w:szCs w:val="24"/>
                <w:highlight w:val="none"/>
                <w:u w:color="000000"/>
                <w:lang w:val="en-US" w:eastAsia="zh-CN" w:bidi="ar"/>
              </w:rPr>
              <w:t>投标报价（含税）（大写）：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58390941">
            <w:pPr>
              <w:keepNext w:val="0"/>
              <w:keepLines w:val="0"/>
              <w:widowControl/>
              <w:suppressLineNumbers w:val="0"/>
              <w:spacing w:before="0" w:beforeAutospacing="0" w:after="0" w:afterAutospacing="0" w:line="360" w:lineRule="auto"/>
              <w:ind w:left="0" w:right="0" w:firstLine="1920" w:firstLineChars="8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0B593EEB">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14:paraId="4FD08F45">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供货期：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35B37C1D">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5B39EB2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06282E5B">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6E01043F">
      <w:pPr>
        <w:spacing w:line="360" w:lineRule="auto"/>
        <w:rPr>
          <w:rFonts w:hint="eastAsia" w:ascii="宋体" w:hAnsi="宋体" w:eastAsia="宋体" w:cs="宋体"/>
          <w:b/>
          <w:bCs w:val="0"/>
          <w:color w:val="000000"/>
          <w:kern w:val="0"/>
          <w:sz w:val="30"/>
          <w:szCs w:val="30"/>
          <w:highlight w:val="none"/>
          <w:lang w:val="en-US" w:eastAsia="zh-CN"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54424D41">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14:paraId="7B1CD580">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28FD246F">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759E66C0">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14:paraId="6F6C2D0D">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2.我方愿意按照招标文件规定的各项要求，向招标人提供本项目的货物与服务，投标报价为人民币（大写）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2"/>
          <w:sz w:val="24"/>
          <w:szCs w:val="24"/>
          <w:highlight w:val="none"/>
          <w:u w:color="000000"/>
          <w:lang w:val="en-US" w:eastAsia="zh-CN" w:bidi="ar"/>
        </w:rPr>
        <w:t>工期</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14:paraId="0B76E31F">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14:paraId="55DFB67B">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60 </w:t>
      </w:r>
      <w:r>
        <w:rPr>
          <w:rFonts w:hint="eastAsia" w:ascii="宋体" w:hAnsi="宋体" w:eastAsia="宋体" w:cs="宋体"/>
          <w:color w:val="000000"/>
          <w:kern w:val="0"/>
          <w:sz w:val="24"/>
          <w:szCs w:val="24"/>
          <w:highlight w:val="none"/>
          <w:u w:color="000000"/>
          <w:lang w:val="en-US" w:eastAsia="zh-CN" w:bidi="ar"/>
        </w:rPr>
        <w:t>日历天（从投标截止之日算起）。</w:t>
      </w:r>
    </w:p>
    <w:p w14:paraId="5FD9C970">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14:paraId="1B49AAA5">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58C6553C">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14:paraId="720350C4">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009180F0">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6939C051">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6F5AE68F">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309EB380">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1AC0D13B">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56E27A99">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14:paraId="23E2A5ED">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75E35018">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4F891CCD">
      <w:pPr>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14:paraId="13E76AE2">
      <w:pPr>
        <w:pStyle w:val="23"/>
        <w:widowControl/>
        <w:spacing w:before="0" w:beforeAutospacing="0" w:after="0" w:afterAutospacing="0" w:line="375" w:lineRule="atLeast"/>
        <w:ind w:left="0" w:right="0"/>
        <w:jc w:val="center"/>
        <w:outlineLvl w:val="0"/>
        <w:rPr>
          <w:b/>
          <w:bCs w:val="0"/>
          <w:sz w:val="32"/>
          <w:szCs w:val="32"/>
          <w:highlight w:val="none"/>
          <w:lang w:val="en-US"/>
        </w:rPr>
      </w:pPr>
      <w:bookmarkStart w:id="108" w:name="_Toc6275_WPSOffice_Level1"/>
      <w:bookmarkEnd w:id="108"/>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5"/>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1A3BD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71D4B232">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2D21BBF">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 xml:space="preserve"> 滁州至南京城际铁路（滁州段）一期车辆段北门门岗安全改造项目（二次）</w:t>
            </w:r>
            <w:r>
              <w:rPr>
                <w:rFonts w:hint="eastAsia" w:ascii="宋体" w:hAnsi="宋体" w:eastAsia="宋体" w:cs="宋体"/>
                <w:color w:val="000000"/>
                <w:kern w:val="2"/>
                <w:sz w:val="28"/>
                <w:szCs w:val="28"/>
                <w:highlight w:val="none"/>
                <w:u w:color="000000"/>
                <w:lang w:val="en-US" w:eastAsia="zh-CN" w:bidi="ar"/>
              </w:rPr>
              <w:t>招标文件进行确认。</w:t>
            </w:r>
          </w:p>
          <w:p w14:paraId="06DCC0E1">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14:paraId="422F30B2">
            <w:pPr>
              <w:keepNext w:val="0"/>
              <w:keepLines w:val="0"/>
              <w:widowControl/>
              <w:suppressLineNumbers w:val="0"/>
              <w:spacing w:before="0" w:beforeAutospacing="0" w:after="0" w:afterAutospacing="0" w:line="720" w:lineRule="exact"/>
              <w:ind w:left="0" w:right="0" w:firstLine="560" w:firstLineChars="200"/>
              <w:jc w:val="both"/>
              <w:rPr>
                <w:rFonts w:hint="default"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联系人：杨雅辰</w:t>
            </w:r>
          </w:p>
          <w:p w14:paraId="58B0E9E2">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联系电话：13339207910</w:t>
            </w:r>
          </w:p>
          <w:p w14:paraId="113352A3">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14:paraId="30212E66">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FEF71AD">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5EC6C013">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52F681E5">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2026年5月</w:t>
            </w:r>
          </w:p>
          <w:p w14:paraId="56DEE5B6">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4A4AF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23BB3931">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5FFB4BD4">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65F08E38">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57C79F2F">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4C067E42">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45B7223">
            <w:pPr>
              <w:pStyle w:val="9"/>
              <w:widowControl/>
              <w:spacing w:before="0" w:beforeAutospacing="0" w:after="120" w:afterAutospacing="0"/>
              <w:ind w:leftChars="200" w:right="0" w:firstLine="560"/>
              <w:rPr>
                <w:kern w:val="2"/>
                <w:sz w:val="28"/>
                <w:szCs w:val="28"/>
                <w:highlight w:val="none"/>
                <w:lang w:val="en-US"/>
              </w:rPr>
            </w:pPr>
          </w:p>
          <w:p w14:paraId="1F2F0EB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72BE766B">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6828CB58">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0C15B413">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2026年5月</w:t>
            </w:r>
          </w:p>
        </w:tc>
      </w:tr>
    </w:tbl>
    <w:p w14:paraId="7C616BD9">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Times New Roman (正文 CS 字体)">
    <w:altName w:val="宋体"/>
    <w:panose1 w:val="00000000000000000000"/>
    <w:charset w:val="86"/>
    <w:family w:val="roman"/>
    <w:pitch w:val="default"/>
    <w:sig w:usb0="00000000" w:usb1="00000000" w:usb2="00000009" w:usb3="00000000" w:csb0="000001F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0ED0A">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B21BD2">
                          <w:pPr>
                            <w:pStyle w:val="16"/>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2B21BD2">
                    <w:pPr>
                      <w:pStyle w:val="16"/>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3AC41">
    <w:pPr>
      <w:pStyle w:val="1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D53ECB">
                          <w:pPr>
                            <w:pStyle w:val="16"/>
                          </w:pPr>
                          <w:r>
                            <w:t xml:space="preserve">第 </w:t>
                          </w:r>
                          <w:r>
                            <w:fldChar w:fldCharType="begin"/>
                          </w:r>
                          <w:r>
                            <w:instrText xml:space="preserve"> PAGE  \* MERGEFORMAT </w:instrText>
                          </w:r>
                          <w:r>
                            <w:fldChar w:fldCharType="separate"/>
                          </w:r>
                          <w:r>
                            <w:t>35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7D53ECB">
                    <w:pPr>
                      <w:pStyle w:val="16"/>
                    </w:pPr>
                    <w:r>
                      <w:t xml:space="preserve">第 </w:t>
                    </w:r>
                    <w:r>
                      <w:fldChar w:fldCharType="begin"/>
                    </w:r>
                    <w:r>
                      <w:instrText xml:space="preserve"> PAGE  \* MERGEFORMAT </w:instrText>
                    </w:r>
                    <w:r>
                      <w:fldChar w:fldCharType="separate"/>
                    </w:r>
                    <w:r>
                      <w:t>35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54F3AC"/>
    <w:multiLevelType w:val="singleLevel"/>
    <w:tmpl w:val="8F54F3AC"/>
    <w:lvl w:ilvl="0" w:tentative="0">
      <w:start w:val="2"/>
      <w:numFmt w:val="chineseCounting"/>
      <w:suff w:val="space"/>
      <w:lvlText w:val="第%1章"/>
      <w:lvlJc w:val="left"/>
      <w:rPr>
        <w:rFonts w:hint="eastAsia"/>
      </w:rPr>
    </w:lvl>
  </w:abstractNum>
  <w:abstractNum w:abstractNumId="1">
    <w:nsid w:val="F4A311EA"/>
    <w:multiLevelType w:val="singleLevel"/>
    <w:tmpl w:val="F4A311EA"/>
    <w:lvl w:ilvl="0" w:tentative="0">
      <w:start w:val="3"/>
      <w:numFmt w:val="decimal"/>
      <w:suff w:val="nothing"/>
      <w:lvlText w:val="%1．"/>
      <w:lvlJc w:val="left"/>
    </w:lvl>
  </w:abstractNum>
  <w:abstractNum w:abstractNumId="2">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364D66FE"/>
    <w:multiLevelType w:val="multilevel"/>
    <w:tmpl w:val="364D66FE"/>
    <w:lvl w:ilvl="0" w:tentative="0">
      <w:start w:val="2"/>
      <w:numFmt w:val="decimal"/>
      <w:lvlText w:val="（%1）"/>
      <w:lvlJc w:val="left"/>
      <w:pPr>
        <w:ind w:left="1140" w:hanging="72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4">
    <w:nsid w:val="44E8B8FD"/>
    <w:multiLevelType w:val="singleLevel"/>
    <w:tmpl w:val="44E8B8FD"/>
    <w:lvl w:ilvl="0" w:tentative="0">
      <w:start w:val="6"/>
      <w:numFmt w:val="chineseCounting"/>
      <w:suff w:val="space"/>
      <w:lvlText w:val="第%1章"/>
      <w:lvlJc w:val="left"/>
      <w:rPr>
        <w:rFonts w:hint="eastAsia"/>
      </w:rPr>
    </w:lvl>
  </w:abstractNum>
  <w:abstractNum w:abstractNumId="5">
    <w:nsid w:val="76057C8D"/>
    <w:multiLevelType w:val="multilevel"/>
    <w:tmpl w:val="76057C8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0950983"/>
    <w:rsid w:val="01D118B5"/>
    <w:rsid w:val="01E872A1"/>
    <w:rsid w:val="032031D0"/>
    <w:rsid w:val="03471A81"/>
    <w:rsid w:val="05D44ADB"/>
    <w:rsid w:val="0664544C"/>
    <w:rsid w:val="06D54ED0"/>
    <w:rsid w:val="07C425FF"/>
    <w:rsid w:val="0AFF501E"/>
    <w:rsid w:val="0B8C2605"/>
    <w:rsid w:val="0CEF01A1"/>
    <w:rsid w:val="0D4228C9"/>
    <w:rsid w:val="0DD956C0"/>
    <w:rsid w:val="0EBB3464"/>
    <w:rsid w:val="0F5A3543"/>
    <w:rsid w:val="0FC82D5D"/>
    <w:rsid w:val="101C4945"/>
    <w:rsid w:val="10BF1885"/>
    <w:rsid w:val="11273F56"/>
    <w:rsid w:val="12431559"/>
    <w:rsid w:val="14334ED5"/>
    <w:rsid w:val="147673EE"/>
    <w:rsid w:val="162403C8"/>
    <w:rsid w:val="1A2C0203"/>
    <w:rsid w:val="1B0B6A26"/>
    <w:rsid w:val="1CF617FA"/>
    <w:rsid w:val="1DD7722D"/>
    <w:rsid w:val="1E474369"/>
    <w:rsid w:val="1FBE5586"/>
    <w:rsid w:val="2035457B"/>
    <w:rsid w:val="204506D8"/>
    <w:rsid w:val="20F63292"/>
    <w:rsid w:val="21391D2B"/>
    <w:rsid w:val="21FC6157"/>
    <w:rsid w:val="222D5B93"/>
    <w:rsid w:val="239955A4"/>
    <w:rsid w:val="24146268"/>
    <w:rsid w:val="27427F5F"/>
    <w:rsid w:val="287E4991"/>
    <w:rsid w:val="28FD1B10"/>
    <w:rsid w:val="2D280DDF"/>
    <w:rsid w:val="32013042"/>
    <w:rsid w:val="323852C9"/>
    <w:rsid w:val="32812567"/>
    <w:rsid w:val="3357264B"/>
    <w:rsid w:val="39196E3A"/>
    <w:rsid w:val="3D7F110E"/>
    <w:rsid w:val="3D8B68BD"/>
    <w:rsid w:val="3F3A5217"/>
    <w:rsid w:val="3FDC1609"/>
    <w:rsid w:val="40585B1F"/>
    <w:rsid w:val="41C76417"/>
    <w:rsid w:val="42AB7679"/>
    <w:rsid w:val="42F933B2"/>
    <w:rsid w:val="440F4D94"/>
    <w:rsid w:val="44121234"/>
    <w:rsid w:val="45132EF4"/>
    <w:rsid w:val="45602117"/>
    <w:rsid w:val="46501639"/>
    <w:rsid w:val="474318BA"/>
    <w:rsid w:val="47DC16A5"/>
    <w:rsid w:val="491938C4"/>
    <w:rsid w:val="49560276"/>
    <w:rsid w:val="4B8A2C90"/>
    <w:rsid w:val="4C3857CB"/>
    <w:rsid w:val="4D782C16"/>
    <w:rsid w:val="4F522371"/>
    <w:rsid w:val="4FA1515E"/>
    <w:rsid w:val="510E11AC"/>
    <w:rsid w:val="5523352E"/>
    <w:rsid w:val="57D3727A"/>
    <w:rsid w:val="5AB972A9"/>
    <w:rsid w:val="5AC41FE9"/>
    <w:rsid w:val="5D2B5019"/>
    <w:rsid w:val="5D322B2E"/>
    <w:rsid w:val="5D7002D3"/>
    <w:rsid w:val="604D11B9"/>
    <w:rsid w:val="62C47C43"/>
    <w:rsid w:val="6509245E"/>
    <w:rsid w:val="668A652A"/>
    <w:rsid w:val="6CF1366E"/>
    <w:rsid w:val="6EA934B6"/>
    <w:rsid w:val="706E041E"/>
    <w:rsid w:val="71A72AF7"/>
    <w:rsid w:val="72A03324"/>
    <w:rsid w:val="72D50AC5"/>
    <w:rsid w:val="746B63CF"/>
    <w:rsid w:val="746C0AE0"/>
    <w:rsid w:val="74C85615"/>
    <w:rsid w:val="75843174"/>
    <w:rsid w:val="760F0C92"/>
    <w:rsid w:val="76B7003F"/>
    <w:rsid w:val="79757E4E"/>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adjustRightInd w:val="0"/>
      <w:snapToGrid w:val="0"/>
      <w:spacing w:beforeLines="0" w:beforeAutospacing="0" w:after="80" w:afterLines="80" w:afterAutospacing="0" w:line="288" w:lineRule="auto"/>
      <w:outlineLvl w:val="0"/>
    </w:pPr>
    <w:rPr>
      <w:b/>
      <w:bCs/>
      <w:kern w:val="44"/>
      <w:sz w:val="36"/>
      <w:szCs w:val="36"/>
    </w:rPr>
  </w:style>
  <w:style w:type="paragraph" w:styleId="4">
    <w:name w:val="heading 2"/>
    <w:basedOn w:val="1"/>
    <w:next w:val="1"/>
    <w:link w:val="36"/>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5">
    <w:name w:val="heading 3"/>
    <w:basedOn w:val="1"/>
    <w:next w:val="1"/>
    <w:qFormat/>
    <w:uiPriority w:val="0"/>
    <w:pPr>
      <w:keepNext/>
      <w:keepLines/>
      <w:outlineLvl w:val="2"/>
    </w:pPr>
    <w:rPr>
      <w:kern w:val="0"/>
      <w:sz w:val="28"/>
      <w:szCs w:val="20"/>
    </w:rPr>
  </w:style>
  <w:style w:type="paragraph" w:styleId="6">
    <w:name w:val="heading 6"/>
    <w:basedOn w:val="1"/>
    <w:next w:val="1"/>
    <w:qFormat/>
    <w:uiPriority w:val="0"/>
    <w:pPr>
      <w:tabs>
        <w:tab w:val="left" w:pos="1021"/>
      </w:tabs>
      <w:adjustRightInd w:val="0"/>
      <w:snapToGrid w:val="0"/>
      <w:spacing w:before="93" w:after="93" w:line="400" w:lineRule="atLeast"/>
      <w:ind w:left="1021" w:hanging="397"/>
      <w:outlineLvl w:val="5"/>
    </w:pPr>
    <w:rPr>
      <w:rFonts w:ascii="宋体" w:hAnsi="Arial" w:eastAsia="仿宋_GB2312"/>
      <w:color w:val="000000"/>
      <w:sz w:val="24"/>
    </w:rPr>
  </w:style>
  <w:style w:type="character" w:default="1" w:styleId="27">
    <w:name w:val="Default Paragraph Font"/>
    <w:semiHidden/>
    <w:qFormat/>
    <w:uiPriority w:val="0"/>
  </w:style>
  <w:style w:type="table" w:default="1" w:styleId="2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w:basedOn w:val="1"/>
    <w:qFormat/>
    <w:uiPriority w:val="0"/>
    <w:pPr>
      <w:widowControl w:val="0"/>
      <w:snapToGrid w:val="0"/>
      <w:spacing w:line="360" w:lineRule="auto"/>
    </w:pPr>
    <w:rPr>
      <w:rFonts w:ascii="Arial" w:hAnsi="Arial" w:eastAsia="仿宋_GB2312"/>
      <w:sz w:val="31"/>
    </w:rPr>
  </w:style>
  <w:style w:type="paragraph" w:styleId="7">
    <w:name w:val="toc 7"/>
    <w:basedOn w:val="1"/>
    <w:next w:val="1"/>
    <w:qFormat/>
    <w:uiPriority w:val="39"/>
    <w:pPr>
      <w:ind w:left="1260"/>
      <w:jc w:val="left"/>
    </w:pPr>
    <w:rPr>
      <w:sz w:val="18"/>
      <w:szCs w:val="18"/>
    </w:rPr>
  </w:style>
  <w:style w:type="paragraph" w:styleId="8">
    <w:name w:val="Normal Indent"/>
    <w:basedOn w:val="1"/>
    <w:next w:val="9"/>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9">
    <w:name w:val="Body Text First Indent 2"/>
    <w:basedOn w:val="10"/>
    <w:next w:val="1"/>
    <w:link w:val="34"/>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10">
    <w:name w:val="Body Text Indent"/>
    <w:basedOn w:val="1"/>
    <w:link w:val="33"/>
    <w:qFormat/>
    <w:uiPriority w:val="0"/>
    <w:pPr>
      <w:spacing w:after="120" w:afterLines="0" w:afterAutospacing="0"/>
      <w:ind w:left="420" w:leftChars="200"/>
    </w:pPr>
  </w:style>
  <w:style w:type="paragraph" w:styleId="11">
    <w:name w:val="annotation text"/>
    <w:basedOn w:val="1"/>
    <w:qFormat/>
    <w:uiPriority w:val="0"/>
    <w:pPr>
      <w:jc w:val="left"/>
    </w:pPr>
  </w:style>
  <w:style w:type="paragraph" w:styleId="12">
    <w:name w:val="Body Text 3"/>
    <w:basedOn w:val="1"/>
    <w:qFormat/>
    <w:uiPriority w:val="0"/>
    <w:rPr>
      <w:rFonts w:ascii="宋体" w:hAnsi="Calibri" w:eastAsia="宋体" w:cs="Times New Roman"/>
      <w:sz w:val="24"/>
      <w:szCs w:val="20"/>
    </w:rPr>
  </w:style>
  <w:style w:type="paragraph" w:styleId="13">
    <w:name w:val="toc 3"/>
    <w:basedOn w:val="1"/>
    <w:next w:val="1"/>
    <w:qFormat/>
    <w:uiPriority w:val="39"/>
    <w:pPr>
      <w:jc w:val="left"/>
    </w:pPr>
    <w:rPr>
      <w:rFonts w:ascii="Calibri" w:hAnsi="Calibri"/>
      <w:smallCaps/>
      <w:sz w:val="22"/>
      <w:szCs w:val="22"/>
    </w:rPr>
  </w:style>
  <w:style w:type="paragraph" w:styleId="14">
    <w:name w:val="Plain Text"/>
    <w:basedOn w:val="1"/>
    <w:link w:val="38"/>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5">
    <w:name w:val="Date"/>
    <w:basedOn w:val="1"/>
    <w:next w:val="1"/>
    <w:link w:val="35"/>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6">
    <w:name w:val="footer"/>
    <w:basedOn w:val="1"/>
    <w:link w:val="39"/>
    <w:qFormat/>
    <w:uiPriority w:val="0"/>
    <w:pPr>
      <w:tabs>
        <w:tab w:val="center" w:pos="4153"/>
        <w:tab w:val="right" w:pos="8306"/>
      </w:tabs>
      <w:snapToGrid w:val="0"/>
      <w:jc w:val="left"/>
    </w:pPr>
    <w:rPr>
      <w:sz w:val="18"/>
    </w:rPr>
  </w:style>
  <w:style w:type="paragraph" w:styleId="17">
    <w:name w:val="envelope return"/>
    <w:basedOn w:val="1"/>
    <w:next w:val="7"/>
    <w:qFormat/>
    <w:uiPriority w:val="0"/>
    <w:pPr>
      <w:snapToGrid w:val="0"/>
    </w:pPr>
    <w:rPr>
      <w:rFonts w:ascii="Arial" w:hAnsi="Arial"/>
    </w:rPr>
  </w:style>
  <w:style w:type="paragraph" w:styleId="18">
    <w:name w:val="header"/>
    <w:basedOn w:val="1"/>
    <w:link w:val="3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toc 1"/>
    <w:basedOn w:val="1"/>
    <w:next w:val="1"/>
    <w:qFormat/>
    <w:uiPriority w:val="39"/>
    <w:pPr>
      <w:spacing w:before="120" w:after="120"/>
      <w:jc w:val="left"/>
    </w:pPr>
    <w:rPr>
      <w:b/>
      <w:bCs/>
      <w:caps/>
      <w:sz w:val="20"/>
    </w:rPr>
  </w:style>
  <w:style w:type="paragraph" w:styleId="20">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1">
    <w:name w:val="footnote text"/>
    <w:basedOn w:val="1"/>
    <w:semiHidden/>
    <w:unhideWhenUsed/>
    <w:qFormat/>
    <w:uiPriority w:val="99"/>
    <w:pPr>
      <w:snapToGrid w:val="0"/>
      <w:jc w:val="left"/>
    </w:pPr>
    <w:rPr>
      <w:sz w:val="18"/>
    </w:rPr>
  </w:style>
  <w:style w:type="paragraph" w:styleId="22">
    <w:name w:val="Body Text 2"/>
    <w:basedOn w:val="1"/>
    <w:qFormat/>
    <w:uiPriority w:val="0"/>
    <w:rPr>
      <w:kern w:val="0"/>
      <w:sz w:val="24"/>
    </w:rPr>
  </w:style>
  <w:style w:type="paragraph" w:styleId="23">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4">
    <w:name w:val="Body Text First Indent"/>
    <w:basedOn w:val="2"/>
    <w:qFormat/>
    <w:uiPriority w:val="0"/>
    <w:pPr>
      <w:adjustRightInd/>
      <w:spacing w:after="120" w:line="240" w:lineRule="auto"/>
      <w:ind w:firstLine="420" w:firstLineChars="100"/>
      <w:jc w:val="both"/>
    </w:p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basedOn w:val="27"/>
    <w:qFormat/>
    <w:uiPriority w:val="99"/>
  </w:style>
  <w:style w:type="character" w:styleId="29">
    <w:name w:val="Hyperlink"/>
    <w:qFormat/>
    <w:uiPriority w:val="99"/>
    <w:rPr>
      <w:color w:val="0000FF"/>
      <w:u w:val="single"/>
    </w:rPr>
  </w:style>
  <w:style w:type="character" w:styleId="30">
    <w:name w:val="footnote reference"/>
    <w:basedOn w:val="27"/>
    <w:semiHidden/>
    <w:unhideWhenUsed/>
    <w:qFormat/>
    <w:uiPriority w:val="99"/>
    <w:rPr>
      <w:vertAlign w:val="superscript"/>
    </w:rPr>
  </w:style>
  <w:style w:type="paragraph" w:customStyle="1" w:styleId="31">
    <w:name w:val="正文文字 8"/>
    <w:basedOn w:val="1"/>
    <w:next w:val="1"/>
    <w:qFormat/>
    <w:uiPriority w:val="0"/>
    <w:pPr>
      <w:ind w:left="240"/>
    </w:pPr>
    <w:rPr>
      <w:sz w:val="16"/>
    </w:rPr>
  </w:style>
  <w:style w:type="paragraph" w:customStyle="1" w:styleId="32">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33">
    <w:name w:val="正文文本缩进 Char"/>
    <w:basedOn w:val="27"/>
    <w:link w:val="10"/>
    <w:qFormat/>
    <w:uiPriority w:val="0"/>
    <w:rPr>
      <w:rFonts w:hint="default" w:ascii="Times New Roman" w:hAnsi="Times New Roman" w:eastAsia="宋体" w:cs="Times New Roman"/>
      <w:color w:val="000000"/>
      <w:kern w:val="0"/>
      <w:szCs w:val="21"/>
      <w:u w:color="000000"/>
    </w:rPr>
  </w:style>
  <w:style w:type="character" w:customStyle="1" w:styleId="34">
    <w:name w:val="正文首行缩进 2 Char"/>
    <w:basedOn w:val="33"/>
    <w:link w:val="9"/>
    <w:qFormat/>
    <w:uiPriority w:val="0"/>
    <w:rPr>
      <w:rFonts w:hint="default" w:ascii="Times New Roman" w:hAnsi="Times New Roman" w:eastAsia="宋体" w:cs="Times New Roman"/>
      <w:color w:val="000000"/>
      <w:kern w:val="0"/>
      <w:szCs w:val="21"/>
      <w:u w:color="000000"/>
    </w:rPr>
  </w:style>
  <w:style w:type="character" w:customStyle="1" w:styleId="35">
    <w:name w:val="日期 Char"/>
    <w:basedOn w:val="27"/>
    <w:link w:val="15"/>
    <w:qFormat/>
    <w:uiPriority w:val="0"/>
    <w:rPr>
      <w:rFonts w:ascii="Arial" w:hAnsi="Arial" w:eastAsia="仿宋_GB2312" w:cs="Arial"/>
      <w:color w:val="000000"/>
      <w:sz w:val="32"/>
      <w:szCs w:val="32"/>
      <w:u w:color="000000"/>
    </w:rPr>
  </w:style>
  <w:style w:type="character" w:customStyle="1" w:styleId="36">
    <w:name w:val="标题 2 Char"/>
    <w:basedOn w:val="27"/>
    <w:link w:val="4"/>
    <w:qFormat/>
    <w:uiPriority w:val="0"/>
    <w:rPr>
      <w:rFonts w:hint="default" w:ascii="Times New Roman" w:hAnsi="Times New Roman" w:eastAsia="宋体" w:cs="Times New Roman"/>
      <w:kern w:val="0"/>
      <w:sz w:val="24"/>
      <w:szCs w:val="24"/>
    </w:rPr>
  </w:style>
  <w:style w:type="character" w:customStyle="1" w:styleId="37">
    <w:name w:val="页眉 Char"/>
    <w:basedOn w:val="27"/>
    <w:link w:val="18"/>
    <w:qFormat/>
    <w:uiPriority w:val="0"/>
    <w:rPr>
      <w:rFonts w:hint="default" w:ascii="Times New Roman" w:hAnsi="Times New Roman" w:eastAsia="宋体" w:cs="Times New Roman"/>
      <w:color w:val="000000"/>
      <w:kern w:val="0"/>
      <w:sz w:val="18"/>
      <w:szCs w:val="18"/>
      <w:u w:color="000000"/>
    </w:rPr>
  </w:style>
  <w:style w:type="character" w:customStyle="1" w:styleId="38">
    <w:name w:val="纯文本 Char"/>
    <w:basedOn w:val="27"/>
    <w:link w:val="14"/>
    <w:qFormat/>
    <w:uiPriority w:val="0"/>
    <w:rPr>
      <w:rFonts w:hint="eastAsia" w:ascii="宋体" w:hAnsi="宋体" w:eastAsia="宋体" w:cs="宋体"/>
      <w:szCs w:val="21"/>
    </w:rPr>
  </w:style>
  <w:style w:type="character" w:customStyle="1" w:styleId="39">
    <w:name w:val="页脚 Char"/>
    <w:basedOn w:val="27"/>
    <w:link w:val="16"/>
    <w:qFormat/>
    <w:uiPriority w:val="0"/>
    <w:rPr>
      <w:rFonts w:hint="default" w:ascii="Times New Roman" w:hAnsi="Times New Roman" w:eastAsia="宋体" w:cs="Times New Roman"/>
      <w:color w:val="000000"/>
      <w:kern w:val="0"/>
      <w:sz w:val="18"/>
      <w:szCs w:val="18"/>
      <w:u w:color="000000"/>
    </w:rPr>
  </w:style>
  <w:style w:type="paragraph" w:customStyle="1" w:styleId="40">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1">
    <w:name w:val="List Paragraph"/>
    <w:basedOn w:val="1"/>
    <w:qFormat/>
    <w:uiPriority w:val="0"/>
    <w:pPr>
      <w:widowControl w:val="0"/>
      <w:spacing w:line="240" w:lineRule="auto"/>
      <w:ind w:firstLine="200" w:firstLineChars="200"/>
      <w:textAlignment w:val="auto"/>
    </w:pPr>
    <w:rPr>
      <w:u w:val="none" w:color="000000"/>
    </w:rPr>
  </w:style>
  <w:style w:type="character" w:customStyle="1" w:styleId="42">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43">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4">
    <w:name w:val="font51"/>
    <w:basedOn w:val="27"/>
    <w:qFormat/>
    <w:uiPriority w:val="0"/>
    <w:rPr>
      <w:rFonts w:hint="eastAsia" w:ascii="宋体" w:hAnsi="宋体" w:eastAsia="宋体" w:cs="宋体"/>
      <w:color w:val="000000"/>
      <w:sz w:val="22"/>
      <w:szCs w:val="22"/>
      <w:u w:val="none"/>
    </w:rPr>
  </w:style>
  <w:style w:type="character" w:customStyle="1" w:styleId="45">
    <w:name w:val="font31"/>
    <w:basedOn w:val="27"/>
    <w:qFormat/>
    <w:uiPriority w:val="0"/>
    <w:rPr>
      <w:rFonts w:hint="default" w:ascii="Times New Roman" w:hAnsi="Times New Roman" w:cs="Times New Roman"/>
      <w:color w:val="000000"/>
      <w:sz w:val="22"/>
      <w:szCs w:val="22"/>
      <w:u w:val="none"/>
    </w:rPr>
  </w:style>
  <w:style w:type="character" w:customStyle="1" w:styleId="46">
    <w:name w:val="font61"/>
    <w:basedOn w:val="27"/>
    <w:qFormat/>
    <w:uiPriority w:val="0"/>
    <w:rPr>
      <w:rFonts w:hint="default" w:ascii="Times New Roman" w:hAnsi="Times New Roman" w:cs="Times New Roman"/>
      <w:color w:val="000000"/>
      <w:sz w:val="21"/>
      <w:szCs w:val="21"/>
      <w:u w:val="none"/>
    </w:rPr>
  </w:style>
  <w:style w:type="character" w:customStyle="1" w:styleId="47">
    <w:name w:val="font71"/>
    <w:basedOn w:val="27"/>
    <w:qFormat/>
    <w:uiPriority w:val="0"/>
    <w:rPr>
      <w:rFonts w:hint="eastAsia" w:ascii="宋体" w:hAnsi="宋体" w:eastAsia="宋体" w:cs="宋体"/>
      <w:color w:val="000000"/>
      <w:sz w:val="21"/>
      <w:szCs w:val="21"/>
      <w:u w:val="none"/>
    </w:rPr>
  </w:style>
  <w:style w:type="character" w:customStyle="1" w:styleId="48">
    <w:name w:val="font01"/>
    <w:basedOn w:val="27"/>
    <w:qFormat/>
    <w:uiPriority w:val="0"/>
    <w:rPr>
      <w:rFonts w:hint="eastAsia" w:ascii="宋体" w:hAnsi="宋体" w:eastAsia="宋体" w:cs="宋体"/>
      <w:color w:val="000000"/>
      <w:sz w:val="22"/>
      <w:szCs w:val="22"/>
      <w:u w:val="none"/>
    </w:rPr>
  </w:style>
  <w:style w:type="character" w:customStyle="1" w:styleId="49">
    <w:name w:val="font11"/>
    <w:basedOn w:val="27"/>
    <w:qFormat/>
    <w:uiPriority w:val="0"/>
    <w:rPr>
      <w:rFonts w:hint="eastAsia" w:ascii="宋体" w:hAnsi="宋体" w:eastAsia="宋体" w:cs="宋体"/>
      <w:color w:val="000000"/>
      <w:sz w:val="21"/>
      <w:szCs w:val="21"/>
      <w:u w:val="none"/>
    </w:rPr>
  </w:style>
  <w:style w:type="character" w:customStyle="1" w:styleId="50">
    <w:name w:val="font41"/>
    <w:basedOn w:val="27"/>
    <w:qFormat/>
    <w:uiPriority w:val="0"/>
    <w:rPr>
      <w:rFonts w:hint="default" w:ascii="Times New Roman" w:hAnsi="Times New Roman" w:cs="Times New Roman"/>
      <w:color w:val="000000"/>
      <w:sz w:val="22"/>
      <w:szCs w:val="22"/>
      <w:u w:val="none"/>
    </w:rPr>
  </w:style>
  <w:style w:type="paragraph" w:customStyle="1" w:styleId="51">
    <w:name w:val="二级标题"/>
    <w:basedOn w:val="1"/>
    <w:next w:val="1"/>
    <w:qFormat/>
    <w:uiPriority w:val="0"/>
    <w:rPr>
      <w:rFonts w:hint="eastAsia" w:eastAsia="楷体"/>
    </w:rPr>
  </w:style>
  <w:style w:type="paragraph" w:customStyle="1" w:styleId="52">
    <w:name w:val="首行缩进"/>
    <w:basedOn w:val="1"/>
    <w:qFormat/>
    <w:uiPriority w:val="0"/>
    <w:pPr>
      <w:ind w:firstLine="480" w:firstLineChars="200"/>
    </w:pPr>
    <w:rPr>
      <w:rFonts w:eastAsia="楷体_GB2312"/>
      <w:lang w:val="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16090</Words>
  <Characters>17545</Characters>
  <Lines>0</Lines>
  <Paragraphs>0</Paragraphs>
  <TotalTime>3</TotalTime>
  <ScaleCrop>false</ScaleCrop>
  <LinksUpToDate>false</LinksUpToDate>
  <CharactersWithSpaces>18055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2023-11-23T14:11:00Z</cp:lastPrinted>
  <dcterms:modified xsi:type="dcterms:W3CDTF">2026-05-28T03:15:11Z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D854D3B8D63A4019827C4BA43598037C_13</vt:lpwstr>
  </property>
  <property fmtid="{D5CDD505-2E9C-101B-9397-08002B2CF9AE}" pid="4" name="KSOTemplateDocerSaveRecord">
    <vt:lpwstr>eyJoZGlkIjoiMTljMDcwYWJmYjExZWQzNTVmZDAzZTYwM2JlMzJmZDYiLCJ1c2VySWQiOiIzODU2Mzk2OTQifQ==</vt:lpwstr>
  </property>
</Properties>
</file>