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2026年滁州轨道运营综合测控装置等接触网备件采购项目（三年框架）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5</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26</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2026年滁州轨道运营综合测控装置等接触网备件采购项目（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2026年滁州轨道运营综合测控装置等接触网备件采购项目（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17919598">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资格要求：</w:t>
      </w:r>
      <w:r>
        <w:rPr>
          <w:rFonts w:hint="eastAsia" w:hAnsi="宋体" w:eastAsia="宋体"/>
          <w:color w:val="auto"/>
          <w:kern w:val="0"/>
          <w:sz w:val="24"/>
          <w:szCs w:val="24"/>
          <w:highlight w:val="none"/>
        </w:rPr>
        <w:t>在中华人民共和国境内注册，具有独立法人资格，能提供本次采购所需货物和服务。报价人须提供合格有效的企业法人营业执照（或事业单位法人证书副本）及组织机构代码证（营业执照有加载统一社会信用代码的，无需提供组织机构代码证）复印件并加盖公章。</w:t>
      </w:r>
    </w:p>
    <w:p w14:paraId="22131FBF">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业绩要求：报价人须具有与本次采购相类似的供货经验，提供近三年（202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年1月1日起至报价响应截止日）来的相关合同业绩证明（如合同、订单、中标通知书、发票等证明材料的复印件并加盖公章）。</w:t>
      </w:r>
    </w:p>
    <w:p w14:paraId="643BF8E7">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财务与信誉要求</w:t>
      </w:r>
    </w:p>
    <w:p w14:paraId="6BC8905B">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报价人的企业财务和经营状况良好，具备履行合同能力，无不良经营行为，近三年（202</w:t>
      </w:r>
      <w:r>
        <w:rPr>
          <w:rFonts w:hint="eastAsia" w:hAnsi="宋体" w:eastAsia="宋体"/>
          <w:color w:val="auto"/>
          <w:kern w:val="0"/>
          <w:sz w:val="24"/>
          <w:szCs w:val="24"/>
          <w:highlight w:val="none"/>
          <w:lang w:val="en-US" w:eastAsia="zh-CN"/>
        </w:rPr>
        <w:t>3</w:t>
      </w:r>
      <w:r>
        <w:rPr>
          <w:rFonts w:hint="eastAsia" w:hAnsi="宋体" w:eastAsia="宋体"/>
          <w:color w:val="auto"/>
          <w:kern w:val="0"/>
          <w:sz w:val="24"/>
          <w:szCs w:val="24"/>
          <w:highlight w:val="none"/>
        </w:rPr>
        <w:t>年1月1日起至报价响应截止日）未处于财产被接管、冻结、破产状态，没有处于投标禁入期。</w:t>
      </w:r>
    </w:p>
    <w:p w14:paraId="0856D61E">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p>
    <w:p w14:paraId="0660F579">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w:t>
      </w:r>
      <w:r>
        <w:rPr>
          <w:rFonts w:hint="eastAsia" w:hAnsi="宋体" w:eastAsia="宋体"/>
          <w:color w:val="auto"/>
          <w:kern w:val="0"/>
          <w:sz w:val="24"/>
          <w:szCs w:val="24"/>
          <w:highlight w:val="none"/>
          <w:u w:val="single"/>
        </w:rPr>
        <w:t>不接受</w:t>
      </w:r>
      <w:r>
        <w:rPr>
          <w:rFonts w:hint="eastAsia" w:hAnsi="宋体" w:eastAsia="宋体"/>
          <w:color w:val="auto"/>
          <w:kern w:val="0"/>
          <w:sz w:val="24"/>
          <w:szCs w:val="24"/>
          <w:highlight w:val="none"/>
        </w:rPr>
        <w:t>联合体报价。</w:t>
      </w:r>
    </w:p>
    <w:p w14:paraId="50B5DBC1">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报价人之间存在下列情形之一的，不得同时参与本项目报价：</w:t>
      </w:r>
    </w:p>
    <w:p w14:paraId="6BBC48D0">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法定代表人为同一人；</w:t>
      </w:r>
    </w:p>
    <w:p w14:paraId="31423B44">
      <w:pPr>
        <w:widowControl/>
        <w:numPr>
          <w:ilvl w:val="2"/>
          <w:numId w:val="1"/>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报价人为集团公司与全资子公司或控股子公司的关系（包括直接控股和间接控股的情形）。</w:t>
      </w:r>
    </w:p>
    <w:p w14:paraId="54E8622A">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项目报名及询价文件获取方式</w:t>
      </w:r>
    </w:p>
    <w:p w14:paraId="720AC384">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567" w:leftChars="0" w:hanging="567" w:firstLineChars="0"/>
        <w:jc w:val="left"/>
        <w:textAlignment w:val="auto"/>
        <w:rPr>
          <w:rFonts w:hAnsi="宋体"/>
          <w:color w:val="auto"/>
          <w:kern w:val="0"/>
          <w:sz w:val="24"/>
          <w:szCs w:val="24"/>
          <w:highlight w:val="none"/>
        </w:rPr>
      </w:pP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numPr>
          <w:ilvl w:val="1"/>
          <w:numId w:val="1"/>
        </w:numPr>
        <w:spacing w:line="360" w:lineRule="auto"/>
        <w:ind w:left="567" w:leftChars="0" w:hanging="567" w:firstLineChars="0"/>
        <w:jc w:val="left"/>
        <w:rPr>
          <w:color w:val="auto"/>
          <w:sz w:val="24"/>
          <w:szCs w:val="24"/>
          <w:highlight w:val="none"/>
        </w:rPr>
      </w:pPr>
      <w:r>
        <w:rPr>
          <w:rFonts w:hint="eastAsia"/>
          <w:color w:val="auto"/>
          <w:sz w:val="24"/>
          <w:szCs w:val="24"/>
          <w:highlight w:val="none"/>
        </w:rPr>
        <w:t>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5</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26</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w:t>
      </w:r>
      <w:r>
        <w:rPr>
          <w:rFonts w:hint="eastAsia"/>
          <w:color w:val="auto"/>
          <w:sz w:val="24"/>
          <w:szCs w:val="24"/>
          <w:highlight w:val="none"/>
          <w:lang w:val="en-US" w:eastAsia="zh-CN"/>
        </w:rPr>
        <w:t>8</w:t>
      </w:r>
      <w:r>
        <w:rPr>
          <w:rFonts w:hint="eastAsia"/>
          <w:color w:val="auto"/>
          <w:sz w:val="24"/>
          <w:szCs w:val="24"/>
          <w:highlight w:val="none"/>
        </w:rPr>
        <w:t xml:space="preserve">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询价文件获取方式：网上下载。</w:t>
      </w:r>
    </w:p>
    <w:p w14:paraId="65E2DAEC">
      <w:pPr>
        <w:widowControl/>
        <w:numPr>
          <w:ilvl w:val="1"/>
          <w:numId w:val="1"/>
        </w:numPr>
        <w:spacing w:line="360" w:lineRule="auto"/>
        <w:ind w:left="567" w:leftChars="0" w:hanging="567" w:firstLineChars="0"/>
        <w:jc w:val="left"/>
        <w:rPr>
          <w:rFonts w:hint="eastAsia" w:eastAsia="宋体"/>
          <w:color w:val="auto"/>
          <w:sz w:val="24"/>
          <w:szCs w:val="24"/>
          <w:highlight w:val="none"/>
        </w:rPr>
      </w:pPr>
      <w:r>
        <w:rPr>
          <w:rFonts w:hint="eastAsia" w:eastAsia="宋体"/>
          <w:color w:val="auto"/>
          <w:sz w:val="24"/>
          <w:szCs w:val="24"/>
          <w:highlight w:val="none"/>
        </w:rPr>
        <w:t>报价人如对此项目有疑问需要澄清，须在报价截止日3个工作日前将需要澄清的问题以书面方式递交给采购人，采购人统一将澄清文件发给本项目的报价人。</w:t>
      </w:r>
    </w:p>
    <w:p w14:paraId="481C94DF">
      <w:pPr>
        <w:widowControl/>
        <w:numPr>
          <w:ilvl w:val="0"/>
          <w:numId w:val="1"/>
        </w:numPr>
        <w:spacing w:line="360" w:lineRule="auto"/>
        <w:ind w:left="425" w:leftChars="0" w:hanging="425"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实地踏勘</w:t>
      </w:r>
    </w:p>
    <w:p w14:paraId="000A6F4B">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由于此批</w:t>
      </w:r>
      <w:r>
        <w:rPr>
          <w:rFonts w:hint="eastAsia" w:hAnsi="宋体"/>
          <w:color w:val="auto"/>
          <w:kern w:val="0"/>
          <w:sz w:val="24"/>
          <w:szCs w:val="24"/>
          <w:highlight w:val="none"/>
          <w:lang w:val="en-US" w:eastAsia="zh-CN"/>
        </w:rPr>
        <w:t>部分</w:t>
      </w:r>
      <w:r>
        <w:rPr>
          <w:rFonts w:hint="eastAsia" w:hAnsi="宋体" w:eastAsia="宋体"/>
          <w:color w:val="auto"/>
          <w:kern w:val="0"/>
          <w:sz w:val="24"/>
          <w:szCs w:val="24"/>
          <w:highlight w:val="none"/>
        </w:rPr>
        <w:t>备件的规格参数在询价文件里无法详细描述，需要报价人实地踏勘。</w:t>
      </w:r>
    </w:p>
    <w:p w14:paraId="37472AAE">
      <w:pPr>
        <w:widowControl/>
        <w:numPr>
          <w:ilvl w:val="1"/>
          <w:numId w:val="1"/>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采购人将组织报价人在报名时间截止后、报价截止日前5天统一安排实地踏勘，时间另行通知。</w:t>
      </w:r>
    </w:p>
    <w:p w14:paraId="4AF56DC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报价截止时间</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202</w:t>
      </w:r>
      <w:r>
        <w:rPr>
          <w:rFonts w:hint="eastAsia" w:hAnsi="宋体" w:eastAsia="宋体"/>
          <w:color w:val="auto"/>
          <w:kern w:val="0"/>
          <w:sz w:val="24"/>
          <w:szCs w:val="24"/>
          <w:highlight w:val="none"/>
          <w:u w:val="single"/>
          <w:lang w:val="en-US" w:eastAsia="zh-CN"/>
        </w:rPr>
        <w:t>6</w:t>
      </w:r>
      <w:r>
        <w:rPr>
          <w:rFonts w:hint="eastAsia" w:hAnsi="宋体" w:eastAsia="宋体"/>
          <w:color w:val="auto"/>
          <w:kern w:val="0"/>
          <w:sz w:val="24"/>
          <w:szCs w:val="24"/>
          <w:highlight w:val="none"/>
        </w:rPr>
        <w:t>年</w:t>
      </w:r>
      <w:r>
        <w:rPr>
          <w:rFonts w:hint="eastAsia" w:hAnsi="宋体"/>
          <w:color w:val="auto"/>
          <w:kern w:val="0"/>
          <w:sz w:val="24"/>
          <w:szCs w:val="24"/>
          <w:highlight w:val="none"/>
          <w:u w:val="single"/>
          <w:lang w:val="en-US" w:eastAsia="zh-CN"/>
        </w:rPr>
        <w:t>6</w:t>
      </w:r>
      <w:r>
        <w:rPr>
          <w:rFonts w:hint="eastAsia" w:hAnsi="宋体" w:eastAsia="宋体"/>
          <w:color w:val="auto"/>
          <w:kern w:val="0"/>
          <w:sz w:val="24"/>
          <w:szCs w:val="24"/>
          <w:highlight w:val="none"/>
        </w:rPr>
        <w:t>月</w:t>
      </w:r>
      <w:r>
        <w:rPr>
          <w:rFonts w:hint="eastAsia" w:hAnsi="宋体"/>
          <w:color w:val="auto"/>
          <w:kern w:val="0"/>
          <w:sz w:val="24"/>
          <w:szCs w:val="24"/>
          <w:highlight w:val="none"/>
          <w:u w:val="single"/>
          <w:lang w:val="en-US" w:eastAsia="zh-CN"/>
        </w:rPr>
        <w:t>8</w:t>
      </w:r>
      <w:r>
        <w:rPr>
          <w:rFonts w:hint="eastAsia" w:hAnsi="宋体" w:eastAsia="宋体"/>
          <w:color w:val="auto"/>
          <w:kern w:val="0"/>
          <w:sz w:val="24"/>
          <w:szCs w:val="24"/>
          <w:highlight w:val="none"/>
        </w:rPr>
        <w:t>日</w:t>
      </w:r>
      <w:r>
        <w:rPr>
          <w:rFonts w:hint="eastAsia" w:hAnsi="宋体" w:eastAsia="宋体"/>
          <w:color w:val="auto"/>
          <w:kern w:val="0"/>
          <w:sz w:val="24"/>
          <w:szCs w:val="24"/>
          <w:highlight w:val="none"/>
          <w:u w:val="none"/>
        </w:rPr>
        <w:t>14</w:t>
      </w:r>
      <w:r>
        <w:rPr>
          <w:rFonts w:hint="eastAsia" w:hAnsi="宋体" w:eastAsia="宋体"/>
          <w:color w:val="auto"/>
          <w:kern w:val="0"/>
          <w:sz w:val="24"/>
          <w:szCs w:val="24"/>
          <w:highlight w:val="none"/>
          <w:u w:val="none"/>
          <w:lang w:val="en-US" w:eastAsia="zh-CN"/>
        </w:rPr>
        <w:t>:</w:t>
      </w:r>
      <w:r>
        <w:rPr>
          <w:rFonts w:hint="eastAsia" w:hAnsi="宋体" w:eastAsia="宋体"/>
          <w:color w:val="auto"/>
          <w:kern w:val="0"/>
          <w:sz w:val="24"/>
          <w:szCs w:val="24"/>
          <w:highlight w:val="none"/>
          <w:u w:val="none"/>
        </w:rPr>
        <w:t>30</w:t>
      </w:r>
      <w:r>
        <w:rPr>
          <w:rFonts w:hint="eastAsia" w:hAnsi="宋体" w:eastAsia="宋体"/>
          <w:color w:val="auto"/>
          <w:kern w:val="0"/>
          <w:sz w:val="24"/>
          <w:szCs w:val="24"/>
          <w:highlight w:val="none"/>
        </w:rPr>
        <w:t>，报价文件送达的时间以采购人收到时间为准。</w:t>
      </w:r>
    </w:p>
    <w:p w14:paraId="4480F6D5">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lang w:val="en-US" w:eastAsia="zh-CN"/>
        </w:rPr>
        <w:t>报价文件邮寄地点</w:t>
      </w:r>
      <w:r>
        <w:rPr>
          <w:rFonts w:hint="eastAsia" w:hAnsi="宋体" w:eastAsia="宋体"/>
          <w:color w:val="auto"/>
          <w:kern w:val="0"/>
          <w:sz w:val="24"/>
          <w:szCs w:val="24"/>
          <w:highlight w:val="none"/>
        </w:rPr>
        <w:t>：</w:t>
      </w:r>
      <w:r>
        <w:rPr>
          <w:rFonts w:hint="eastAsia" w:hAnsi="宋体" w:eastAsia="宋体"/>
          <w:color w:val="auto"/>
          <w:kern w:val="0"/>
          <w:sz w:val="24"/>
          <w:szCs w:val="24"/>
          <w:highlight w:val="none"/>
          <w:u w:val="single"/>
        </w:rPr>
        <w:t>安徽省滁州市南谯区徽州路701号滁宁城铁控制中心516室</w:t>
      </w:r>
      <w:r>
        <w:rPr>
          <w:rFonts w:hint="eastAsia" w:hAnsi="宋体" w:eastAsia="宋体"/>
          <w:color w:val="auto"/>
          <w:kern w:val="0"/>
          <w:sz w:val="24"/>
          <w:szCs w:val="24"/>
          <w:highlight w:val="none"/>
        </w:rPr>
        <w:t>。</w:t>
      </w:r>
    </w:p>
    <w:p w14:paraId="228A222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壹仟捌佰元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8</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val="en-US" w:eastAsia="zh-CN"/>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numPr>
          <w:ilvl w:val="0"/>
          <w:numId w:val="1"/>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5</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26</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2026年滁州轨道运营综合测控装置等接触网备件采购项目（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报价注意事项</w:t>
      </w:r>
    </w:p>
    <w:p w14:paraId="6CF3C83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本项目不接受联合体报价。</w:t>
      </w:r>
    </w:p>
    <w:p w14:paraId="5F55192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报价须包含包装、运输、税金、装卸及相关服务等经需方验收合格之前发生的所有费用。</w:t>
      </w:r>
    </w:p>
    <w:p w14:paraId="5EB212E1">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本次报价有效期应不低于报价截止日后90个日历日。若该产品或原材料行情波动较大，请另行注明有效期。</w:t>
      </w:r>
    </w:p>
    <w:p w14:paraId="708B204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报价人不符合报价人基本要求，或未按照规定的要求进行报价的，其报价不予接受。</w:t>
      </w:r>
    </w:p>
    <w:p w14:paraId="2462E64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报价人须按要求对所有条目进行报价，不允许有缺漏项，否则视为无效报价；如果所有报价人对于某项都未报价，则该项不作为缺漏项。</w:t>
      </w:r>
    </w:p>
    <w:p w14:paraId="01298745">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付款方式：卖方需提供100%金额的增值税专用发票，该增值税专用发票及货物明细清单经双方确认无异后，买方按合同价款全额（或交付货物金额）的</w:t>
      </w:r>
      <w:r>
        <w:rPr>
          <w:rFonts w:hint="eastAsia" w:hAnsi="宋体" w:eastAsia="宋体"/>
          <w:color w:val="auto"/>
          <w:kern w:val="0"/>
          <w:sz w:val="24"/>
          <w:szCs w:val="24"/>
          <w:highlight w:val="none"/>
          <w:u w:val="single"/>
        </w:rPr>
        <w:t>95%</w:t>
      </w:r>
      <w:r>
        <w:rPr>
          <w:rFonts w:hint="eastAsia" w:hAnsi="宋体" w:eastAsia="宋体"/>
          <w:color w:val="auto"/>
          <w:kern w:val="0"/>
          <w:sz w:val="24"/>
          <w:szCs w:val="24"/>
          <w:highlight w:val="none"/>
        </w:rPr>
        <w:t>在</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个工作日内予以支付，余款自货物验收合格之日起（从次日起算）一年内无任何质量问题，由买方</w:t>
      </w:r>
      <w:r>
        <w:rPr>
          <w:rFonts w:hint="eastAsia" w:hAnsi="宋体" w:eastAsia="宋体"/>
          <w:color w:val="auto"/>
          <w:kern w:val="0"/>
          <w:sz w:val="24"/>
          <w:szCs w:val="24"/>
          <w:highlight w:val="none"/>
          <w:u w:val="single"/>
        </w:rPr>
        <w:t>90</w:t>
      </w:r>
      <w:r>
        <w:rPr>
          <w:rFonts w:hint="eastAsia" w:hAnsi="宋体" w:eastAsia="宋体"/>
          <w:color w:val="auto"/>
          <w:kern w:val="0"/>
          <w:sz w:val="24"/>
          <w:szCs w:val="24"/>
          <w:highlight w:val="none"/>
        </w:rPr>
        <w:t>个工作日内向卖方支付。</w:t>
      </w:r>
    </w:p>
    <w:p w14:paraId="2659C8A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其他相关约定详见第五章《合同条款》。</w:t>
      </w:r>
    </w:p>
    <w:p w14:paraId="5D73FFD4">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w:t>
      </w:r>
    </w:p>
    <w:p w14:paraId="462A56F2">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报价方式：</w:t>
      </w:r>
      <w:r>
        <w:rPr>
          <w:rFonts w:hint="eastAsia" w:hAnsi="宋体" w:eastAsia="宋体"/>
          <w:b/>
          <w:bCs/>
          <w:color w:val="auto"/>
          <w:kern w:val="0"/>
          <w:sz w:val="24"/>
          <w:szCs w:val="24"/>
          <w:highlight w:val="none"/>
          <w:u w:val="single"/>
        </w:rPr>
        <w:t>书面密封报价</w:t>
      </w:r>
    </w:p>
    <w:p w14:paraId="61566BDC">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报价文件包装方式</w:t>
      </w:r>
    </w:p>
    <w:p w14:paraId="6ED153F9">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报价人应将报价文件的密封部分与非密封部分分开进行包装，密封部分包装封口处应加盖法人公章，非密封部分包装封口处无需盖章。</w:t>
      </w:r>
    </w:p>
    <w:p w14:paraId="6F8F72B6">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报价人应将分别包装的密封部分与非密封部分再次合并进行包装，并在封口处加盖法人公章。</w:t>
      </w:r>
    </w:p>
    <w:p w14:paraId="6D30A8AD">
      <w:pPr>
        <w:widowControl/>
        <w:numPr>
          <w:ilvl w:val="2"/>
          <w:numId w:val="2"/>
        </w:numPr>
        <w:spacing w:line="360" w:lineRule="auto"/>
        <w:ind w:left="709" w:leftChars="0" w:hanging="709" w:firstLineChars="0"/>
        <w:jc w:val="left"/>
        <w:rPr>
          <w:rFonts w:hint="eastAsia" w:hAnsi="宋体" w:eastAsia="宋体"/>
          <w:b/>
          <w:bCs/>
          <w:color w:val="auto"/>
          <w:kern w:val="0"/>
          <w:sz w:val="24"/>
          <w:szCs w:val="24"/>
          <w:highlight w:val="none"/>
        </w:rPr>
      </w:pPr>
      <w:r>
        <w:rPr>
          <w:rFonts w:hint="eastAsia" w:hAnsi="宋体" w:eastAsia="宋体"/>
          <w:b/>
          <w:bCs/>
          <w:color w:val="auto"/>
          <w:kern w:val="0"/>
          <w:sz w:val="24"/>
          <w:szCs w:val="24"/>
          <w:highlight w:val="none"/>
        </w:rPr>
        <w:t xml:space="preserve">非密封部分应装订成册，以便于查阅和管理。 </w:t>
      </w:r>
    </w:p>
    <w:p w14:paraId="7EC3D8B9">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w:t>
      </w:r>
    </w:p>
    <w:p w14:paraId="3A5E365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评审步骤</w:t>
      </w:r>
    </w:p>
    <w:p w14:paraId="7E1C51EC">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初步评审</w:t>
      </w:r>
    </w:p>
    <w:p w14:paraId="1F7FBAFB">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评审小组按照询价文件规定的报价人资格要求对所有报价人进行资格审查，报价人必须同时符合报价文件规定的所有资格条件，报价人有任何一项不符合的，其资格审查不通过。</w:t>
      </w:r>
    </w:p>
    <w:p w14:paraId="0234E68F">
      <w:pPr>
        <w:keepNext w:val="0"/>
        <w:keepLines w:val="0"/>
        <w:pageBreakBefore w:val="0"/>
        <w:widowControl/>
        <w:numPr>
          <w:ilvl w:val="3"/>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 xml:space="preserve">算术性修正 </w:t>
      </w:r>
    </w:p>
    <w:p w14:paraId="6C15CAE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hAnsi="宋体" w:eastAsia="宋体"/>
          <w:color w:val="auto"/>
          <w:kern w:val="0"/>
          <w:sz w:val="24"/>
          <w:szCs w:val="24"/>
          <w:highlight w:val="none"/>
        </w:rPr>
      </w:pPr>
      <w:r>
        <w:rPr>
          <w:rFonts w:hint="eastAsia" w:hAnsi="宋体" w:eastAsia="宋体"/>
          <w:color w:val="auto"/>
          <w:kern w:val="0"/>
          <w:sz w:val="24"/>
          <w:szCs w:val="24"/>
          <w:highlight w:val="none"/>
        </w:rPr>
        <w:t>本次报价评审前，采购人可根据现场实际需要，有权取消部分采购条目或增减采购数量，并对所有报价人的报价（单价不变）进行修正。</w:t>
      </w:r>
    </w:p>
    <w:p w14:paraId="1B151273">
      <w:pPr>
        <w:widowControl/>
        <w:numPr>
          <w:ilvl w:val="2"/>
          <w:numId w:val="2"/>
        </w:numPr>
        <w:spacing w:line="360" w:lineRule="auto"/>
        <w:ind w:left="709" w:leftChars="0" w:hanging="709"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价格评审</w:t>
      </w:r>
    </w:p>
    <w:p w14:paraId="1271913C">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对通过初步评审的报价人的预估量总报价（不含税）进行比较，预估量总报价（不含税）最低的报价人推荐为本项目第一成交候选人，次低者推荐为第二成交候选人，依次类推。</w:t>
      </w:r>
    </w:p>
    <w:p w14:paraId="29DD5AE7">
      <w:pPr>
        <w:widowControl/>
        <w:numPr>
          <w:ilvl w:val="3"/>
          <w:numId w:val="2"/>
        </w:numPr>
        <w:spacing w:line="360" w:lineRule="auto"/>
        <w:ind w:left="850" w:leftChars="0" w:hanging="850"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如遇预估量总报价（不含税）相等时，按照注册资本由大到小排序。</w:t>
      </w:r>
    </w:p>
    <w:p w14:paraId="2E40DB5F">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numPr>
          <w:ilvl w:val="0"/>
          <w:numId w:val="2"/>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w:t>
      </w:r>
    </w:p>
    <w:p w14:paraId="7085D1EA">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成交供应商须在接到电话通知后30日内按报价承诺与采购人签订合同，否则其报价保证金不予退还。</w:t>
      </w:r>
    </w:p>
    <w:p w14:paraId="6545F89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合同签订时，采购人可根据需要有权对部分内容作局部调整或变更，但需经双方共同认定。</w:t>
      </w:r>
    </w:p>
    <w:p w14:paraId="36A767CB">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若成交供应商放弃成交项目或擅自在签订合同中改变最终承诺条款时，由采购人在成交候选人中重新确定成交供应商。</w:t>
      </w:r>
    </w:p>
    <w:p w14:paraId="52D98A70">
      <w:pPr>
        <w:widowControl/>
        <w:numPr>
          <w:ilvl w:val="1"/>
          <w:numId w:val="2"/>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本项目拟与成交供应商签订</w:t>
      </w:r>
      <w:r>
        <w:rPr>
          <w:rFonts w:hint="eastAsia" w:hAnsi="宋体" w:eastAsia="宋体"/>
          <w:b/>
          <w:bCs/>
          <w:color w:val="auto"/>
          <w:kern w:val="0"/>
          <w:sz w:val="24"/>
          <w:szCs w:val="24"/>
          <w:highlight w:val="none"/>
          <w:lang w:val="en-US" w:eastAsia="zh-CN"/>
        </w:rPr>
        <w:t>三年期</w:t>
      </w:r>
      <w:r>
        <w:rPr>
          <w:rFonts w:hint="eastAsia" w:hAnsi="宋体" w:eastAsia="宋体"/>
          <w:color w:val="auto"/>
          <w:kern w:val="0"/>
          <w:sz w:val="24"/>
          <w:szCs w:val="24"/>
          <w:highlight w:val="none"/>
          <w:lang w:val="en-US" w:eastAsia="zh-CN"/>
        </w:rPr>
        <w:t>框架协议。</w:t>
      </w:r>
    </w:p>
    <w:p w14:paraId="15A1D534">
      <w:pPr>
        <w:pStyle w:val="17"/>
        <w:spacing w:before="0" w:after="100" w:afterAutospacing="1" w:line="360" w:lineRule="auto"/>
        <w:rPr>
          <w:rFonts w:ascii="Times New Roman" w:hAnsi="Times New Roman"/>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EA0CDAA">
      <w:pPr>
        <w:pStyle w:val="17"/>
        <w:spacing w:before="0" w:after="100" w:afterAutospacing="1" w:line="360" w:lineRule="auto"/>
        <w:rPr>
          <w:color w:val="auto"/>
          <w:highlight w:val="none"/>
        </w:rPr>
      </w:pPr>
      <w:r>
        <w:rPr>
          <w:rFonts w:hint="eastAsia"/>
          <w:color w:val="auto"/>
          <w:highlight w:val="none"/>
        </w:rPr>
        <w:t>第三章 项目需求</w:t>
      </w:r>
    </w:p>
    <w:p w14:paraId="79FEF0EF">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综合测控装置等接触网备件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33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3742"/>
        <w:gridCol w:w="5386"/>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742"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5386"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11010150000368</w:t>
            </w:r>
          </w:p>
        </w:tc>
        <w:tc>
          <w:tcPr>
            <w:tcW w:w="3742"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接触网头灯</w:t>
            </w:r>
          </w:p>
        </w:tc>
        <w:tc>
          <w:tcPr>
            <w:tcW w:w="5386"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XQD-50-ZS  I-02  4300K</w:t>
            </w:r>
          </w:p>
        </w:tc>
        <w:tc>
          <w:tcPr>
            <w:tcW w:w="74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29B61FF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r>
      <w:tr w14:paraId="7250C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C73501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814" w:type="dxa"/>
            <w:shd w:val="clear" w:color="auto" w:fill="auto"/>
            <w:vAlign w:val="center"/>
          </w:tcPr>
          <w:p w14:paraId="041101B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40010201010012</w:t>
            </w:r>
          </w:p>
        </w:tc>
        <w:tc>
          <w:tcPr>
            <w:tcW w:w="3742" w:type="dxa"/>
            <w:shd w:val="clear" w:color="auto" w:fill="auto"/>
            <w:vAlign w:val="center"/>
          </w:tcPr>
          <w:p w14:paraId="0324AAE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汇流排电连接线夹</w:t>
            </w:r>
          </w:p>
        </w:tc>
        <w:tc>
          <w:tcPr>
            <w:tcW w:w="5386" w:type="dxa"/>
            <w:shd w:val="clear" w:color="auto" w:fill="auto"/>
            <w:vAlign w:val="center"/>
          </w:tcPr>
          <w:p w14:paraId="065FC01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GXJL04-99</w:t>
            </w:r>
            <w:r>
              <w:rPr>
                <w:rFonts w:hint="eastAsia" w:ascii="宋体" w:hAnsi="宋体" w:cs="宋体"/>
                <w:i w:val="0"/>
                <w:iCs w:val="0"/>
                <w:color w:val="000000"/>
                <w:kern w:val="0"/>
                <w:sz w:val="22"/>
                <w:szCs w:val="22"/>
                <w:u w:val="none"/>
                <w:lang w:val="en-US" w:eastAsia="zh-CN" w:bidi="ar"/>
              </w:rPr>
              <w:t>，需实地踏勘。</w:t>
            </w:r>
          </w:p>
        </w:tc>
        <w:tc>
          <w:tcPr>
            <w:tcW w:w="744" w:type="dxa"/>
            <w:shd w:val="clear" w:color="auto" w:fill="auto"/>
            <w:vAlign w:val="center"/>
          </w:tcPr>
          <w:p w14:paraId="19FF5F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套</w:t>
            </w:r>
          </w:p>
        </w:tc>
        <w:tc>
          <w:tcPr>
            <w:tcW w:w="1032" w:type="dxa"/>
            <w:shd w:val="clear" w:color="auto" w:fill="auto"/>
            <w:vAlign w:val="center"/>
          </w:tcPr>
          <w:p w14:paraId="51DBF11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29FBE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578EF6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814" w:type="dxa"/>
            <w:shd w:val="clear" w:color="auto" w:fill="auto"/>
            <w:vAlign w:val="center"/>
          </w:tcPr>
          <w:p w14:paraId="383841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40010202088003</w:t>
            </w:r>
          </w:p>
        </w:tc>
        <w:tc>
          <w:tcPr>
            <w:tcW w:w="3742" w:type="dxa"/>
            <w:shd w:val="clear" w:color="auto" w:fill="auto"/>
            <w:vAlign w:val="center"/>
          </w:tcPr>
          <w:p w14:paraId="0312039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中心锚结硅橡胶复合绝缘子</w:t>
            </w:r>
          </w:p>
        </w:tc>
        <w:tc>
          <w:tcPr>
            <w:tcW w:w="5386" w:type="dxa"/>
            <w:shd w:val="clear" w:color="auto" w:fill="auto"/>
            <w:vAlign w:val="center"/>
          </w:tcPr>
          <w:p w14:paraId="620EB63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FQB 27.5/16-1600，需实地踏勘。</w:t>
            </w:r>
          </w:p>
        </w:tc>
        <w:tc>
          <w:tcPr>
            <w:tcW w:w="744" w:type="dxa"/>
            <w:shd w:val="clear" w:color="auto" w:fill="auto"/>
            <w:vAlign w:val="center"/>
          </w:tcPr>
          <w:p w14:paraId="601166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vAlign w:val="center"/>
          </w:tcPr>
          <w:p w14:paraId="1315A01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50A03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24D84C8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814" w:type="dxa"/>
            <w:shd w:val="clear" w:color="auto" w:fill="auto"/>
            <w:vAlign w:val="center"/>
          </w:tcPr>
          <w:p w14:paraId="6C74C24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40010310088032</w:t>
            </w:r>
          </w:p>
        </w:tc>
        <w:tc>
          <w:tcPr>
            <w:tcW w:w="3742" w:type="dxa"/>
            <w:shd w:val="clear" w:color="auto" w:fill="auto"/>
            <w:vAlign w:val="center"/>
          </w:tcPr>
          <w:p w14:paraId="47AABE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承力索铜铝衬垫</w:t>
            </w:r>
          </w:p>
        </w:tc>
        <w:tc>
          <w:tcPr>
            <w:tcW w:w="5386" w:type="dxa"/>
            <w:shd w:val="clear" w:color="auto" w:fill="auto"/>
            <w:vAlign w:val="center"/>
          </w:tcPr>
          <w:p w14:paraId="425883A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JTMM95铜镁合金承力索铜铝衬垫；长度L130mm，S厚度2mm,D弯曲定型后拱形内宽13mm，需实地踏勘。</w:t>
            </w:r>
          </w:p>
        </w:tc>
        <w:tc>
          <w:tcPr>
            <w:tcW w:w="744" w:type="dxa"/>
            <w:shd w:val="clear" w:color="auto" w:fill="auto"/>
            <w:vAlign w:val="center"/>
          </w:tcPr>
          <w:p w14:paraId="22955F1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vAlign w:val="center"/>
          </w:tcPr>
          <w:p w14:paraId="56689DE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20</w:t>
            </w:r>
          </w:p>
        </w:tc>
      </w:tr>
      <w:tr w14:paraId="5F6F8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680" w:type="dxa"/>
            <w:shd w:val="clear" w:color="auto" w:fill="auto"/>
            <w:vAlign w:val="center"/>
          </w:tcPr>
          <w:p w14:paraId="5DB2BBD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814" w:type="dxa"/>
            <w:shd w:val="clear" w:color="auto" w:fill="auto"/>
            <w:vAlign w:val="center"/>
          </w:tcPr>
          <w:p w14:paraId="64AE8BB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40010401038007</w:t>
            </w:r>
          </w:p>
        </w:tc>
        <w:tc>
          <w:tcPr>
            <w:tcW w:w="3742" w:type="dxa"/>
            <w:shd w:val="clear" w:color="auto" w:fill="auto"/>
            <w:vAlign w:val="center"/>
          </w:tcPr>
          <w:p w14:paraId="7B3CE4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接触网隔离开关户外电动操动机构行程开关（直流）/微动行程开关</w:t>
            </w:r>
          </w:p>
        </w:tc>
        <w:tc>
          <w:tcPr>
            <w:tcW w:w="5386" w:type="dxa"/>
            <w:shd w:val="clear" w:color="auto" w:fill="auto"/>
            <w:vAlign w:val="center"/>
          </w:tcPr>
          <w:p w14:paraId="15FC69B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CSK11-A（1组）金属单轮磁吹限位开关绿色透明；额定电压AC380V,额定电流8A；额定电压DC220V，额定电流5A</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长50mm，宽/厚12mm，全高50mm。</w:t>
            </w:r>
          </w:p>
        </w:tc>
        <w:tc>
          <w:tcPr>
            <w:tcW w:w="744" w:type="dxa"/>
            <w:shd w:val="clear" w:color="auto" w:fill="auto"/>
            <w:vAlign w:val="center"/>
          </w:tcPr>
          <w:p w14:paraId="529D2A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1FC1E55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6072A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680" w:type="dxa"/>
            <w:shd w:val="clear" w:color="auto" w:fill="auto"/>
            <w:vAlign w:val="center"/>
          </w:tcPr>
          <w:p w14:paraId="22822D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814" w:type="dxa"/>
            <w:shd w:val="clear" w:color="auto" w:fill="auto"/>
            <w:vAlign w:val="center"/>
          </w:tcPr>
          <w:p w14:paraId="2EB7513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40010401038008</w:t>
            </w:r>
          </w:p>
        </w:tc>
        <w:tc>
          <w:tcPr>
            <w:tcW w:w="3742" w:type="dxa"/>
            <w:shd w:val="clear" w:color="auto" w:fill="auto"/>
            <w:vAlign w:val="center"/>
          </w:tcPr>
          <w:p w14:paraId="464225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接触网隔离开关户外电动操动机构行程开关（直流）/微动行程开关</w:t>
            </w:r>
          </w:p>
        </w:tc>
        <w:tc>
          <w:tcPr>
            <w:tcW w:w="5386" w:type="dxa"/>
            <w:shd w:val="clear" w:color="auto" w:fill="auto"/>
            <w:vAlign w:val="center"/>
          </w:tcPr>
          <w:p w14:paraId="38D500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CSK22-A（2组）金属单轮磁吹限位开关绿色透明;额定电压AC380V,额定电流8A；额定电压DC220V，额定电流5A，长50mm，宽/厚24mm，全高50mm。</w:t>
            </w:r>
          </w:p>
        </w:tc>
        <w:tc>
          <w:tcPr>
            <w:tcW w:w="744" w:type="dxa"/>
            <w:shd w:val="clear" w:color="auto" w:fill="auto"/>
            <w:vAlign w:val="center"/>
          </w:tcPr>
          <w:p w14:paraId="63A095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457E7C1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05403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680" w:type="dxa"/>
            <w:shd w:val="clear" w:color="auto" w:fill="auto"/>
            <w:vAlign w:val="center"/>
          </w:tcPr>
          <w:p w14:paraId="7F2A506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814" w:type="dxa"/>
            <w:shd w:val="clear" w:color="auto" w:fill="auto"/>
            <w:vAlign w:val="center"/>
          </w:tcPr>
          <w:p w14:paraId="424510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40010401038009</w:t>
            </w:r>
          </w:p>
        </w:tc>
        <w:tc>
          <w:tcPr>
            <w:tcW w:w="3742" w:type="dxa"/>
            <w:shd w:val="clear" w:color="auto" w:fill="auto"/>
            <w:vAlign w:val="center"/>
          </w:tcPr>
          <w:p w14:paraId="0CFD6B8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接触网隔离开关户外电动操动机构行程开关（直流）/微动行程开关</w:t>
            </w:r>
          </w:p>
        </w:tc>
        <w:tc>
          <w:tcPr>
            <w:tcW w:w="5386" w:type="dxa"/>
            <w:shd w:val="clear" w:color="auto" w:fill="auto"/>
            <w:vAlign w:val="center"/>
          </w:tcPr>
          <w:p w14:paraId="4DA56F8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CSK22-A（2组）金属单轮磁吹限位开关绿色透明、带支架；额定电压AC380V,额定电流8A；额定电压DC220V，额定电流5A，长50mm，宽/厚24mm，全高50mm。</w:t>
            </w:r>
          </w:p>
        </w:tc>
        <w:tc>
          <w:tcPr>
            <w:tcW w:w="744" w:type="dxa"/>
            <w:shd w:val="clear" w:color="auto" w:fill="auto"/>
            <w:vAlign w:val="center"/>
          </w:tcPr>
          <w:p w14:paraId="513880E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61FDE09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3BB1F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8" w:hRule="atLeast"/>
          <w:jc w:val="center"/>
        </w:trPr>
        <w:tc>
          <w:tcPr>
            <w:tcW w:w="680" w:type="dxa"/>
            <w:shd w:val="clear" w:color="auto" w:fill="auto"/>
            <w:vAlign w:val="center"/>
          </w:tcPr>
          <w:p w14:paraId="593D102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814" w:type="dxa"/>
            <w:shd w:val="clear" w:color="auto" w:fill="auto"/>
            <w:vAlign w:val="center"/>
          </w:tcPr>
          <w:p w14:paraId="1664920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40010401038010</w:t>
            </w:r>
          </w:p>
        </w:tc>
        <w:tc>
          <w:tcPr>
            <w:tcW w:w="3742" w:type="dxa"/>
            <w:shd w:val="clear" w:color="auto" w:fill="auto"/>
            <w:vAlign w:val="center"/>
          </w:tcPr>
          <w:p w14:paraId="6A7BF37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接触网隔离开关户外电动操动机构电动分合闸按钮开关（交流）/配电箱自复位按钮开关</w:t>
            </w:r>
          </w:p>
        </w:tc>
        <w:tc>
          <w:tcPr>
            <w:tcW w:w="5386" w:type="dxa"/>
            <w:shd w:val="clear" w:color="auto" w:fill="auto"/>
            <w:vAlign w:val="center"/>
          </w:tcPr>
          <w:p w14:paraId="72EEB28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LA38-20 LA239A-11DT Ui690V Ith：10A AC-15 DC-13； 绿色，带灯平圆头自复自锁；交直流通用；常闭、常开；开孔直径22mm，外观圆形30mm</w:t>
            </w:r>
          </w:p>
        </w:tc>
        <w:tc>
          <w:tcPr>
            <w:tcW w:w="744" w:type="dxa"/>
            <w:shd w:val="clear" w:color="auto" w:fill="auto"/>
            <w:vAlign w:val="center"/>
          </w:tcPr>
          <w:p w14:paraId="2EB7CB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0D6EEC2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2" w:hRule="atLeast"/>
          <w:jc w:val="center"/>
        </w:trPr>
        <w:tc>
          <w:tcPr>
            <w:tcW w:w="680"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814" w:type="dxa"/>
            <w:shd w:val="clear" w:color="auto" w:fill="auto"/>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40010401038011</w:t>
            </w:r>
          </w:p>
        </w:tc>
        <w:tc>
          <w:tcPr>
            <w:tcW w:w="3742" w:type="dxa"/>
            <w:shd w:val="clear" w:color="auto" w:fill="auto"/>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接触网隔离开关户外电动操动机构电动分合闸按钮开关（交流）/配电箱自复位按钮开关</w:t>
            </w:r>
          </w:p>
        </w:tc>
        <w:tc>
          <w:tcPr>
            <w:tcW w:w="5386" w:type="dxa"/>
            <w:shd w:val="clear" w:color="auto" w:fill="auto"/>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LA38-20 LA239A-11DT Ui690V Ith：10A AC-15 DC-13； 红色，带灯平圆头自复自锁；交直流通用；常闭、常开；开孔直径22mm，圆形30mm</w:t>
            </w:r>
          </w:p>
        </w:tc>
        <w:tc>
          <w:tcPr>
            <w:tcW w:w="744" w:type="dxa"/>
            <w:shd w:val="clear" w:color="auto" w:fill="auto"/>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80"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814" w:type="dxa"/>
            <w:shd w:val="clear" w:color="auto" w:fill="auto"/>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40010401038012</w:t>
            </w:r>
          </w:p>
        </w:tc>
        <w:tc>
          <w:tcPr>
            <w:tcW w:w="3742" w:type="dxa"/>
            <w:shd w:val="clear" w:color="auto" w:fill="auto"/>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接触网隔离开关户外电动操动机构电动分合闸按钮开关（交流）/配电箱自复位按钮开关</w:t>
            </w:r>
          </w:p>
        </w:tc>
        <w:tc>
          <w:tcPr>
            <w:tcW w:w="5386" w:type="dxa"/>
            <w:shd w:val="clear" w:color="auto" w:fill="auto"/>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LA38-20 LA239A-11DT Ui690V Ith：10A AC-15 DC-13； 黄色，带灯平圆头自复自锁；交直流通用；常闭、常开；开孔直径22mm，圆形直径30mm</w:t>
            </w:r>
          </w:p>
        </w:tc>
        <w:tc>
          <w:tcPr>
            <w:tcW w:w="744" w:type="dxa"/>
            <w:shd w:val="clear" w:color="auto" w:fill="auto"/>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814" w:type="dxa"/>
            <w:shd w:val="clear" w:color="auto" w:fill="auto"/>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40010401038013</w:t>
            </w:r>
          </w:p>
        </w:tc>
        <w:tc>
          <w:tcPr>
            <w:tcW w:w="3742" w:type="dxa"/>
            <w:shd w:val="clear" w:color="auto" w:fill="auto"/>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接触网隔离开关户外电动操动机构转换开关（交流）/LW26系列转换开关</w:t>
            </w:r>
          </w:p>
        </w:tc>
        <w:tc>
          <w:tcPr>
            <w:tcW w:w="5386" w:type="dxa"/>
            <w:shd w:val="clear" w:color="auto" w:fill="auto"/>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LW26-10N/3节（二档切换 远方 就地）；额定绝缘电压690V，额定工作电压AC440V,额定频率50HZ,产品认证CCC；长30mm，高30mm</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内部高为28mm，内部总长46mm。</w:t>
            </w:r>
          </w:p>
        </w:tc>
        <w:tc>
          <w:tcPr>
            <w:tcW w:w="744" w:type="dxa"/>
            <w:shd w:val="clear" w:color="auto" w:fill="auto"/>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680"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c>
          <w:tcPr>
            <w:tcW w:w="1814" w:type="dxa"/>
            <w:shd w:val="clear" w:color="auto" w:fill="auto"/>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40010401038014</w:t>
            </w:r>
          </w:p>
        </w:tc>
        <w:tc>
          <w:tcPr>
            <w:tcW w:w="3742" w:type="dxa"/>
            <w:shd w:val="clear" w:color="auto" w:fill="auto"/>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接触网隔离开关户外电动操动机构转换开关（直流）/LW26系列转换开关</w:t>
            </w:r>
          </w:p>
        </w:tc>
        <w:tc>
          <w:tcPr>
            <w:tcW w:w="5386" w:type="dxa"/>
            <w:shd w:val="clear" w:color="auto" w:fill="auto"/>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LW26-20A3节（二档切换 远方 就地）；额定绝缘电压690V，额定工作电压AC440V,额定频率50HZ,产品认证CCC。长48mm，高48mm，内部高为43mm，内部总长50.8mm。</w:t>
            </w:r>
          </w:p>
        </w:tc>
        <w:tc>
          <w:tcPr>
            <w:tcW w:w="744" w:type="dxa"/>
            <w:shd w:val="clear" w:color="auto" w:fill="auto"/>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个</w:t>
            </w:r>
          </w:p>
        </w:tc>
        <w:tc>
          <w:tcPr>
            <w:tcW w:w="1032" w:type="dxa"/>
            <w:shd w:val="clear" w:color="auto" w:fill="auto"/>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12</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 w:hRule="atLeast"/>
          <w:jc w:val="center"/>
        </w:trPr>
        <w:tc>
          <w:tcPr>
            <w:tcW w:w="680"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13</w:t>
            </w:r>
          </w:p>
        </w:tc>
        <w:tc>
          <w:tcPr>
            <w:tcW w:w="1814" w:type="dxa"/>
            <w:shd w:val="clear" w:color="auto" w:fill="auto"/>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40010401038015</w:t>
            </w:r>
          </w:p>
        </w:tc>
        <w:tc>
          <w:tcPr>
            <w:tcW w:w="3742" w:type="dxa"/>
            <w:shd w:val="clear" w:color="auto" w:fill="auto"/>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接触网隔离开关户外电动操动机构弹簧（直流）/不锈钢弹簧</w:t>
            </w:r>
          </w:p>
        </w:tc>
        <w:tc>
          <w:tcPr>
            <w:tcW w:w="5386" w:type="dxa"/>
            <w:shd w:val="clear" w:color="auto" w:fill="auto"/>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长度50mm，外圈直径10.2mm，内圈直径9mm；型材表面○，直径1.2mm，φ1.2X50mm；不锈钢，CJ6B；右旋，总圈数15，有效圈数14，两端并紧磨平，外购规格为:1.2x10x50；弹圈间隙2.7mm；PJ(18),P2=5Kg(25),P1=2.5Kg(39)</w:t>
            </w:r>
          </w:p>
        </w:tc>
        <w:tc>
          <w:tcPr>
            <w:tcW w:w="744" w:type="dxa"/>
            <w:shd w:val="clear" w:color="auto" w:fill="auto"/>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根</w:t>
            </w:r>
          </w:p>
        </w:tc>
        <w:tc>
          <w:tcPr>
            <w:tcW w:w="1032" w:type="dxa"/>
            <w:shd w:val="clear" w:color="auto" w:fill="auto"/>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w:t>
            </w:r>
          </w:p>
        </w:tc>
        <w:tc>
          <w:tcPr>
            <w:tcW w:w="1814" w:type="dxa"/>
            <w:shd w:val="clear" w:color="auto" w:fill="auto"/>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40040103010023</w:t>
            </w:r>
          </w:p>
        </w:tc>
        <w:tc>
          <w:tcPr>
            <w:tcW w:w="3742" w:type="dxa"/>
            <w:shd w:val="clear" w:color="auto" w:fill="auto"/>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综合测控装置</w:t>
            </w:r>
          </w:p>
        </w:tc>
        <w:tc>
          <w:tcPr>
            <w:tcW w:w="5386"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WYZ-651，需实地踏勘。</w:t>
            </w:r>
          </w:p>
        </w:tc>
        <w:tc>
          <w:tcPr>
            <w:tcW w:w="744" w:type="dxa"/>
            <w:shd w:val="clear" w:color="auto" w:fill="auto"/>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32" w:type="dxa"/>
            <w:shd w:val="clear" w:color="auto" w:fill="auto"/>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758B1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3398"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61B86061">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cs="宋体"/>
                <w:b/>
                <w:bCs/>
                <w:i w:val="0"/>
                <w:iCs w:val="0"/>
                <w:color w:val="000000"/>
                <w:kern w:val="0"/>
                <w:sz w:val="21"/>
                <w:szCs w:val="21"/>
                <w:highlight w:val="none"/>
                <w:u w:val="none"/>
                <w:lang w:val="en-US" w:eastAsia="zh-CN" w:bidi="ar"/>
              </w:rPr>
              <w:t>因货物清单中第2、3、4、14项</w:t>
            </w:r>
            <w:r>
              <w:rPr>
                <w:rFonts w:hint="eastAsia" w:ascii="宋体" w:hAnsi="宋体" w:eastAsia="宋体" w:cs="宋体"/>
                <w:b/>
                <w:bCs/>
                <w:i w:val="0"/>
                <w:iCs w:val="0"/>
                <w:color w:val="000000"/>
                <w:kern w:val="0"/>
                <w:sz w:val="21"/>
                <w:szCs w:val="21"/>
                <w:highlight w:val="none"/>
                <w:u w:val="none"/>
                <w:lang w:val="en-US" w:eastAsia="zh-CN" w:bidi="ar"/>
              </w:rPr>
              <w:t>备件</w:t>
            </w:r>
            <w:r>
              <w:rPr>
                <w:rFonts w:hint="eastAsia" w:ascii="宋体" w:hAnsi="宋体" w:cs="宋体"/>
                <w:b/>
                <w:bCs/>
                <w:i w:val="0"/>
                <w:iCs w:val="0"/>
                <w:color w:val="000000"/>
                <w:kern w:val="0"/>
                <w:sz w:val="21"/>
                <w:szCs w:val="21"/>
                <w:highlight w:val="none"/>
                <w:u w:val="none"/>
                <w:lang w:val="en-US" w:eastAsia="zh-CN" w:bidi="ar"/>
              </w:rPr>
              <w:t>相关</w:t>
            </w:r>
            <w:r>
              <w:rPr>
                <w:rFonts w:hint="eastAsia" w:ascii="宋体" w:hAnsi="宋体" w:eastAsia="宋体" w:cs="宋体"/>
                <w:b/>
                <w:bCs/>
                <w:i w:val="0"/>
                <w:iCs w:val="0"/>
                <w:color w:val="000000"/>
                <w:kern w:val="0"/>
                <w:sz w:val="21"/>
                <w:szCs w:val="21"/>
                <w:highlight w:val="none"/>
                <w:u w:val="none"/>
                <w:lang w:val="en-US" w:eastAsia="zh-CN" w:bidi="ar"/>
              </w:rPr>
              <w:t>规格参数</w:t>
            </w:r>
            <w:r>
              <w:rPr>
                <w:rFonts w:hint="eastAsia" w:ascii="宋体" w:hAnsi="宋体" w:cs="宋体"/>
                <w:b/>
                <w:bCs/>
                <w:i w:val="0"/>
                <w:iCs w:val="0"/>
                <w:color w:val="000000"/>
                <w:kern w:val="0"/>
                <w:sz w:val="21"/>
                <w:szCs w:val="21"/>
                <w:highlight w:val="none"/>
                <w:u w:val="none"/>
                <w:lang w:val="en-US" w:eastAsia="zh-CN" w:bidi="ar"/>
              </w:rPr>
              <w:t>无法</w:t>
            </w:r>
            <w:r>
              <w:rPr>
                <w:rFonts w:hint="eastAsia" w:ascii="宋体" w:hAnsi="宋体" w:eastAsia="宋体" w:cs="宋体"/>
                <w:b/>
                <w:bCs/>
                <w:i w:val="0"/>
                <w:iCs w:val="0"/>
                <w:color w:val="000000"/>
                <w:kern w:val="0"/>
                <w:sz w:val="21"/>
                <w:szCs w:val="21"/>
                <w:highlight w:val="none"/>
                <w:u w:val="none"/>
                <w:lang w:val="en-US" w:eastAsia="zh-CN" w:bidi="ar"/>
              </w:rPr>
              <w:t>在询价文件</w:t>
            </w:r>
            <w:r>
              <w:rPr>
                <w:rFonts w:hint="eastAsia" w:ascii="宋体" w:hAnsi="宋体" w:cs="宋体"/>
                <w:b/>
                <w:bCs/>
                <w:i w:val="0"/>
                <w:iCs w:val="0"/>
                <w:color w:val="000000"/>
                <w:kern w:val="0"/>
                <w:sz w:val="21"/>
                <w:szCs w:val="21"/>
                <w:highlight w:val="none"/>
                <w:u w:val="none"/>
                <w:lang w:val="en-US" w:eastAsia="zh-CN" w:bidi="ar"/>
              </w:rPr>
              <w:t>中</w:t>
            </w:r>
            <w:r>
              <w:rPr>
                <w:rFonts w:hint="eastAsia" w:ascii="宋体" w:hAnsi="宋体" w:eastAsia="宋体" w:cs="宋体"/>
                <w:b/>
                <w:bCs/>
                <w:i w:val="0"/>
                <w:iCs w:val="0"/>
                <w:color w:val="000000"/>
                <w:kern w:val="0"/>
                <w:sz w:val="21"/>
                <w:szCs w:val="21"/>
                <w:highlight w:val="none"/>
                <w:u w:val="none"/>
                <w:lang w:val="en-US" w:eastAsia="zh-CN" w:bidi="ar"/>
              </w:rPr>
              <w:t>详细描述，</w:t>
            </w:r>
            <w:r>
              <w:rPr>
                <w:rFonts w:hint="eastAsia" w:ascii="宋体" w:hAnsi="宋体" w:cs="宋体"/>
                <w:b/>
                <w:bCs/>
                <w:i w:val="0"/>
                <w:iCs w:val="0"/>
                <w:color w:val="000000"/>
                <w:kern w:val="0"/>
                <w:sz w:val="21"/>
                <w:szCs w:val="21"/>
                <w:highlight w:val="none"/>
                <w:u w:val="none"/>
                <w:lang w:val="en-US" w:eastAsia="zh-CN" w:bidi="ar"/>
              </w:rPr>
              <w:t>需</w:t>
            </w:r>
            <w:r>
              <w:rPr>
                <w:rFonts w:hint="eastAsia" w:ascii="宋体" w:hAnsi="宋体" w:eastAsia="宋体" w:cs="宋体"/>
                <w:b/>
                <w:bCs/>
                <w:i w:val="0"/>
                <w:iCs w:val="0"/>
                <w:color w:val="000000"/>
                <w:kern w:val="0"/>
                <w:sz w:val="21"/>
                <w:szCs w:val="21"/>
                <w:highlight w:val="none"/>
                <w:u w:val="none"/>
                <w:lang w:val="en-US" w:eastAsia="zh-CN" w:bidi="ar"/>
              </w:rPr>
              <w:t>报价人</w:t>
            </w:r>
            <w:r>
              <w:rPr>
                <w:rFonts w:hint="eastAsia" w:ascii="宋体" w:hAnsi="宋体" w:cs="宋体"/>
                <w:b/>
                <w:bCs/>
                <w:i w:val="0"/>
                <w:iCs w:val="0"/>
                <w:color w:val="000000"/>
                <w:kern w:val="0"/>
                <w:sz w:val="21"/>
                <w:szCs w:val="21"/>
                <w:highlight w:val="none"/>
                <w:u w:val="none"/>
                <w:lang w:val="en-US" w:eastAsia="zh-CN" w:bidi="ar"/>
              </w:rPr>
              <w:t>赴现场</w:t>
            </w:r>
            <w:r>
              <w:rPr>
                <w:rFonts w:hint="eastAsia" w:ascii="宋体" w:hAnsi="宋体" w:eastAsia="宋体" w:cs="宋体"/>
                <w:b/>
                <w:bCs/>
                <w:i w:val="0"/>
                <w:iCs w:val="0"/>
                <w:color w:val="000000"/>
                <w:kern w:val="0"/>
                <w:sz w:val="21"/>
                <w:szCs w:val="21"/>
                <w:highlight w:val="none"/>
                <w:u w:val="none"/>
                <w:lang w:val="en-US" w:eastAsia="zh-CN" w:bidi="ar"/>
              </w:rPr>
              <w:t>实地踏勘</w:t>
            </w:r>
            <w:r>
              <w:rPr>
                <w:rFonts w:hint="eastAsia" w:ascii="宋体" w:hAnsi="宋体" w:cs="宋体"/>
                <w:b/>
                <w:bCs/>
                <w:i w:val="0"/>
                <w:iCs w:val="0"/>
                <w:color w:val="000000"/>
                <w:kern w:val="0"/>
                <w:sz w:val="21"/>
                <w:szCs w:val="21"/>
                <w:highlight w:val="none"/>
                <w:u w:val="none"/>
                <w:lang w:val="en-US" w:eastAsia="zh-CN" w:bidi="ar"/>
              </w:rPr>
              <w:t>；</w:t>
            </w:r>
          </w:p>
          <w:p w14:paraId="4F9B663B">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4EDCC555">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7DFEE40C">
            <w:pPr>
              <w:keepNext w:val="0"/>
              <w:keepLines w:val="0"/>
              <w:widowControl/>
              <w:numPr>
                <w:ilvl w:val="0"/>
                <w:numId w:val="5"/>
              </w:numPr>
              <w:suppressLineNumbers w:val="0"/>
              <w:ind w:left="425" w:leftChars="0" w:hanging="425" w:firstLineChars="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0AA9F5EC">
      <w:pPr>
        <w:pStyle w:val="16"/>
        <w:spacing w:before="0" w:beforeAutospacing="0" w:after="0" w:afterAutospacing="0" w:line="360" w:lineRule="auto"/>
        <w:ind w:left="420" w:hanging="420" w:hangingChars="175"/>
        <w:rPr>
          <w:rFonts w:ascii="Times New Roman" w:hAnsi="Times New Roman" w:cs="Times New Roman"/>
          <w:color w:val="auto"/>
          <w:highlight w:val="none"/>
        </w:rPr>
        <w:sectPr>
          <w:pgSz w:w="16838" w:h="11906" w:orient="landscape"/>
          <w:pgMar w:top="754" w:right="1579" w:bottom="754" w:left="779" w:header="779" w:footer="992" w:gutter="0"/>
          <w:pgNumType w:fmt="numberInDash"/>
          <w:cols w:space="120" w:num="1"/>
        </w:sectPr>
      </w:pPr>
    </w:p>
    <w:p w14:paraId="19A53B71">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质量要求</w:t>
      </w:r>
    </w:p>
    <w:p w14:paraId="710222BF">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报价产品必须是原厂生产全新货品。</w:t>
      </w:r>
    </w:p>
    <w:p w14:paraId="6C9BACF2">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报价产品必须符合标准。</w:t>
      </w:r>
    </w:p>
    <w:p w14:paraId="21A19C05">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质保要求</w:t>
      </w:r>
    </w:p>
    <w:p w14:paraId="152BAD9A">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自货物验收合格之日起（从次日起算）不少于12个月（货物依法标注有效期的，其有效期不得少于质保期；国家有期限规定的，从其规定）为质保期。</w:t>
      </w:r>
    </w:p>
    <w:p w14:paraId="0261BD36">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在质保期内正常使用中买方如发现卖方产品有质量问题，卖方在接到买方通知后应及时予以调换或修理。</w:t>
      </w:r>
    </w:p>
    <w:p w14:paraId="2705AA34">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1B81288A">
      <w:pPr>
        <w:widowControl/>
        <w:numPr>
          <w:ilvl w:val="0"/>
          <w:numId w:val="4"/>
        </w:numPr>
        <w:spacing w:line="360" w:lineRule="auto"/>
        <w:ind w:left="425" w:leftChars="0" w:hanging="425"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交货要求</w:t>
      </w:r>
    </w:p>
    <w:p w14:paraId="3408687E">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交货时间：按照合同要求供货。</w:t>
      </w:r>
    </w:p>
    <w:p w14:paraId="6F77CE60">
      <w:pPr>
        <w:widowControl/>
        <w:numPr>
          <w:ilvl w:val="1"/>
          <w:numId w:val="4"/>
        </w:numPr>
        <w:spacing w:line="360" w:lineRule="auto"/>
        <w:ind w:left="567" w:leftChars="0" w:hanging="567" w:firstLineChars="0"/>
        <w:jc w:val="left"/>
        <w:rPr>
          <w:rFonts w:hint="eastAsia" w:hAnsi="宋体" w:eastAsia="宋体"/>
          <w:color w:val="auto"/>
          <w:kern w:val="0"/>
          <w:sz w:val="24"/>
          <w:szCs w:val="24"/>
          <w:highlight w:val="none"/>
          <w:lang w:val="en-US" w:eastAsia="zh-CN"/>
        </w:rPr>
      </w:pPr>
      <w:r>
        <w:rPr>
          <w:rFonts w:hint="eastAsia" w:hAnsi="宋体" w:eastAsia="宋体"/>
          <w:color w:val="auto"/>
          <w:kern w:val="0"/>
          <w:sz w:val="24"/>
          <w:szCs w:val="24"/>
          <w:highlight w:val="none"/>
          <w:lang w:val="en-US" w:eastAsia="zh-CN"/>
        </w:rPr>
        <w:t>交货地点：安徽省滁州市来安县水口镇新河村范庄组100号相官车辆段物资总库。</w:t>
      </w:r>
    </w:p>
    <w:p w14:paraId="6AF68FE2">
      <w:pPr>
        <w:pStyle w:val="17"/>
        <w:spacing w:before="0" w:after="100" w:afterAutospacing="1" w:line="360" w:lineRule="auto"/>
        <w:ind w:left="567" w:hanging="567"/>
        <w:rPr>
          <w:rFonts w:hint="eastAsia"/>
          <w:color w:val="auto"/>
          <w:highlight w:val="none"/>
        </w:rPr>
        <w:sectPr>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6"/>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8"/>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w:t>
            </w:r>
            <w:r>
              <w:rPr>
                <w:rFonts w:hint="eastAsia"/>
                <w:color w:val="auto"/>
                <w:sz w:val="22"/>
                <w:szCs w:val="22"/>
                <w:highlight w:val="none"/>
                <w:lang w:val="en-US" w:eastAsia="zh-CN"/>
              </w:rPr>
              <w:t>5</w:t>
            </w:r>
            <w:r>
              <w:rPr>
                <w:rFonts w:hint="eastAsia"/>
                <w:color w:val="auto"/>
                <w:sz w:val="22"/>
                <w:szCs w:val="22"/>
                <w:highlight w:val="none"/>
                <w:lang w:eastAsia="zh-CN"/>
              </w:rPr>
              <w:t>-000</w:t>
            </w:r>
            <w:r>
              <w:rPr>
                <w:rFonts w:hint="eastAsia"/>
                <w:color w:val="auto"/>
                <w:sz w:val="22"/>
                <w:szCs w:val="22"/>
                <w:highlight w:val="none"/>
                <w:lang w:val="en-US" w:eastAsia="zh-CN"/>
              </w:rPr>
              <w:t>5</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26</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8</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综合测控装置等接触网备件</w:t>
      </w: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7250300"/>
      <w:bookmarkStart w:id="5" w:name="_Toc472325755"/>
      <w:bookmarkStart w:id="6" w:name="_Toc92804592"/>
      <w:bookmarkStart w:id="7" w:name="_Toc10620851"/>
      <w:bookmarkStart w:id="8" w:name="_Toc22503"/>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10"/>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10"/>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numPr>
          <w:ilvl w:val="0"/>
          <w:numId w:val="11"/>
        </w:numPr>
        <w:snapToGrid w:val="0"/>
        <w:spacing w:line="360" w:lineRule="auto"/>
        <w:ind w:left="425" w:leftChars="0" w:hanging="425" w:firstLineChars="0"/>
        <w:rPr>
          <w:rFonts w:ascii="宋体" w:hAnsi="宋体" w:eastAsia="宋体"/>
          <w:b/>
          <w:bCs/>
          <w:szCs w:val="21"/>
          <w:highlight w:val="none"/>
        </w:rPr>
      </w:pP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keepNext w:val="0"/>
        <w:keepLines w:val="0"/>
        <w:pageBreakBefore w:val="0"/>
        <w:widowControl w:val="0"/>
        <w:kinsoku/>
        <w:wordWrap/>
        <w:overflowPunct/>
        <w:topLinePunct w:val="0"/>
        <w:autoSpaceDE/>
        <w:autoSpaceDN/>
        <w:bidi w:val="0"/>
        <w:adjustRightInd/>
        <w:snapToGrid w:val="0"/>
        <w:spacing w:line="360" w:lineRule="auto"/>
        <w:ind w:left="420" w:leftChars="200"/>
        <w:textAlignment w:val="auto"/>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1874C37B">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价格</w:t>
      </w:r>
    </w:p>
    <w:p w14:paraId="08F145D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30FE531A">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numPr>
          <w:ilvl w:val="1"/>
          <w:numId w:val="11"/>
        </w:numPr>
        <w:snapToGrid w:val="0"/>
        <w:spacing w:line="360" w:lineRule="auto"/>
        <w:ind w:left="567" w:leftChars="0" w:hanging="567" w:firstLineChars="0"/>
        <w:rPr>
          <w:rFonts w:ascii="宋体" w:hAnsi="宋体" w:eastAsia="宋体"/>
          <w:szCs w:val="21"/>
          <w:highlight w:val="none"/>
        </w:rPr>
      </w:pPr>
      <w:r>
        <w:rPr>
          <w:rFonts w:hint="eastAsia" w:ascii="宋体" w:hAnsi="宋体" w:eastAsia="宋体"/>
          <w:szCs w:val="21"/>
          <w:highlight w:val="none"/>
        </w:rPr>
        <w:t>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 xml:space="preserve">交货地点 </w:t>
      </w:r>
    </w:p>
    <w:p w14:paraId="250E88E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eastAsia="宋体"/>
          <w:highlight w:val="none"/>
        </w:rPr>
      </w:pPr>
      <w:r>
        <w:rPr>
          <w:rFonts w:hint="eastAsia" w:ascii="宋体" w:hAnsi="宋体" w:eastAsia="宋体"/>
          <w:highlight w:val="none"/>
        </w:rPr>
        <w:t>滁州市买方指定地点。</w:t>
      </w:r>
    </w:p>
    <w:p w14:paraId="52B2A57D">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交货时间</w:t>
      </w:r>
    </w:p>
    <w:p w14:paraId="73E4988A">
      <w:pPr>
        <w:keepNext w:val="0"/>
        <w:keepLines w:val="0"/>
        <w:pageBreakBefore w:val="0"/>
        <w:widowControl w:val="0"/>
        <w:tabs>
          <w:tab w:val="left" w:pos="540"/>
        </w:tabs>
        <w:kinsoku/>
        <w:wordWrap/>
        <w:overflowPunct/>
        <w:topLinePunct w:val="0"/>
        <w:autoSpaceDE/>
        <w:autoSpaceDN/>
        <w:bidi w:val="0"/>
        <w:adjustRightInd/>
        <w:snapToGrid w:val="0"/>
        <w:spacing w:line="360" w:lineRule="auto"/>
        <w:ind w:left="0" w:leftChars="0" w:firstLine="420" w:firstLineChars="200"/>
        <w:textAlignment w:val="auto"/>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112DC541">
      <w:pPr>
        <w:numPr>
          <w:ilvl w:val="0"/>
          <w:numId w:val="11"/>
        </w:numPr>
        <w:snapToGrid w:val="0"/>
        <w:spacing w:line="360" w:lineRule="auto"/>
        <w:ind w:left="425" w:leftChars="0" w:hanging="425" w:firstLineChars="0"/>
        <w:rPr>
          <w:rFonts w:hint="eastAsia" w:ascii="宋体" w:hAnsi="宋体" w:eastAsia="宋体"/>
          <w:szCs w:val="21"/>
          <w:highlight w:val="none"/>
        </w:rPr>
      </w:pPr>
      <w:r>
        <w:rPr>
          <w:rFonts w:hint="eastAsia" w:ascii="宋体" w:hAnsi="宋体" w:eastAsia="宋体"/>
          <w:b/>
          <w:bCs/>
          <w:szCs w:val="21"/>
          <w:highlight w:val="none"/>
        </w:rPr>
        <w:t>质量保证</w:t>
      </w:r>
    </w:p>
    <w:p w14:paraId="62FB4BD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货物是全新、未使用过的原装合格正品，并完全符合合同约定、国家规定的质量、规格和性能的要求。如卖方提供的货物是假冒伪劣的，除应退换货物外，还应按照该货物合同总价款的两倍向买方进行赔偿</w:t>
      </w:r>
      <w:r>
        <w:rPr>
          <w:rFonts w:hint="eastAsia" w:ascii="宋体" w:hAnsi="宋体" w:eastAsia="宋体"/>
          <w:szCs w:val="21"/>
          <w:highlight w:val="none"/>
          <w:lang w:eastAsia="zh-CN"/>
        </w:rPr>
        <w:t>。</w:t>
      </w:r>
    </w:p>
    <w:p w14:paraId="52F96E0B">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ascii="宋体" w:hAnsi="宋体" w:eastAsia="宋体"/>
          <w:szCs w:val="21"/>
          <w:highlight w:val="none"/>
          <w:lang w:eastAsia="zh-CN"/>
        </w:rPr>
        <w:t>。</w:t>
      </w:r>
    </w:p>
    <w:p w14:paraId="7CA37334">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卖方所供货物如有缺陷或隐蔽瑕疵，应书面如实告知买方，否则，应对货物缺陷或隐蔽瑕疵而造成的损失承担全部赔偿责任。</w:t>
      </w:r>
    </w:p>
    <w:p w14:paraId="25B344F9">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卖方应保证其提供的货物在正确安装、使用和保养下，在其使用寿命内具有良好的性能。货物验收后，卖方应对由于货物设计缺陷、质量缺陷、其它内在缺陷等原因造成的损失负责，所需费用由卖方承担。</w:t>
      </w:r>
    </w:p>
    <w:p w14:paraId="26EA2DCA">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卖方出售的货物造成人身损害、财产损失的，卖方应当承担赔偿责任。</w:t>
      </w:r>
    </w:p>
    <w:p w14:paraId="6ADAF583">
      <w:pPr>
        <w:keepNext w:val="0"/>
        <w:keepLines w:val="0"/>
        <w:pageBreakBefore w:val="0"/>
        <w:widowControl w:val="0"/>
        <w:numPr>
          <w:ilvl w:val="1"/>
          <w:numId w:val="11"/>
        </w:numPr>
        <w:kinsoku/>
        <w:wordWrap/>
        <w:overflowPunct/>
        <w:topLinePunct w:val="0"/>
        <w:autoSpaceDE/>
        <w:autoSpaceDN/>
        <w:bidi w:val="0"/>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420" w:leftChars="200" w:firstLine="0" w:firstLineChars="0"/>
        <w:textAlignment w:val="auto"/>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包装、包装标志及环境保护</w:t>
      </w:r>
    </w:p>
    <w:p w14:paraId="54891CB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卖方应在每一包装箱的适当位置作出下列标记：</w:t>
      </w:r>
    </w:p>
    <w:p w14:paraId="2F1A73BA">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收货人；</w:t>
      </w:r>
    </w:p>
    <w:p w14:paraId="6C836D43">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货物名称、件数；</w:t>
      </w:r>
    </w:p>
    <w:p w14:paraId="4C229EBF">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毛重、净重；</w:t>
      </w:r>
    </w:p>
    <w:p w14:paraId="4B46DF9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体积（长×宽×高，用毫米表示）；</w:t>
      </w:r>
    </w:p>
    <w:p w14:paraId="3E8DC608">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货物运输警示标识；</w:t>
      </w:r>
    </w:p>
    <w:p w14:paraId="4FD73BCD">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合同号；</w:t>
      </w:r>
    </w:p>
    <w:p w14:paraId="648B6502">
      <w:pPr>
        <w:keepNext w:val="0"/>
        <w:keepLines w:val="0"/>
        <w:pageBreakBefore w:val="0"/>
        <w:widowControl w:val="0"/>
        <w:numPr>
          <w:ilvl w:val="0"/>
          <w:numId w:val="13"/>
        </w:numPr>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其他应标记内容。</w:t>
      </w:r>
    </w:p>
    <w:p w14:paraId="262EFE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00"/>
        <w:textAlignment w:val="auto"/>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交货和验收</w:t>
      </w:r>
    </w:p>
    <w:p w14:paraId="6F090A6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b w:val="0"/>
          <w:bCs w:val="0"/>
          <w:szCs w:val="21"/>
          <w:highlight w:val="none"/>
        </w:rPr>
      </w:pPr>
      <w:r>
        <w:rPr>
          <w:rFonts w:hint="eastAsia" w:ascii="宋体" w:hAnsi="宋体" w:eastAsia="宋体"/>
          <w:b w:val="0"/>
          <w:bCs w:val="0"/>
          <w:szCs w:val="21"/>
          <w:highlight w:val="none"/>
        </w:rPr>
        <w:t>除双方另有书面约定或买方自提外，本合同项下货物的所有权及毁损、灭失之风险自卖方运到买方仓库或买方指定地点完成交付之日起转移。</w:t>
      </w:r>
    </w:p>
    <w:p w14:paraId="297BCA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b/>
          <w:bCs/>
          <w:szCs w:val="21"/>
          <w:highlight w:val="none"/>
        </w:rPr>
      </w:pPr>
      <w:r>
        <w:rPr>
          <w:rFonts w:hint="eastAsia" w:ascii="宋体" w:hAnsi="宋体" w:eastAsia="宋体"/>
          <w:b w:val="0"/>
          <w:bCs w:val="0"/>
          <w:szCs w:val="21"/>
          <w:highlight w:val="none"/>
        </w:rPr>
        <w:t>卖方应按照本合同规定的时间、地点和方式，向买方交付货物。如未按规定送至买方指定的地点，由此引起的遗失或损坏等一切问题，由卖方承担全部责任。</w:t>
      </w:r>
    </w:p>
    <w:p w14:paraId="1DC82D1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2987F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72D10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numPr>
          <w:ilvl w:val="0"/>
          <w:numId w:val="11"/>
        </w:numPr>
        <w:snapToGrid w:val="0"/>
        <w:spacing w:line="360" w:lineRule="auto"/>
        <w:ind w:left="425" w:leftChars="0" w:hanging="425" w:firstLineChars="0"/>
        <w:rPr>
          <w:rFonts w:hint="eastAsia" w:ascii="宋体" w:hAnsi="宋体" w:eastAsia="宋体"/>
          <w:b/>
          <w:bCs/>
          <w:szCs w:val="21"/>
          <w:highlight w:val="none"/>
        </w:rPr>
      </w:pPr>
      <w:r>
        <w:rPr>
          <w:rFonts w:hint="eastAsia" w:ascii="宋体" w:hAnsi="宋体" w:eastAsia="宋体"/>
          <w:b/>
          <w:bCs/>
          <w:szCs w:val="21"/>
          <w:highlight w:val="none"/>
        </w:rPr>
        <w:t>伴随服务／售后服务</w:t>
      </w:r>
    </w:p>
    <w:p w14:paraId="390A5C3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szCs w:val="21"/>
          <w:highlight w:val="none"/>
        </w:rPr>
        <w:t>卖方应按照国家有关法律法规和“三包”规定提供服务。</w:t>
      </w:r>
    </w:p>
    <w:p w14:paraId="58611CD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color w:val="000000"/>
          <w:szCs w:val="21"/>
          <w:highlight w:val="none"/>
        </w:rPr>
      </w:pPr>
      <w:r>
        <w:rPr>
          <w:rFonts w:hint="eastAsia" w:ascii="宋体" w:hAnsi="宋体" w:eastAsia="宋体"/>
          <w:color w:val="000000"/>
          <w:szCs w:val="21"/>
          <w:highlight w:val="none"/>
        </w:rPr>
        <w:t>除前款规定外，根据买方需要，卖方还应提供下列服务：</w:t>
      </w:r>
    </w:p>
    <w:p w14:paraId="2AAAC371">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货物的现场安装、调试，卖方应在到货之日起（从次日起算）</w:t>
      </w:r>
      <w:r>
        <w:rPr>
          <w:rFonts w:hint="eastAsia" w:ascii="宋体" w:hAnsi="宋体" w:eastAsia="宋体"/>
          <w:szCs w:val="21"/>
          <w:highlight w:val="none"/>
          <w:u w:val="single"/>
        </w:rPr>
        <w:t xml:space="preserve"> / </w:t>
      </w:r>
      <w:r>
        <w:rPr>
          <w:rFonts w:hint="eastAsia" w:ascii="宋体" w:hAnsi="宋体" w:eastAsia="宋体"/>
          <w:szCs w:val="21"/>
          <w:highlight w:val="none"/>
        </w:rPr>
        <w:t>日内完成；</w:t>
      </w:r>
    </w:p>
    <w:p w14:paraId="48D6F38D">
      <w:pPr>
        <w:keepNext w:val="0"/>
        <w:keepLines w:val="0"/>
        <w:pageBreakBefore w:val="0"/>
        <w:widowControl w:val="0"/>
        <w:numPr>
          <w:ilvl w:val="0"/>
          <w:numId w:val="14"/>
        </w:numPr>
        <w:kinsoku/>
        <w:wordWrap/>
        <w:overflowPunct/>
        <w:topLinePunct w:val="0"/>
        <w:autoSpaceDE/>
        <w:autoSpaceDN/>
        <w:bidi w:val="0"/>
        <w:adjustRightInd/>
        <w:snapToGrid w:val="0"/>
        <w:spacing w:line="360" w:lineRule="auto"/>
        <w:ind w:left="420" w:leftChars="20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就货物的安装、启动、运行及维护等对买方人员进行免费培训。</w:t>
      </w:r>
    </w:p>
    <w:p w14:paraId="1B93843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hint="eastAsia" w:ascii="宋体" w:hAnsi="宋体" w:eastAsia="宋体"/>
          <w:szCs w:val="21"/>
          <w:highlight w:val="none"/>
        </w:rPr>
      </w:pPr>
      <w:r>
        <w:rPr>
          <w:rFonts w:hint="eastAsia" w:ascii="宋体" w:hAnsi="宋体" w:eastAsia="宋体"/>
          <w:szCs w:val="21"/>
          <w:highlight w:val="none"/>
        </w:rPr>
        <w:t>在安装调试期间，卖方应遵守买方安全管理规定，做好自身工作人员安全管理；卖方工作人员自身的一切安全问题，由卖方承担全部责任。</w:t>
      </w:r>
    </w:p>
    <w:p w14:paraId="77155695">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质保期</w:t>
      </w:r>
    </w:p>
    <w:p w14:paraId="795E981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420" w:leftChars="0" w:hanging="420" w:hangingChars="200"/>
        <w:textAlignment w:val="auto"/>
        <w:rPr>
          <w:rFonts w:ascii="宋体" w:hAnsi="宋体" w:eastAsia="宋体"/>
          <w:szCs w:val="21"/>
          <w:highlight w:val="none"/>
        </w:rPr>
      </w:pPr>
      <w:r>
        <w:rPr>
          <w:rFonts w:hint="eastAsia" w:ascii="宋体" w:hAnsi="宋体" w:eastAsia="宋体"/>
          <w:szCs w:val="21"/>
          <w:highlight w:val="none"/>
        </w:rPr>
        <w:t>在从合同货物运至交货地点之日起至质量保证期结束之日的期间，如发现卖方提供的合同货物有缺陷，不符合本合同规定时，买方有权选择且卖方需采取以下补救措施：</w:t>
      </w:r>
    </w:p>
    <w:p w14:paraId="08EC367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削价：在买卖双方同意的前提下，对有缺陷的合同货物作削价处理，卖方应将有缺陷的合同货物原合同价与削减后价格之间的差额退回买方。</w:t>
      </w:r>
    </w:p>
    <w:p w14:paraId="3DA6D541">
      <w:pPr>
        <w:keepNext w:val="0"/>
        <w:keepLines w:val="0"/>
        <w:pageBreakBefore w:val="0"/>
        <w:widowControl w:val="0"/>
        <w:numPr>
          <w:ilvl w:val="0"/>
          <w:numId w:val="15"/>
        </w:numPr>
        <w:tabs>
          <w:tab w:val="left" w:pos="540"/>
        </w:tabs>
        <w:kinsoku/>
        <w:wordWrap/>
        <w:overflowPunct/>
        <w:topLinePunct w:val="0"/>
        <w:autoSpaceDE/>
        <w:autoSpaceDN/>
        <w:bidi w:val="0"/>
        <w:adjustRightInd/>
        <w:snapToGrid w:val="0"/>
        <w:spacing w:line="360" w:lineRule="auto"/>
        <w:ind w:left="420" w:leftChars="200" w:firstLine="0" w:firstLineChars="0"/>
        <w:textAlignment w:val="auto"/>
        <w:rPr>
          <w:rFonts w:ascii="宋体" w:hAnsi="宋体" w:eastAsia="宋体"/>
          <w:szCs w:val="21"/>
          <w:highlight w:val="none"/>
        </w:rPr>
      </w:pPr>
      <w:r>
        <w:rPr>
          <w:rFonts w:hint="eastAsia" w:ascii="宋体" w:hAnsi="宋体" w:eastAsia="宋体"/>
          <w:szCs w:val="21"/>
          <w:highlight w:val="none"/>
        </w:rPr>
        <w:t>赔偿损失：除已有规定外，卖方应赔偿买方因采取上述措施所发生的损失。</w:t>
      </w:r>
    </w:p>
    <w:p w14:paraId="23F70C8E">
      <w:pPr>
        <w:numPr>
          <w:ilvl w:val="0"/>
          <w:numId w:val="11"/>
        </w:numPr>
        <w:snapToGrid w:val="0"/>
        <w:spacing w:line="360" w:lineRule="auto"/>
        <w:ind w:left="425" w:leftChars="0" w:hanging="425" w:firstLineChars="0"/>
        <w:rPr>
          <w:rFonts w:ascii="宋体" w:hAnsi="宋体" w:eastAsia="宋体"/>
          <w:szCs w:val="21"/>
          <w:highlight w:val="none"/>
        </w:rPr>
      </w:pPr>
      <w:r>
        <w:rPr>
          <w:rFonts w:hint="eastAsia" w:ascii="宋体" w:hAnsi="宋体" w:eastAsia="宋体"/>
          <w:b/>
          <w:bCs/>
          <w:szCs w:val="21"/>
          <w:highlight w:val="none"/>
        </w:rPr>
        <w:t>货款支付</w:t>
      </w:r>
    </w:p>
    <w:p w14:paraId="33D14FA8">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38A6F8F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6039E5EA">
      <w:pPr>
        <w:keepNext w:val="0"/>
        <w:keepLines w:val="0"/>
        <w:pageBreakBefore w:val="0"/>
        <w:numPr>
          <w:ilvl w:val="1"/>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3F9100E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货款以银行转账方式结算。</w:t>
      </w:r>
    </w:p>
    <w:p w14:paraId="64BFAA7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本合同约定的不含税价款不因国家税率变化而变化。在合同履行期间，如遇国家的税率调整或其他政策影响税率的，则价税合计金额做相应调整。</w:t>
      </w:r>
    </w:p>
    <w:p w14:paraId="0FBAB06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022FD9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履约保证金</w:t>
      </w:r>
    </w:p>
    <w:p w14:paraId="08E0E93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b w:val="0"/>
          <w:bCs w:val="0"/>
          <w:sz w:val="21"/>
          <w:szCs w:val="21"/>
          <w:highlight w:val="none"/>
          <w:lang w:eastAsia="zh-CN"/>
        </w:rPr>
      </w:pP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77BD4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0A91250">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
          <w:bCs/>
          <w:color w:val="FF0000"/>
          <w:szCs w:val="21"/>
          <w:highlight w:val="none"/>
        </w:rPr>
      </w:pP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0AE6A5A1">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08FF5C3F">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bCs/>
          <w:szCs w:val="21"/>
          <w:highlight w:val="none"/>
        </w:rPr>
      </w:pPr>
      <w:r>
        <w:rPr>
          <w:rFonts w:hint="eastAsia" w:ascii="宋体" w:hAnsi="宋体" w:eastAsia="宋体"/>
          <w:b/>
          <w:bCs/>
          <w:szCs w:val="21"/>
          <w:highlight w:val="none"/>
        </w:rPr>
        <w:t>保密条款</w:t>
      </w:r>
    </w:p>
    <w:p w14:paraId="15485CFE">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买、卖双方应对因履行合同而取得的另一方的信息、资料等予以保密。未经另一方书面同意，任何一方均不得为与履行合同无关的目的使用或向第三方披露另一方当事人提供的信息、资料。</w:t>
      </w:r>
    </w:p>
    <w:p w14:paraId="4375350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bCs/>
          <w:szCs w:val="21"/>
          <w:highlight w:val="none"/>
        </w:rPr>
      </w:pPr>
      <w:r>
        <w:rPr>
          <w:rFonts w:hint="eastAsia" w:ascii="宋体" w:hAnsi="宋体" w:eastAsia="宋体"/>
          <w:bCs/>
          <w:szCs w:val="21"/>
          <w:highlight w:val="none"/>
        </w:rPr>
        <w:t>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2FED735C">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违约责任</w:t>
      </w:r>
    </w:p>
    <w:p w14:paraId="56AD048A">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390A853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szCs w:val="21"/>
          <w:highlight w:val="none"/>
        </w:rPr>
        <w:t>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1DDC254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534304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527376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r>
        <w:rPr>
          <w:rFonts w:hint="eastAsia" w:ascii="宋体" w:hAnsi="宋体"/>
          <w:color w:val="000000"/>
          <w:szCs w:val="21"/>
          <w:highlight w:val="none"/>
          <w:lang w:eastAsia="zh-CN"/>
        </w:rPr>
        <w:t>。</w:t>
      </w:r>
    </w:p>
    <w:p w14:paraId="563C8CD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298167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因不可抗力导致买方不能实现合同目的；</w:t>
      </w:r>
    </w:p>
    <w:p w14:paraId="5B21A081">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在合同约定的履行期届满之前，卖方明确表示或者以自己的行为</w:t>
      </w:r>
      <w:r>
        <w:rPr>
          <w:rFonts w:hint="eastAsia" w:ascii="宋体" w:hAnsi="宋体" w:eastAsia="宋体"/>
          <w:szCs w:val="21"/>
          <w:highlight w:val="none"/>
          <w:lang w:val="en-US" w:eastAsia="zh-CN"/>
        </w:rPr>
        <w:t>表</w:t>
      </w:r>
      <w:r>
        <w:rPr>
          <w:rFonts w:hint="eastAsia" w:ascii="宋体" w:hAnsi="宋体" w:eastAsia="宋体"/>
          <w:szCs w:val="21"/>
          <w:highlight w:val="none"/>
        </w:rPr>
        <w:t>明不履行相应义务的；</w:t>
      </w:r>
    </w:p>
    <w:p w14:paraId="6A722857">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rPr>
        <w:t>卖方延迟履行部分或者全部</w:t>
      </w:r>
      <w:r>
        <w:rPr>
          <w:rFonts w:hint="eastAsia" w:ascii="宋体" w:hAnsi="宋体" w:eastAsia="宋体"/>
          <w:szCs w:val="21"/>
          <w:highlight w:val="none"/>
          <w:lang w:val="en-US" w:eastAsia="zh-CN"/>
        </w:rPr>
        <w:t>义务</w:t>
      </w:r>
      <w:r>
        <w:rPr>
          <w:rFonts w:hint="eastAsia" w:ascii="宋体" w:hAnsi="宋体" w:eastAsia="宋体"/>
          <w:szCs w:val="21"/>
          <w:highlight w:val="none"/>
        </w:rPr>
        <w:t>，</w:t>
      </w:r>
      <w:r>
        <w:rPr>
          <w:rFonts w:hint="eastAsia" w:ascii="宋体" w:hAnsi="宋体" w:eastAsia="宋体"/>
          <w:szCs w:val="21"/>
          <w:highlight w:val="none"/>
          <w:lang w:val="en-US" w:eastAsia="zh-CN"/>
        </w:rPr>
        <w:t>经催告后仍未在买方规定期限履行的；</w:t>
      </w:r>
    </w:p>
    <w:p w14:paraId="583EF530">
      <w:pPr>
        <w:keepNext w:val="0"/>
        <w:keepLines w:val="0"/>
        <w:pageBreakBefore w:val="0"/>
        <w:widowControl w:val="0"/>
        <w:numPr>
          <w:ilvl w:val="0"/>
          <w:numId w:val="16"/>
        </w:numPr>
        <w:tabs>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w:t>
      </w:r>
      <w:r>
        <w:rPr>
          <w:rFonts w:hint="eastAsia" w:ascii="宋体" w:hAnsi="宋体" w:eastAsia="宋体"/>
          <w:szCs w:val="21"/>
          <w:highlight w:val="none"/>
        </w:rPr>
        <w:t>发生其他</w:t>
      </w:r>
      <w:r>
        <w:rPr>
          <w:rFonts w:hint="eastAsia" w:ascii="宋体" w:hAnsi="宋体" w:eastAsia="宋体"/>
          <w:szCs w:val="21"/>
          <w:highlight w:val="none"/>
          <w:lang w:val="en-US" w:eastAsia="zh-CN"/>
        </w:rPr>
        <w:t>根本违约行为的。</w:t>
      </w:r>
    </w:p>
    <w:p w14:paraId="20B61DA8">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不可抗力</w:t>
      </w:r>
    </w:p>
    <w:p w14:paraId="1B38782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DA92F72">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kern w:val="0"/>
          <w:szCs w:val="21"/>
          <w:highlight w:val="none"/>
        </w:rPr>
      </w:pPr>
      <w:r>
        <w:rPr>
          <w:rFonts w:hint="eastAsia" w:ascii="宋体" w:hAnsi="宋体" w:eastAsia="宋体"/>
          <w:b/>
          <w:bCs/>
          <w:szCs w:val="21"/>
          <w:highlight w:val="none"/>
        </w:rPr>
        <w:t>知识产权</w:t>
      </w:r>
    </w:p>
    <w:p w14:paraId="7F7B8985">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买方在履行合同过程中提供给卖方的全部图纸、文件和其他含有数据和信息的资料，其知识产权属于买方</w:t>
      </w:r>
      <w:r>
        <w:rPr>
          <w:rFonts w:hint="eastAsia" w:ascii="宋体" w:hAnsi="宋体"/>
          <w:color w:val="000000"/>
          <w:kern w:val="0"/>
          <w:szCs w:val="21"/>
          <w:highlight w:val="none"/>
          <w:lang w:eastAsia="zh-CN"/>
        </w:rPr>
        <w:t>。</w:t>
      </w:r>
    </w:p>
    <w:p w14:paraId="5AB92AFC">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kern w:val="0"/>
          <w:szCs w:val="21"/>
          <w:highlight w:val="none"/>
        </w:rPr>
      </w:pPr>
      <w:r>
        <w:rPr>
          <w:rFonts w:hint="eastAsia" w:ascii="宋体" w:hAnsi="宋体" w:eastAsia="宋体"/>
          <w:color w:val="000000"/>
          <w:kern w:val="0"/>
          <w:szCs w:val="21"/>
          <w:highlight w:val="none"/>
        </w:rPr>
        <w:t>买方不因签署和履行合同而享有卖方在履行合同过程中提供给买方的图纸、文件、配套软件、电子辅助程序和其他含有数据和信息的资料的知识产权。</w:t>
      </w:r>
    </w:p>
    <w:p w14:paraId="6F5990D9">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卖方保证，买方在使用本合同项下货物或该货物的任何一部分时，免受第三方提出的侵犯其专利权、商标权、著作权或其他知识产权的起诉。</w:t>
      </w:r>
    </w:p>
    <w:p w14:paraId="64AFE567">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eastAsia="宋体"/>
          <w:bCs/>
          <w:snapToGrid w:val="0"/>
          <w:szCs w:val="21"/>
          <w:highlight w:val="none"/>
        </w:rPr>
      </w:pPr>
      <w:r>
        <w:rPr>
          <w:rFonts w:hint="eastAsia" w:ascii="宋体" w:hAnsi="宋体" w:eastAsia="宋体"/>
          <w:color w:val="000000"/>
          <w:kern w:val="0"/>
          <w:szCs w:val="21"/>
          <w:highlight w:val="none"/>
        </w:rPr>
        <w:t>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00200A8">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color w:val="000000"/>
          <w:szCs w:val="21"/>
          <w:highlight w:val="none"/>
        </w:rPr>
      </w:pPr>
      <w:r>
        <w:rPr>
          <w:rFonts w:hint="eastAsia" w:ascii="宋体" w:hAnsi="宋体" w:eastAsia="宋体"/>
          <w:b/>
          <w:bCs/>
          <w:szCs w:val="21"/>
          <w:highlight w:val="none"/>
        </w:rPr>
        <w:t>合同的变更或终止</w:t>
      </w:r>
    </w:p>
    <w:p w14:paraId="57D66E23">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rPr>
        <w:t>买方有权向卖方发出书面通知，从以下方面对合同内容进行变更，卖方应无条件执行买方的变更要求：</w:t>
      </w:r>
    </w:p>
    <w:p w14:paraId="0E5910E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752B5D4C">
      <w:pPr>
        <w:keepNext w:val="0"/>
        <w:keepLines w:val="0"/>
        <w:pageBreakBefore w:val="0"/>
        <w:widowControl w:val="0"/>
        <w:numPr>
          <w:ilvl w:val="0"/>
          <w:numId w:val="17"/>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color w:val="000000"/>
          <w:szCs w:val="21"/>
          <w:highlight w:val="none"/>
          <w:lang w:eastAsia="zh-CN"/>
        </w:rPr>
      </w:pPr>
      <w:r>
        <w:rPr>
          <w:rFonts w:hint="eastAsia" w:ascii="宋体" w:hAnsi="宋体" w:eastAsia="宋体"/>
          <w:color w:val="000000"/>
          <w:szCs w:val="21"/>
          <w:highlight w:val="none"/>
        </w:rPr>
        <w:t>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r>
        <w:rPr>
          <w:rFonts w:hint="eastAsia" w:ascii="宋体" w:hAnsi="宋体"/>
          <w:color w:val="000000"/>
          <w:szCs w:val="21"/>
          <w:highlight w:val="none"/>
          <w:lang w:eastAsia="zh-CN"/>
        </w:rPr>
        <w:t>。</w:t>
      </w:r>
    </w:p>
    <w:p w14:paraId="0DFB6FBB">
      <w:pPr>
        <w:keepNext w:val="0"/>
        <w:keepLines w:val="0"/>
        <w:pageBreakBefore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除合同另有约定外，本框架合同在下列情况下终止：</w:t>
      </w:r>
    </w:p>
    <w:p w14:paraId="319A93BC">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双方协商同意，并签署书面终止合同；</w:t>
      </w:r>
    </w:p>
    <w:p w14:paraId="5ADB1A7E">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724E2F01">
      <w:pPr>
        <w:keepNext w:val="0"/>
        <w:keepLines w:val="0"/>
        <w:pageBreakBefore w:val="0"/>
        <w:widowControl w:val="0"/>
        <w:numPr>
          <w:ilvl w:val="0"/>
          <w:numId w:val="18"/>
        </w:numPr>
        <w:tabs>
          <w:tab w:val="left" w:pos="360"/>
          <w:tab w:val="left" w:pos="54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color w:val="000000"/>
          <w:kern w:val="0"/>
          <w:szCs w:val="21"/>
          <w:highlight w:val="none"/>
        </w:rPr>
      </w:pPr>
      <w:r>
        <w:rPr>
          <w:rFonts w:hint="eastAsia" w:ascii="宋体" w:hAnsi="宋体" w:eastAsia="宋体"/>
          <w:color w:val="000000"/>
          <w:kern w:val="0"/>
          <w:szCs w:val="21"/>
          <w:highlight w:val="none"/>
        </w:rPr>
        <w:t>除非买卖双方签署书面变更合同，并成为本合同不可分割的一部分之情形外，本合同的条款不得有任何变化或修改。</w:t>
      </w:r>
    </w:p>
    <w:p w14:paraId="2C71047C">
      <w:pPr>
        <w:keepNext w:val="0"/>
        <w:keepLines w:val="0"/>
        <w:pageBreakBefore w:val="0"/>
        <w:widowControl w:val="0"/>
        <w:numPr>
          <w:ilvl w:val="0"/>
          <w:numId w:val="11"/>
        </w:numPr>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b/>
          <w:bCs/>
          <w:szCs w:val="21"/>
          <w:highlight w:val="none"/>
        </w:rPr>
      </w:pPr>
      <w:r>
        <w:rPr>
          <w:rFonts w:hint="eastAsia" w:ascii="宋体" w:hAnsi="宋体" w:eastAsia="宋体"/>
          <w:b/>
          <w:bCs/>
          <w:szCs w:val="21"/>
          <w:highlight w:val="none"/>
        </w:rPr>
        <w:t xml:space="preserve">合同的转让 </w:t>
      </w:r>
    </w:p>
    <w:p w14:paraId="54ADCBA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b/>
          <w:bCs/>
          <w:szCs w:val="21"/>
          <w:highlight w:val="none"/>
        </w:rPr>
      </w:pPr>
      <w:r>
        <w:rPr>
          <w:rFonts w:hint="eastAsia" w:ascii="宋体" w:hAnsi="宋体" w:eastAsia="宋体"/>
          <w:b/>
          <w:bCs/>
          <w:szCs w:val="21"/>
          <w:highlight w:val="none"/>
        </w:rPr>
        <w:t>合同的</w:t>
      </w:r>
      <w:r>
        <w:rPr>
          <w:rFonts w:hint="eastAsia" w:ascii="宋体" w:hAnsi="宋体" w:eastAsia="宋体"/>
          <w:b/>
          <w:bCs/>
          <w:szCs w:val="21"/>
          <w:highlight w:val="none"/>
          <w:lang w:val="en-US" w:eastAsia="zh-CN"/>
        </w:rPr>
        <w:t>有效性</w:t>
      </w:r>
      <w:r>
        <w:rPr>
          <w:rFonts w:hint="eastAsia" w:ascii="宋体" w:hAnsi="宋体" w:eastAsia="宋体"/>
          <w:b/>
          <w:bCs/>
          <w:szCs w:val="21"/>
          <w:highlight w:val="none"/>
        </w:rPr>
        <w:t xml:space="preserve"> </w:t>
      </w:r>
    </w:p>
    <w:p w14:paraId="32D696A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735F8DF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通知送达</w:t>
      </w:r>
    </w:p>
    <w:p w14:paraId="2B119BC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0E522E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310" w:leftChars="250" w:hanging="78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28CE27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cs="Times New Roman"/>
          <w:kern w:val="0"/>
          <w:szCs w:val="21"/>
          <w:highlight w:val="none"/>
          <w:lang w:val="en-US" w:eastAsia="zh-CN"/>
        </w:rPr>
      </w:pPr>
      <w:r>
        <w:rPr>
          <w:rFonts w:hint="eastAsia" w:ascii="宋体" w:hAnsi="宋体" w:eastAsia="宋体" w:cs="Times New Roman"/>
          <w:spacing w:val="0"/>
          <w:kern w:val="0"/>
          <w:szCs w:val="21"/>
          <w:highlight w:val="none"/>
          <w:fitText w:val="1470" w:id="88766787"/>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本合同第</w:t>
      </w:r>
      <w:r>
        <w:rPr>
          <w:rFonts w:hint="eastAsia" w:ascii="宋体" w:hAnsi="宋体" w:eastAsia="宋体"/>
          <w:szCs w:val="21"/>
          <w:highlight w:val="none"/>
          <w:lang w:val="en-US" w:eastAsia="zh-CN"/>
        </w:rPr>
        <w:t>19</w:t>
      </w:r>
      <w:r>
        <w:rPr>
          <w:rFonts w:hint="eastAsia" w:ascii="宋体" w:hAnsi="宋体" w:eastAsia="宋体"/>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szCs w:val="21"/>
          <w:highlight w:val="none"/>
          <w:lang w:eastAsia="zh-CN"/>
        </w:rPr>
        <w:t>。</w:t>
      </w:r>
      <w:r>
        <w:rPr>
          <w:rFonts w:hint="eastAsia" w:ascii="宋体" w:hAnsi="宋体" w:eastAsia="宋体"/>
          <w:szCs w:val="21"/>
          <w:highlight w:val="none"/>
        </w:rPr>
        <w:t xml:space="preserve">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3D964F1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本条款为独立条款，不受协议整体或其他条款的效力的影响，始终有效。</w:t>
      </w:r>
    </w:p>
    <w:p w14:paraId="1AF4FACD">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hint="eastAsia" w:ascii="宋体" w:hAnsi="宋体" w:eastAsia="宋体" w:cs="Times New Roman"/>
          <w:color w:val="000000"/>
          <w:kern w:val="2"/>
          <w:sz w:val="21"/>
          <w:szCs w:val="21"/>
          <w:highlight w:val="none"/>
        </w:rPr>
      </w:pPr>
      <w:r>
        <w:rPr>
          <w:rFonts w:hint="eastAsia" w:ascii="宋体" w:hAnsi="宋体" w:eastAsia="宋体"/>
          <w:b/>
          <w:bCs/>
          <w:szCs w:val="21"/>
          <w:highlight w:val="none"/>
          <w:lang w:val="en-US" w:eastAsia="zh-CN"/>
        </w:rPr>
        <w:t>合规条款</w:t>
      </w:r>
    </w:p>
    <w:p w14:paraId="33DDE1AE">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val="0"/>
        <w:numPr>
          <w:ilvl w:val="0"/>
          <w:numId w:val="19"/>
        </w:numPr>
        <w:tabs>
          <w:tab w:val="left" w:pos="0"/>
        </w:tabs>
        <w:kinsoku/>
        <w:wordWrap/>
        <w:overflowPunct/>
        <w:topLinePunct w:val="0"/>
        <w:autoSpaceDE/>
        <w:autoSpaceDN/>
        <w:bidi w:val="0"/>
        <w:adjustRightInd/>
        <w:snapToGrid w:val="0"/>
        <w:spacing w:line="360" w:lineRule="auto"/>
        <w:ind w:left="525" w:leftChars="250" w:firstLine="0" w:firstLineChars="0"/>
        <w:textAlignment w:val="auto"/>
        <w:rPr>
          <w:rFonts w:hint="eastAsia" w:ascii="宋体" w:hAnsi="宋体" w:eastAsia="宋体"/>
          <w:szCs w:val="21"/>
          <w:highlight w:val="none"/>
        </w:rPr>
      </w:pPr>
      <w:r>
        <w:rPr>
          <w:rFonts w:hint="eastAsia" w:ascii="宋体" w:hAnsi="宋体" w:eastAsia="宋体"/>
          <w:szCs w:val="21"/>
          <w:highlight w:val="none"/>
          <w:lang w:val="en-US" w:eastAsia="zh-CN"/>
        </w:rPr>
        <w:t>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1050" w:leftChars="250"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在任何情形下，如果买方有实质性证据证明或有充分且合理的理由认为某一作为或不作为将可能会导致其违</w:t>
      </w:r>
    </w:p>
    <w:p w14:paraId="6EBE376B">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lang w:val="en-US" w:eastAsia="zh-CN"/>
        </w:rPr>
      </w:pPr>
      <w:r>
        <w:rPr>
          <w:rFonts w:hint="eastAsia" w:ascii="宋体" w:hAnsi="宋体" w:eastAsia="宋体"/>
          <w:szCs w:val="21"/>
          <w:highlight w:val="none"/>
          <w:lang w:val="en-US" w:eastAsia="zh-CN"/>
        </w:rPr>
        <w:t>在任何情形下，买方均不因卖方及关联方所实施的任何不当行为而遭受任何损失（包括但不限于处理第三方</w:t>
      </w:r>
    </w:p>
    <w:p w14:paraId="222243B7">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lang w:val="en-US" w:eastAsia="zh-CN"/>
        </w:rPr>
        <w:t>索赔所支付的赔偿金、补偿金、诉讼费、仲裁费、保全费、律师费等），对于此等损失均由卖方承担，并且买方有权取消卖方的供应商资格。</w:t>
      </w:r>
    </w:p>
    <w:p w14:paraId="2A2991C3">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适用法律与争议解决</w:t>
      </w:r>
    </w:p>
    <w:p w14:paraId="5E1568FF">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本合同的效力、履行及任何争议仅适用中华人民共和国法律。</w:t>
      </w:r>
    </w:p>
    <w:p w14:paraId="561AC45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因本合同引起的或与本合同有关的争议，买卖双方应通过友好协商解决，如果协商不成，双方同意按照以下第（1）种方式处理：</w:t>
      </w:r>
    </w:p>
    <w:p w14:paraId="4F75CB00">
      <w:pPr>
        <w:keepNext w:val="0"/>
        <w:keepLines w:val="0"/>
        <w:pageBreakBefore w:val="0"/>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keepNext w:val="0"/>
        <w:keepLines w:val="0"/>
        <w:pageBreakBefore w:val="0"/>
        <w:widowControl w:val="0"/>
        <w:kinsoku/>
        <w:wordWrap/>
        <w:overflowPunct/>
        <w:topLinePunct w:val="0"/>
        <w:autoSpaceDE/>
        <w:autoSpaceDN/>
        <w:bidi w:val="0"/>
        <w:adjustRightInd/>
        <w:snapToGrid w:val="0"/>
        <w:spacing w:line="360" w:lineRule="auto"/>
        <w:ind w:left="525" w:leftChars="250" w:firstLine="0" w:firstLineChars="0"/>
        <w:textAlignment w:val="auto"/>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77AFDA11">
      <w:pPr>
        <w:keepNext w:val="0"/>
        <w:keepLines w:val="0"/>
        <w:pageBreakBefore w:val="0"/>
        <w:numPr>
          <w:ilvl w:val="0"/>
          <w:numId w:val="11"/>
        </w:numPr>
        <w:kinsoku/>
        <w:wordWrap/>
        <w:overflowPunct/>
        <w:topLinePunct w:val="0"/>
        <w:autoSpaceDE/>
        <w:autoSpaceDN/>
        <w:bidi w:val="0"/>
        <w:adjustRightInd/>
        <w:snapToGrid w:val="0"/>
        <w:spacing w:line="360" w:lineRule="auto"/>
        <w:ind w:left="527" w:leftChars="0" w:hanging="527" w:hangingChars="250"/>
        <w:textAlignment w:val="auto"/>
        <w:rPr>
          <w:rFonts w:ascii="宋体" w:hAnsi="宋体" w:eastAsia="宋体"/>
          <w:szCs w:val="21"/>
          <w:highlight w:val="none"/>
        </w:rPr>
      </w:pPr>
      <w:r>
        <w:rPr>
          <w:rFonts w:hint="eastAsia" w:ascii="宋体" w:hAnsi="宋体" w:eastAsia="宋体"/>
          <w:b/>
          <w:bCs/>
          <w:szCs w:val="21"/>
          <w:highlight w:val="none"/>
        </w:rPr>
        <w:t>其它</w:t>
      </w:r>
    </w:p>
    <w:p w14:paraId="1E187FC5">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szCs w:val="21"/>
          <w:highlight w:val="none"/>
        </w:rPr>
      </w:pPr>
      <w:r>
        <w:rPr>
          <w:rFonts w:hint="eastAsia" w:ascii="宋体" w:hAnsi="宋体" w:eastAsia="宋体"/>
          <w:szCs w:val="21"/>
          <w:highlight w:val="none"/>
        </w:rPr>
        <w:t>本合同经双方法定代表人或其授权代表签名（如授权代表签名，卖方需提交法定代表人授权委托书）并加盖公章后生效。合同执行期间，买卖双方均不得随意变更或解除合同。</w:t>
      </w:r>
    </w:p>
    <w:p w14:paraId="37AB11D7">
      <w:pPr>
        <w:keepNext w:val="0"/>
        <w:keepLines w:val="0"/>
        <w:pageBreakBefore w:val="0"/>
        <w:numPr>
          <w:ilvl w:val="1"/>
          <w:numId w:val="11"/>
        </w:numPr>
        <w:kinsoku/>
        <w:wordWrap/>
        <w:overflowPunct/>
        <w:topLinePunct w:val="0"/>
        <w:autoSpaceDE/>
        <w:autoSpaceDN/>
        <w:bidi w:val="0"/>
        <w:adjustRightInd/>
        <w:snapToGrid w:val="0"/>
        <w:spacing w:line="360" w:lineRule="auto"/>
        <w:ind w:left="567" w:leftChars="0" w:hanging="567" w:firstLineChars="0"/>
        <w:textAlignment w:val="auto"/>
        <w:rPr>
          <w:rFonts w:ascii="宋体" w:hAnsi="宋体" w:eastAsia="宋体"/>
          <w:szCs w:val="21"/>
          <w:highlight w:val="none"/>
        </w:rPr>
      </w:pPr>
      <w:r>
        <w:rPr>
          <w:rFonts w:hint="eastAsia" w:ascii="宋体" w:hAnsi="宋体" w:eastAsia="宋体"/>
          <w:szCs w:val="21"/>
          <w:highlight w:val="none"/>
        </w:rPr>
        <w:t>当买方与卖方之间签署、确认的法律文件之间内容有冲突时，除另有明确书面约定外，其适用顺序如下：</w:t>
      </w:r>
    </w:p>
    <w:p w14:paraId="078ED597">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4BC4A8">
      <w:pPr>
        <w:keepNext w:val="0"/>
        <w:keepLines w:val="0"/>
        <w:pageBreakBefore w:val="0"/>
        <w:tabs>
          <w:tab w:val="left" w:pos="360"/>
        </w:tabs>
        <w:kinsoku/>
        <w:wordWrap/>
        <w:overflowPunct/>
        <w:topLinePunct w:val="0"/>
        <w:autoSpaceDE/>
        <w:autoSpaceDN/>
        <w:bidi w:val="0"/>
        <w:adjustRightInd/>
        <w:snapToGrid w:val="0"/>
        <w:spacing w:line="360" w:lineRule="auto"/>
        <w:ind w:left="1050" w:leftChars="250" w:hanging="525" w:hangingChars="250"/>
        <w:textAlignment w:val="auto"/>
        <w:rPr>
          <w:rFonts w:hint="eastAsia"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在本合同期限内，任何一方被合并、改组、分立或者转让，其受让人或承继人应当履行该方在本合同项下的任何义务和责任，也不影响另一方或其受让人、承继人根据本合同应当享有的权利和利益。</w:t>
      </w:r>
    </w:p>
    <w:p w14:paraId="3F8D47EC">
      <w:pPr>
        <w:keepNext w:val="0"/>
        <w:keepLines w:val="0"/>
        <w:pageBreakBefore w:val="0"/>
        <w:widowControl w:val="0"/>
        <w:numPr>
          <w:ilvl w:val="1"/>
          <w:numId w:val="11"/>
        </w:numPr>
        <w:kinsoku/>
        <w:wordWrap/>
        <w:overflowPunct/>
        <w:topLinePunct w:val="0"/>
        <w:autoSpaceDE/>
        <w:autoSpaceDN/>
        <w:bidi w:val="0"/>
        <w:adjustRightInd/>
        <w:snapToGrid w:val="0"/>
        <w:spacing w:line="360" w:lineRule="auto"/>
        <w:ind w:left="525" w:leftChars="0" w:hanging="525" w:hangingChars="250"/>
        <w:textAlignment w:val="auto"/>
        <w:rPr>
          <w:rFonts w:hint="eastAsia" w:ascii="宋体" w:hAnsi="宋体" w:eastAsia="宋体"/>
          <w:szCs w:val="21"/>
          <w:highlight w:val="none"/>
        </w:rPr>
      </w:pPr>
      <w:r>
        <w:rPr>
          <w:rFonts w:hint="eastAsia" w:ascii="宋体" w:hAnsi="宋体" w:eastAsia="宋体"/>
          <w:szCs w:val="21"/>
          <w:highlight w:val="none"/>
        </w:rPr>
        <w:t>本合同正本（包括附件）一式两份，买方执一份，卖方执一份；副本（包括附件）一式</w:t>
      </w:r>
      <w:r>
        <w:rPr>
          <w:rFonts w:hint="eastAsia" w:ascii="宋体" w:hAnsi="宋体" w:eastAsia="宋体"/>
          <w:szCs w:val="21"/>
          <w:highlight w:val="none"/>
          <w:lang w:val="en-US" w:eastAsia="zh-CN"/>
        </w:rPr>
        <w:t>一</w:t>
      </w:r>
      <w:r>
        <w:rPr>
          <w:rFonts w:hint="eastAsia" w:ascii="宋体" w:hAnsi="宋体" w:eastAsia="宋体"/>
          <w:szCs w:val="21"/>
          <w:highlight w:val="none"/>
        </w:rPr>
        <w:t>份，买方执</w:t>
      </w:r>
      <w:r>
        <w:rPr>
          <w:rFonts w:hint="eastAsia" w:ascii="宋体" w:hAnsi="宋体" w:eastAsia="宋体"/>
          <w:szCs w:val="21"/>
          <w:highlight w:val="none"/>
          <w:lang w:val="en-US" w:eastAsia="zh-CN"/>
        </w:rPr>
        <w:t>一</w:t>
      </w:r>
      <w:r>
        <w:rPr>
          <w:rFonts w:hint="eastAsia" w:ascii="宋体" w:hAnsi="宋体" w:eastAsia="宋体"/>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446F67"/>
    <w:multiLevelType w:val="singleLevel"/>
    <w:tmpl w:val="9A446F67"/>
    <w:lvl w:ilvl="0" w:tentative="0">
      <w:start w:val="1"/>
      <w:numFmt w:val="decimal"/>
      <w:suff w:val="space"/>
      <w:lvlText w:val="%1)"/>
      <w:lvlJc w:val="left"/>
      <w:pPr>
        <w:ind w:left="425" w:hanging="425"/>
      </w:pPr>
      <w:rPr>
        <w:rFonts w:hint="default"/>
      </w:rPr>
    </w:lvl>
  </w:abstractNum>
  <w:abstractNum w:abstractNumId="1">
    <w:nsid w:val="9E3C37DF"/>
    <w:multiLevelType w:val="singleLevel"/>
    <w:tmpl w:val="9E3C37DF"/>
    <w:lvl w:ilvl="0" w:tentative="0">
      <w:start w:val="1"/>
      <w:numFmt w:val="decimal"/>
      <w:lvlText w:val="(%1)"/>
      <w:lvlJc w:val="left"/>
      <w:pPr>
        <w:ind w:left="425" w:hanging="425"/>
      </w:pPr>
      <w:rPr>
        <w:rFonts w:hint="default"/>
      </w:rPr>
    </w:lvl>
  </w:abstractNum>
  <w:abstractNum w:abstractNumId="2">
    <w:nsid w:val="C336724A"/>
    <w:multiLevelType w:val="multilevel"/>
    <w:tmpl w:val="C336724A"/>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C958C514"/>
    <w:multiLevelType w:val="singleLevel"/>
    <w:tmpl w:val="C958C514"/>
    <w:lvl w:ilvl="0" w:tentative="0">
      <w:start w:val="1"/>
      <w:numFmt w:val="decimal"/>
      <w:suff w:val="space"/>
      <w:lvlText w:val="%1)"/>
      <w:lvlJc w:val="left"/>
      <w:pPr>
        <w:ind w:left="425" w:hanging="425"/>
      </w:pPr>
      <w:rPr>
        <w:rFonts w:hint="default"/>
      </w:rPr>
    </w:lvl>
  </w:abstractNum>
  <w:abstractNum w:abstractNumId="4">
    <w:nsid w:val="D971292A"/>
    <w:multiLevelType w:val="singleLevel"/>
    <w:tmpl w:val="D971292A"/>
    <w:lvl w:ilvl="0" w:tentative="0">
      <w:start w:val="1"/>
      <w:numFmt w:val="decimal"/>
      <w:suff w:val="nothing"/>
      <w:lvlText w:val="%1）"/>
      <w:lvlJc w:val="left"/>
    </w:lvl>
  </w:abstractNum>
  <w:abstractNum w:abstractNumId="5">
    <w:nsid w:val="E6CFE336"/>
    <w:multiLevelType w:val="singleLevel"/>
    <w:tmpl w:val="E6CFE336"/>
    <w:lvl w:ilvl="0" w:tentative="0">
      <w:start w:val="1"/>
      <w:numFmt w:val="decimal"/>
      <w:lvlText w:val="(%1)"/>
      <w:lvlJc w:val="left"/>
      <w:pPr>
        <w:ind w:left="425" w:hanging="425"/>
      </w:pPr>
      <w:rPr>
        <w:rFonts w:hint="default"/>
      </w:rPr>
    </w:lvl>
  </w:abstractNum>
  <w:abstractNum w:abstractNumId="6">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7">
    <w:nsid w:val="05D8B839"/>
    <w:multiLevelType w:val="singleLevel"/>
    <w:tmpl w:val="05D8B839"/>
    <w:lvl w:ilvl="0" w:tentative="0">
      <w:start w:val="1"/>
      <w:numFmt w:val="decimal"/>
      <w:suff w:val="space"/>
      <w:lvlText w:val="%1)"/>
      <w:lvlJc w:val="left"/>
      <w:pPr>
        <w:ind w:left="425" w:hanging="425"/>
      </w:pPr>
      <w:rPr>
        <w:rFonts w:hint="default"/>
      </w:rPr>
    </w:lvl>
  </w:abstractNum>
  <w:abstractNum w:abstractNumId="8">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BDFB52C"/>
    <w:multiLevelType w:val="singleLevel"/>
    <w:tmpl w:val="2BDFB52C"/>
    <w:lvl w:ilvl="0" w:tentative="0">
      <w:start w:val="1"/>
      <w:numFmt w:val="decimal"/>
      <w:suff w:val="space"/>
      <w:lvlText w:val="%1)"/>
      <w:lvlJc w:val="left"/>
      <w:pPr>
        <w:ind w:left="425" w:hanging="425"/>
      </w:pPr>
      <w:rPr>
        <w:rFonts w:hint="default"/>
      </w:rPr>
    </w:lvl>
  </w:abstractNum>
  <w:abstractNum w:abstractNumId="10">
    <w:nsid w:val="2D2BA49B"/>
    <w:multiLevelType w:val="singleLevel"/>
    <w:tmpl w:val="2D2BA49B"/>
    <w:lvl w:ilvl="0" w:tentative="0">
      <w:start w:val="1"/>
      <w:numFmt w:val="decimal"/>
      <w:suff w:val="space"/>
      <w:lvlText w:val="%1)"/>
      <w:lvlJc w:val="left"/>
      <w:pPr>
        <w:ind w:left="425" w:hanging="425"/>
      </w:pPr>
      <w:rPr>
        <w:rFonts w:hint="default"/>
      </w:rPr>
    </w:lvl>
  </w:abstractNum>
  <w:abstractNum w:abstractNumId="11">
    <w:nsid w:val="2D70F8B0"/>
    <w:multiLevelType w:val="multilevel"/>
    <w:tmpl w:val="2D70F8B0"/>
    <w:lvl w:ilvl="0" w:tentative="0">
      <w:start w:val="1"/>
      <w:numFmt w:val="decimal"/>
      <w:suff w:val="nothing"/>
      <w:lvlText w:val="%1.  "/>
      <w:lvlJc w:val="left"/>
      <w:pPr>
        <w:tabs>
          <w:tab w:val="left" w:pos="0"/>
        </w:tabs>
        <w:ind w:left="425" w:hanging="425"/>
      </w:pPr>
      <w:rPr>
        <w:rFonts w:hint="default"/>
        <w:b/>
        <w:bCs/>
      </w:rPr>
    </w:lvl>
    <w:lvl w:ilvl="1" w:tentative="0">
      <w:start w:val="1"/>
      <w:numFmt w:val="decimal"/>
      <w:suff w:val="space"/>
      <w:lvlText w:val="%1.%2"/>
      <w:lvlJc w:val="left"/>
      <w:pPr>
        <w:tabs>
          <w:tab w:val="left" w:pos="0"/>
        </w:tabs>
        <w:ind w:left="567" w:hanging="567"/>
      </w:pPr>
      <w:rPr>
        <w:rFonts w:hint="default"/>
        <w:b w:val="0"/>
        <w:bCs w:val="0"/>
        <w:color w:val="auto"/>
      </w:rPr>
    </w:lvl>
    <w:lvl w:ilvl="2" w:tentative="0">
      <w:start w:val="1"/>
      <w:numFmt w:val="decimal"/>
      <w:suff w:val="space"/>
      <w:lvlText w:val="%1.%2.%3"/>
      <w:lvlJc w:val="left"/>
      <w:pPr>
        <w:tabs>
          <w:tab w:val="left" w:pos="420"/>
        </w:tabs>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14">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5">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6E9FA8FF"/>
    <w:multiLevelType w:val="singleLevel"/>
    <w:tmpl w:val="6E9FA8FF"/>
    <w:lvl w:ilvl="0" w:tentative="0">
      <w:start w:val="1"/>
      <w:numFmt w:val="decimal"/>
      <w:suff w:val="space"/>
      <w:lvlText w:val="%1)"/>
      <w:lvlJc w:val="left"/>
      <w:pPr>
        <w:ind w:left="425" w:hanging="425"/>
      </w:pPr>
      <w:rPr>
        <w:rFonts w:hint="default"/>
      </w:rPr>
    </w:lvl>
  </w:abstractNum>
  <w:abstractNum w:abstractNumId="17">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8">
    <w:nsid w:val="7DA92B02"/>
    <w:multiLevelType w:val="singleLevel"/>
    <w:tmpl w:val="7DA92B02"/>
    <w:lvl w:ilvl="0" w:tentative="0">
      <w:start w:val="1"/>
      <w:numFmt w:val="decimal"/>
      <w:suff w:val="space"/>
      <w:lvlText w:val="%1)"/>
      <w:lvlJc w:val="left"/>
      <w:pPr>
        <w:ind w:left="425" w:hanging="425"/>
      </w:pPr>
      <w:rPr>
        <w:rFonts w:hint="default"/>
      </w:rPr>
    </w:lvl>
  </w:abstractNum>
  <w:num w:numId="1">
    <w:abstractNumId w:val="17"/>
  </w:num>
  <w:num w:numId="2">
    <w:abstractNumId w:val="2"/>
  </w:num>
  <w:num w:numId="3">
    <w:abstractNumId w:val="4"/>
  </w:num>
  <w:num w:numId="4">
    <w:abstractNumId w:val="14"/>
  </w:num>
  <w:num w:numId="5">
    <w:abstractNumId w:val="5"/>
  </w:num>
  <w:num w:numId="6">
    <w:abstractNumId w:val="15"/>
  </w:num>
  <w:num w:numId="7">
    <w:abstractNumId w:val="6"/>
  </w:num>
  <w:num w:numId="8">
    <w:abstractNumId w:val="13"/>
  </w:num>
  <w:num w:numId="9">
    <w:abstractNumId w:val="8"/>
  </w:num>
  <w:num w:numId="10">
    <w:abstractNumId w:val="12"/>
  </w:num>
  <w:num w:numId="11">
    <w:abstractNumId w:val="11"/>
  </w:num>
  <w:num w:numId="12">
    <w:abstractNumId w:val="1"/>
  </w:num>
  <w:num w:numId="13">
    <w:abstractNumId w:val="0"/>
  </w:num>
  <w:num w:numId="14">
    <w:abstractNumId w:val="18"/>
  </w:num>
  <w:num w:numId="15">
    <w:abstractNumId w:val="3"/>
  </w:num>
  <w:num w:numId="16">
    <w:abstractNumId w:val="7"/>
  </w:num>
  <w:num w:numId="17">
    <w:abstractNumId w:val="9"/>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647070"/>
    <w:rsid w:val="01C20BC1"/>
    <w:rsid w:val="01F114A6"/>
    <w:rsid w:val="02104022"/>
    <w:rsid w:val="022C0730"/>
    <w:rsid w:val="02645583"/>
    <w:rsid w:val="028642E4"/>
    <w:rsid w:val="02F823F5"/>
    <w:rsid w:val="0321400D"/>
    <w:rsid w:val="034B4BE6"/>
    <w:rsid w:val="037325E9"/>
    <w:rsid w:val="03822CFE"/>
    <w:rsid w:val="039F5432"/>
    <w:rsid w:val="03AE3AF3"/>
    <w:rsid w:val="03E80687"/>
    <w:rsid w:val="03FD05D6"/>
    <w:rsid w:val="040A2CF3"/>
    <w:rsid w:val="0454774B"/>
    <w:rsid w:val="045B2BCC"/>
    <w:rsid w:val="046B5540"/>
    <w:rsid w:val="047F723D"/>
    <w:rsid w:val="048760F2"/>
    <w:rsid w:val="04893C18"/>
    <w:rsid w:val="04ED064B"/>
    <w:rsid w:val="053718C6"/>
    <w:rsid w:val="05924D4E"/>
    <w:rsid w:val="059511D6"/>
    <w:rsid w:val="05CB5336"/>
    <w:rsid w:val="05D709B3"/>
    <w:rsid w:val="05DE202C"/>
    <w:rsid w:val="05F17CC7"/>
    <w:rsid w:val="060A660A"/>
    <w:rsid w:val="062067FE"/>
    <w:rsid w:val="06814BDD"/>
    <w:rsid w:val="068F6E11"/>
    <w:rsid w:val="069A01B7"/>
    <w:rsid w:val="06A4021B"/>
    <w:rsid w:val="06AE70E8"/>
    <w:rsid w:val="06B50CF4"/>
    <w:rsid w:val="06CE0008"/>
    <w:rsid w:val="07117EF5"/>
    <w:rsid w:val="07153E89"/>
    <w:rsid w:val="073A569E"/>
    <w:rsid w:val="077E712A"/>
    <w:rsid w:val="07D77390"/>
    <w:rsid w:val="080C703A"/>
    <w:rsid w:val="0822060B"/>
    <w:rsid w:val="084E7652"/>
    <w:rsid w:val="08504A1F"/>
    <w:rsid w:val="08564759"/>
    <w:rsid w:val="08931509"/>
    <w:rsid w:val="08B87D63"/>
    <w:rsid w:val="08DA2C94"/>
    <w:rsid w:val="08E375DA"/>
    <w:rsid w:val="08E458C1"/>
    <w:rsid w:val="094A5F81"/>
    <w:rsid w:val="09646A02"/>
    <w:rsid w:val="097E3F67"/>
    <w:rsid w:val="09896468"/>
    <w:rsid w:val="09A428CF"/>
    <w:rsid w:val="09EF4328"/>
    <w:rsid w:val="09F2400E"/>
    <w:rsid w:val="0A00672A"/>
    <w:rsid w:val="0A3E078F"/>
    <w:rsid w:val="0A434869"/>
    <w:rsid w:val="0A490A8C"/>
    <w:rsid w:val="0A870BFA"/>
    <w:rsid w:val="0A8729A8"/>
    <w:rsid w:val="0A8960BD"/>
    <w:rsid w:val="0A9256F1"/>
    <w:rsid w:val="0A981059"/>
    <w:rsid w:val="0AE778EA"/>
    <w:rsid w:val="0B2F1F4E"/>
    <w:rsid w:val="0BAF665A"/>
    <w:rsid w:val="0BC35C62"/>
    <w:rsid w:val="0BCD7E05"/>
    <w:rsid w:val="0BEF4CA9"/>
    <w:rsid w:val="0C601702"/>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FA4090"/>
    <w:rsid w:val="0F2067B0"/>
    <w:rsid w:val="0F4C33C4"/>
    <w:rsid w:val="0F706100"/>
    <w:rsid w:val="0F7F00F1"/>
    <w:rsid w:val="0FB12275"/>
    <w:rsid w:val="0FC6075F"/>
    <w:rsid w:val="0FDF5034"/>
    <w:rsid w:val="10260EB5"/>
    <w:rsid w:val="106313BA"/>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623FB2"/>
    <w:rsid w:val="136C4E31"/>
    <w:rsid w:val="1378114C"/>
    <w:rsid w:val="13855EF2"/>
    <w:rsid w:val="138B016E"/>
    <w:rsid w:val="138D1D96"/>
    <w:rsid w:val="13B91738"/>
    <w:rsid w:val="13ED66B2"/>
    <w:rsid w:val="13F80459"/>
    <w:rsid w:val="14237BE5"/>
    <w:rsid w:val="14270D58"/>
    <w:rsid w:val="14BA3748"/>
    <w:rsid w:val="150F4102"/>
    <w:rsid w:val="15912C46"/>
    <w:rsid w:val="15A13B32"/>
    <w:rsid w:val="15B17473"/>
    <w:rsid w:val="15D20325"/>
    <w:rsid w:val="15D62A35"/>
    <w:rsid w:val="15E6711C"/>
    <w:rsid w:val="15FA6724"/>
    <w:rsid w:val="163E76DF"/>
    <w:rsid w:val="166D339A"/>
    <w:rsid w:val="16B926C0"/>
    <w:rsid w:val="16F13FCB"/>
    <w:rsid w:val="17254BB9"/>
    <w:rsid w:val="17575DF8"/>
    <w:rsid w:val="17CC40F0"/>
    <w:rsid w:val="17E31439"/>
    <w:rsid w:val="17EE681F"/>
    <w:rsid w:val="17F45028"/>
    <w:rsid w:val="180A24D2"/>
    <w:rsid w:val="188E75F7"/>
    <w:rsid w:val="197902A7"/>
    <w:rsid w:val="198E2A16"/>
    <w:rsid w:val="19A76BC3"/>
    <w:rsid w:val="19B906A4"/>
    <w:rsid w:val="19C31F4B"/>
    <w:rsid w:val="19DB2D10"/>
    <w:rsid w:val="1A18361C"/>
    <w:rsid w:val="1A240D2C"/>
    <w:rsid w:val="1A5F124B"/>
    <w:rsid w:val="1A903AFB"/>
    <w:rsid w:val="1AAE5D2F"/>
    <w:rsid w:val="1AF8344E"/>
    <w:rsid w:val="1AFC3A63"/>
    <w:rsid w:val="1B2566C4"/>
    <w:rsid w:val="1B291859"/>
    <w:rsid w:val="1B302BE8"/>
    <w:rsid w:val="1B4A3CA9"/>
    <w:rsid w:val="1B860A5A"/>
    <w:rsid w:val="1BAA7B2C"/>
    <w:rsid w:val="1BBE4697"/>
    <w:rsid w:val="1BEA0FE8"/>
    <w:rsid w:val="1C897E65"/>
    <w:rsid w:val="1CA90839"/>
    <w:rsid w:val="1CC21F65"/>
    <w:rsid w:val="1CE75528"/>
    <w:rsid w:val="1CEC6D48"/>
    <w:rsid w:val="1D21411F"/>
    <w:rsid w:val="1D2C40BC"/>
    <w:rsid w:val="1D5C4168"/>
    <w:rsid w:val="1D7E7C3A"/>
    <w:rsid w:val="1DBC6559"/>
    <w:rsid w:val="1DC85359"/>
    <w:rsid w:val="1DD2442A"/>
    <w:rsid w:val="1E312EFF"/>
    <w:rsid w:val="1E450758"/>
    <w:rsid w:val="1E8632EE"/>
    <w:rsid w:val="1ED02EE2"/>
    <w:rsid w:val="1F027EE3"/>
    <w:rsid w:val="1F220A99"/>
    <w:rsid w:val="1F3D0BF1"/>
    <w:rsid w:val="1F4A7345"/>
    <w:rsid w:val="1F4D3D68"/>
    <w:rsid w:val="1F4E71EE"/>
    <w:rsid w:val="1F533349"/>
    <w:rsid w:val="1F666BD8"/>
    <w:rsid w:val="1F7D45D0"/>
    <w:rsid w:val="1F831D1F"/>
    <w:rsid w:val="1FB6045D"/>
    <w:rsid w:val="1FF22990"/>
    <w:rsid w:val="1FF468DA"/>
    <w:rsid w:val="200563F1"/>
    <w:rsid w:val="20206F8B"/>
    <w:rsid w:val="20531852"/>
    <w:rsid w:val="207D242B"/>
    <w:rsid w:val="208866D1"/>
    <w:rsid w:val="20E44F18"/>
    <w:rsid w:val="20FF5536"/>
    <w:rsid w:val="21124FCE"/>
    <w:rsid w:val="21130FE1"/>
    <w:rsid w:val="216141DA"/>
    <w:rsid w:val="21661111"/>
    <w:rsid w:val="21751354"/>
    <w:rsid w:val="21C916A0"/>
    <w:rsid w:val="21EE1107"/>
    <w:rsid w:val="222334A6"/>
    <w:rsid w:val="222C308D"/>
    <w:rsid w:val="22552F34"/>
    <w:rsid w:val="227A50AE"/>
    <w:rsid w:val="228D0920"/>
    <w:rsid w:val="22B93A69"/>
    <w:rsid w:val="22DD7164"/>
    <w:rsid w:val="22E62859"/>
    <w:rsid w:val="231E77CA"/>
    <w:rsid w:val="23270D74"/>
    <w:rsid w:val="232748D0"/>
    <w:rsid w:val="23353491"/>
    <w:rsid w:val="23736492"/>
    <w:rsid w:val="2382546B"/>
    <w:rsid w:val="23A45829"/>
    <w:rsid w:val="23CA7E50"/>
    <w:rsid w:val="23FB6A9C"/>
    <w:rsid w:val="241B2D61"/>
    <w:rsid w:val="241E5CD3"/>
    <w:rsid w:val="24280900"/>
    <w:rsid w:val="24AC5BAF"/>
    <w:rsid w:val="24EC7159"/>
    <w:rsid w:val="253432D4"/>
    <w:rsid w:val="255F2A47"/>
    <w:rsid w:val="25722632"/>
    <w:rsid w:val="25826736"/>
    <w:rsid w:val="25DA3E7C"/>
    <w:rsid w:val="266320C3"/>
    <w:rsid w:val="26C708A4"/>
    <w:rsid w:val="27133AE9"/>
    <w:rsid w:val="272D4170"/>
    <w:rsid w:val="275C189F"/>
    <w:rsid w:val="277E1FE6"/>
    <w:rsid w:val="27AC1848"/>
    <w:rsid w:val="28616AD6"/>
    <w:rsid w:val="289F580D"/>
    <w:rsid w:val="28A25500"/>
    <w:rsid w:val="28C826B1"/>
    <w:rsid w:val="28D65B85"/>
    <w:rsid w:val="28E05C4D"/>
    <w:rsid w:val="28F33BD2"/>
    <w:rsid w:val="295E6B72"/>
    <w:rsid w:val="29A273A6"/>
    <w:rsid w:val="29A529F3"/>
    <w:rsid w:val="2A1037FC"/>
    <w:rsid w:val="2A5921FA"/>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0D0E1E"/>
    <w:rsid w:val="2F1403FE"/>
    <w:rsid w:val="2F4F7689"/>
    <w:rsid w:val="2F7610B9"/>
    <w:rsid w:val="2FEF49C8"/>
    <w:rsid w:val="300372B7"/>
    <w:rsid w:val="30367754"/>
    <w:rsid w:val="30660AF7"/>
    <w:rsid w:val="30EF0CD6"/>
    <w:rsid w:val="31B2468C"/>
    <w:rsid w:val="31DE6AA2"/>
    <w:rsid w:val="31F512D3"/>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5117AD"/>
    <w:rsid w:val="346C4EC4"/>
    <w:rsid w:val="34CC177B"/>
    <w:rsid w:val="354237EC"/>
    <w:rsid w:val="35492DCC"/>
    <w:rsid w:val="354C53DB"/>
    <w:rsid w:val="365350B6"/>
    <w:rsid w:val="368C2F70"/>
    <w:rsid w:val="370664EA"/>
    <w:rsid w:val="37691503"/>
    <w:rsid w:val="37E4443E"/>
    <w:rsid w:val="38107BD1"/>
    <w:rsid w:val="381C0324"/>
    <w:rsid w:val="383E64EC"/>
    <w:rsid w:val="385C1F83"/>
    <w:rsid w:val="38844711"/>
    <w:rsid w:val="388A7983"/>
    <w:rsid w:val="38BA6025"/>
    <w:rsid w:val="38D46E50"/>
    <w:rsid w:val="390A6409"/>
    <w:rsid w:val="394C2E8B"/>
    <w:rsid w:val="395064D7"/>
    <w:rsid w:val="39AB7BB1"/>
    <w:rsid w:val="39B051C8"/>
    <w:rsid w:val="39B63FEE"/>
    <w:rsid w:val="39EE21C7"/>
    <w:rsid w:val="39EF3F42"/>
    <w:rsid w:val="3A12074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D804EB1"/>
    <w:rsid w:val="3DE051EE"/>
    <w:rsid w:val="3EA70C81"/>
    <w:rsid w:val="3EB92D70"/>
    <w:rsid w:val="3EBA2645"/>
    <w:rsid w:val="3EE6516E"/>
    <w:rsid w:val="3F1A0A47"/>
    <w:rsid w:val="3F43263A"/>
    <w:rsid w:val="3F6E5586"/>
    <w:rsid w:val="3FAE21A3"/>
    <w:rsid w:val="3FD87871"/>
    <w:rsid w:val="3FDA11F0"/>
    <w:rsid w:val="3FF57DD8"/>
    <w:rsid w:val="3FF9638C"/>
    <w:rsid w:val="400662A3"/>
    <w:rsid w:val="400B3BB8"/>
    <w:rsid w:val="4013200C"/>
    <w:rsid w:val="40143812"/>
    <w:rsid w:val="401C02CA"/>
    <w:rsid w:val="40490124"/>
    <w:rsid w:val="40920B61"/>
    <w:rsid w:val="40D75730"/>
    <w:rsid w:val="412A0E7A"/>
    <w:rsid w:val="41886A2A"/>
    <w:rsid w:val="41D7745E"/>
    <w:rsid w:val="420432B8"/>
    <w:rsid w:val="425A2175"/>
    <w:rsid w:val="42642FF3"/>
    <w:rsid w:val="426A4FA5"/>
    <w:rsid w:val="42964976"/>
    <w:rsid w:val="42997141"/>
    <w:rsid w:val="42AB0C22"/>
    <w:rsid w:val="42F73E67"/>
    <w:rsid w:val="433B5A32"/>
    <w:rsid w:val="433E1A96"/>
    <w:rsid w:val="435F188A"/>
    <w:rsid w:val="436D237B"/>
    <w:rsid w:val="4401693D"/>
    <w:rsid w:val="44044A8E"/>
    <w:rsid w:val="44474665"/>
    <w:rsid w:val="44B55D88"/>
    <w:rsid w:val="44D04A95"/>
    <w:rsid w:val="44D86B0F"/>
    <w:rsid w:val="44EA2F34"/>
    <w:rsid w:val="44EB7AF4"/>
    <w:rsid w:val="4522137C"/>
    <w:rsid w:val="452324F1"/>
    <w:rsid w:val="45246A6A"/>
    <w:rsid w:val="452A1AEE"/>
    <w:rsid w:val="452F45DE"/>
    <w:rsid w:val="453A03D8"/>
    <w:rsid w:val="45561319"/>
    <w:rsid w:val="45A02594"/>
    <w:rsid w:val="45B3679A"/>
    <w:rsid w:val="45B97E8C"/>
    <w:rsid w:val="45F60406"/>
    <w:rsid w:val="45F75F2C"/>
    <w:rsid w:val="465A0995"/>
    <w:rsid w:val="467D28D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B907D32"/>
    <w:rsid w:val="4B991F60"/>
    <w:rsid w:val="4CC34DBA"/>
    <w:rsid w:val="4D0C050F"/>
    <w:rsid w:val="4D4E0B28"/>
    <w:rsid w:val="4DB017E2"/>
    <w:rsid w:val="4E0452F6"/>
    <w:rsid w:val="4E5D1622"/>
    <w:rsid w:val="4E726A98"/>
    <w:rsid w:val="4E9764FE"/>
    <w:rsid w:val="4EAA6232"/>
    <w:rsid w:val="4EB943FF"/>
    <w:rsid w:val="4F021BCA"/>
    <w:rsid w:val="4F2C4E99"/>
    <w:rsid w:val="4F4162CB"/>
    <w:rsid w:val="4F55619D"/>
    <w:rsid w:val="4F78551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7CA524F"/>
    <w:rsid w:val="58247055"/>
    <w:rsid w:val="58A3441E"/>
    <w:rsid w:val="58AC35AF"/>
    <w:rsid w:val="596A4F3B"/>
    <w:rsid w:val="5972723B"/>
    <w:rsid w:val="59760FB9"/>
    <w:rsid w:val="59AA17DC"/>
    <w:rsid w:val="59CA3C2C"/>
    <w:rsid w:val="5AEC372E"/>
    <w:rsid w:val="5B1A7EA6"/>
    <w:rsid w:val="5B2335F4"/>
    <w:rsid w:val="5B415796"/>
    <w:rsid w:val="5B7E4CCE"/>
    <w:rsid w:val="5BAD55B3"/>
    <w:rsid w:val="5C0160DE"/>
    <w:rsid w:val="5C0E6052"/>
    <w:rsid w:val="5C186ED1"/>
    <w:rsid w:val="5C8F6A67"/>
    <w:rsid w:val="5CA00C74"/>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9F3465"/>
    <w:rsid w:val="5FA0604A"/>
    <w:rsid w:val="5FF5758A"/>
    <w:rsid w:val="5FF76DFD"/>
    <w:rsid w:val="60196E14"/>
    <w:rsid w:val="601B2AEB"/>
    <w:rsid w:val="60255718"/>
    <w:rsid w:val="602D6CC3"/>
    <w:rsid w:val="60566219"/>
    <w:rsid w:val="60A30D33"/>
    <w:rsid w:val="60CD2CBF"/>
    <w:rsid w:val="60D72A94"/>
    <w:rsid w:val="60EB4BB4"/>
    <w:rsid w:val="60EE0200"/>
    <w:rsid w:val="61252DAF"/>
    <w:rsid w:val="61283254"/>
    <w:rsid w:val="612A2F00"/>
    <w:rsid w:val="613B0F6B"/>
    <w:rsid w:val="615A7643"/>
    <w:rsid w:val="61686204"/>
    <w:rsid w:val="61D12D46"/>
    <w:rsid w:val="62173786"/>
    <w:rsid w:val="621912AD"/>
    <w:rsid w:val="621B3277"/>
    <w:rsid w:val="622F6D22"/>
    <w:rsid w:val="626F5FC1"/>
    <w:rsid w:val="62B31701"/>
    <w:rsid w:val="62D022B3"/>
    <w:rsid w:val="632C14B3"/>
    <w:rsid w:val="6372336A"/>
    <w:rsid w:val="63730E90"/>
    <w:rsid w:val="638A48BF"/>
    <w:rsid w:val="63C96D02"/>
    <w:rsid w:val="63D20880"/>
    <w:rsid w:val="63D47B81"/>
    <w:rsid w:val="64654C7D"/>
    <w:rsid w:val="647608C2"/>
    <w:rsid w:val="647F7922"/>
    <w:rsid w:val="64942E6C"/>
    <w:rsid w:val="651A5A67"/>
    <w:rsid w:val="65286901"/>
    <w:rsid w:val="652B2BD1"/>
    <w:rsid w:val="653F54CE"/>
    <w:rsid w:val="657A02B4"/>
    <w:rsid w:val="659770B8"/>
    <w:rsid w:val="65D57BE0"/>
    <w:rsid w:val="65F71905"/>
    <w:rsid w:val="65F77B57"/>
    <w:rsid w:val="661A3845"/>
    <w:rsid w:val="66252916"/>
    <w:rsid w:val="662B15AE"/>
    <w:rsid w:val="668D6F37"/>
    <w:rsid w:val="66FB3677"/>
    <w:rsid w:val="670818F0"/>
    <w:rsid w:val="67627252"/>
    <w:rsid w:val="677D22DE"/>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609BE"/>
    <w:rsid w:val="6C3B62C3"/>
    <w:rsid w:val="6C5B062A"/>
    <w:rsid w:val="6CA43E69"/>
    <w:rsid w:val="6CF43042"/>
    <w:rsid w:val="6CFC1EF7"/>
    <w:rsid w:val="6D042B59"/>
    <w:rsid w:val="6D0C2BDF"/>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A95EF1"/>
    <w:rsid w:val="70B0102E"/>
    <w:rsid w:val="70BD374B"/>
    <w:rsid w:val="70DC0D6F"/>
    <w:rsid w:val="70DD3DED"/>
    <w:rsid w:val="711D243B"/>
    <w:rsid w:val="71431EA2"/>
    <w:rsid w:val="714E5325"/>
    <w:rsid w:val="7169556A"/>
    <w:rsid w:val="71760761"/>
    <w:rsid w:val="71CA6D36"/>
    <w:rsid w:val="71DF38C2"/>
    <w:rsid w:val="71F15DA2"/>
    <w:rsid w:val="71F80EDE"/>
    <w:rsid w:val="72351CEA"/>
    <w:rsid w:val="72402885"/>
    <w:rsid w:val="72644E84"/>
    <w:rsid w:val="727147ED"/>
    <w:rsid w:val="7290339E"/>
    <w:rsid w:val="729F135A"/>
    <w:rsid w:val="7327134F"/>
    <w:rsid w:val="73375A36"/>
    <w:rsid w:val="735370F1"/>
    <w:rsid w:val="74793E2D"/>
    <w:rsid w:val="748527D2"/>
    <w:rsid w:val="74A013B9"/>
    <w:rsid w:val="74B135C7"/>
    <w:rsid w:val="753541DE"/>
    <w:rsid w:val="754206C3"/>
    <w:rsid w:val="75B77529"/>
    <w:rsid w:val="75BC66C7"/>
    <w:rsid w:val="75EA6B03"/>
    <w:rsid w:val="75EC6E50"/>
    <w:rsid w:val="767F6B9B"/>
    <w:rsid w:val="76E9789C"/>
    <w:rsid w:val="77310F4C"/>
    <w:rsid w:val="775841CD"/>
    <w:rsid w:val="77A4715B"/>
    <w:rsid w:val="77A613DD"/>
    <w:rsid w:val="77D777E8"/>
    <w:rsid w:val="78280044"/>
    <w:rsid w:val="78302F30"/>
    <w:rsid w:val="785410B1"/>
    <w:rsid w:val="792C393E"/>
    <w:rsid w:val="793D18CD"/>
    <w:rsid w:val="79881869"/>
    <w:rsid w:val="79B17BC5"/>
    <w:rsid w:val="79C8563A"/>
    <w:rsid w:val="7A513882"/>
    <w:rsid w:val="7A6510DB"/>
    <w:rsid w:val="7A6D4434"/>
    <w:rsid w:val="7A9B79C4"/>
    <w:rsid w:val="7ADE0316"/>
    <w:rsid w:val="7AE2097E"/>
    <w:rsid w:val="7AE81059"/>
    <w:rsid w:val="7B334D35"/>
    <w:rsid w:val="7B3B62E0"/>
    <w:rsid w:val="7B597D37"/>
    <w:rsid w:val="7B6F2E5E"/>
    <w:rsid w:val="7B826770"/>
    <w:rsid w:val="7B9A4DB4"/>
    <w:rsid w:val="7BBD0AA3"/>
    <w:rsid w:val="7BE566D0"/>
    <w:rsid w:val="7C1D1D83"/>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721BA4"/>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16422</Words>
  <Characters>17480</Characters>
  <Lines>101</Lines>
  <Paragraphs>28</Paragraphs>
  <TotalTime>8</TotalTime>
  <ScaleCrop>false</ScaleCrop>
  <LinksUpToDate>false</LinksUpToDate>
  <CharactersWithSpaces>18658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2026-05-25T11:28:06Z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