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2026年滁州轨道运营照明灯具采购项目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5</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26</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17919598">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资格要求：</w:t>
      </w:r>
      <w:r>
        <w:rPr>
          <w:rFonts w:hint="eastAsia" w:hAnsi="宋体" w:eastAsia="宋体"/>
          <w:color w:val="auto"/>
          <w:kern w:val="0"/>
          <w:sz w:val="24"/>
          <w:szCs w:val="24"/>
          <w:highlight w:val="none"/>
        </w:rPr>
        <w:t>在中华人民共和国境内注册，具有独立法人资格，能提供本次采购所需货物和服务。报价人须提供合格有效的企业法人营业执照（或事业单位法人证书副本）及组织机构代码证（营业执照有加载统一社会信用代码的，无需提供组织机构代码证）复印件并加盖公章。</w:t>
      </w:r>
    </w:p>
    <w:p w14:paraId="22131FBF">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业绩要求：报价人须具有与本次采购相类似的供货经验，提供近三年（202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年1月1日起至报价响应截止日）来的相关合同业绩证明（如合同、订单、中标通知书、发票等证明材料的复印件并加盖公章）。</w:t>
      </w:r>
    </w:p>
    <w:p w14:paraId="643BF8E7">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财务与信誉要求</w:t>
      </w:r>
    </w:p>
    <w:p w14:paraId="6BC8905B">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报价人的企业财务和经营状况良好，具备履行合同能力，无不良经营行为，近三年（202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年1月1日起至报价响应截止日）未处于财产被接管、冻结、破产状态，没有处于投标禁入期。</w:t>
      </w:r>
    </w:p>
    <w:p w14:paraId="0856D61E">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p>
    <w:p w14:paraId="0660F579">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w:t>
      </w:r>
      <w:r>
        <w:rPr>
          <w:rFonts w:hint="eastAsia" w:hAnsi="宋体" w:eastAsia="宋体"/>
          <w:color w:val="auto"/>
          <w:kern w:val="0"/>
          <w:sz w:val="24"/>
          <w:szCs w:val="24"/>
          <w:highlight w:val="none"/>
          <w:u w:val="single"/>
        </w:rPr>
        <w:t>不接受</w:t>
      </w:r>
      <w:r>
        <w:rPr>
          <w:rFonts w:hint="eastAsia" w:hAnsi="宋体" w:eastAsia="宋体"/>
          <w:color w:val="auto"/>
          <w:kern w:val="0"/>
          <w:sz w:val="24"/>
          <w:szCs w:val="24"/>
          <w:highlight w:val="none"/>
        </w:rPr>
        <w:t>联合体报价。</w:t>
      </w:r>
    </w:p>
    <w:p w14:paraId="50B5DBC1">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报价人之间存在下列情形之一的，不得同时参与本项目报价：</w:t>
      </w:r>
    </w:p>
    <w:p w14:paraId="6BBC48D0">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法定代表人为同一人；</w:t>
      </w:r>
    </w:p>
    <w:p w14:paraId="31423B44">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报价人为集团公司与全资子公司或控股子公司的关系（包括直接控股和间接控股的情形）。</w:t>
      </w:r>
    </w:p>
    <w:p w14:paraId="54E8622A">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项目报名及询价文件获取方式</w:t>
      </w:r>
    </w:p>
    <w:p w14:paraId="720AC384">
      <w:pPr>
        <w:keepNext w:val="0"/>
        <w:keepLines w:val="0"/>
        <w:pageBreakBefore w:val="0"/>
        <w:widowControl w:val="0"/>
        <w:numPr>
          <w:ilvl w:val="1"/>
          <w:numId w:val="1"/>
        </w:numPr>
        <w:kinsoku/>
        <w:wordWrap/>
        <w:overflowPunct/>
        <w:topLinePunct w:val="0"/>
        <w:autoSpaceDE/>
        <w:autoSpaceDN/>
        <w:bidi w:val="0"/>
        <w:adjustRightInd/>
        <w:snapToGrid/>
        <w:spacing w:line="360" w:lineRule="auto"/>
        <w:ind w:left="567" w:leftChars="0" w:hanging="567" w:firstLineChars="0"/>
        <w:jc w:val="left"/>
        <w:textAlignment w:val="auto"/>
        <w:rPr>
          <w:rFonts w:hAnsi="宋体"/>
          <w:color w:val="auto"/>
          <w:kern w:val="0"/>
          <w:sz w:val="24"/>
          <w:szCs w:val="24"/>
          <w:highlight w:val="none"/>
        </w:rPr>
      </w:pP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numPr>
          <w:ilvl w:val="1"/>
          <w:numId w:val="1"/>
        </w:numPr>
        <w:spacing w:line="360" w:lineRule="auto"/>
        <w:ind w:left="567" w:leftChars="0" w:hanging="567" w:firstLineChars="0"/>
        <w:jc w:val="left"/>
        <w:rPr>
          <w:color w:val="auto"/>
          <w:sz w:val="24"/>
          <w:szCs w:val="24"/>
          <w:highlight w:val="none"/>
        </w:rPr>
      </w:pPr>
      <w:r>
        <w:rPr>
          <w:rFonts w:hint="eastAsia"/>
          <w:color w:val="auto"/>
          <w:sz w:val="24"/>
          <w:szCs w:val="24"/>
          <w:highlight w:val="none"/>
        </w:rPr>
        <w:t>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5</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26</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询价文件获取方式：网上下载。</w:t>
      </w:r>
    </w:p>
    <w:p w14:paraId="65E2DAEC">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报价人如对此项目有疑问需要澄清，须在报价截止日3个工作日前将需要澄清的问题以书面方式递交给采购人，采购人统一将澄清文件发给本项目的报价人。</w:t>
      </w:r>
    </w:p>
    <w:p w14:paraId="4AF56DC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报价截止时间</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6</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8</w:t>
      </w:r>
      <w:r>
        <w:rPr>
          <w:rFonts w:hint="eastAsia" w:hAnsi="宋体" w:eastAsia="宋体"/>
          <w:color w:val="auto"/>
          <w:kern w:val="0"/>
          <w:sz w:val="24"/>
          <w:szCs w:val="24"/>
          <w:highlight w:val="none"/>
        </w:rPr>
        <w:t>日</w:t>
      </w:r>
      <w:r>
        <w:rPr>
          <w:rFonts w:hint="eastAsia" w:hAnsi="宋体" w:eastAsia="宋体"/>
          <w:color w:val="auto"/>
          <w:kern w:val="0"/>
          <w:sz w:val="24"/>
          <w:szCs w:val="24"/>
          <w:highlight w:val="none"/>
          <w:u w:val="none"/>
        </w:rPr>
        <w:t>14</w:t>
      </w:r>
      <w:r>
        <w:rPr>
          <w:rFonts w:hint="eastAsia" w:hAnsi="宋体" w:eastAsia="宋体"/>
          <w:color w:val="auto"/>
          <w:kern w:val="0"/>
          <w:sz w:val="24"/>
          <w:szCs w:val="24"/>
          <w:highlight w:val="none"/>
          <w:u w:val="none"/>
          <w:lang w:val="en-US" w:eastAsia="zh-CN"/>
        </w:rPr>
        <w:t>:</w:t>
      </w:r>
      <w:r>
        <w:rPr>
          <w:rFonts w:hint="eastAsia" w:hAnsi="宋体" w:eastAsia="宋体"/>
          <w:color w:val="auto"/>
          <w:kern w:val="0"/>
          <w:sz w:val="24"/>
          <w:szCs w:val="24"/>
          <w:highlight w:val="none"/>
          <w:u w:val="none"/>
        </w:rPr>
        <w:t>30</w:t>
      </w:r>
      <w:r>
        <w:rPr>
          <w:rFonts w:hint="eastAsia" w:hAnsi="宋体" w:eastAsia="宋体"/>
          <w:color w:val="auto"/>
          <w:kern w:val="0"/>
          <w:sz w:val="24"/>
          <w:szCs w:val="24"/>
          <w:highlight w:val="none"/>
        </w:rPr>
        <w:t>，报价文件送达的时间以采购人收到时间为准。</w:t>
      </w:r>
    </w:p>
    <w:p w14:paraId="4480F6D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报价文件邮寄地点</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安徽省滁州市南谯区徽州路701号滁宁城铁控制中心516室</w:t>
      </w:r>
      <w:r>
        <w:rPr>
          <w:rFonts w:hint="eastAsia" w:hAnsi="宋体" w:eastAsia="宋体"/>
          <w:color w:val="auto"/>
          <w:kern w:val="0"/>
          <w:sz w:val="24"/>
          <w:szCs w:val="24"/>
          <w:highlight w:val="none"/>
        </w:rPr>
        <w:t>。</w:t>
      </w:r>
    </w:p>
    <w:p w14:paraId="228A222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8</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val="en-US" w:eastAsia="zh-CN"/>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5</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26</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2026年滁州轨道运营照明灯具采购项目（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报价注意事项</w:t>
      </w:r>
    </w:p>
    <w:p w14:paraId="6CF3C83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本项目不接受联合体报价。</w:t>
      </w:r>
    </w:p>
    <w:p w14:paraId="5F55192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报价须包含包装、运输、税金、装卸及相关服务等经需方验收合格之前发生的所有费用。</w:t>
      </w:r>
    </w:p>
    <w:p w14:paraId="5EB212E1">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本次报价有效期应不低于报价截止日后90个日历日。若该产品或原材料行情波动较大，请另行注明有效期。</w:t>
      </w:r>
    </w:p>
    <w:p w14:paraId="708B204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报价人不符合报价人基本要求，或未按照规定的要求进行报价的，其报价不予接受。</w:t>
      </w:r>
    </w:p>
    <w:p w14:paraId="2462E64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报价人须按要求对所有条目进行报价，不允许有缺漏项，否则视为无效报价；如果所有报价人对于某项都未报价，则该项不作为缺漏项。</w:t>
      </w:r>
    </w:p>
    <w:p w14:paraId="01298745">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付款方式：卖方需提供100%金额的增值税专用发票，该增值税专用发票及货物明细清单经双方确认无异后，买方按合同价款全额（或交付货物金额）的</w:t>
      </w:r>
      <w:r>
        <w:rPr>
          <w:rFonts w:hint="eastAsia" w:hAnsi="宋体" w:eastAsia="宋体"/>
          <w:color w:val="auto"/>
          <w:kern w:val="0"/>
          <w:sz w:val="24"/>
          <w:szCs w:val="24"/>
          <w:highlight w:val="none"/>
          <w:u w:val="single"/>
        </w:rPr>
        <w:t>95%</w:t>
      </w:r>
      <w:r>
        <w:rPr>
          <w:rFonts w:hint="eastAsia" w:hAnsi="宋体" w:eastAsia="宋体"/>
          <w:color w:val="auto"/>
          <w:kern w:val="0"/>
          <w:sz w:val="24"/>
          <w:szCs w:val="24"/>
          <w:highlight w:val="none"/>
        </w:rPr>
        <w:t>在</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个工作日内予以支付，余款自货物验收合格之日起（从次日起算）一年内无任何质量问题，由买方</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个工作日内向卖方支付。</w:t>
      </w:r>
    </w:p>
    <w:p w14:paraId="2659C8A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其他相关约定详见第五章《合同条款》。</w:t>
      </w:r>
    </w:p>
    <w:p w14:paraId="5D73FFD4">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w:t>
      </w:r>
    </w:p>
    <w:p w14:paraId="462A56F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报价方式：</w:t>
      </w:r>
      <w:r>
        <w:rPr>
          <w:rFonts w:hint="eastAsia" w:hAnsi="宋体" w:eastAsia="宋体"/>
          <w:b/>
          <w:bCs/>
          <w:color w:val="auto"/>
          <w:kern w:val="0"/>
          <w:sz w:val="24"/>
          <w:szCs w:val="24"/>
          <w:highlight w:val="none"/>
          <w:u w:val="single"/>
        </w:rPr>
        <w:t>书面密封报价</w:t>
      </w:r>
    </w:p>
    <w:p w14:paraId="61566BD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报价文件包装方式</w:t>
      </w:r>
    </w:p>
    <w:p w14:paraId="6ED153F9">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报价人应将报价文件的密封部分与非密封部分分开进行包装，密封部分包装封口处应加盖法人公章，非密封部分包装封口处无需盖章。</w:t>
      </w:r>
    </w:p>
    <w:p w14:paraId="6F8F72B6">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报价人应将分别包装的密封部分与非密封部分再次合并进行包装，并在封口处加盖法人公章。</w:t>
      </w:r>
    </w:p>
    <w:p w14:paraId="6D30A8AD">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 xml:space="preserve">非密封部分应装订成册，以便于查阅和管理。 </w:t>
      </w:r>
    </w:p>
    <w:p w14:paraId="7EC3D8B9">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w:t>
      </w:r>
    </w:p>
    <w:p w14:paraId="3A5E365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评审步骤</w:t>
      </w:r>
    </w:p>
    <w:p w14:paraId="7E1C51EC">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初步评审</w:t>
      </w:r>
    </w:p>
    <w:p w14:paraId="1F7FBAFB">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评审小组按照询价文件规定的报价人资格要求对所有报价人进行资格审查，报价人必须同时符合报价文件规定的所有资格条件，报价人有任何一项不符合的，其资格审查不通过。</w:t>
      </w:r>
    </w:p>
    <w:p w14:paraId="0234E68F">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 xml:space="preserve">算术性修正 </w:t>
      </w:r>
    </w:p>
    <w:p w14:paraId="6C15C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本次报价评审前，采购人可根据现场实际需要，有权取消部分采购条目或增减采购数量，并对所有报价人的报价（单价不变）进行修正。</w:t>
      </w:r>
    </w:p>
    <w:p w14:paraId="1B151273">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价格评审</w:t>
      </w:r>
    </w:p>
    <w:p w14:paraId="1271913C">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对通过初步评审的报价人的预估量总报价（不含税）进行比较，预估量总报价（不含税）最低的报价人推荐为本项目第一成交候选人，次低者推荐为第二成交候选人，依次类推。</w:t>
      </w:r>
    </w:p>
    <w:p w14:paraId="29DD5AE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如遇预估量总报价（不含税）相等时，按照注册资本由大到小排序。</w:t>
      </w:r>
    </w:p>
    <w:p w14:paraId="2E40DB5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w:t>
      </w:r>
    </w:p>
    <w:p w14:paraId="7085D1EA">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成交供应商须在接到电话通知后30日内按报价承诺与采购人签订合同，否则其报价保证金不予退还。</w:t>
      </w:r>
    </w:p>
    <w:p w14:paraId="6545F89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合同签订时，采购人可根据需要有权对部分内容作局部调整或变更，但需经双方共同认定。</w:t>
      </w:r>
    </w:p>
    <w:p w14:paraId="36A767C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若成交供应商放弃成交项目或擅自在签订合同中改变最终承诺条款时，由采购人在成交候选人中重新确定成交供应商。</w:t>
      </w:r>
    </w:p>
    <w:p w14:paraId="52D98A7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本项目拟与成交供应商签订</w:t>
      </w:r>
      <w:r>
        <w:rPr>
          <w:rFonts w:hint="eastAsia" w:hAnsi="宋体" w:eastAsia="宋体"/>
          <w:b/>
          <w:bCs/>
          <w:color w:val="auto"/>
          <w:kern w:val="0"/>
          <w:sz w:val="24"/>
          <w:szCs w:val="24"/>
          <w:highlight w:val="none"/>
          <w:lang w:val="en-US" w:eastAsia="zh-CN"/>
        </w:rPr>
        <w:t>三年期</w:t>
      </w:r>
      <w:r>
        <w:rPr>
          <w:rFonts w:hint="eastAsia" w:hAnsi="宋体" w:eastAsia="宋体"/>
          <w:color w:val="auto"/>
          <w:kern w:val="0"/>
          <w:sz w:val="24"/>
          <w:szCs w:val="24"/>
          <w:highlight w:val="none"/>
          <w:lang w:val="en-US" w:eastAsia="zh-CN"/>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照明灯具</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2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2625"/>
        <w:gridCol w:w="3216"/>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62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3216"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8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72040400008012</w:t>
            </w:r>
          </w:p>
        </w:tc>
        <w:tc>
          <w:tcPr>
            <w:tcW w:w="262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明装筒灯</w:t>
            </w:r>
          </w:p>
        </w:tc>
        <w:tc>
          <w:tcPr>
            <w:tcW w:w="3216"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220V 15W LED（高/站厅用）</w:t>
            </w:r>
          </w:p>
        </w:tc>
        <w:tc>
          <w:tcPr>
            <w:tcW w:w="744"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盏</w:t>
            </w:r>
          </w:p>
        </w:tc>
        <w:tc>
          <w:tcPr>
            <w:tcW w:w="1032" w:type="dxa"/>
            <w:shd w:val="clear" w:color="auto" w:fill="auto"/>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884" w:type="dxa"/>
            <w:shd w:val="clear" w:color="auto" w:fill="auto"/>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72040400008017</w:t>
            </w:r>
          </w:p>
        </w:tc>
        <w:tc>
          <w:tcPr>
            <w:tcW w:w="2625" w:type="dxa"/>
            <w:shd w:val="clear" w:color="auto" w:fill="auto"/>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双头筒灯</w:t>
            </w:r>
          </w:p>
        </w:tc>
        <w:tc>
          <w:tcPr>
            <w:tcW w:w="3216" w:type="dxa"/>
            <w:shd w:val="clear" w:color="auto" w:fill="auto"/>
            <w:vAlign w:val="center"/>
          </w:tcPr>
          <w:p w14:paraId="2549B0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2x15w</w:t>
            </w:r>
          </w:p>
        </w:tc>
        <w:tc>
          <w:tcPr>
            <w:tcW w:w="744" w:type="dxa"/>
            <w:shd w:val="clear" w:color="auto" w:fill="auto"/>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884" w:type="dxa"/>
            <w:shd w:val="clear" w:color="auto" w:fill="auto"/>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72040400008031</w:t>
            </w:r>
          </w:p>
        </w:tc>
        <w:tc>
          <w:tcPr>
            <w:tcW w:w="2625" w:type="dxa"/>
            <w:shd w:val="clear" w:color="auto" w:fill="auto"/>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吸顶灯</w:t>
            </w:r>
          </w:p>
        </w:tc>
        <w:tc>
          <w:tcPr>
            <w:tcW w:w="3216" w:type="dxa"/>
            <w:shd w:val="clear" w:color="auto" w:fill="auto"/>
            <w:vAlign w:val="center"/>
          </w:tcPr>
          <w:p w14:paraId="1E66AB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220V 12W LED（大）</w:t>
            </w:r>
          </w:p>
        </w:tc>
        <w:tc>
          <w:tcPr>
            <w:tcW w:w="744" w:type="dxa"/>
            <w:shd w:val="clear" w:color="auto" w:fill="auto"/>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盏</w:t>
            </w:r>
          </w:p>
        </w:tc>
        <w:tc>
          <w:tcPr>
            <w:tcW w:w="1032" w:type="dxa"/>
            <w:shd w:val="clear" w:color="auto" w:fill="auto"/>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884" w:type="dxa"/>
            <w:shd w:val="clear" w:color="auto" w:fill="auto"/>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72040400008034</w:t>
            </w:r>
          </w:p>
        </w:tc>
        <w:tc>
          <w:tcPr>
            <w:tcW w:w="2625" w:type="dxa"/>
            <w:shd w:val="clear" w:color="auto" w:fill="auto"/>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明装筒灯</w:t>
            </w:r>
          </w:p>
        </w:tc>
        <w:tc>
          <w:tcPr>
            <w:tcW w:w="3216" w:type="dxa"/>
            <w:shd w:val="clear" w:color="auto" w:fill="auto"/>
            <w:vAlign w:val="center"/>
          </w:tcPr>
          <w:p w14:paraId="54E08F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220V 40W LED（高/站台用）</w:t>
            </w:r>
          </w:p>
        </w:tc>
        <w:tc>
          <w:tcPr>
            <w:tcW w:w="744" w:type="dxa"/>
            <w:shd w:val="clear" w:color="auto" w:fill="auto"/>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884" w:type="dxa"/>
            <w:shd w:val="clear" w:color="auto" w:fill="auto"/>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72040400008041</w:t>
            </w:r>
          </w:p>
        </w:tc>
        <w:tc>
          <w:tcPr>
            <w:tcW w:w="2625" w:type="dxa"/>
            <w:shd w:val="clear" w:color="auto" w:fill="auto"/>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明装筒灯</w:t>
            </w:r>
          </w:p>
        </w:tc>
        <w:tc>
          <w:tcPr>
            <w:tcW w:w="3216" w:type="dxa"/>
            <w:shd w:val="clear" w:color="auto" w:fill="auto"/>
            <w:vAlign w:val="center"/>
          </w:tcPr>
          <w:p w14:paraId="24642A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220V 30W LED（矮）</w:t>
            </w:r>
          </w:p>
        </w:tc>
        <w:tc>
          <w:tcPr>
            <w:tcW w:w="744" w:type="dxa"/>
            <w:shd w:val="clear" w:color="auto" w:fill="auto"/>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884" w:type="dxa"/>
            <w:shd w:val="clear" w:color="auto" w:fill="auto"/>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72040400008045</w:t>
            </w:r>
          </w:p>
        </w:tc>
        <w:tc>
          <w:tcPr>
            <w:tcW w:w="2625" w:type="dxa"/>
            <w:shd w:val="clear" w:color="auto" w:fill="auto"/>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条形灯</w:t>
            </w:r>
          </w:p>
        </w:tc>
        <w:tc>
          <w:tcPr>
            <w:tcW w:w="3216" w:type="dxa"/>
            <w:shd w:val="clear" w:color="auto" w:fill="auto"/>
            <w:vAlign w:val="center"/>
          </w:tcPr>
          <w:p w14:paraId="0E0C1D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地下站站厅用 18w 120cm*10cm*4cm</w:t>
            </w:r>
          </w:p>
        </w:tc>
        <w:tc>
          <w:tcPr>
            <w:tcW w:w="744" w:type="dxa"/>
            <w:shd w:val="clear" w:color="auto" w:fill="auto"/>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884" w:type="dxa"/>
            <w:shd w:val="clear" w:color="auto" w:fill="auto"/>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72040400008046</w:t>
            </w:r>
          </w:p>
        </w:tc>
        <w:tc>
          <w:tcPr>
            <w:tcW w:w="2625" w:type="dxa"/>
            <w:shd w:val="clear" w:color="auto" w:fill="auto"/>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条形灯</w:t>
            </w:r>
          </w:p>
        </w:tc>
        <w:tc>
          <w:tcPr>
            <w:tcW w:w="3216" w:type="dxa"/>
            <w:shd w:val="clear" w:color="auto" w:fill="auto"/>
            <w:vAlign w:val="center"/>
          </w:tcPr>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地下站站厅用 36w 120cm*20cm*6cm</w:t>
            </w:r>
          </w:p>
        </w:tc>
        <w:tc>
          <w:tcPr>
            <w:tcW w:w="744" w:type="dxa"/>
            <w:shd w:val="clear" w:color="auto" w:fill="auto"/>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r>
      <w:tr w14:paraId="0C36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1111B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884" w:type="dxa"/>
            <w:shd w:val="clear" w:color="auto" w:fill="auto"/>
            <w:vAlign w:val="center"/>
          </w:tcPr>
          <w:p w14:paraId="7BD75C9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72040400008047</w:t>
            </w:r>
          </w:p>
        </w:tc>
        <w:tc>
          <w:tcPr>
            <w:tcW w:w="2625" w:type="dxa"/>
            <w:shd w:val="clear" w:color="auto" w:fill="auto"/>
            <w:vAlign w:val="center"/>
          </w:tcPr>
          <w:p w14:paraId="0C4DF2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条形灯</w:t>
            </w:r>
          </w:p>
        </w:tc>
        <w:tc>
          <w:tcPr>
            <w:tcW w:w="3216" w:type="dxa"/>
            <w:shd w:val="clear" w:color="auto" w:fill="auto"/>
            <w:vAlign w:val="center"/>
          </w:tcPr>
          <w:p w14:paraId="018658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地下站站厅用 18w 120cm*7cm*4cm</w:t>
            </w:r>
          </w:p>
        </w:tc>
        <w:tc>
          <w:tcPr>
            <w:tcW w:w="744" w:type="dxa"/>
            <w:shd w:val="clear" w:color="auto" w:fill="auto"/>
            <w:vAlign w:val="center"/>
          </w:tcPr>
          <w:p w14:paraId="2014345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317FB2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r>
      <w:tr w14:paraId="7F7C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706" w:type="dxa"/>
            <w:shd w:val="clear" w:color="auto" w:fill="auto"/>
            <w:vAlign w:val="center"/>
          </w:tcPr>
          <w:p w14:paraId="7F0ED2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884" w:type="dxa"/>
            <w:shd w:val="clear" w:color="auto" w:fill="auto"/>
            <w:vAlign w:val="center"/>
          </w:tcPr>
          <w:p w14:paraId="5232B4D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72040400008048</w:t>
            </w:r>
          </w:p>
        </w:tc>
        <w:tc>
          <w:tcPr>
            <w:tcW w:w="2625" w:type="dxa"/>
            <w:shd w:val="clear" w:color="auto" w:fill="auto"/>
            <w:vAlign w:val="center"/>
          </w:tcPr>
          <w:p w14:paraId="7608DF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LED泛光灯</w:t>
            </w:r>
          </w:p>
        </w:tc>
        <w:tc>
          <w:tcPr>
            <w:tcW w:w="3216" w:type="dxa"/>
            <w:shd w:val="clear" w:color="auto" w:fill="auto"/>
            <w:vAlign w:val="center"/>
          </w:tcPr>
          <w:p w14:paraId="6874EE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150W；AC220V/50HZ；IP65级防水防尘防震防爆；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320*240*30mm；安装方式为螺丝安装 可侧装、立装、吊装</w:t>
            </w:r>
          </w:p>
        </w:tc>
        <w:tc>
          <w:tcPr>
            <w:tcW w:w="744" w:type="dxa"/>
            <w:shd w:val="clear" w:color="auto" w:fill="auto"/>
            <w:vAlign w:val="center"/>
          </w:tcPr>
          <w:p w14:paraId="421975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3F69E1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r>
      <w:tr w14:paraId="1EE1B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209679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884" w:type="dxa"/>
            <w:shd w:val="clear" w:color="auto" w:fill="auto"/>
            <w:vAlign w:val="center"/>
          </w:tcPr>
          <w:p w14:paraId="23AD84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72040400008049</w:t>
            </w:r>
          </w:p>
        </w:tc>
        <w:tc>
          <w:tcPr>
            <w:tcW w:w="2625" w:type="dxa"/>
            <w:shd w:val="clear" w:color="auto" w:fill="auto"/>
            <w:vAlign w:val="center"/>
          </w:tcPr>
          <w:p w14:paraId="5503231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LED吸顶灯</w:t>
            </w:r>
          </w:p>
        </w:tc>
        <w:tc>
          <w:tcPr>
            <w:tcW w:w="3216" w:type="dxa"/>
            <w:shd w:val="clear" w:color="auto" w:fill="auto"/>
            <w:vAlign w:val="center"/>
          </w:tcPr>
          <w:p w14:paraId="54E9D8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 AC220V 50Hz 防护等级IP65 直径20cm含灯盘</w:t>
            </w:r>
          </w:p>
        </w:tc>
        <w:tc>
          <w:tcPr>
            <w:tcW w:w="744" w:type="dxa"/>
            <w:shd w:val="clear" w:color="auto" w:fill="auto"/>
            <w:vAlign w:val="center"/>
          </w:tcPr>
          <w:p w14:paraId="118769B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2448CD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w:t>
            </w:r>
          </w:p>
        </w:tc>
      </w:tr>
      <w:tr w14:paraId="7E5D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5B5F18A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884" w:type="dxa"/>
            <w:shd w:val="clear" w:color="auto" w:fill="auto"/>
            <w:vAlign w:val="center"/>
          </w:tcPr>
          <w:p w14:paraId="4788D54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72040400008050</w:t>
            </w:r>
          </w:p>
        </w:tc>
        <w:tc>
          <w:tcPr>
            <w:tcW w:w="2625" w:type="dxa"/>
            <w:shd w:val="clear" w:color="auto" w:fill="auto"/>
            <w:vAlign w:val="center"/>
          </w:tcPr>
          <w:p w14:paraId="712E13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内嵌式筒灯</w:t>
            </w:r>
          </w:p>
        </w:tc>
        <w:tc>
          <w:tcPr>
            <w:tcW w:w="3216" w:type="dxa"/>
            <w:shd w:val="clear" w:color="auto" w:fill="auto"/>
            <w:vAlign w:val="center"/>
          </w:tcPr>
          <w:p w14:paraId="1B03F1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220V 15w 直径17cm</w:t>
            </w:r>
          </w:p>
        </w:tc>
        <w:tc>
          <w:tcPr>
            <w:tcW w:w="744" w:type="dxa"/>
            <w:shd w:val="clear" w:color="auto" w:fill="auto"/>
            <w:vAlign w:val="center"/>
          </w:tcPr>
          <w:p w14:paraId="0D24F5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5C65652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w:t>
            </w:r>
          </w:p>
        </w:tc>
      </w:tr>
      <w:tr w14:paraId="2155A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75889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884" w:type="dxa"/>
            <w:shd w:val="clear" w:color="auto" w:fill="auto"/>
            <w:vAlign w:val="center"/>
          </w:tcPr>
          <w:p w14:paraId="2FBD5B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72040400008051</w:t>
            </w:r>
          </w:p>
        </w:tc>
        <w:tc>
          <w:tcPr>
            <w:tcW w:w="2625" w:type="dxa"/>
            <w:shd w:val="clear" w:color="auto" w:fill="auto"/>
            <w:vAlign w:val="center"/>
          </w:tcPr>
          <w:p w14:paraId="424D6E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安全电压照明壁灯</w:t>
            </w:r>
          </w:p>
        </w:tc>
        <w:tc>
          <w:tcPr>
            <w:tcW w:w="3216" w:type="dxa"/>
            <w:shd w:val="clear" w:color="auto" w:fill="auto"/>
            <w:vAlign w:val="center"/>
          </w:tcPr>
          <w:p w14:paraId="04A4304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36V 1x12W LED</w:t>
            </w:r>
          </w:p>
        </w:tc>
        <w:tc>
          <w:tcPr>
            <w:tcW w:w="744" w:type="dxa"/>
            <w:shd w:val="clear" w:color="auto" w:fill="auto"/>
            <w:vAlign w:val="center"/>
          </w:tcPr>
          <w:p w14:paraId="3D2E9B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3B730B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r>
      <w:tr w14:paraId="5EE94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78408A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1884" w:type="dxa"/>
            <w:shd w:val="clear" w:color="auto" w:fill="auto"/>
            <w:vAlign w:val="center"/>
          </w:tcPr>
          <w:p w14:paraId="41A861E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72040400008052</w:t>
            </w:r>
          </w:p>
        </w:tc>
        <w:tc>
          <w:tcPr>
            <w:tcW w:w="2625" w:type="dxa"/>
            <w:shd w:val="clear" w:color="auto" w:fill="auto"/>
            <w:vAlign w:val="center"/>
          </w:tcPr>
          <w:p w14:paraId="3865AC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隧道防水防尘灯</w:t>
            </w:r>
          </w:p>
        </w:tc>
        <w:tc>
          <w:tcPr>
            <w:tcW w:w="3216" w:type="dxa"/>
            <w:shd w:val="clear" w:color="auto" w:fill="auto"/>
            <w:vAlign w:val="center"/>
          </w:tcPr>
          <w:p w14:paraId="0404787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DC36v LED 10w IP65</w:t>
            </w:r>
          </w:p>
        </w:tc>
        <w:tc>
          <w:tcPr>
            <w:tcW w:w="744" w:type="dxa"/>
            <w:shd w:val="clear" w:color="auto" w:fill="auto"/>
            <w:vAlign w:val="center"/>
          </w:tcPr>
          <w:p w14:paraId="56617A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7487051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r>
      <w:tr w14:paraId="1C7F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0D2181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884" w:type="dxa"/>
            <w:shd w:val="clear" w:color="auto" w:fill="auto"/>
            <w:vAlign w:val="center"/>
          </w:tcPr>
          <w:p w14:paraId="6897F5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72040400008053</w:t>
            </w:r>
          </w:p>
        </w:tc>
        <w:tc>
          <w:tcPr>
            <w:tcW w:w="2625" w:type="dxa"/>
            <w:shd w:val="clear" w:color="auto" w:fill="auto"/>
            <w:vAlign w:val="center"/>
          </w:tcPr>
          <w:p w14:paraId="54B008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隧道防水防尘灯</w:t>
            </w:r>
          </w:p>
        </w:tc>
        <w:tc>
          <w:tcPr>
            <w:tcW w:w="3216" w:type="dxa"/>
            <w:shd w:val="clear" w:color="auto" w:fill="auto"/>
            <w:vAlign w:val="center"/>
          </w:tcPr>
          <w:p w14:paraId="26B7AE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AC220V50Hz DC36v 1*18w IP65 引进电缆8-10mm</w:t>
            </w:r>
          </w:p>
        </w:tc>
        <w:tc>
          <w:tcPr>
            <w:tcW w:w="744" w:type="dxa"/>
            <w:shd w:val="clear" w:color="auto" w:fill="auto"/>
            <w:vAlign w:val="center"/>
          </w:tcPr>
          <w:p w14:paraId="03CC91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305F3A4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r>
      <w:tr w14:paraId="7BDCD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96FAC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884" w:type="dxa"/>
            <w:shd w:val="clear" w:color="auto" w:fill="auto"/>
            <w:vAlign w:val="center"/>
          </w:tcPr>
          <w:p w14:paraId="6D5128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72040400008054</w:t>
            </w:r>
          </w:p>
        </w:tc>
        <w:tc>
          <w:tcPr>
            <w:tcW w:w="2625" w:type="dxa"/>
            <w:shd w:val="clear" w:color="auto" w:fill="auto"/>
            <w:vAlign w:val="center"/>
          </w:tcPr>
          <w:p w14:paraId="10877F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LED铝扣板嵌入式面板灯</w:t>
            </w:r>
          </w:p>
        </w:tc>
        <w:tc>
          <w:tcPr>
            <w:tcW w:w="3216" w:type="dxa"/>
            <w:shd w:val="clear" w:color="auto" w:fill="auto"/>
            <w:vAlign w:val="center"/>
          </w:tcPr>
          <w:p w14:paraId="110B58A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 30*60cm 220V/50HZ 5700K</w:t>
            </w:r>
          </w:p>
        </w:tc>
        <w:tc>
          <w:tcPr>
            <w:tcW w:w="744" w:type="dxa"/>
            <w:shd w:val="clear" w:color="auto" w:fill="auto"/>
            <w:vAlign w:val="center"/>
          </w:tcPr>
          <w:p w14:paraId="189A1A0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vAlign w:val="center"/>
          </w:tcPr>
          <w:p w14:paraId="6B27C9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w:t>
            </w:r>
          </w:p>
        </w:tc>
      </w:tr>
      <w:tr w14:paraId="55B52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67E170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884" w:type="dxa"/>
            <w:shd w:val="clear" w:color="auto" w:fill="auto"/>
            <w:vAlign w:val="center"/>
          </w:tcPr>
          <w:p w14:paraId="26CF746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72040400008055</w:t>
            </w:r>
          </w:p>
        </w:tc>
        <w:tc>
          <w:tcPr>
            <w:tcW w:w="2625" w:type="dxa"/>
            <w:shd w:val="clear" w:color="auto" w:fill="auto"/>
            <w:vAlign w:val="center"/>
          </w:tcPr>
          <w:p w14:paraId="0E2B3D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LED铝扣板嵌入式面板灯</w:t>
            </w:r>
          </w:p>
        </w:tc>
        <w:tc>
          <w:tcPr>
            <w:tcW w:w="3216" w:type="dxa"/>
            <w:shd w:val="clear" w:color="auto" w:fill="auto"/>
            <w:vAlign w:val="center"/>
          </w:tcPr>
          <w:p w14:paraId="6508BD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32W 60*60cm 220VAC 5700K</w:t>
            </w:r>
          </w:p>
        </w:tc>
        <w:tc>
          <w:tcPr>
            <w:tcW w:w="744" w:type="dxa"/>
            <w:shd w:val="clear" w:color="auto" w:fill="auto"/>
            <w:vAlign w:val="center"/>
          </w:tcPr>
          <w:p w14:paraId="2C77AC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vAlign w:val="center"/>
          </w:tcPr>
          <w:p w14:paraId="211B7B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w:t>
            </w:r>
          </w:p>
        </w:tc>
      </w:tr>
      <w:tr w14:paraId="68595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7E4DC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884" w:type="dxa"/>
            <w:shd w:val="clear" w:color="auto" w:fill="auto"/>
            <w:vAlign w:val="center"/>
          </w:tcPr>
          <w:p w14:paraId="51970EC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72040502000105</w:t>
            </w:r>
          </w:p>
        </w:tc>
        <w:tc>
          <w:tcPr>
            <w:tcW w:w="2625" w:type="dxa"/>
            <w:shd w:val="clear" w:color="auto" w:fill="auto"/>
            <w:vAlign w:val="center"/>
          </w:tcPr>
          <w:p w14:paraId="1DBD0B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LED灯管</w:t>
            </w:r>
          </w:p>
        </w:tc>
        <w:tc>
          <w:tcPr>
            <w:tcW w:w="3216" w:type="dxa"/>
            <w:shd w:val="clear" w:color="auto" w:fill="auto"/>
            <w:vAlign w:val="center"/>
          </w:tcPr>
          <w:p w14:paraId="741EAD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双端灯管 长60CM  型号LED-220-T8-7-03 额定电压220V-/50Hz 7W 色温6500K</w:t>
            </w:r>
          </w:p>
        </w:tc>
        <w:tc>
          <w:tcPr>
            <w:tcW w:w="744" w:type="dxa"/>
            <w:shd w:val="clear" w:color="auto" w:fill="auto"/>
            <w:vAlign w:val="center"/>
          </w:tcPr>
          <w:p w14:paraId="29A4CE7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vAlign w:val="center"/>
          </w:tcPr>
          <w:p w14:paraId="1B11A8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1200</w:t>
            </w:r>
          </w:p>
        </w:tc>
      </w:tr>
      <w:tr w14:paraId="2AAFF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694D0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884" w:type="dxa"/>
            <w:shd w:val="clear" w:color="auto" w:fill="auto"/>
            <w:vAlign w:val="center"/>
          </w:tcPr>
          <w:p w14:paraId="3B0E2DC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72040503008001</w:t>
            </w:r>
          </w:p>
        </w:tc>
        <w:tc>
          <w:tcPr>
            <w:tcW w:w="2625" w:type="dxa"/>
            <w:shd w:val="clear" w:color="auto" w:fill="auto"/>
            <w:vAlign w:val="center"/>
          </w:tcPr>
          <w:p w14:paraId="2CA378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220v直接式灯带（导向灯带）</w:t>
            </w:r>
          </w:p>
        </w:tc>
        <w:tc>
          <w:tcPr>
            <w:tcW w:w="3216" w:type="dxa"/>
            <w:shd w:val="clear" w:color="auto" w:fill="auto"/>
            <w:vAlign w:val="center"/>
          </w:tcPr>
          <w:p w14:paraId="4E17B2A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裸板白光免变压器</w:t>
            </w:r>
          </w:p>
        </w:tc>
        <w:tc>
          <w:tcPr>
            <w:tcW w:w="744" w:type="dxa"/>
            <w:shd w:val="clear" w:color="auto" w:fill="auto"/>
            <w:vAlign w:val="center"/>
          </w:tcPr>
          <w:p w14:paraId="64B20E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032" w:type="dxa"/>
            <w:shd w:val="clear" w:color="auto" w:fill="auto"/>
            <w:vAlign w:val="center"/>
          </w:tcPr>
          <w:p w14:paraId="6E1357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r>
      <w:tr w14:paraId="03D1D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3CD4E5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884" w:type="dxa"/>
            <w:shd w:val="clear" w:color="auto" w:fill="auto"/>
            <w:vAlign w:val="center"/>
          </w:tcPr>
          <w:p w14:paraId="3E0DD8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72040505008003</w:t>
            </w:r>
          </w:p>
        </w:tc>
        <w:tc>
          <w:tcPr>
            <w:tcW w:w="2625" w:type="dxa"/>
            <w:shd w:val="clear" w:color="auto" w:fill="auto"/>
            <w:vAlign w:val="center"/>
          </w:tcPr>
          <w:p w14:paraId="6FE0AC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LED灯盘</w:t>
            </w:r>
          </w:p>
        </w:tc>
        <w:tc>
          <w:tcPr>
            <w:tcW w:w="3216" w:type="dxa"/>
            <w:shd w:val="clear" w:color="auto" w:fill="auto"/>
            <w:vAlign w:val="center"/>
          </w:tcPr>
          <w:p w14:paraId="73EADF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220V输入；36W；单色白光；直径＜20cm</w:t>
            </w:r>
          </w:p>
        </w:tc>
        <w:tc>
          <w:tcPr>
            <w:tcW w:w="744" w:type="dxa"/>
            <w:shd w:val="clear" w:color="auto" w:fill="auto"/>
            <w:vAlign w:val="center"/>
          </w:tcPr>
          <w:p w14:paraId="18B1BF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2D07A6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w:t>
            </w:r>
          </w:p>
        </w:tc>
      </w:tr>
      <w:tr w14:paraId="65484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529CAA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884" w:type="dxa"/>
            <w:shd w:val="clear" w:color="auto" w:fill="auto"/>
            <w:vAlign w:val="center"/>
          </w:tcPr>
          <w:p w14:paraId="596AD8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72040505008004</w:t>
            </w:r>
          </w:p>
        </w:tc>
        <w:tc>
          <w:tcPr>
            <w:tcW w:w="2625" w:type="dxa"/>
            <w:shd w:val="clear" w:color="auto" w:fill="auto"/>
            <w:vAlign w:val="center"/>
          </w:tcPr>
          <w:p w14:paraId="6149D7E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1.2m灯管灯罩</w:t>
            </w:r>
          </w:p>
        </w:tc>
        <w:tc>
          <w:tcPr>
            <w:tcW w:w="3216" w:type="dxa"/>
            <w:shd w:val="clear" w:color="auto" w:fill="auto"/>
            <w:vAlign w:val="center"/>
          </w:tcPr>
          <w:p w14:paraId="6BAA7F2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单管LED空包（不含灯管）ABS底座 ABS灯罩 1260mm*75mm*90mm</w:t>
            </w:r>
          </w:p>
        </w:tc>
        <w:tc>
          <w:tcPr>
            <w:tcW w:w="744" w:type="dxa"/>
            <w:shd w:val="clear" w:color="auto" w:fill="auto"/>
            <w:vAlign w:val="center"/>
          </w:tcPr>
          <w:p w14:paraId="58DC05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4A8A5C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w:t>
            </w:r>
          </w:p>
        </w:tc>
      </w:tr>
      <w:tr w14:paraId="1D2DC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29A3E0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884" w:type="dxa"/>
            <w:shd w:val="clear" w:color="auto" w:fill="auto"/>
            <w:vAlign w:val="center"/>
          </w:tcPr>
          <w:p w14:paraId="6BE813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72040700008008</w:t>
            </w:r>
          </w:p>
        </w:tc>
        <w:tc>
          <w:tcPr>
            <w:tcW w:w="2625" w:type="dxa"/>
            <w:shd w:val="clear" w:color="auto" w:fill="auto"/>
            <w:vAlign w:val="center"/>
          </w:tcPr>
          <w:p w14:paraId="7A9B9B9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吊挂疏散出口标志灯</w:t>
            </w:r>
          </w:p>
        </w:tc>
        <w:tc>
          <w:tcPr>
            <w:tcW w:w="3216" w:type="dxa"/>
            <w:shd w:val="clear" w:color="auto" w:fill="auto"/>
            <w:vAlign w:val="center"/>
          </w:tcPr>
          <w:p w14:paraId="243B68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DC36V  1*1W LED</w:t>
            </w:r>
          </w:p>
        </w:tc>
        <w:tc>
          <w:tcPr>
            <w:tcW w:w="744" w:type="dxa"/>
            <w:shd w:val="clear" w:color="auto" w:fill="auto"/>
            <w:vAlign w:val="center"/>
          </w:tcPr>
          <w:p w14:paraId="5EC595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4A09A74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r>
      <w:tr w14:paraId="0E85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1" w:hRule="atLeast"/>
          <w:jc w:val="center"/>
        </w:trPr>
        <w:tc>
          <w:tcPr>
            <w:tcW w:w="10207"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6AD1D06E">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6256A891">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6CB303F9">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质量要求</w:t>
      </w:r>
    </w:p>
    <w:p w14:paraId="710222BF">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报价产品必须是原厂生产全新货品。</w:t>
      </w:r>
    </w:p>
    <w:p w14:paraId="6C9BACF2">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报价产品必须符合标准。</w:t>
      </w:r>
    </w:p>
    <w:p w14:paraId="21A19C05">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质保要求</w:t>
      </w:r>
    </w:p>
    <w:p w14:paraId="152BAD9A">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自货物验收合格之日起（从次日起算）不少于12个月（货物依法标注有效期的，其有效期不得少于质保期；国家有期限规定的，从其规定）为质保期。</w:t>
      </w:r>
    </w:p>
    <w:p w14:paraId="0261BD36">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在质保期内正常使用中买方如发现卖方产品有质量问题，卖方在接到买方通知后应及时予以调换或修理。</w:t>
      </w:r>
    </w:p>
    <w:p w14:paraId="2705AA34">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1B81288A">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交货要求</w:t>
      </w:r>
    </w:p>
    <w:p w14:paraId="3408687E">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交货时间：按照合同要求供货。</w:t>
      </w:r>
    </w:p>
    <w:p w14:paraId="6F77CE60">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交货地点：安徽省滁州市来安县水口镇新河村范庄组100号相官车辆段物资总库。</w:t>
      </w: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w:t>
            </w:r>
            <w:r>
              <w:rPr>
                <w:rFonts w:hint="eastAsia"/>
                <w:color w:val="auto"/>
                <w:sz w:val="22"/>
                <w:szCs w:val="22"/>
                <w:highlight w:val="none"/>
                <w:lang w:val="en-US" w:eastAsia="zh-CN"/>
              </w:rPr>
              <w:t>5</w:t>
            </w:r>
            <w:r>
              <w:rPr>
                <w:rFonts w:hint="eastAsia"/>
                <w:color w:val="auto"/>
                <w:sz w:val="22"/>
                <w:szCs w:val="22"/>
                <w:highlight w:val="none"/>
                <w:lang w:eastAsia="zh-CN"/>
              </w:rPr>
              <w:t>-000</w:t>
            </w:r>
            <w:r>
              <w:rPr>
                <w:rFonts w:hint="eastAsia"/>
                <w:color w:val="auto"/>
                <w:sz w:val="22"/>
                <w:szCs w:val="22"/>
                <w:highlight w:val="none"/>
                <w:lang w:val="en-US" w:eastAsia="zh-CN"/>
              </w:rPr>
              <w:t>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26</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8</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照明灯具</w:t>
      </w:r>
      <w:r>
        <w:rPr>
          <w:rFonts w:hint="eastAsia"/>
          <w:b/>
          <w:color w:val="auto"/>
          <w:sz w:val="48"/>
          <w:szCs w:val="48"/>
          <w:highlight w:val="none"/>
        </w:rPr>
        <w:t>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92804592"/>
      <w:bookmarkStart w:id="5" w:name="_Toc477250300"/>
      <w:bookmarkStart w:id="6" w:name="_Toc22503"/>
      <w:bookmarkStart w:id="7" w:name="_Toc472325755"/>
      <w:bookmarkStart w:id="8" w:name="_Toc470617844"/>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numPr>
          <w:ilvl w:val="0"/>
          <w:numId w:val="11"/>
        </w:numPr>
        <w:snapToGrid w:val="0"/>
        <w:spacing w:line="360" w:lineRule="auto"/>
        <w:ind w:left="425" w:leftChars="0" w:hanging="425" w:firstLineChars="0"/>
        <w:rPr>
          <w:rFonts w:ascii="宋体" w:hAnsi="宋体" w:eastAsia="宋体"/>
          <w:b/>
          <w:bCs/>
          <w:szCs w:val="21"/>
          <w:highlight w:val="none"/>
        </w:rPr>
      </w:pP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keepNext w:val="0"/>
        <w:keepLines w:val="0"/>
        <w:pageBreakBefore w:val="0"/>
        <w:widowControl w:val="0"/>
        <w:kinsoku/>
        <w:wordWrap/>
        <w:overflowPunct/>
        <w:topLinePunct w:val="0"/>
        <w:autoSpaceDE/>
        <w:autoSpaceDN/>
        <w:bidi w:val="0"/>
        <w:adjustRightInd/>
        <w:snapToGrid w:val="0"/>
        <w:spacing w:line="360" w:lineRule="auto"/>
        <w:ind w:left="420" w:leftChars="200"/>
        <w:textAlignment w:val="auto"/>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1874C37B">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价格</w:t>
      </w:r>
    </w:p>
    <w:p w14:paraId="08F145D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30FE531A">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 xml:space="preserve">交货地点 </w:t>
      </w:r>
    </w:p>
    <w:p w14:paraId="250E88E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eastAsia="宋体"/>
          <w:highlight w:val="none"/>
        </w:rPr>
      </w:pPr>
      <w:r>
        <w:rPr>
          <w:rFonts w:hint="eastAsia" w:ascii="宋体" w:hAnsi="宋体" w:eastAsia="宋体"/>
          <w:highlight w:val="none"/>
        </w:rPr>
        <w:t>滁州市买方指定地点。</w:t>
      </w:r>
    </w:p>
    <w:p w14:paraId="52B2A57D">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交货时间</w:t>
      </w:r>
    </w:p>
    <w:p w14:paraId="73E4988A">
      <w:pPr>
        <w:keepNext w:val="0"/>
        <w:keepLines w:val="0"/>
        <w:pageBreakBefore w:val="0"/>
        <w:widowControl w:val="0"/>
        <w:tabs>
          <w:tab w:val="left" w:pos="540"/>
        </w:tabs>
        <w:kinsoku/>
        <w:wordWrap/>
        <w:overflowPunct/>
        <w:topLinePunct w:val="0"/>
        <w:autoSpaceDE/>
        <w:autoSpaceDN/>
        <w:bidi w:val="0"/>
        <w:adjustRightInd/>
        <w:snapToGrid w:val="0"/>
        <w:spacing w:line="360" w:lineRule="auto"/>
        <w:ind w:left="0" w:leftChars="0" w:firstLine="420" w:firstLineChars="200"/>
        <w:textAlignment w:val="auto"/>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112DC541">
      <w:pPr>
        <w:numPr>
          <w:ilvl w:val="0"/>
          <w:numId w:val="11"/>
        </w:numPr>
        <w:snapToGrid w:val="0"/>
        <w:spacing w:line="360" w:lineRule="auto"/>
        <w:ind w:left="425" w:leftChars="0" w:hanging="425" w:firstLineChars="0"/>
        <w:rPr>
          <w:rFonts w:hint="eastAsia" w:ascii="宋体" w:hAnsi="宋体" w:eastAsia="宋体"/>
          <w:szCs w:val="21"/>
          <w:highlight w:val="none"/>
        </w:rPr>
      </w:pPr>
      <w:r>
        <w:rPr>
          <w:rFonts w:hint="eastAsia" w:ascii="宋体" w:hAnsi="宋体" w:eastAsia="宋体"/>
          <w:b/>
          <w:bCs/>
          <w:szCs w:val="21"/>
          <w:highlight w:val="none"/>
        </w:rPr>
        <w:t>质量保证</w:t>
      </w:r>
    </w:p>
    <w:p w14:paraId="62FB4BD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货物是全新、未使用过的原装合格正品，并完全符合合同约定、国家规定的质量、规格和性能的要求。如卖方提供的货物是假冒伪劣的，除应退换货物外，还应按照该货物合同总价款的两倍向买方进行赔偿</w:t>
      </w:r>
      <w:r>
        <w:rPr>
          <w:rFonts w:hint="eastAsia" w:ascii="宋体" w:hAnsi="宋体" w:eastAsia="宋体"/>
          <w:szCs w:val="21"/>
          <w:highlight w:val="none"/>
          <w:lang w:eastAsia="zh-CN"/>
        </w:rPr>
        <w:t>。</w:t>
      </w:r>
    </w:p>
    <w:p w14:paraId="52F96E0B">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ascii="宋体" w:hAnsi="宋体" w:eastAsia="宋体"/>
          <w:szCs w:val="21"/>
          <w:highlight w:val="none"/>
          <w:lang w:eastAsia="zh-CN"/>
        </w:rPr>
        <w:t>。</w:t>
      </w:r>
    </w:p>
    <w:p w14:paraId="7CA37334">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卖方所供货物如有缺陷或隐蔽瑕疵，应书面如实告知买方，否则，应对货物缺陷或隐蔽瑕疵而造成的损失承担全部赔偿责任。</w:t>
      </w:r>
    </w:p>
    <w:p w14:paraId="25B344F9">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卖方应保证其提供的货物在正确安装、使用和保养下，在其使用寿命内具有良好的性能。货物验收后，卖方应对由于货物设计缺陷、质量缺陷、其它内在缺陷等原因造成的损失负责，所需费用由卖方承担。</w:t>
      </w:r>
    </w:p>
    <w:p w14:paraId="26EA2DC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卖方出售的货物造成人身损害、财产损失的，卖方应当承担赔偿责任。</w:t>
      </w:r>
    </w:p>
    <w:p w14:paraId="6ADAF583">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包装、包装标志及环境保护</w:t>
      </w:r>
    </w:p>
    <w:p w14:paraId="54891CB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卖方应在每一包装箱的适当位置作出下列标记：</w:t>
      </w:r>
    </w:p>
    <w:p w14:paraId="2F1A73BA">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收货人；</w:t>
      </w:r>
    </w:p>
    <w:p w14:paraId="6C836D43">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货物名称、件数；</w:t>
      </w:r>
    </w:p>
    <w:p w14:paraId="4C229EBF">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毛重、净重；</w:t>
      </w:r>
    </w:p>
    <w:p w14:paraId="4B46DF9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体积（长×宽×高，用毫米表示）；</w:t>
      </w:r>
    </w:p>
    <w:p w14:paraId="3E8DC60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货物运输警示标识；</w:t>
      </w:r>
    </w:p>
    <w:p w14:paraId="4FD73BCD">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合同号；</w:t>
      </w:r>
    </w:p>
    <w:p w14:paraId="648B6502">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其他应标记内容。</w:t>
      </w:r>
    </w:p>
    <w:p w14:paraId="262EFE9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textAlignment w:val="auto"/>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交货和验收</w:t>
      </w:r>
    </w:p>
    <w:p w14:paraId="6F090A6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除双方另有书面约定或买方自提外，本合同项下货物的所有权及毁损、灭失之风险自卖方运到买方仓库或买方指定地点完成交付之日起转移。</w:t>
      </w:r>
    </w:p>
    <w:p w14:paraId="297BCA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b/>
          <w:bCs/>
          <w:szCs w:val="21"/>
          <w:highlight w:val="none"/>
        </w:rPr>
      </w:pPr>
      <w:r>
        <w:rPr>
          <w:rFonts w:hint="eastAsia" w:ascii="宋体" w:hAnsi="宋体" w:eastAsia="宋体"/>
          <w:b w:val="0"/>
          <w:bCs w:val="0"/>
          <w:szCs w:val="21"/>
          <w:highlight w:val="none"/>
        </w:rPr>
        <w:t>卖方应按照本合同规定的时间、地点和方式，向买方交付货物。如未按规定送至买方指定的地点，由此引起的遗失或损坏等一切问题，由卖方承担全部责任。</w:t>
      </w:r>
    </w:p>
    <w:p w14:paraId="1DC82D1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2987F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2D10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伴随服务／售后服务</w:t>
      </w:r>
    </w:p>
    <w:p w14:paraId="390A5C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szCs w:val="21"/>
          <w:highlight w:val="none"/>
        </w:rPr>
        <w:t>卖方应按照国家有关法律法规和“三包”规定提供服务。</w:t>
      </w:r>
    </w:p>
    <w:p w14:paraId="58611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color w:val="000000"/>
          <w:szCs w:val="21"/>
          <w:highlight w:val="none"/>
        </w:rPr>
        <w:t>除前款规定外，根据买方需要，卖方还应提供下列服务：</w:t>
      </w:r>
    </w:p>
    <w:p w14:paraId="2AAAC371">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货物的现场安装、调试，卖方应在到货之日起（从次日起算）</w:t>
      </w:r>
      <w:r>
        <w:rPr>
          <w:rFonts w:hint="eastAsia" w:ascii="宋体" w:hAnsi="宋体" w:eastAsia="宋体"/>
          <w:szCs w:val="21"/>
          <w:highlight w:val="none"/>
          <w:u w:val="single"/>
        </w:rPr>
        <w:t xml:space="preserve"> / </w:t>
      </w:r>
      <w:r>
        <w:rPr>
          <w:rFonts w:hint="eastAsia" w:ascii="宋体" w:hAnsi="宋体" w:eastAsia="宋体"/>
          <w:szCs w:val="21"/>
          <w:highlight w:val="none"/>
        </w:rPr>
        <w:t>日内完成；</w:t>
      </w:r>
    </w:p>
    <w:p w14:paraId="48D6F38D">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就货物的安装、启动、运行及维护等对买方人员进行免费培训。</w:t>
      </w:r>
    </w:p>
    <w:p w14:paraId="1B93843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在安装调试期间，卖方应遵守买方安全管理规定，做好自身工作人员安全管理；卖方工作人员自身的一切安全问题，由卖方承担全部责任。</w:t>
      </w:r>
    </w:p>
    <w:p w14:paraId="77155695">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质保期</w:t>
      </w:r>
    </w:p>
    <w:p w14:paraId="795E981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在从合同货物运至交货地点之日起至质量保证期结束之日的期间，如发现卖方提供的合同货物有缺陷，不符合本合同规定时，买方有权选择且卖方需采取以下补救措施：</w:t>
      </w:r>
    </w:p>
    <w:p w14:paraId="08EC367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削价：在买卖双方同意的前提下，对有缺陷的合同货物作削价处理，卖方应将有缺陷的合同货物原合同价与削减后价格之间的差额退回买方。</w:t>
      </w:r>
    </w:p>
    <w:p w14:paraId="3DA6D541">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赔偿损失：除已有规定外，卖方应赔偿买方因采取上述措施所发生的损失。</w:t>
      </w:r>
    </w:p>
    <w:p w14:paraId="23F70C8E">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货款支付</w:t>
      </w:r>
    </w:p>
    <w:p w14:paraId="33D14FA8">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38A6F8F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6039E5EA">
      <w:pPr>
        <w:keepNext w:val="0"/>
        <w:keepLines w:val="0"/>
        <w:pageBreakBefore w:val="0"/>
        <w:numPr>
          <w:ilvl w:val="1"/>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3F9100E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货款以银行转账方式结算。</w:t>
      </w:r>
    </w:p>
    <w:p w14:paraId="64BFAA7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本合同约定的不含税价款不因国家税率变化而变化。在合同履行期间，如遇国家的税率调整或其他政策影响税率的，则价税合计金额做相应调整。</w:t>
      </w:r>
    </w:p>
    <w:p w14:paraId="0FBAB06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22FD9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履约保证金</w:t>
      </w:r>
    </w:p>
    <w:p w14:paraId="08E0E93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b w:val="0"/>
          <w:bCs w:val="0"/>
          <w:sz w:val="21"/>
          <w:szCs w:val="21"/>
          <w:highlight w:val="none"/>
          <w:lang w:eastAsia="zh-CN"/>
        </w:rPr>
      </w:pP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77BD4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0A91250">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
          <w:bCs/>
          <w:color w:val="FF0000"/>
          <w:szCs w:val="21"/>
          <w:highlight w:val="none"/>
        </w:rPr>
      </w:pP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0AE6A5A1">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08FF5C3F">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保密条款</w:t>
      </w:r>
    </w:p>
    <w:p w14:paraId="15485CF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买、卖双方应对因履行合同而取得的另一方的信息、资料等予以保密。未经另一方书面同意，任何一方均不得为与履行合同无关的目的使用或向第三方披露另一方当事人提供的信息、资料。</w:t>
      </w:r>
    </w:p>
    <w:p w14:paraId="4375350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FED735C">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违约责任</w:t>
      </w:r>
    </w:p>
    <w:p w14:paraId="56AD048A">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390A853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szCs w:val="21"/>
          <w:highlight w:val="none"/>
        </w:rPr>
        <w:t>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1DDC254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5343047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5273764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r>
        <w:rPr>
          <w:rFonts w:hint="eastAsia" w:ascii="宋体" w:hAnsi="宋体"/>
          <w:color w:val="000000"/>
          <w:szCs w:val="21"/>
          <w:highlight w:val="none"/>
          <w:lang w:eastAsia="zh-CN"/>
        </w:rPr>
        <w:t>。</w:t>
      </w:r>
    </w:p>
    <w:p w14:paraId="563C8CD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298167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因不可抗力导致买方不能实现合同目的；</w:t>
      </w:r>
    </w:p>
    <w:p w14:paraId="5B21A081">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在合同约定的履行期届满之前，卖方明确表示或者以自己的行为</w:t>
      </w:r>
      <w:r>
        <w:rPr>
          <w:rFonts w:hint="eastAsia" w:ascii="宋体" w:hAnsi="宋体" w:eastAsia="宋体"/>
          <w:szCs w:val="21"/>
          <w:highlight w:val="none"/>
          <w:lang w:val="en-US" w:eastAsia="zh-CN"/>
        </w:rPr>
        <w:t>表</w:t>
      </w:r>
      <w:r>
        <w:rPr>
          <w:rFonts w:hint="eastAsia" w:ascii="宋体" w:hAnsi="宋体" w:eastAsia="宋体"/>
          <w:szCs w:val="21"/>
          <w:highlight w:val="none"/>
        </w:rPr>
        <w:t>明不履行相应义务的；</w:t>
      </w:r>
    </w:p>
    <w:p w14:paraId="6A722857">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卖方延迟履行部分或者全部</w:t>
      </w:r>
      <w:r>
        <w:rPr>
          <w:rFonts w:hint="eastAsia" w:ascii="宋体" w:hAnsi="宋体" w:eastAsia="宋体"/>
          <w:szCs w:val="21"/>
          <w:highlight w:val="none"/>
          <w:lang w:val="en-US" w:eastAsia="zh-CN"/>
        </w:rPr>
        <w:t>义务</w:t>
      </w:r>
      <w:r>
        <w:rPr>
          <w:rFonts w:hint="eastAsia" w:ascii="宋体" w:hAnsi="宋体" w:eastAsia="宋体"/>
          <w:szCs w:val="21"/>
          <w:highlight w:val="none"/>
        </w:rPr>
        <w:t>，</w:t>
      </w:r>
      <w:r>
        <w:rPr>
          <w:rFonts w:hint="eastAsia" w:ascii="宋体" w:hAnsi="宋体" w:eastAsia="宋体"/>
          <w:szCs w:val="21"/>
          <w:highlight w:val="none"/>
          <w:lang w:val="en-US" w:eastAsia="zh-CN"/>
        </w:rPr>
        <w:t>经催告后仍未在买方规定期限履行的；</w:t>
      </w:r>
    </w:p>
    <w:p w14:paraId="583EF530">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w:t>
      </w:r>
      <w:r>
        <w:rPr>
          <w:rFonts w:hint="eastAsia" w:ascii="宋体" w:hAnsi="宋体" w:eastAsia="宋体"/>
          <w:szCs w:val="21"/>
          <w:highlight w:val="none"/>
        </w:rPr>
        <w:t>发生其他</w:t>
      </w:r>
      <w:r>
        <w:rPr>
          <w:rFonts w:hint="eastAsia" w:ascii="宋体" w:hAnsi="宋体" w:eastAsia="宋体"/>
          <w:szCs w:val="21"/>
          <w:highlight w:val="none"/>
          <w:lang w:val="en-US" w:eastAsia="zh-CN"/>
        </w:rPr>
        <w:t>根本违约行为的。</w:t>
      </w:r>
    </w:p>
    <w:p w14:paraId="20B61DA8">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不可抗力</w:t>
      </w:r>
    </w:p>
    <w:p w14:paraId="1B38782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DA92F72">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kern w:val="0"/>
          <w:szCs w:val="21"/>
          <w:highlight w:val="none"/>
        </w:rPr>
      </w:pPr>
      <w:r>
        <w:rPr>
          <w:rFonts w:hint="eastAsia" w:ascii="宋体" w:hAnsi="宋体" w:eastAsia="宋体"/>
          <w:b/>
          <w:bCs/>
          <w:szCs w:val="21"/>
          <w:highlight w:val="none"/>
        </w:rPr>
        <w:t>知识产权</w:t>
      </w:r>
    </w:p>
    <w:p w14:paraId="7F7B898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买方在履行合同过程中提供给卖方的全部图纸、文件和其他含有数据和信息的资料，其知识产权属于买方</w:t>
      </w:r>
      <w:r>
        <w:rPr>
          <w:rFonts w:hint="eastAsia" w:ascii="宋体" w:hAnsi="宋体"/>
          <w:color w:val="000000"/>
          <w:kern w:val="0"/>
          <w:szCs w:val="21"/>
          <w:highlight w:val="none"/>
          <w:lang w:eastAsia="zh-CN"/>
        </w:rPr>
        <w:t>。</w:t>
      </w:r>
    </w:p>
    <w:p w14:paraId="5AB92AF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买方不因签署和履行合同而享有卖方在履行合同过程中提供给买方的图纸、文件、配套软件、电子辅助程序和其他含有数据和信息的资料的知识产权。</w:t>
      </w:r>
    </w:p>
    <w:p w14:paraId="6F5990D9">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卖方保证，买方在使用本合同项下货物或该货物的任何一部分时，免受第三方提出的侵犯其专利权、商标权、著作权或其他知识产权的起诉。</w:t>
      </w:r>
    </w:p>
    <w:p w14:paraId="64AFE567">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00200A8">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合同的变更或终止</w:t>
      </w:r>
    </w:p>
    <w:p w14:paraId="57D66E2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买方有权向卖方发出书面通知，从以下方面对合同内容进行变更，卖方应无条件执行买方的变更要求：</w:t>
      </w:r>
    </w:p>
    <w:p w14:paraId="0E5910E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752B5D4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color w:val="000000"/>
          <w:szCs w:val="21"/>
          <w:highlight w:val="none"/>
          <w:lang w:eastAsia="zh-CN"/>
        </w:rPr>
      </w:pPr>
      <w:r>
        <w:rPr>
          <w:rFonts w:hint="eastAsia" w:ascii="宋体" w:hAnsi="宋体" w:eastAsia="宋体"/>
          <w:color w:val="000000"/>
          <w:szCs w:val="21"/>
          <w:highlight w:val="none"/>
        </w:rPr>
        <w:t>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r>
        <w:rPr>
          <w:rFonts w:hint="eastAsia" w:ascii="宋体" w:hAnsi="宋体"/>
          <w:color w:val="000000"/>
          <w:szCs w:val="21"/>
          <w:highlight w:val="none"/>
          <w:lang w:eastAsia="zh-CN"/>
        </w:rPr>
        <w:t>。</w:t>
      </w:r>
    </w:p>
    <w:p w14:paraId="0DFB6FBB">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除合同另有约定外，本框架合同在下列情况下终止：</w:t>
      </w:r>
    </w:p>
    <w:p w14:paraId="319A93BC">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双方协商同意，并签署书面终止合同；</w:t>
      </w:r>
    </w:p>
    <w:p w14:paraId="5ADB1A7E">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724E2F01">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除非买卖双方签署书面变更合同，并成为本合同不可分割的一部分之情形外，本合同的条款不得有任何变化或修改。</w:t>
      </w:r>
    </w:p>
    <w:p w14:paraId="2C71047C">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b/>
          <w:bCs/>
          <w:szCs w:val="21"/>
          <w:highlight w:val="none"/>
        </w:rPr>
      </w:pPr>
      <w:r>
        <w:rPr>
          <w:rFonts w:hint="eastAsia" w:ascii="宋体" w:hAnsi="宋体" w:eastAsia="宋体"/>
          <w:b/>
          <w:bCs/>
          <w:szCs w:val="21"/>
          <w:highlight w:val="none"/>
        </w:rPr>
        <w:t xml:space="preserve">合同的转让 </w:t>
      </w:r>
    </w:p>
    <w:p w14:paraId="54ADCBA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b/>
          <w:bCs/>
          <w:szCs w:val="21"/>
          <w:highlight w:val="none"/>
        </w:rPr>
      </w:pPr>
      <w:r>
        <w:rPr>
          <w:rFonts w:hint="eastAsia" w:ascii="宋体" w:hAnsi="宋体" w:eastAsia="宋体"/>
          <w:b/>
          <w:bCs/>
          <w:szCs w:val="21"/>
          <w:highlight w:val="none"/>
        </w:rPr>
        <w:t>合同的</w:t>
      </w:r>
      <w:r>
        <w:rPr>
          <w:rFonts w:hint="eastAsia" w:ascii="宋体" w:hAnsi="宋体" w:eastAsia="宋体"/>
          <w:b/>
          <w:bCs/>
          <w:szCs w:val="21"/>
          <w:highlight w:val="none"/>
          <w:lang w:val="en-US" w:eastAsia="zh-CN"/>
        </w:rPr>
        <w:t>有效性</w:t>
      </w:r>
      <w:r>
        <w:rPr>
          <w:rFonts w:hint="eastAsia" w:ascii="宋体" w:hAnsi="宋体" w:eastAsia="宋体"/>
          <w:b/>
          <w:bCs/>
          <w:szCs w:val="21"/>
          <w:highlight w:val="none"/>
        </w:rPr>
        <w:t xml:space="preserve"> </w:t>
      </w:r>
    </w:p>
    <w:p w14:paraId="32D696A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735F8DF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通知送达</w:t>
      </w:r>
    </w:p>
    <w:p w14:paraId="2B119BC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0E522E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28CE27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0"/>
          <w:kern w:val="0"/>
          <w:szCs w:val="21"/>
          <w:highlight w:val="none"/>
          <w:fitText w:val="1470" w:id="88766787"/>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本合同第</w:t>
      </w:r>
      <w:r>
        <w:rPr>
          <w:rFonts w:hint="eastAsia" w:ascii="宋体" w:hAnsi="宋体" w:eastAsia="宋体"/>
          <w:szCs w:val="21"/>
          <w:highlight w:val="none"/>
          <w:lang w:val="en-US" w:eastAsia="zh-CN"/>
        </w:rPr>
        <w:t>19</w:t>
      </w:r>
      <w:r>
        <w:rPr>
          <w:rFonts w:hint="eastAsia" w:ascii="宋体" w:hAnsi="宋体" w:eastAsia="宋体"/>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szCs w:val="21"/>
          <w:highlight w:val="none"/>
          <w:lang w:eastAsia="zh-CN"/>
        </w:rPr>
        <w:t>。</w:t>
      </w:r>
      <w:r>
        <w:rPr>
          <w:rFonts w:hint="eastAsia" w:ascii="宋体" w:hAnsi="宋体" w:eastAsia="宋体"/>
          <w:szCs w:val="21"/>
          <w:highlight w:val="none"/>
        </w:rPr>
        <w:t xml:space="preserve">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3D964F1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本条款为独立条款，不受协议整体或其他条款的效力的影响，始终有效。</w:t>
      </w:r>
    </w:p>
    <w:p w14:paraId="1AF4FAC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cs="Times New Roman"/>
          <w:color w:val="000000"/>
          <w:kern w:val="2"/>
          <w:sz w:val="21"/>
          <w:szCs w:val="21"/>
          <w:highlight w:val="none"/>
        </w:rPr>
      </w:pPr>
      <w:r>
        <w:rPr>
          <w:rFonts w:hint="eastAsia" w:ascii="宋体" w:hAnsi="宋体" w:eastAsia="宋体"/>
          <w:b/>
          <w:bCs/>
          <w:szCs w:val="21"/>
          <w:highlight w:val="none"/>
          <w:lang w:val="en-US" w:eastAsia="zh-CN"/>
        </w:rPr>
        <w:t>合规条款</w:t>
      </w:r>
    </w:p>
    <w:p w14:paraId="33DDE1A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在任何情形下，如果买方有实质性证据证明或有充分且合理的理由认为某一作为或不作为将可能会导致其违</w:t>
      </w:r>
    </w:p>
    <w:p w14:paraId="6EBE376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在任何情形下，买方均不因卖方及关联方所实施的任何不当行为而遭受任何损失（包括但不限于处理第三方</w:t>
      </w:r>
    </w:p>
    <w:p w14:paraId="222243B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索赔所支付的赔偿金、补偿金、诉讼费、仲裁费、保全费、律师费等），对于此等损失均由卖方承担，并且买方有权取消卖方的供应商资格。</w:t>
      </w:r>
    </w:p>
    <w:p w14:paraId="2A2991C3">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适用法律与争议解决</w:t>
      </w:r>
    </w:p>
    <w:p w14:paraId="5E1568FF">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本合同的效力、履行及任何争议仅适用中华人民共和国法律。</w:t>
      </w:r>
    </w:p>
    <w:p w14:paraId="561AC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因本合同引起的或与本合同有关的争议，买卖双方应通过友好协商解决，如果协商不成，双方同意按照以下第（1）种方式处理：</w:t>
      </w:r>
    </w:p>
    <w:p w14:paraId="4F75CB00">
      <w:pPr>
        <w:keepNext w:val="0"/>
        <w:keepLines w:val="0"/>
        <w:pageBreakBefore w:val="0"/>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77AFDA11">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其它</w:t>
      </w:r>
    </w:p>
    <w:p w14:paraId="1E187FC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本合同经双方法定代表人或其授权代表签名（如授权代表签名，卖方需提交法定代表人授权委托书）并加盖公章后生效。合同执行期间，买卖双方均不得随意变更或解除合同。</w:t>
      </w:r>
    </w:p>
    <w:p w14:paraId="37AB11D7">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当买方与卖方之间签署、确认的法律文件之间内容有冲突时，除另有明确书面约定外，其适用顺序如下：</w:t>
      </w:r>
    </w:p>
    <w:p w14:paraId="078ED597">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4BC4A8">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在本合同期限内，任何一方被合并、改组、分立或者转让，其受让人或承继人应当履行该方在本合同项下的任何义务和责任，也不影响另一方或其受让人、承继人根据本合同应当享有的权利和利益。</w:t>
      </w:r>
    </w:p>
    <w:p w14:paraId="3F8D47E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本合同正本（包括附件）一式两份，买方执一份，卖方执一份；副本（包括附件）一式</w:t>
      </w:r>
      <w:r>
        <w:rPr>
          <w:rFonts w:hint="eastAsia" w:ascii="宋体" w:hAnsi="宋体" w:eastAsia="宋体"/>
          <w:szCs w:val="21"/>
          <w:highlight w:val="none"/>
          <w:lang w:val="en-US" w:eastAsia="zh-CN"/>
        </w:rPr>
        <w:t>一</w:t>
      </w:r>
      <w:r>
        <w:rPr>
          <w:rFonts w:hint="eastAsia" w:ascii="宋体" w:hAnsi="宋体" w:eastAsia="宋体"/>
          <w:szCs w:val="21"/>
          <w:highlight w:val="none"/>
        </w:rPr>
        <w:t>份，买方执</w:t>
      </w:r>
      <w:r>
        <w:rPr>
          <w:rFonts w:hint="eastAsia" w:ascii="宋体" w:hAnsi="宋体" w:eastAsia="宋体"/>
          <w:szCs w:val="21"/>
          <w:highlight w:val="none"/>
          <w:lang w:val="en-US" w:eastAsia="zh-CN"/>
        </w:rPr>
        <w:t>一</w:t>
      </w:r>
      <w:r>
        <w:rPr>
          <w:rFonts w:hint="eastAsia" w:ascii="宋体" w:hAnsi="宋体" w:eastAsia="宋体"/>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46F67"/>
    <w:multiLevelType w:val="singleLevel"/>
    <w:tmpl w:val="9A446F67"/>
    <w:lvl w:ilvl="0" w:tentative="0">
      <w:start w:val="1"/>
      <w:numFmt w:val="decimal"/>
      <w:suff w:val="space"/>
      <w:lvlText w:val="%1)"/>
      <w:lvlJc w:val="left"/>
      <w:pPr>
        <w:ind w:left="425" w:hanging="425"/>
      </w:pPr>
      <w:rPr>
        <w:rFonts w:hint="default"/>
      </w:rPr>
    </w:lvl>
  </w:abstractNum>
  <w:abstractNum w:abstractNumId="1">
    <w:nsid w:val="9E3C37DF"/>
    <w:multiLevelType w:val="singleLevel"/>
    <w:tmpl w:val="9E3C37DF"/>
    <w:lvl w:ilvl="0" w:tentative="0">
      <w:start w:val="1"/>
      <w:numFmt w:val="decimal"/>
      <w:lvlText w:val="(%1)"/>
      <w:lvlJc w:val="left"/>
      <w:pPr>
        <w:ind w:left="425" w:hanging="425"/>
      </w:pPr>
      <w:rPr>
        <w:rFonts w:hint="default"/>
      </w:rPr>
    </w:lvl>
  </w:abstractNum>
  <w:abstractNum w:abstractNumId="2">
    <w:nsid w:val="C336724A"/>
    <w:multiLevelType w:val="multilevel"/>
    <w:tmpl w:val="C336724A"/>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C958C514"/>
    <w:multiLevelType w:val="singleLevel"/>
    <w:tmpl w:val="C958C514"/>
    <w:lvl w:ilvl="0" w:tentative="0">
      <w:start w:val="1"/>
      <w:numFmt w:val="decimal"/>
      <w:suff w:val="space"/>
      <w:lvlText w:val="%1)"/>
      <w:lvlJc w:val="left"/>
      <w:pPr>
        <w:ind w:left="425" w:hanging="425"/>
      </w:pPr>
      <w:rPr>
        <w:rFonts w:hint="default"/>
      </w:rPr>
    </w:lvl>
  </w:abstractNum>
  <w:abstractNum w:abstractNumId="4">
    <w:nsid w:val="D971292A"/>
    <w:multiLevelType w:val="singleLevel"/>
    <w:tmpl w:val="D971292A"/>
    <w:lvl w:ilvl="0" w:tentative="0">
      <w:start w:val="1"/>
      <w:numFmt w:val="decimal"/>
      <w:suff w:val="nothing"/>
      <w:lvlText w:val="%1）"/>
      <w:lvlJc w:val="left"/>
    </w:lvl>
  </w:abstractNum>
  <w:abstractNum w:abstractNumId="5">
    <w:nsid w:val="E6CFE336"/>
    <w:multiLevelType w:val="singleLevel"/>
    <w:tmpl w:val="E6CFE336"/>
    <w:lvl w:ilvl="0" w:tentative="0">
      <w:start w:val="1"/>
      <w:numFmt w:val="decimal"/>
      <w:lvlText w:val="(%1)"/>
      <w:lvlJc w:val="left"/>
      <w:pPr>
        <w:ind w:left="425" w:hanging="425"/>
      </w:pPr>
      <w:rPr>
        <w:rFonts w:hint="default"/>
      </w:rPr>
    </w:lvl>
  </w:abstractNum>
  <w:abstractNum w:abstractNumId="6">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7">
    <w:nsid w:val="05D8B839"/>
    <w:multiLevelType w:val="singleLevel"/>
    <w:tmpl w:val="05D8B839"/>
    <w:lvl w:ilvl="0" w:tentative="0">
      <w:start w:val="1"/>
      <w:numFmt w:val="decimal"/>
      <w:suff w:val="space"/>
      <w:lvlText w:val="%1)"/>
      <w:lvlJc w:val="left"/>
      <w:pPr>
        <w:ind w:left="425" w:hanging="425"/>
      </w:pPr>
      <w:rPr>
        <w:rFonts w:hint="default"/>
      </w:rPr>
    </w:lvl>
  </w:abstractNum>
  <w:abstractNum w:abstractNumId="8">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DFB52C"/>
    <w:multiLevelType w:val="singleLevel"/>
    <w:tmpl w:val="2BDFB52C"/>
    <w:lvl w:ilvl="0" w:tentative="0">
      <w:start w:val="1"/>
      <w:numFmt w:val="decimal"/>
      <w:suff w:val="space"/>
      <w:lvlText w:val="%1)"/>
      <w:lvlJc w:val="left"/>
      <w:pPr>
        <w:ind w:left="425" w:hanging="425"/>
      </w:pPr>
      <w:rPr>
        <w:rFonts w:hint="default"/>
      </w:rPr>
    </w:lvl>
  </w:abstractNum>
  <w:abstractNum w:abstractNumId="10">
    <w:nsid w:val="2D2BA49B"/>
    <w:multiLevelType w:val="singleLevel"/>
    <w:tmpl w:val="2D2BA49B"/>
    <w:lvl w:ilvl="0" w:tentative="0">
      <w:start w:val="1"/>
      <w:numFmt w:val="decimal"/>
      <w:suff w:val="space"/>
      <w:lvlText w:val="%1)"/>
      <w:lvlJc w:val="left"/>
      <w:pPr>
        <w:ind w:left="425" w:hanging="425"/>
      </w:pPr>
      <w:rPr>
        <w:rFonts w:hint="default"/>
      </w:rPr>
    </w:lvl>
  </w:abstractNum>
  <w:abstractNum w:abstractNumId="11">
    <w:nsid w:val="2D70F8B0"/>
    <w:multiLevelType w:val="multilevel"/>
    <w:tmpl w:val="2D70F8B0"/>
    <w:lvl w:ilvl="0" w:tentative="0">
      <w:start w:val="1"/>
      <w:numFmt w:val="decimal"/>
      <w:suff w:val="nothing"/>
      <w:lvlText w:val="%1.  "/>
      <w:lvlJc w:val="left"/>
      <w:pPr>
        <w:tabs>
          <w:tab w:val="left" w:pos="0"/>
        </w:tabs>
        <w:ind w:left="425" w:hanging="425"/>
      </w:pPr>
      <w:rPr>
        <w:rFonts w:hint="default"/>
        <w:b/>
        <w:bCs/>
      </w:rPr>
    </w:lvl>
    <w:lvl w:ilvl="1" w:tentative="0">
      <w:start w:val="1"/>
      <w:numFmt w:val="decimal"/>
      <w:suff w:val="space"/>
      <w:lvlText w:val="%1.%2"/>
      <w:lvlJc w:val="left"/>
      <w:pPr>
        <w:tabs>
          <w:tab w:val="left" w:pos="0"/>
        </w:tabs>
        <w:ind w:left="567" w:hanging="567"/>
      </w:pPr>
      <w:rPr>
        <w:rFonts w:hint="default"/>
        <w:b w:val="0"/>
        <w:bCs w:val="0"/>
        <w:color w:val="auto"/>
      </w:rPr>
    </w:lvl>
    <w:lvl w:ilvl="2" w:tentative="0">
      <w:start w:val="1"/>
      <w:numFmt w:val="decimal"/>
      <w:suff w:val="space"/>
      <w:lvlText w:val="%1.%2.%3"/>
      <w:lvlJc w:val="left"/>
      <w:pPr>
        <w:tabs>
          <w:tab w:val="left" w:pos="42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14">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6E9FA8FF"/>
    <w:multiLevelType w:val="singleLevel"/>
    <w:tmpl w:val="6E9FA8FF"/>
    <w:lvl w:ilvl="0" w:tentative="0">
      <w:start w:val="1"/>
      <w:numFmt w:val="decimal"/>
      <w:suff w:val="space"/>
      <w:lvlText w:val="%1)"/>
      <w:lvlJc w:val="left"/>
      <w:pPr>
        <w:ind w:left="425" w:hanging="425"/>
      </w:pPr>
      <w:rPr>
        <w:rFonts w:hint="default"/>
      </w:rPr>
    </w:lvl>
  </w:abstractNum>
  <w:abstractNum w:abstractNumId="17">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7DA92B02"/>
    <w:multiLevelType w:val="singleLevel"/>
    <w:tmpl w:val="7DA92B02"/>
    <w:lvl w:ilvl="0" w:tentative="0">
      <w:start w:val="1"/>
      <w:numFmt w:val="decimal"/>
      <w:suff w:val="space"/>
      <w:lvlText w:val="%1)"/>
      <w:lvlJc w:val="left"/>
      <w:pPr>
        <w:ind w:left="425" w:hanging="425"/>
      </w:pPr>
      <w:rPr>
        <w:rFonts w:hint="default"/>
      </w:rPr>
    </w:lvl>
  </w:abstractNum>
  <w:num w:numId="1">
    <w:abstractNumId w:val="17"/>
  </w:num>
  <w:num w:numId="2">
    <w:abstractNumId w:val="2"/>
  </w:num>
  <w:num w:numId="3">
    <w:abstractNumId w:val="4"/>
  </w:num>
  <w:num w:numId="4">
    <w:abstractNumId w:val="14"/>
  </w:num>
  <w:num w:numId="5">
    <w:abstractNumId w:val="5"/>
  </w:num>
  <w:num w:numId="6">
    <w:abstractNumId w:val="15"/>
  </w:num>
  <w:num w:numId="7">
    <w:abstractNumId w:val="6"/>
  </w:num>
  <w:num w:numId="8">
    <w:abstractNumId w:val="13"/>
  </w:num>
  <w:num w:numId="9">
    <w:abstractNumId w:val="8"/>
  </w:num>
  <w:num w:numId="10">
    <w:abstractNumId w:val="12"/>
  </w:num>
  <w:num w:numId="11">
    <w:abstractNumId w:val="11"/>
  </w:num>
  <w:num w:numId="12">
    <w:abstractNumId w:val="1"/>
  </w:num>
  <w:num w:numId="13">
    <w:abstractNumId w:val="0"/>
  </w:num>
  <w:num w:numId="14">
    <w:abstractNumId w:val="18"/>
  </w:num>
  <w:num w:numId="15">
    <w:abstractNumId w:val="3"/>
  </w:num>
  <w:num w:numId="16">
    <w:abstractNumId w:val="7"/>
  </w:num>
  <w:num w:numId="17">
    <w:abstractNumId w:val="9"/>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B0596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1702"/>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FA4090"/>
    <w:rsid w:val="0F2067B0"/>
    <w:rsid w:val="0F4C33C4"/>
    <w:rsid w:val="0F706100"/>
    <w:rsid w:val="0FB12275"/>
    <w:rsid w:val="0FC6075F"/>
    <w:rsid w:val="0FDF5034"/>
    <w:rsid w:val="10260EB5"/>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7EE681F"/>
    <w:rsid w:val="180A24D2"/>
    <w:rsid w:val="188E75F7"/>
    <w:rsid w:val="197902A7"/>
    <w:rsid w:val="198E2A16"/>
    <w:rsid w:val="19A76BC3"/>
    <w:rsid w:val="19B906A4"/>
    <w:rsid w:val="19C31F4B"/>
    <w:rsid w:val="19DB2D10"/>
    <w:rsid w:val="1A18361C"/>
    <w:rsid w:val="1A240D2C"/>
    <w:rsid w:val="1A5F124B"/>
    <w:rsid w:val="1A903AFB"/>
    <w:rsid w:val="1AAE5D2F"/>
    <w:rsid w:val="1AE9320B"/>
    <w:rsid w:val="1AF8344E"/>
    <w:rsid w:val="1AFC3A63"/>
    <w:rsid w:val="1B2566C4"/>
    <w:rsid w:val="1B291859"/>
    <w:rsid w:val="1B4A3CA9"/>
    <w:rsid w:val="1B860A5A"/>
    <w:rsid w:val="1BAA7B2C"/>
    <w:rsid w:val="1BBE4697"/>
    <w:rsid w:val="1BEA0FE8"/>
    <w:rsid w:val="1C897E65"/>
    <w:rsid w:val="1CA90839"/>
    <w:rsid w:val="1CC21F65"/>
    <w:rsid w:val="1CE75528"/>
    <w:rsid w:val="1CEC6D48"/>
    <w:rsid w:val="1D21411F"/>
    <w:rsid w:val="1D2C40BC"/>
    <w:rsid w:val="1D5C4168"/>
    <w:rsid w:val="1D7E7C3A"/>
    <w:rsid w:val="1DBC6559"/>
    <w:rsid w:val="1DC85359"/>
    <w:rsid w:val="1DD2442A"/>
    <w:rsid w:val="1E312EFF"/>
    <w:rsid w:val="1E450758"/>
    <w:rsid w:val="1E8632EE"/>
    <w:rsid w:val="1EA80E4D"/>
    <w:rsid w:val="1EBB4EBE"/>
    <w:rsid w:val="1ED02EE2"/>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E44F18"/>
    <w:rsid w:val="20FF5536"/>
    <w:rsid w:val="21124FCE"/>
    <w:rsid w:val="21130FE1"/>
    <w:rsid w:val="216141DA"/>
    <w:rsid w:val="21661111"/>
    <w:rsid w:val="21751354"/>
    <w:rsid w:val="21C916A0"/>
    <w:rsid w:val="21EE1107"/>
    <w:rsid w:val="222334A6"/>
    <w:rsid w:val="222C308D"/>
    <w:rsid w:val="22552F34"/>
    <w:rsid w:val="227A50AE"/>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3432D4"/>
    <w:rsid w:val="255F2A47"/>
    <w:rsid w:val="25826736"/>
    <w:rsid w:val="25DA3E7C"/>
    <w:rsid w:val="262E5F76"/>
    <w:rsid w:val="266320C3"/>
    <w:rsid w:val="26C708A4"/>
    <w:rsid w:val="27133AE9"/>
    <w:rsid w:val="275C189F"/>
    <w:rsid w:val="277E1FE6"/>
    <w:rsid w:val="27AC1848"/>
    <w:rsid w:val="28616AD6"/>
    <w:rsid w:val="289F580D"/>
    <w:rsid w:val="28A25500"/>
    <w:rsid w:val="28C826B1"/>
    <w:rsid w:val="28D65B85"/>
    <w:rsid w:val="28E05C4D"/>
    <w:rsid w:val="28F33BD2"/>
    <w:rsid w:val="295E6B72"/>
    <w:rsid w:val="29A273A6"/>
    <w:rsid w:val="29A529F3"/>
    <w:rsid w:val="2A5921FA"/>
    <w:rsid w:val="2B7F044A"/>
    <w:rsid w:val="2B844FB6"/>
    <w:rsid w:val="2B8B1E9A"/>
    <w:rsid w:val="2BA20995"/>
    <w:rsid w:val="2BB90BFC"/>
    <w:rsid w:val="2BF76571"/>
    <w:rsid w:val="2C11436F"/>
    <w:rsid w:val="2C3A1B18"/>
    <w:rsid w:val="2C90798A"/>
    <w:rsid w:val="2CAD4098"/>
    <w:rsid w:val="2CCE400E"/>
    <w:rsid w:val="2CE448E4"/>
    <w:rsid w:val="2CFF6CD5"/>
    <w:rsid w:val="2D1C2FCC"/>
    <w:rsid w:val="2D3C3C89"/>
    <w:rsid w:val="2D832FCE"/>
    <w:rsid w:val="2E4647A4"/>
    <w:rsid w:val="2E884FDF"/>
    <w:rsid w:val="2ECE02F6"/>
    <w:rsid w:val="2F1403FE"/>
    <w:rsid w:val="2F4D3910"/>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5117AD"/>
    <w:rsid w:val="346C4EC4"/>
    <w:rsid w:val="34CC177B"/>
    <w:rsid w:val="354237EC"/>
    <w:rsid w:val="35492DCC"/>
    <w:rsid w:val="354C53DB"/>
    <w:rsid w:val="35B2271F"/>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B63FEE"/>
    <w:rsid w:val="39EE21C7"/>
    <w:rsid w:val="3A12074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D804EB1"/>
    <w:rsid w:val="3DE051EE"/>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75730"/>
    <w:rsid w:val="412A0E7A"/>
    <w:rsid w:val="41886A2A"/>
    <w:rsid w:val="41D7745E"/>
    <w:rsid w:val="420432B8"/>
    <w:rsid w:val="425A2175"/>
    <w:rsid w:val="42642FF3"/>
    <w:rsid w:val="426A4FA5"/>
    <w:rsid w:val="42964976"/>
    <w:rsid w:val="42997141"/>
    <w:rsid w:val="42F73E67"/>
    <w:rsid w:val="433B5A32"/>
    <w:rsid w:val="433E1A96"/>
    <w:rsid w:val="435F188A"/>
    <w:rsid w:val="436D237B"/>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B137364"/>
    <w:rsid w:val="4B907D32"/>
    <w:rsid w:val="4B991F60"/>
    <w:rsid w:val="4CC34DBA"/>
    <w:rsid w:val="4D0C050F"/>
    <w:rsid w:val="4D4E0B28"/>
    <w:rsid w:val="4DB017E2"/>
    <w:rsid w:val="4E0452F6"/>
    <w:rsid w:val="4E5D1622"/>
    <w:rsid w:val="4E726A98"/>
    <w:rsid w:val="4E9764FE"/>
    <w:rsid w:val="4EAA6232"/>
    <w:rsid w:val="4EB943FF"/>
    <w:rsid w:val="4F021BCA"/>
    <w:rsid w:val="4F2C4E99"/>
    <w:rsid w:val="4F4162CB"/>
    <w:rsid w:val="4F55619D"/>
    <w:rsid w:val="4F825B80"/>
    <w:rsid w:val="4F8610E9"/>
    <w:rsid w:val="4F8E7BBB"/>
    <w:rsid w:val="4F9273F2"/>
    <w:rsid w:val="4FB14184"/>
    <w:rsid w:val="4FB235F0"/>
    <w:rsid w:val="4FEB4D54"/>
    <w:rsid w:val="50487AB0"/>
    <w:rsid w:val="50964CC0"/>
    <w:rsid w:val="51087240"/>
    <w:rsid w:val="512978E2"/>
    <w:rsid w:val="51962A9D"/>
    <w:rsid w:val="519A0A3A"/>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96A4F3B"/>
    <w:rsid w:val="5972723B"/>
    <w:rsid w:val="59AA17DC"/>
    <w:rsid w:val="59CA3C2C"/>
    <w:rsid w:val="5AEC372E"/>
    <w:rsid w:val="5B1A7EA6"/>
    <w:rsid w:val="5B2335F4"/>
    <w:rsid w:val="5B415796"/>
    <w:rsid w:val="5B7E4CCE"/>
    <w:rsid w:val="5BAD55B3"/>
    <w:rsid w:val="5C0160DE"/>
    <w:rsid w:val="5C0E6052"/>
    <w:rsid w:val="5C186ED1"/>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72336A"/>
    <w:rsid w:val="63730E90"/>
    <w:rsid w:val="638A48BF"/>
    <w:rsid w:val="63C96D02"/>
    <w:rsid w:val="63D20880"/>
    <w:rsid w:val="63D47B81"/>
    <w:rsid w:val="64654C7D"/>
    <w:rsid w:val="647608C2"/>
    <w:rsid w:val="647F7922"/>
    <w:rsid w:val="64942E6C"/>
    <w:rsid w:val="651A5A67"/>
    <w:rsid w:val="65286901"/>
    <w:rsid w:val="653F54CE"/>
    <w:rsid w:val="657A02B4"/>
    <w:rsid w:val="659770B8"/>
    <w:rsid w:val="65D57BE0"/>
    <w:rsid w:val="65F71905"/>
    <w:rsid w:val="65F77B57"/>
    <w:rsid w:val="661A3845"/>
    <w:rsid w:val="66252916"/>
    <w:rsid w:val="662B15AE"/>
    <w:rsid w:val="668D6F37"/>
    <w:rsid w:val="66FB3677"/>
    <w:rsid w:val="670818F0"/>
    <w:rsid w:val="672C1A82"/>
    <w:rsid w:val="67627252"/>
    <w:rsid w:val="677D22DE"/>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A95EF1"/>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B135C7"/>
    <w:rsid w:val="753541DE"/>
    <w:rsid w:val="754206C3"/>
    <w:rsid w:val="756E3266"/>
    <w:rsid w:val="757302BE"/>
    <w:rsid w:val="75B77529"/>
    <w:rsid w:val="75BC66C7"/>
    <w:rsid w:val="75EA6B03"/>
    <w:rsid w:val="75EC6E50"/>
    <w:rsid w:val="767F6B9B"/>
    <w:rsid w:val="76E9789C"/>
    <w:rsid w:val="77310F4C"/>
    <w:rsid w:val="775841CD"/>
    <w:rsid w:val="77A4715B"/>
    <w:rsid w:val="77A613DD"/>
    <w:rsid w:val="77D777E8"/>
    <w:rsid w:val="780D320A"/>
    <w:rsid w:val="78280044"/>
    <w:rsid w:val="78302F30"/>
    <w:rsid w:val="785410B1"/>
    <w:rsid w:val="792C393E"/>
    <w:rsid w:val="793D18CD"/>
    <w:rsid w:val="79881869"/>
    <w:rsid w:val="79B17BC5"/>
    <w:rsid w:val="79C8563A"/>
    <w:rsid w:val="7A513882"/>
    <w:rsid w:val="7A6510DB"/>
    <w:rsid w:val="7A6D4434"/>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10157</Words>
  <Characters>11172</Characters>
  <Lines>101</Lines>
  <Paragraphs>28</Paragraphs>
  <TotalTime>232</TotalTime>
  <ScaleCrop>false</ScaleCrop>
  <LinksUpToDate>false</LinksUpToDate>
  <CharactersWithSpaces>12314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2026-05-25T11:23:02Z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