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01FE8">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61A754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bookmarkStart w:id="367" w:name="_GoBack"/>
      <w:r>
        <w:rPr>
          <w:rFonts w:hint="eastAsia" w:ascii="Times New Roman" w:hAnsi="Times New Roman" w:eastAsia="宋体" w:cs="宋体"/>
          <w:b/>
          <w:bCs w:val="0"/>
          <w:color w:val="000000"/>
          <w:kern w:val="0"/>
          <w:sz w:val="48"/>
          <w:szCs w:val="28"/>
          <w:highlight w:val="none"/>
          <w:u w:color="000000"/>
          <w:lang w:val="en-US" w:eastAsia="zh-CN" w:bidi="ar"/>
        </w:rPr>
        <w:t>滁州至南京城际铁路（滁州段）一期生活用水改造及车辆段加装过滤装置项目</w:t>
      </w:r>
    </w:p>
    <w:bookmarkEnd w:id="367"/>
    <w:p w14:paraId="2CD5D2F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2E1271B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D3A62A7">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6551BB04">
      <w:pPr>
        <w:pStyle w:val="18"/>
        <w:widowControl/>
        <w:rPr>
          <w:highlight w:val="none"/>
          <w:lang w:val="en-US"/>
        </w:rPr>
      </w:pPr>
      <w:r>
        <w:rPr>
          <w:highlight w:val="none"/>
          <w:lang w:val="en-US"/>
        </w:rPr>
        <w:t xml:space="preserve"> </w:t>
      </w:r>
    </w:p>
    <w:p w14:paraId="2265E232">
      <w:pPr>
        <w:pStyle w:val="18"/>
        <w:widowControl/>
        <w:rPr>
          <w:highlight w:val="none"/>
          <w:lang w:val="en-US"/>
        </w:rPr>
      </w:pPr>
      <w:r>
        <w:rPr>
          <w:highlight w:val="none"/>
          <w:lang w:val="en-US"/>
        </w:rPr>
        <w:t xml:space="preserve"> </w:t>
      </w:r>
    </w:p>
    <w:p w14:paraId="313CB13E">
      <w:pPr>
        <w:pStyle w:val="18"/>
        <w:widowControl/>
        <w:rPr>
          <w:highlight w:val="none"/>
          <w:lang w:val="en-US"/>
        </w:rPr>
      </w:pPr>
      <w:r>
        <w:rPr>
          <w:highlight w:val="none"/>
          <w:lang w:val="en-US"/>
        </w:rPr>
        <w:t xml:space="preserve"> </w:t>
      </w:r>
    </w:p>
    <w:p w14:paraId="1B59EE29">
      <w:pPr>
        <w:pStyle w:val="18"/>
        <w:widowControl/>
        <w:rPr>
          <w:highlight w:val="none"/>
          <w:lang w:val="en-US"/>
        </w:rPr>
      </w:pPr>
      <w:r>
        <w:rPr>
          <w:highlight w:val="none"/>
          <w:lang w:val="en-US"/>
        </w:rPr>
        <w:t xml:space="preserve"> </w:t>
      </w:r>
    </w:p>
    <w:p w14:paraId="15F020CD">
      <w:pPr>
        <w:pStyle w:val="18"/>
        <w:widowControl/>
        <w:ind w:left="0" w:leftChars="0" w:firstLine="0" w:firstLineChars="0"/>
        <w:rPr>
          <w:highlight w:val="none"/>
          <w:lang w:val="en-US"/>
        </w:rPr>
      </w:pPr>
    </w:p>
    <w:p w14:paraId="13060FF7">
      <w:pPr>
        <w:pStyle w:val="18"/>
        <w:widowControl/>
        <w:rPr>
          <w:rFonts w:eastAsia="宋体"/>
          <w:highlight w:val="none"/>
          <w:lang w:val="en-US"/>
        </w:rPr>
      </w:pPr>
      <w:r>
        <w:rPr>
          <w:highlight w:val="none"/>
          <w:lang w:val="en-US"/>
        </w:rPr>
        <w:t xml:space="preserve"> </w:t>
      </w:r>
    </w:p>
    <w:p w14:paraId="72405FB7">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14:paraId="3A101657">
      <w:pPr>
        <w:adjustRightInd w:val="0"/>
        <w:snapToGrid w:val="0"/>
        <w:ind w:firstLine="302" w:firstLineChars="94"/>
        <w:rPr>
          <w:rFonts w:hint="eastAsia" w:ascii="宋体" w:hAnsi="宋体"/>
          <w:b/>
          <w:sz w:val="32"/>
          <w:highlight w:val="none"/>
          <w:u w:val="thick"/>
        </w:rPr>
      </w:pPr>
    </w:p>
    <w:p w14:paraId="2E9A6BF1">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085CEEDC">
      <w:pPr>
        <w:adjustRightInd w:val="0"/>
        <w:snapToGrid w:val="0"/>
        <w:rPr>
          <w:rFonts w:hint="eastAsia" w:ascii="宋体" w:hAnsi="宋体"/>
          <w:spacing w:val="20"/>
          <w:sz w:val="32"/>
          <w:highlight w:val="none"/>
          <w:u w:val="single"/>
        </w:rPr>
      </w:pPr>
    </w:p>
    <w:p w14:paraId="4B01FC1A">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5</w:t>
      </w:r>
      <w:r>
        <w:rPr>
          <w:rFonts w:hint="eastAsia" w:ascii="宋体" w:hAnsi="宋体"/>
          <w:b/>
          <w:sz w:val="32"/>
          <w:highlight w:val="none"/>
          <w:u w:val="thick"/>
        </w:rPr>
        <w:t xml:space="preserve">月            </w:t>
      </w:r>
    </w:p>
    <w:p w14:paraId="57DADD6F">
      <w:pPr>
        <w:pStyle w:val="6"/>
        <w:widowControl/>
        <w:spacing w:before="0" w:beforeAutospacing="0" w:after="120" w:afterAutospacing="0"/>
        <w:ind w:leftChars="200" w:right="0"/>
        <w:rPr>
          <w:highlight w:val="none"/>
          <w:lang w:val="en-US"/>
        </w:rPr>
      </w:pPr>
      <w:r>
        <w:rPr>
          <w:highlight w:val="none"/>
          <w:lang w:val="en-US"/>
        </w:rPr>
        <w:t xml:space="preserve"> </w:t>
      </w:r>
    </w:p>
    <w:p w14:paraId="64F2DFD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49D5674">
      <w:pPr>
        <w:jc w:val="center"/>
        <w:rPr>
          <w:rFonts w:hint="eastAsia" w:ascii="宋体" w:hAnsi="宋体" w:eastAsia="宋体" w:cs="宋体"/>
          <w:b/>
          <w:bCs w:val="0"/>
          <w:color w:val="000000"/>
          <w:kern w:val="0"/>
          <w:sz w:val="36"/>
          <w:szCs w:val="36"/>
          <w:highlight w:val="none"/>
          <w:u w:color="000000"/>
          <w:lang w:val="en-US" w:eastAsia="zh-CN" w:bidi="ar"/>
        </w:rPr>
      </w:pPr>
    </w:p>
    <w:p w14:paraId="68C9FD0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0BBA8ED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502395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648B403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6AE266B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评标办法…………………………………………………………………15</w:t>
      </w:r>
    </w:p>
    <w:p w14:paraId="5A66841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用户需求书………………………………………………………………19</w:t>
      </w:r>
    </w:p>
    <w:p w14:paraId="1436ADDF">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合同条款及格式…………………………………………………………50</w:t>
      </w:r>
    </w:p>
    <w:p w14:paraId="36DFDF3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投标文件格式……………………………………………………………59</w:t>
      </w:r>
    </w:p>
    <w:p w14:paraId="7B3A915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招标人、招标代理机构对本招标文件的确认…………………………66</w:t>
      </w:r>
    </w:p>
    <w:p w14:paraId="7C586AB0">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9713157">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48014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28359002"/>
      <w:bookmarkEnd w:id="6"/>
      <w:bookmarkStart w:id="7" w:name="_Toc28359079"/>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3112DB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一期生活用水改造及车辆段加装过滤装置项目的潜在投标人应在滁州市滁宁城际铁路开发建设有限公司网站（http://czctgs.cn/）获取招标文件，并于2026年5月28日9时00分（北京时间）前递交投标文件。</w:t>
      </w:r>
    </w:p>
    <w:p w14:paraId="03D1232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19F36F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项目名称：滁州至南京城际铁路（滁州段）一期生活用水改造及车辆段加装过滤装置项目</w:t>
      </w:r>
    </w:p>
    <w:p w14:paraId="552C87C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预算金额：55万元</w:t>
      </w:r>
    </w:p>
    <w:p w14:paraId="4AF8BD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最高限价：本项目最高限价为（人民币）550000元，投标报价不得超过最高限价，否则按无效投标处理。</w:t>
      </w:r>
    </w:p>
    <w:p w14:paraId="7F87A8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滁宁城际铁路（滁州段）汊河站、汊河新城站需在消防泵房内加装变频恒压成套给水设备；相官车辆段食堂总进水管路处加装成套水过滤净化设备；控制中心负二层至一层卫生间需将供水引入管改至主楼2-5层变频加压给水管道，详见用户需求书。</w:t>
      </w:r>
    </w:p>
    <w:p w14:paraId="7C85A1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工期：自签订合同之日起30个日历天内按招标人管理制度完成开工报审；120个日历天内完成全部设备安装、调试及验收工作。</w:t>
      </w:r>
    </w:p>
    <w:p w14:paraId="18D3B2AC">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58C6F4C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68CA6C6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投标人须在中华人民共和国境内注册（不含港澳台）并取得营业执照且具有相应供货服务能力。</w:t>
      </w:r>
    </w:p>
    <w:p w14:paraId="72B177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13F522E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2026年5月22日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2026年5月28日</w:t>
      </w:r>
    </w:p>
    <w:p w14:paraId="4C8A0E62">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343A6E1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341CE36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28359005"/>
      <w:bookmarkEnd w:id="11"/>
      <w:bookmarkStart w:id="12" w:name="_Toc58430308"/>
      <w:bookmarkEnd w:id="12"/>
      <w:bookmarkStart w:id="13" w:name="_Toc35393793"/>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2026年5月28日9时00分</w:t>
      </w:r>
      <w:r>
        <w:rPr>
          <w:rFonts w:hint="eastAsia" w:ascii="宋体" w:hAnsi="宋体" w:eastAsia="宋体" w:cs="宋体"/>
          <w:bCs/>
          <w:color w:val="000000"/>
          <w:kern w:val="0"/>
          <w:sz w:val="24"/>
          <w:szCs w:val="24"/>
          <w:highlight w:val="none"/>
          <w:u w:color="000000"/>
          <w:lang w:val="en-US" w:eastAsia="zh-CN" w:bidi="ar"/>
        </w:rPr>
        <w:t>（北京时间）</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龙蟠大道109号（房产商务大厦）6楼622会议室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000000"/>
          <w:kern w:val="0"/>
          <w:sz w:val="24"/>
          <w:szCs w:val="24"/>
          <w:highlight w:val="none"/>
          <w:u w:color="000000"/>
          <w:lang w:val="en-US" w:eastAsia="zh-CN" w:bidi="ar"/>
        </w:rPr>
        <w:fldChar w:fldCharType="begin"/>
      </w:r>
      <w:r>
        <w:rPr>
          <w:rFonts w:hint="eastAsia" w:ascii="宋体" w:hAnsi="宋体" w:eastAsia="宋体" w:cs="宋体"/>
          <w:color w:val="000000"/>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000000"/>
          <w:kern w:val="0"/>
          <w:sz w:val="24"/>
          <w:szCs w:val="24"/>
          <w:highlight w:val="none"/>
          <w:u w:color="000000"/>
          <w:lang w:val="en-US" w:eastAsia="zh-CN" w:bidi="ar"/>
        </w:rPr>
        <w:fldChar w:fldCharType="separate"/>
      </w:r>
      <w:r>
        <w:rPr>
          <w:rFonts w:hint="eastAsia" w:ascii="宋体" w:hAnsi="宋体" w:eastAsia="宋体" w:cs="宋体"/>
          <w:color w:val="000000"/>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000000"/>
          <w:kern w:val="0"/>
          <w:sz w:val="24"/>
          <w:szCs w:val="24"/>
          <w:highlight w:val="none"/>
          <w:u w:color="000000"/>
          <w:lang w:val="en-US" w:eastAsia="zh-CN" w:bidi="ar"/>
        </w:rPr>
        <w:fldChar w:fldCharType="end"/>
      </w:r>
      <w:r>
        <w:rPr>
          <w:rFonts w:hint="eastAsia" w:ascii="宋体" w:hAnsi="宋体" w:eastAsia="宋体" w:cs="宋体"/>
          <w:color w:val="000000"/>
          <w:kern w:val="0"/>
          <w:sz w:val="24"/>
          <w:szCs w:val="24"/>
          <w:highlight w:val="none"/>
          <w:u w:color="000000"/>
          <w:lang w:val="en-US" w:eastAsia="zh-CN" w:bidi="ar"/>
        </w:rPr>
        <w:t>，未在规定时间内发送密码或发送的密码无法正确打开投标文件的，投标文件将被拒绝。</w:t>
      </w:r>
    </w:p>
    <w:p w14:paraId="186381E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w:t>
      </w:r>
      <w:r>
        <w:rPr>
          <w:rFonts w:hint="eastAsia" w:ascii="宋体" w:hAnsi="宋体" w:eastAsia="宋体" w:cs="宋体"/>
          <w:bCs/>
          <w:color w:val="auto"/>
          <w:kern w:val="0"/>
          <w:sz w:val="24"/>
          <w:highlight w:val="none"/>
          <w:u w:color="000000"/>
          <w:lang w:val="en-US" w:eastAsia="zh-CN" w:bidi="ar"/>
        </w:rPr>
        <w:t>不</w:t>
      </w:r>
      <w:r>
        <w:rPr>
          <w:rFonts w:hint="eastAsia" w:ascii="宋体" w:hAnsi="宋体" w:eastAsia="宋体" w:cs="宋体"/>
          <w:bCs/>
          <w:color w:val="auto"/>
          <w:kern w:val="0"/>
          <w:sz w:val="24"/>
          <w:highlight w:val="none"/>
          <w:u w:color="000000"/>
          <w:lang w:bidi="ar"/>
        </w:rPr>
        <w:t>要求。</w:t>
      </w:r>
    </w:p>
    <w:p w14:paraId="0AEACD3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77349B1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195CA3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582FFFE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47F8466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highlight w:val="none"/>
          <w:lang w:eastAsia="zh-CN" w:bidi="ar"/>
        </w:rPr>
        <w:t>13339207910</w:t>
      </w:r>
    </w:p>
    <w:p w14:paraId="41CD5F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082FEF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4DD7911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2BF4BF6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1C43192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2F73EC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项目联系人：杨雅辰、周蓓蕾    </w:t>
      </w:r>
    </w:p>
    <w:p w14:paraId="1D303122">
      <w:pPr>
        <w:pStyle w:val="2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600" w:lineRule="auto"/>
        <w:ind w:left="0" w:right="0" w:firstLine="480" w:firstLineChars="200"/>
        <w:jc w:val="left"/>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w:t>
      </w:r>
      <w:r>
        <w:rPr>
          <w:rFonts w:hint="eastAsia" w:ascii="宋体" w:hAnsi="宋体" w:eastAsia="宋体" w:cs="宋体"/>
          <w:bCs/>
          <w:color w:val="000000"/>
          <w:kern w:val="0"/>
          <w:sz w:val="24"/>
          <w:highlight w:val="none"/>
          <w:lang w:eastAsia="zh-CN" w:bidi="ar"/>
        </w:rPr>
        <w:t>13339207910</w:t>
      </w:r>
      <w:r>
        <w:rPr>
          <w:rFonts w:hint="eastAsia" w:ascii="宋体" w:hAnsi="宋体" w:eastAsia="宋体" w:cs="宋体"/>
          <w:bCs/>
          <w:color w:val="000000"/>
          <w:kern w:val="0"/>
          <w:sz w:val="24"/>
          <w:szCs w:val="24"/>
          <w:highlight w:val="none"/>
          <w:u w:color="000000"/>
          <w:lang w:val="en-US" w:eastAsia="zh-CN" w:bidi="ar"/>
        </w:rPr>
        <w:t>、18005505728</w:t>
      </w:r>
    </w:p>
    <w:p w14:paraId="15B7BEBE">
      <w:pPr>
        <w:keepNext w:val="0"/>
        <w:keepLines w:val="0"/>
        <w:pageBreakBefore w:val="0"/>
        <w:widowControl/>
        <w:numPr>
          <w:ilvl w:val="0"/>
          <w:numId w:val="1"/>
        </w:numPr>
        <w:suppressLineNumbers w:val="0"/>
        <w:kinsoku/>
        <w:overflowPunct/>
        <w:topLinePunct w:val="0"/>
        <w:autoSpaceDE w:val="0"/>
        <w:autoSpaceDN/>
        <w:bidi w:val="0"/>
        <w:adjustRightInd/>
        <w:snapToGrid/>
        <w:spacing w:before="0" w:beforeAutospacing="0" w:after="0" w:afterAutospacing="0" w:line="480" w:lineRule="exact"/>
        <w:ind w:right="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投标人须知</w:t>
      </w:r>
      <w:bookmarkStart w:id="16" w:name="_Toc9559"/>
      <w:bookmarkEnd w:id="16"/>
      <w:bookmarkStart w:id="17" w:name="_Toc28003_WPSOffice_Level2"/>
    </w:p>
    <w:p w14:paraId="46AA4A47">
      <w:pPr>
        <w:keepNext w:val="0"/>
        <w:keepLines w:val="0"/>
        <w:pageBreakBefore w:val="0"/>
        <w:widowControl/>
        <w:numPr>
          <w:ilvl w:val="0"/>
          <w:numId w:val="0"/>
        </w:numPr>
        <w:suppressLineNumbers w:val="0"/>
        <w:kinsoku/>
        <w:overflowPunct/>
        <w:topLinePunct w:val="0"/>
        <w:autoSpaceDE w:val="0"/>
        <w:autoSpaceDN/>
        <w:bidi w:val="0"/>
        <w:adjustRightInd/>
        <w:snapToGrid/>
        <w:spacing w:before="0" w:beforeAutospacing="0" w:after="0" w:afterAutospacing="0" w:line="480" w:lineRule="exact"/>
        <w:ind w:right="0" w:rightChars="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3"/>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14B12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79D18432">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AD19423">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46C92CB0">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DEDF6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E3D3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F79B70">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B5F2B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滁州至南京城际铁路（滁州段）一期生活用水改造及车辆段加装过滤装置项目</w:t>
            </w:r>
          </w:p>
        </w:tc>
      </w:tr>
      <w:tr w14:paraId="41AC80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9888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FDF3EC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DE0AD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343A2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B1A8B0">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06D41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7DD6A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14:paraId="61021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DF297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F17EF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44EE8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杨雅</w:t>
            </w:r>
            <w:r>
              <w:rPr>
                <w:rFonts w:hint="eastAsia" w:ascii="宋体" w:hAnsi="宋体" w:eastAsia="宋体" w:cs="宋体-18030"/>
                <w:color w:val="auto"/>
                <w:sz w:val="21"/>
                <w:szCs w:val="21"/>
                <w:highlight w:val="none"/>
                <w:lang w:val="en-US" w:eastAsia="zh-CN"/>
              </w:rPr>
              <w:t>辰  13339207910</w:t>
            </w:r>
          </w:p>
        </w:tc>
      </w:tr>
      <w:tr w14:paraId="635594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41DC7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B5C7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66BD4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14:paraId="10225E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B4C7F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12C8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E7429AC">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0634E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PrEx>
        <w:trPr>
          <w:cantSplit/>
          <w:trHeight w:val="37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2FB25F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18DD82">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0BD7E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55万元</w:t>
            </w:r>
          </w:p>
        </w:tc>
      </w:tr>
      <w:tr w14:paraId="722D8D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E83B9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2E656D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647838">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550000元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1EB403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0106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51771F">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8EC8EA">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6156BB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E1CB8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A7471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18EA6D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3E7C5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C2D4D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5F999B">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0A01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2046F9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61F25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F75E6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CB3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C30D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FC1684">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36297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D11F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0EE711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DEB2C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23901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06243">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C407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0CDB3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63C30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30C485">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6</w:t>
            </w:r>
            <w:r>
              <w:rPr>
                <w:rFonts w:cs="Times New Roman"/>
                <w:b w:val="0"/>
                <w:bCs w:val="0"/>
                <w:highlight w:val="none"/>
              </w:rPr>
              <w:t>年</w:t>
            </w:r>
            <w:r>
              <w:rPr>
                <w:rFonts w:hint="eastAsia" w:cs="Times New Roman"/>
                <w:b w:val="0"/>
                <w:bCs w:val="0"/>
                <w:highlight w:val="none"/>
                <w:lang w:val="en-US" w:eastAsia="zh-CN"/>
              </w:rPr>
              <w:t>5</w:t>
            </w:r>
            <w:r>
              <w:rPr>
                <w:rFonts w:cs="Times New Roman"/>
                <w:b w:val="0"/>
                <w:bCs w:val="0"/>
                <w:highlight w:val="none"/>
              </w:rPr>
              <w:t>月</w:t>
            </w:r>
            <w:r>
              <w:rPr>
                <w:rFonts w:hint="eastAsia" w:cs="Times New Roman"/>
                <w:b w:val="0"/>
                <w:bCs w:val="0"/>
                <w:highlight w:val="none"/>
                <w:lang w:val="en-US" w:eastAsia="zh-CN"/>
              </w:rPr>
              <w:t>25</w:t>
            </w:r>
            <w:r>
              <w:rPr>
                <w:rFonts w:cs="Times New Roman"/>
                <w:b w:val="0"/>
                <w:bCs w:val="0"/>
                <w:highlight w:val="none"/>
              </w:rPr>
              <w:t>日</w:t>
            </w:r>
            <w:r>
              <w:rPr>
                <w:rFonts w:hint="eastAsia" w:hAnsi="Times New Roman" w:cs="Times New Roman"/>
                <w:b w:val="0"/>
                <w:bCs w:val="0"/>
                <w:highlight w:val="none"/>
                <w:lang w:val="en-US" w:eastAsia="zh-CN"/>
              </w:rPr>
              <w:t>12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5E7EE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35E22">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98D373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EA56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2026年5月25日17时后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5F8061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652E4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9B808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DE0FF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542CEA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4FE3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AFBE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5F3F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代理服务费金额：招标代理费4125元，不含专家评审费（专家评审费用以实际支付为准，预计2000元整）。</w:t>
            </w:r>
          </w:p>
          <w:p w14:paraId="0A2D30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528EA8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7D35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8F7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5F90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6BE6D8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F0CA0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A2366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31B796">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5BC99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AD8C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AD5D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905A8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6917C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8E01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87C1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7F5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89D9D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89E7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51ACA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F37A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28</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9</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C1E36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042F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7B0B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D43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7E305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0D0D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A102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1B60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开标时间：2026年5月28日9时00分（北京时间）</w:t>
            </w:r>
          </w:p>
          <w:p w14:paraId="3557CC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开标地点：滁州市龙蟠大道109号（房产商务大厦）6楼622会议室</w:t>
            </w:r>
          </w:p>
        </w:tc>
      </w:tr>
      <w:tr w14:paraId="285E65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306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457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05D76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4C55DB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1E24F8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5396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B1AE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7E0F93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6F7DE7">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4C3F1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492ED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73FDF5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DEA56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D150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129759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33FE59A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351B8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68D5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F614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0F31E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2E0631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2753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39A2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65246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要求中标人提交履约</w:t>
            </w:r>
            <w:r>
              <w:rPr>
                <w:rFonts w:hint="eastAsia" w:ascii="宋体" w:hAnsi="宋体" w:eastAsia="宋体" w:cs="宋体"/>
                <w:highlight w:val="none"/>
                <w:lang w:val="en-US" w:eastAsia="zh-CN"/>
              </w:rPr>
              <w:t>担保</w:t>
            </w:r>
            <w:r>
              <w:rPr>
                <w:rFonts w:hint="eastAsia" w:ascii="宋体" w:hAnsi="宋体" w:eastAsia="宋体" w:cs="宋体"/>
                <w:highlight w:val="none"/>
              </w:rPr>
              <w:t>。</w:t>
            </w:r>
          </w:p>
          <w:p w14:paraId="7E606E3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形式：支持银行转账、银行电汇、银行保函、担保机构担保、保证保险使用。</w:t>
            </w:r>
          </w:p>
          <w:p w14:paraId="45F5CF1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金额：</w:t>
            </w:r>
            <w:r>
              <w:rPr>
                <w:rFonts w:hint="eastAsia" w:ascii="Times New Roman" w:hAnsi="Times New Roman" w:eastAsia="宋体" w:cs="Times New Roman"/>
                <w:highlight w:val="none"/>
              </w:rPr>
              <w:t>中标合同金额×</w:t>
            </w:r>
            <w:r>
              <w:rPr>
                <w:rFonts w:hint="eastAsia" w:ascii="Times New Roman" w:hAnsi="Times New Roman" w:eastAsia="宋体" w:cs="Times New Roman"/>
                <w:highlight w:val="none"/>
                <w:lang w:val="en-US" w:eastAsia="zh-CN"/>
              </w:rPr>
              <w:t>10</w:t>
            </w:r>
            <w:r>
              <w:rPr>
                <w:rFonts w:hint="eastAsia" w:ascii="Times New Roman" w:hAnsi="Times New Roman" w:eastAsia="宋体" w:cs="Times New Roman"/>
                <w:highlight w:val="none"/>
              </w:rPr>
              <w:t>%</w:t>
            </w:r>
            <w:r>
              <w:rPr>
                <w:rFonts w:hint="eastAsia" w:ascii="宋体" w:hAnsi="宋体" w:eastAsia="宋体" w:cs="宋体"/>
                <w:highlight w:val="none"/>
              </w:rPr>
              <w:t>；</w:t>
            </w:r>
          </w:p>
          <w:p w14:paraId="27FFE6C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收款单位：另行通知                  </w:t>
            </w:r>
          </w:p>
          <w:p w14:paraId="00DAAA8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开户银行：另行通知                 </w:t>
            </w:r>
          </w:p>
          <w:p w14:paraId="60261D1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银行账号：另行通知  </w:t>
            </w:r>
          </w:p>
          <w:p w14:paraId="512DFE8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缴纳时限：中标人须在中标通知书发出后30日内完成履约</w:t>
            </w:r>
            <w:r>
              <w:rPr>
                <w:rFonts w:hint="eastAsia" w:ascii="宋体" w:hAnsi="宋体" w:eastAsia="宋体" w:cs="宋体"/>
                <w:highlight w:val="none"/>
                <w:lang w:val="en-US" w:eastAsia="zh-CN"/>
              </w:rPr>
              <w:t>担保</w:t>
            </w:r>
            <w:r>
              <w:rPr>
                <w:rFonts w:hint="eastAsia" w:ascii="宋体" w:hAnsi="宋体" w:eastAsia="宋体" w:cs="宋体"/>
                <w:highlight w:val="none"/>
              </w:rPr>
              <w:t xml:space="preserve">缴纳及合同签订，如未按期交齐履约保证金或未按期签订合同的，视同放弃中标资格。 </w:t>
            </w:r>
          </w:p>
          <w:p w14:paraId="4FCFC0B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退还时限：</w:t>
            </w:r>
            <w:r>
              <w:rPr>
                <w:rFonts w:hint="eastAsia" w:ascii="宋体" w:hAnsi="宋体" w:eastAsia="宋体" w:cs="宋体"/>
                <w:highlight w:val="none"/>
                <w:lang w:val="en-US" w:eastAsia="zh-CN"/>
              </w:rPr>
              <w:t xml:space="preserve">中标人在本合同约定的服务期限届满并经招标人验收合格后30日内办理履约保证金（或履约保函）退还手续。 </w:t>
            </w:r>
          </w:p>
          <w:p w14:paraId="26233B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其他相关要求：</w:t>
            </w:r>
          </w:p>
          <w:p w14:paraId="271302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1、采用银行保函的具体要求</w:t>
            </w:r>
          </w:p>
          <w:p w14:paraId="6239D505">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①保函形式须为见索即付型（无条件保函）；</w:t>
            </w:r>
          </w:p>
          <w:p w14:paraId="6F24071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②须经招标人认可。</w:t>
            </w:r>
          </w:p>
          <w:p w14:paraId="406C052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2、采用担保保函的具体要求：须经招标人认可。</w:t>
            </w:r>
          </w:p>
          <w:p w14:paraId="0089C70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3、采用商业保险的具体要求：须经招标人认可。</w:t>
            </w:r>
          </w:p>
          <w:p w14:paraId="455A0B2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highlight w:val="none"/>
              </w:rPr>
              <w:t>4、采用第三方担保的具体要求：须经招标人认可。</w:t>
            </w:r>
          </w:p>
        </w:tc>
      </w:tr>
      <w:tr w14:paraId="7B33C6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687B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7E03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工程完工及验收通过后，中标人提交付款申请及工作量清单，招标人审核后并按合同约定扣除索赔款项、违约金等，于30天内向中标人一次性支付结算款的97%，剩余3%待1年质保期满后一次性支付。</w:t>
            </w:r>
          </w:p>
        </w:tc>
      </w:tr>
      <w:tr w14:paraId="1E371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36417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96049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F77B2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485741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9501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21E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D22E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3194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94D8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766F1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498C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E309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4FF1DE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68E2A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A0D4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0AC4F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6F63E2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14:paraId="059027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24D7D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4FA8B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w:t>
            </w:r>
            <w:r>
              <w:rPr>
                <w:rFonts w:hint="eastAsia" w:ascii="Times New Roman" w:hAnsi="Times New Roman" w:eastAsia="宋体" w:cs="Times New Roman"/>
                <w:highlight w:val="none"/>
                <w:lang w:val="en-US" w:eastAsia="zh-CN"/>
              </w:rPr>
              <w:t>招标人保留变更合同签订主体或增加第三方参与合同签订的权利。</w:t>
            </w:r>
          </w:p>
          <w:p w14:paraId="41EFA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7、招标人对本项目执行过程中的所有争议拥有最终的裁决权，投标人应无条件地服从招标人的裁决，不得以任何理由提出增加本项目合同费用和延误本项目工期。</w:t>
            </w:r>
          </w:p>
          <w:p w14:paraId="51826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8、本项目严禁非法转包，一经发现，招标人依法处理。</w:t>
            </w:r>
          </w:p>
        </w:tc>
      </w:tr>
    </w:tbl>
    <w:p w14:paraId="66FE8003">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17C9A56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449D38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0E3FDF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7415B0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09AD4A6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3187F3C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14:paraId="695365B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14:paraId="3EE3943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4A85545F">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44564A7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662DED8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656B64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59761A1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11E88C3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769EAC6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2501DB1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705978E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746F3D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4AAAB3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1D8BE48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5D0E8E5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07A887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610F4AD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（详见第四章评标办法）</w:t>
      </w:r>
    </w:p>
    <w:p w14:paraId="5742EA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4BEDCB41">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CEA47E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438450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3C9E41F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1" w:name="_Toc296602429"/>
      <w:bookmarkEnd w:id="21"/>
      <w:bookmarkStart w:id="22" w:name="_Toc247527563"/>
      <w:bookmarkEnd w:id="22"/>
      <w:bookmarkStart w:id="23" w:name="_Toc247513962"/>
      <w:bookmarkEnd w:id="23"/>
      <w:bookmarkStart w:id="24" w:name="_Toc152045539"/>
      <w:bookmarkEnd w:id="24"/>
      <w:bookmarkStart w:id="25" w:name="_Toc144974507"/>
      <w:bookmarkEnd w:id="25"/>
      <w:bookmarkStart w:id="26" w:name="_Toc152042315"/>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6ED8425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D5AD10E">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943CDED">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49CC04F0">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664EDE5">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5A9CC7D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2D87B0E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667991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 联合投标</w:t>
      </w:r>
    </w:p>
    <w:p w14:paraId="16C8EE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08F70E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0B5D753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3FFA7F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23AD1BFF">
      <w:pPr>
        <w:spacing w:line="360" w:lineRule="auto"/>
        <w:ind w:firstLine="420" w:firstLineChars="200"/>
        <w:rPr>
          <w:rFonts w:hint="eastAsia" w:ascii="宋体"/>
          <w:szCs w:val="21"/>
          <w:highlight w:val="none"/>
        </w:rPr>
      </w:pPr>
      <w:bookmarkStart w:id="28" w:name="_Toc24655"/>
      <w:bookmarkEnd w:id="28"/>
      <w:bookmarkStart w:id="29" w:name="_Toc10668_WPSOffice_Level3"/>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54387F7">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02E25687">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17E2E871">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50B1BB6">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5EA21800">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0E199FBD">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1B2FBB4A">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421FD49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3890C355">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1E7702F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14:paraId="5620FC83">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61211EC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 招标文件的编制依据</w:t>
      </w:r>
    </w:p>
    <w:p w14:paraId="5FF3DC6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1A948F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 招标文件的组成</w:t>
      </w:r>
    </w:p>
    <w:p w14:paraId="4B475B0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57A355B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第一章  招标公告</w:t>
      </w:r>
    </w:p>
    <w:p w14:paraId="10B2E01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第二章  投标须知</w:t>
      </w:r>
    </w:p>
    <w:p w14:paraId="1752288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14:paraId="6D10238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第四章  评标办法</w:t>
      </w:r>
    </w:p>
    <w:p w14:paraId="2398EDE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第五章  用户需求书</w:t>
      </w:r>
    </w:p>
    <w:p w14:paraId="37B88F6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合同条款及格式</w:t>
      </w:r>
    </w:p>
    <w:p w14:paraId="187886B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第七章  投标文件格式</w:t>
      </w:r>
    </w:p>
    <w:p w14:paraId="38CC658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14:paraId="311A98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3F40563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7D7E6D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6B2BF85">
      <w:pPr>
        <w:spacing w:line="440" w:lineRule="exact"/>
        <w:ind w:firstLine="420"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2AE75A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 招标文件的发出</w:t>
      </w:r>
    </w:p>
    <w:p w14:paraId="2672C1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77D851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19.样品</w:t>
      </w:r>
      <w:bookmarkEnd w:id="31"/>
    </w:p>
    <w:p w14:paraId="20DA793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1E81783C">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1F40CE47">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14:paraId="4E43174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14:paraId="538CB80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14:paraId="040871EC">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 投标文件的组成</w:t>
      </w:r>
    </w:p>
    <w:p w14:paraId="2A83C70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val="en-US"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14:paraId="34D8DBB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14:paraId="3ED9BAEF">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14:paraId="3AF4E612">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53765A0D">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14:paraId="108D831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14:paraId="12D0DBD9">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包括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w:t>
      </w:r>
    </w:p>
    <w:p w14:paraId="337A745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14:paraId="67A2F6E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14:paraId="57A545A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14:paraId="225928F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24B7352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8E2BB90">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54BEF1E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除投标人须知前附表另有规定外，投标有效期为60天。</w:t>
      </w:r>
    </w:p>
    <w:p w14:paraId="1BF5286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7F018D6A">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6AE99086">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08E9E09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7749EDA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14:paraId="1B1DB80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bCs w:val="0"/>
          <w:highlight w:val="none"/>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0157167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14:paraId="286B56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7DA5DF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14:paraId="4AF9824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0F241F9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14:paraId="34E8312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7B884CA0">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18CA468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14:paraId="1E5A5BF2">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2283822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722E3AA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203BC21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14:paraId="0FCD1FA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99F5213">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13DBB84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6981901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409899A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BCB440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6923436">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14:paraId="6B92F22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0157C60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14:paraId="3985D34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14:paraId="0B01EBC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53FA51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5E5AF56">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4C97829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2C98505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73B4E9C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B1A972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5094578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1D37B2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2BB48C2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14:paraId="750F17A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章“评标办法”没有规定的方法、评审因素和标准，不作为评标依据。</w:t>
      </w:r>
    </w:p>
    <w:p w14:paraId="2EF7E83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17190F3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757B694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7E58080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F6C751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BD445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491C263">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D85599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684098F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6928153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41827E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54DD55B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279DE8E6">
      <w:pPr>
        <w:tabs>
          <w:tab w:val="left" w:pos="720"/>
        </w:tabs>
        <w:spacing w:line="420" w:lineRule="exact"/>
        <w:ind w:firstLine="420" w:firstLineChars="200"/>
        <w:jc w:val="left"/>
        <w:rPr>
          <w:rFonts w:hint="eastAsia" w:ascii="宋体" w:hAnsi="宋体" w:eastAsia="宋体" w:cs="宋体"/>
          <w:highlight w:val="none"/>
          <w:lang w:val="en-US"/>
        </w:rPr>
      </w:pPr>
      <w:r>
        <w:rPr>
          <w:rFonts w:hint="eastAsia" w:ascii="宋体" w:hAnsi="Times New Roman" w:eastAsia="宋体" w:cs="Times New Roman"/>
          <w:szCs w:val="21"/>
          <w:highlight w:val="none"/>
        </w:rPr>
        <w:t>（4）法律、法规规定的其他情形。</w:t>
      </w:r>
    </w:p>
    <w:p w14:paraId="01E638B2">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14:paraId="416185CB">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33.中标公示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34.评标结果异议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35.定标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36.中标通知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6EE24B61">
      <w:pPr>
        <w:keepNext w:val="0"/>
        <w:keepLines w:val="0"/>
        <w:widowControl w:val="0"/>
        <w:suppressLineNumbers w:val="0"/>
        <w:autoSpaceDE w:val="0"/>
        <w:autoSpaceDN/>
        <w:spacing w:before="0" w:beforeAutospacing="0" w:after="0" w:afterAutospacing="0" w:line="400" w:lineRule="exact"/>
        <w:ind w:left="0" w:right="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黑体" w:hAnsi="宋体" w:eastAsia="黑体" w:cs="宋体"/>
          <w:b/>
          <w:bCs w:val="0"/>
          <w:color w:val="000000"/>
          <w:kern w:val="0"/>
          <w:sz w:val="21"/>
          <w:szCs w:val="21"/>
          <w:highlight w:val="none"/>
          <w:u w:color="000000"/>
          <w:lang w:val="en-US" w:eastAsia="zh-CN" w:bidi="ar"/>
        </w:rPr>
        <w:t xml:space="preserve"> </w:t>
      </w:r>
      <w:bookmarkStart w:id="40" w:name="_Toc7247"/>
      <w:bookmarkEnd w:id="40"/>
      <w:r>
        <w:rPr>
          <w:rFonts w:hint="eastAsia" w:ascii="黑体" w:hAnsi="宋体" w:eastAsia="黑体" w:cs="宋体"/>
          <w:b/>
          <w:bCs w:val="0"/>
          <w:color w:val="000000"/>
          <w:kern w:val="0"/>
          <w:sz w:val="21"/>
          <w:szCs w:val="21"/>
          <w:highlight w:val="none"/>
          <w:u w:color="000000"/>
          <w:lang w:val="en-US" w:eastAsia="zh-CN" w:bidi="ar"/>
        </w:rPr>
        <w:t xml:space="preserve"> 37.</w:t>
      </w:r>
      <w:bookmarkStart w:id="41" w:name="_Toc217446068"/>
      <w:r>
        <w:rPr>
          <w:rFonts w:hint="eastAsia" w:ascii="黑体" w:hAnsi="宋体" w:eastAsia="黑体" w:cs="宋体"/>
          <w:b/>
          <w:bCs w:val="0"/>
          <w:color w:val="000000"/>
          <w:kern w:val="0"/>
          <w:sz w:val="21"/>
          <w:szCs w:val="21"/>
          <w:highlight w:val="none"/>
          <w:u w:color="000000"/>
          <w:lang w:val="en-US" w:eastAsia="zh-CN" w:bidi="ar"/>
        </w:rPr>
        <w:t>履约保证金</w:t>
      </w:r>
      <w:bookmarkEnd w:id="41"/>
    </w:p>
    <w:p w14:paraId="1331EEB6">
      <w:pPr>
        <w:spacing w:line="420" w:lineRule="exact"/>
        <w:ind w:firstLine="420" w:firstLineChars="200"/>
        <w:jc w:val="left"/>
        <w:rPr>
          <w:rFonts w:ascii="宋体" w:hAnsi="Times New Roman" w:eastAsia="宋体" w:cs="Times New Roman"/>
          <w:szCs w:val="21"/>
          <w:highlight w:val="none"/>
        </w:rPr>
      </w:pPr>
      <w:bookmarkStart w:id="42" w:name="_Toc316_WPSOffice_Level3"/>
      <w:bookmarkEnd w:id="42"/>
      <w:bookmarkStart w:id="43"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3"/>
      <w:r>
        <w:rPr>
          <w:rFonts w:hint="eastAsia" w:ascii="宋体" w:hAnsi="Times New Roman" w:eastAsia="宋体" w:cs="Times New Roman"/>
          <w:szCs w:val="21"/>
          <w:highlight w:val="none"/>
        </w:rPr>
        <w:t>在签订合同前，中标人应按投标人须知前附表规定的担保形式和招标文件第</w:t>
      </w:r>
      <w:r>
        <w:rPr>
          <w:rFonts w:hint="eastAsia" w:ascii="宋体" w:hAnsi="Times New Roman" w:eastAsia="宋体" w:cs="Times New Roman"/>
          <w:szCs w:val="21"/>
          <w:highlight w:val="none"/>
          <w:lang w:val="en-US" w:eastAsia="zh-CN"/>
        </w:rPr>
        <w:t>六</w:t>
      </w:r>
      <w:r>
        <w:rPr>
          <w:rFonts w:hint="eastAsia" w:ascii="宋体" w:hAnsi="Times New Roman" w:eastAsia="宋体" w:cs="Times New Roman"/>
          <w:szCs w:val="21"/>
          <w:highlight w:val="none"/>
        </w:rPr>
        <w:t>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.1项要求提交履约担保的，视为放弃中标，给招标人造成的损失，中标人还应当予以赔偿。</w:t>
      </w:r>
    </w:p>
    <w:p w14:paraId="458C332C">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5CF1532">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3315D15F">
      <w:pPr>
        <w:spacing w:line="420" w:lineRule="exact"/>
        <w:ind w:firstLine="420" w:firstLineChars="200"/>
        <w:jc w:val="left"/>
        <w:rPr>
          <w:rFonts w:hint="eastAsia" w:ascii="宋体"/>
          <w:b/>
          <w:color w:val="auto"/>
          <w:sz w:val="32"/>
          <w:szCs w:val="32"/>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48771897">
      <w:pPr>
        <w:rPr>
          <w:rFonts w:hint="eastAsia" w:ascii="宋体"/>
          <w:b/>
          <w:color w:val="auto"/>
          <w:sz w:val="32"/>
          <w:szCs w:val="32"/>
          <w:highlight w:val="none"/>
        </w:rPr>
      </w:pPr>
      <w:r>
        <w:rPr>
          <w:rFonts w:hint="eastAsia" w:ascii="宋体"/>
          <w:b/>
          <w:color w:val="auto"/>
          <w:sz w:val="32"/>
          <w:szCs w:val="32"/>
          <w:highlight w:val="none"/>
        </w:rPr>
        <w:br w:type="page"/>
      </w:r>
    </w:p>
    <w:p w14:paraId="168B1AB6">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4FF62F0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1E00ACD9">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52F4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CC19D4A">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142266E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7C34AD6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070F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70356464">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23A24DE5">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7CE7F292">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w:t>
            </w:r>
            <w:r>
              <w:rPr>
                <w:rFonts w:hint="eastAsia"/>
                <w:color w:val="000000"/>
                <w:highlight w:val="none"/>
                <w:lang w:val="en-US" w:eastAsia="zh-CN"/>
              </w:rPr>
              <w:t>1</w:t>
            </w:r>
            <w:r>
              <w:rPr>
                <w:rFonts w:hint="eastAsia"/>
                <w:color w:val="000000"/>
                <w:highlight w:val="none"/>
              </w:rPr>
              <w:t>）法定代表人身份证明和本人有效身份证(或法定代表人授权委托书和委托代理人有效身份证)</w:t>
            </w:r>
          </w:p>
        </w:tc>
        <w:tc>
          <w:tcPr>
            <w:tcW w:w="3929" w:type="dxa"/>
            <w:noWrap w:val="0"/>
            <w:vAlign w:val="center"/>
          </w:tcPr>
          <w:p w14:paraId="76734E10">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7B0A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29DBC90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1673CA47">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546F0711">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（2）具有独立承担民事责任的能力</w:t>
            </w:r>
          </w:p>
        </w:tc>
        <w:tc>
          <w:tcPr>
            <w:tcW w:w="3929" w:type="dxa"/>
            <w:noWrap w:val="0"/>
            <w:vAlign w:val="center"/>
          </w:tcPr>
          <w:p w14:paraId="7168B65D">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27D073C5">
            <w:pPr>
              <w:keepNext w:val="0"/>
              <w:keepLines w:val="0"/>
              <w:suppressLineNumbers w:val="0"/>
              <w:spacing w:before="0" w:beforeAutospacing="0" w:after="0" w:afterAutospacing="0" w:line="320" w:lineRule="exact"/>
              <w:ind w:left="0" w:right="0"/>
              <w:jc w:val="left"/>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1752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7D4EA2C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222B604D">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58C12D70">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center"/>
          </w:tcPr>
          <w:p w14:paraId="75423EB2">
            <w:pPr>
              <w:keepNext w:val="0"/>
              <w:keepLines w:val="0"/>
              <w:suppressLineNumbers w:val="0"/>
              <w:spacing w:before="0" w:beforeAutospacing="0" w:after="0" w:afterAutospacing="0" w:line="360" w:lineRule="exact"/>
              <w:ind w:left="0" w:right="0"/>
              <w:jc w:val="left"/>
              <w:rPr>
                <w:rFonts w:hint="eastAsia" w:ascii="宋体"/>
                <w:b/>
                <w:color w:val="000000"/>
                <w:szCs w:val="21"/>
                <w:highlight w:val="none"/>
              </w:rPr>
            </w:pPr>
            <w:r>
              <w:rPr>
                <w:rFonts w:hint="eastAsia"/>
                <w:color w:val="000000"/>
                <w:highlight w:val="none"/>
              </w:rPr>
              <w:t>格式见附件，检验电子标书</w:t>
            </w:r>
          </w:p>
        </w:tc>
      </w:tr>
      <w:tr w14:paraId="710F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619BDE9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BF990DE">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7063ABCB">
            <w:pPr>
              <w:keepNext w:val="0"/>
              <w:keepLines w:val="0"/>
              <w:suppressLineNumbers w:val="0"/>
              <w:spacing w:before="0" w:beforeAutospacing="0" w:after="0" w:afterAutospacing="0" w:line="320" w:lineRule="exact"/>
              <w:ind w:left="0" w:right="0"/>
              <w:jc w:val="lef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63E978CD">
            <w:pPr>
              <w:keepNext w:val="0"/>
              <w:keepLines w:val="0"/>
              <w:suppressLineNumbers w:val="0"/>
              <w:spacing w:before="0" w:beforeAutospacing="0" w:after="0" w:afterAutospacing="0" w:line="360" w:lineRule="exact"/>
              <w:ind w:left="0" w:right="0"/>
              <w:jc w:val="left"/>
              <w:rPr>
                <w:rFonts w:hint="eastAsia" w:ascii="宋体"/>
                <w:color w:val="000000"/>
                <w:szCs w:val="21"/>
                <w:highlight w:val="none"/>
              </w:rPr>
            </w:pPr>
            <w:r>
              <w:rPr>
                <w:rFonts w:hint="eastAsia"/>
                <w:color w:val="000000"/>
                <w:highlight w:val="none"/>
              </w:rPr>
              <w:t>格式见附件，检验电子标书</w:t>
            </w:r>
          </w:p>
        </w:tc>
      </w:tr>
    </w:tbl>
    <w:p w14:paraId="415B14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highlight w:val="none"/>
        </w:rPr>
      </w:pPr>
      <w:bookmarkStart w:id="44" w:name="_Toc506107320"/>
      <w:bookmarkStart w:id="45" w:name="_Toc60061492"/>
      <w:bookmarkStart w:id="46" w:name="_Toc95223395"/>
      <w:bookmarkStart w:id="47" w:name="_Toc15058909"/>
      <w:r>
        <w:rPr>
          <w:rFonts w:hint="eastAsia" w:ascii="Times New Roman" w:hAnsi="Times New Roman" w:eastAsia="宋体" w:cs="Times New Roman"/>
          <w:color w:val="000000"/>
          <w:highlight w:val="none"/>
        </w:rPr>
        <w:t>重要提示：</w:t>
      </w:r>
    </w:p>
    <w:p w14:paraId="6E3ED63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lang w:eastAsia="zh-CN"/>
        </w:rPr>
        <w:t>（</w:t>
      </w:r>
      <w:r>
        <w:rPr>
          <w:rFonts w:hint="eastAsia" w:ascii="Times New Roman" w:hAnsi="Times New Roman" w:eastAsia="宋体" w:cs="Times New Roman"/>
          <w:color w:val="000000"/>
          <w:highlight w:val="none"/>
          <w:lang w:val="en-US" w:eastAsia="zh-CN"/>
        </w:rPr>
        <w:t>1）</w:t>
      </w:r>
      <w:r>
        <w:rPr>
          <w:rFonts w:hint="eastAsia" w:ascii="Times New Roman" w:hAnsi="Times New Roman" w:eastAsia="宋体" w:cs="Times New Roman"/>
          <w:color w:val="000000"/>
          <w:highlight w:val="none"/>
        </w:rPr>
        <w:t>评标专家在检验投标文件过程中，如果由于投标人自身原因导致评标专家无法查看并检验投标文件中相关资料的，视为无效标处理。即使投标人将原件携带至现场的，同样按无效标处理</w:t>
      </w:r>
      <w:r>
        <w:rPr>
          <w:rFonts w:hint="eastAsia" w:ascii="Times New Roman" w:hAnsi="Times New Roman" w:eastAsia="宋体" w:cs="Times New Roman"/>
          <w:color w:val="000000"/>
          <w:highlight w:val="none"/>
          <w:lang w:eastAsia="zh-CN"/>
        </w:rPr>
        <w:t>。</w:t>
      </w:r>
    </w:p>
    <w:p w14:paraId="1780212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2.审查办法</w:t>
      </w:r>
      <w:bookmarkEnd w:id="44"/>
      <w:bookmarkEnd w:id="45"/>
      <w:bookmarkEnd w:id="46"/>
      <w:bookmarkEnd w:id="47"/>
    </w:p>
    <w:p w14:paraId="77A0F09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bookmarkStart w:id="48" w:name="_Toc506107321"/>
      <w:bookmarkStart w:id="49" w:name="_Toc324404868"/>
      <w:bookmarkStart w:id="50" w:name="_Toc15058910"/>
      <w:bookmarkStart w:id="51" w:name="_Toc60061493"/>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3AACF25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bookmarkStart w:id="52" w:name="_Toc95223396"/>
      <w:r>
        <w:rPr>
          <w:rFonts w:hint="eastAsia" w:ascii="Times New Roman" w:hAnsi="Times New Roman" w:eastAsia="宋体" w:cs="Times New Roman"/>
          <w:color w:val="000000"/>
          <w:highlight w:val="none"/>
        </w:rPr>
        <w:t>3.资格审查委员会和审查标准</w:t>
      </w:r>
      <w:bookmarkEnd w:id="48"/>
      <w:bookmarkEnd w:id="49"/>
      <w:bookmarkEnd w:id="50"/>
      <w:bookmarkEnd w:id="51"/>
      <w:bookmarkEnd w:id="52"/>
    </w:p>
    <w:p w14:paraId="7D0D4B1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0346726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7E25EDD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发送</w:t>
      </w:r>
      <w:r>
        <w:rPr>
          <w:rFonts w:hint="eastAsia" w:ascii="Times New Roman" w:hAnsi="Times New Roman" w:eastAsia="宋体" w:cs="Times New Roman"/>
          <w:color w:val="000000"/>
          <w:highlight w:val="none"/>
        </w:rPr>
        <w:t>标书或电子标书经审查不合格；</w:t>
      </w:r>
    </w:p>
    <w:p w14:paraId="16E65FD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14:paraId="1FC23E8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bookmarkStart w:id="53" w:name="_Toc95223397"/>
      <w:bookmarkStart w:id="54" w:name="_Toc506107322"/>
      <w:bookmarkStart w:id="55" w:name="_Toc60061494"/>
      <w:bookmarkStart w:id="56" w:name="_Toc324404869"/>
      <w:bookmarkStart w:id="57" w:name="_Toc15058911"/>
      <w:r>
        <w:rPr>
          <w:rFonts w:hint="eastAsia" w:ascii="Times New Roman" w:hAnsi="Times New Roman" w:eastAsia="宋体" w:cs="Times New Roman"/>
          <w:color w:val="000000"/>
          <w:highlight w:val="none"/>
        </w:rPr>
        <w:t>4.审查结果</w:t>
      </w:r>
      <w:bookmarkEnd w:id="53"/>
      <w:bookmarkEnd w:id="54"/>
      <w:bookmarkEnd w:id="55"/>
      <w:bookmarkEnd w:id="56"/>
      <w:bookmarkEnd w:id="57"/>
    </w:p>
    <w:p w14:paraId="243344E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0E854C51">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719145FC">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80B5C20">
      <w:pPr>
        <w:pStyle w:val="6"/>
        <w:numPr>
          <w:ilvl w:val="0"/>
          <w:numId w:val="0"/>
        </w:numPr>
        <w:jc w:val="left"/>
        <w:rPr>
          <w:rFonts w:hint="default" w:eastAsia="宋体"/>
          <w:highlight w:val="none"/>
          <w:lang w:val="en-US" w:eastAsia="zh-CN"/>
        </w:rPr>
      </w:pPr>
      <w:bookmarkStart w:id="58" w:name="_Toc23254"/>
      <w:bookmarkEnd w:id="58"/>
      <w:r>
        <w:rPr>
          <w:rFonts w:hint="eastAsia"/>
          <w:highlight w:val="none"/>
          <w:lang w:val="en-US" w:eastAsia="zh-CN"/>
        </w:rPr>
        <w:t>报价评审：</w:t>
      </w:r>
    </w:p>
    <w:tbl>
      <w:tblPr>
        <w:tblStyle w:val="2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0F50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5EBEB62">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59" w:name="_Toc58430318"/>
            <w:bookmarkStart w:id="60" w:name="_Toc363135205"/>
            <w:bookmarkStart w:id="61" w:name="_Toc267320058"/>
            <w:bookmarkStart w:id="62" w:name="_Toc449028878"/>
            <w:bookmarkStart w:id="63" w:name="_Toc362983802"/>
            <w:r>
              <w:rPr>
                <w:rFonts w:hint="eastAsia" w:ascii="黑体" w:eastAsia="黑体" w:cs="黑体"/>
                <w:b/>
                <w:bCs/>
                <w:color w:val="000000"/>
                <w:szCs w:val="21"/>
                <w:highlight w:val="none"/>
              </w:rPr>
              <w:t>序号</w:t>
            </w:r>
          </w:p>
        </w:tc>
        <w:tc>
          <w:tcPr>
            <w:tcW w:w="4135" w:type="dxa"/>
            <w:gridSpan w:val="2"/>
            <w:noWrap w:val="0"/>
            <w:vAlign w:val="center"/>
          </w:tcPr>
          <w:p w14:paraId="05C60607">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006823B2">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4D23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08F49C0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195C2974">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7E8DDCE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7E589D88">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12F0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5C4E6142">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2150379">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13BE1781">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233B2D47">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2F1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4096C403">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7B56C4A4">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B6E3BBA">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2E55EAD9">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2129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43B19BAC">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F6C308B">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2D61CD2D">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389AC5F7">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09B5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72FD1F77">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79010F83">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7D7CF90D">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工</w:t>
            </w:r>
            <w:r>
              <w:rPr>
                <w:rFonts w:hint="eastAsia" w:ascii="宋体" w:hAnsi="宋体" w:cs="宋体"/>
                <w:color w:val="000000"/>
                <w:szCs w:val="21"/>
                <w:highlight w:val="none"/>
              </w:rPr>
              <w:t>期</w:t>
            </w:r>
          </w:p>
        </w:tc>
        <w:tc>
          <w:tcPr>
            <w:tcW w:w="4173" w:type="dxa"/>
            <w:noWrap w:val="0"/>
            <w:vAlign w:val="center"/>
          </w:tcPr>
          <w:p w14:paraId="121FBD3C">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D86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53CDD4A7">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6F5F6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E846037">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2377BB2F">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7C68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8B16003">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40519968">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24465EF8">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w:t>
            </w:r>
            <w:r>
              <w:rPr>
                <w:rFonts w:hint="eastAsia" w:ascii="宋体" w:hAnsi="宋体" w:cs="宋体"/>
                <w:color w:val="000000"/>
                <w:szCs w:val="21"/>
                <w:highlight w:val="none"/>
              </w:rPr>
              <w:t>价评审</w:t>
            </w:r>
          </w:p>
        </w:tc>
        <w:tc>
          <w:tcPr>
            <w:tcW w:w="4173" w:type="dxa"/>
            <w:noWrap w:val="0"/>
            <w:vAlign w:val="center"/>
          </w:tcPr>
          <w:p w14:paraId="72B7C3D4">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170B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AED6217">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CB4DFA2">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3D4314DF">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2FDB4EA5">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21D182A">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56C9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6727D85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3C5EBBF">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150A99D">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14:paraId="44800BB4">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bookmarkEnd w:id="59"/>
      <w:bookmarkEnd w:id="60"/>
      <w:bookmarkEnd w:id="61"/>
      <w:bookmarkEnd w:id="62"/>
      <w:bookmarkEnd w:id="63"/>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4"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4"/>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5" w:name="_Toc60061499"/>
      <w:bookmarkStart w:id="66" w:name="_Toc15058916"/>
      <w:r>
        <w:rPr>
          <w:rFonts w:hint="eastAsia" w:ascii="宋体" w:hAnsi="宋体" w:eastAsia="宋体" w:cs="宋体"/>
          <w:color w:val="000000"/>
          <w:highlight w:val="none"/>
        </w:rPr>
        <w:t>托的代理机构编</w:t>
      </w:r>
      <w:bookmarkEnd w:id="65"/>
      <w:bookmarkEnd w:id="66"/>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7" w:name="_Toc60061500"/>
      <w:bookmarkStart w:id="68"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7"/>
      <w:bookmarkEnd w:id="68"/>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69" w:name="_Toc15058918"/>
      <w:bookmarkStart w:id="70"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69"/>
      <w:bookmarkEnd w:id="70"/>
      <w:r>
        <w:rPr>
          <w:rFonts w:hint="eastAsia" w:ascii="宋体" w:hAnsi="宋体" w:cs="宋体"/>
          <w:color w:val="000000"/>
          <w:szCs w:val="21"/>
          <w:highlight w:val="none"/>
        </w:rPr>
        <w:t>后，推荐中标候选人，并标明排序。</w:t>
      </w:r>
    </w:p>
    <w:p w14:paraId="7143A2D1">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1" w:name="_Toc95223405"/>
      <w:r>
        <w:rPr>
          <w:rFonts w:hint="eastAsia" w:ascii="宋体" w:hAnsi="Times New Roman" w:eastAsia="宋体" w:cs="Times New Roman"/>
          <w:b/>
          <w:color w:val="000000"/>
          <w:szCs w:val="21"/>
          <w:highlight w:val="none"/>
          <w:lang w:val="en-US" w:eastAsia="zh-CN"/>
        </w:rPr>
        <w:t>评审内容</w:t>
      </w:r>
      <w:bookmarkEnd w:id="71"/>
    </w:p>
    <w:p w14:paraId="260B4007">
      <w:pPr>
        <w:spacing w:line="440" w:lineRule="exact"/>
        <w:ind w:firstLine="315" w:firstLineChars="150"/>
        <w:jc w:val="left"/>
        <w:rPr>
          <w:rFonts w:hint="eastAsia" w:ascii="宋体" w:hAnsi="宋体" w:eastAsia="宋体" w:cs="宋体"/>
          <w:color w:val="000000"/>
          <w:szCs w:val="21"/>
          <w:highlight w:val="none"/>
        </w:rPr>
      </w:pPr>
      <w:bookmarkStart w:id="72"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2"/>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3" w:name="_Toc60061504"/>
      <w:bookmarkStart w:id="74" w:name="_Toc15058921"/>
      <w:r>
        <w:rPr>
          <w:rFonts w:hint="eastAsia" w:ascii="宋体" w:hAnsi="宋体" w:eastAsia="宋体" w:cs="宋体"/>
          <w:color w:val="000000"/>
          <w:szCs w:val="21"/>
          <w:highlight w:val="none"/>
        </w:rPr>
        <w:t>形式性评审标准：</w:t>
      </w:r>
      <w:bookmarkEnd w:id="73"/>
      <w:bookmarkEnd w:id="74"/>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E7F582F">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5"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75"/>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6" w:name="_Toc95223439"/>
      <w:r>
        <w:rPr>
          <w:rFonts w:hint="eastAsia" w:ascii="宋体" w:hAnsi="Times New Roman" w:eastAsia="宋体" w:cs="Times New Roman"/>
          <w:b/>
          <w:color w:val="000000"/>
          <w:szCs w:val="21"/>
          <w:highlight w:val="none"/>
          <w:lang w:val="en-US" w:eastAsia="zh-CN"/>
        </w:rPr>
        <w:t>6.投标文件的澄清和补正</w:t>
      </w:r>
      <w:bookmarkEnd w:id="76"/>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7" w:name="_Toc95223441"/>
      <w:r>
        <w:rPr>
          <w:rFonts w:hint="eastAsia" w:ascii="宋体" w:hAnsi="Times New Roman" w:eastAsia="宋体" w:cs="Times New Roman"/>
          <w:b/>
          <w:color w:val="000000"/>
          <w:szCs w:val="21"/>
          <w:highlight w:val="none"/>
          <w:lang w:val="en-US" w:eastAsia="zh-CN"/>
        </w:rPr>
        <w:t>7.评审结果</w:t>
      </w:r>
      <w:bookmarkEnd w:id="77"/>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8" w:name="_Toc95223442"/>
      <w:r>
        <w:rPr>
          <w:rFonts w:hint="eastAsia" w:ascii="宋体" w:hAnsi="Times New Roman" w:eastAsia="宋体" w:cs="Times New Roman"/>
          <w:b/>
          <w:color w:val="000000"/>
          <w:szCs w:val="21"/>
          <w:highlight w:val="none"/>
          <w:lang w:val="en-US" w:eastAsia="zh-CN"/>
        </w:rPr>
        <w:t>8.其他</w:t>
      </w:r>
      <w:bookmarkEnd w:id="78"/>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6F860D82">
      <w:pPr>
        <w:keepNext w:val="0"/>
        <w:keepLines w:val="0"/>
        <w:pageBreakBefore w:val="0"/>
        <w:widowControl w:val="0"/>
        <w:numPr>
          <w:ilvl w:val="0"/>
          <w:numId w:val="4"/>
        </w:numPr>
        <w:kinsoku/>
        <w:wordWrap/>
        <w:overflowPunct/>
        <w:topLinePunct w:val="0"/>
        <w:autoSpaceDE/>
        <w:autoSpaceDN/>
        <w:bidi w:val="0"/>
        <w:adjustRightInd/>
        <w:snapToGrid w:val="0"/>
        <w:spacing w:before="156" w:beforeLines="50" w:after="156" w:afterLines="50" w:line="520" w:lineRule="exact"/>
        <w:jc w:val="center"/>
        <w:textAlignment w:val="auto"/>
        <w:outlineLvl w:val="0"/>
        <w:rPr>
          <w:rFonts w:hint="eastAsia" w:ascii="宋体" w:cs="宋体"/>
          <w:b/>
          <w:bCs/>
          <w:color w:val="auto"/>
          <w:sz w:val="28"/>
          <w:szCs w:val="28"/>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 xml:space="preserve"> </w:t>
      </w:r>
      <w:r>
        <w:rPr>
          <w:rFonts w:hint="eastAsia" w:ascii="宋体" w:cs="宋体"/>
          <w:b/>
          <w:bCs/>
          <w:color w:val="auto"/>
          <w:sz w:val="28"/>
          <w:szCs w:val="28"/>
          <w:highlight w:val="none"/>
          <w:lang w:eastAsia="zh-CN"/>
        </w:rPr>
        <w:t>用户需求书</w:t>
      </w:r>
    </w:p>
    <w:p w14:paraId="6F5B65F7">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一、工程</w:t>
      </w:r>
      <w:r>
        <w:rPr>
          <w:rFonts w:hint="eastAsia" w:ascii="宋体" w:hAnsi="宋体" w:eastAsia="宋体" w:cs="宋体"/>
          <w:b/>
          <w:sz w:val="21"/>
          <w:szCs w:val="21"/>
          <w:highlight w:val="none"/>
        </w:rPr>
        <w:t>概况</w:t>
      </w:r>
    </w:p>
    <w:p w14:paraId="307EF8B3">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1.1滁宁城际铁路（滁州段）汊河站、汊河新城站需位于消防泵房内加装变频恒压成套给水设备，以稳定车站内供水管道压力，满足车站生产及生活供水需求。</w:t>
      </w:r>
    </w:p>
    <w:p w14:paraId="2A03931F">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1.2滁宁城际铁路（滁州段）相官车辆段食堂饮用水引自集中地埋式生活水池，需位于食堂总进水管路处加装一套成套水过滤净化设备，以进一步改善食堂饮用水水质质量，满足食用饮水安全需求。</w:t>
      </w:r>
    </w:p>
    <w:p w14:paraId="141304DF">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滁宁城际铁路（滁州段）控制中心负二层至一层卫生间原设计采用市政直供用水，常受管道压力波动影响，需位于地下一层停车库内，将该部分卫生间供水引入管更改到主楼2-5层的变频加压给水压力管道上，以稳定卫生间内供水管道压力，满足使用需求。</w:t>
      </w:r>
    </w:p>
    <w:p w14:paraId="4697EBD3">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二、服务内容</w:t>
      </w:r>
    </w:p>
    <w:p w14:paraId="7681A9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2.1汊河站、汊河新城站变频恒压成套给水设备</w:t>
      </w:r>
    </w:p>
    <w:p w14:paraId="5D58F0C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2.1.1工程范围：</w:t>
      </w:r>
    </w:p>
    <w:p w14:paraId="0448BEF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包括汊河站、汊河新城站的变频恒压成套给水设备及材料的采购、安装、调试。</w:t>
      </w:r>
    </w:p>
    <w:p w14:paraId="26AD1A1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2.1.2加装变频给水设备的工作内容如下：</w:t>
      </w:r>
    </w:p>
    <w:p w14:paraId="5DC54A4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利用汊河站、汊河新城站的消防泵房内的安装空间（约2.0m×4.0m），各安装一套变频给水设备。</w:t>
      </w:r>
    </w:p>
    <w:p w14:paraId="4520A49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2.1.3增加变频给水设备的效果：</w:t>
      </w:r>
    </w:p>
    <w:p w14:paraId="75E4F42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可根据用水量的变化自动调节水泵的运行频率，确保供水压力稳定。</w:t>
      </w:r>
    </w:p>
    <w:p w14:paraId="7939B6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2.2相官车辆段食堂成套水过滤</w:t>
      </w:r>
      <w:r>
        <w:rPr>
          <w:rFonts w:hint="eastAsia" w:ascii="宋体" w:hAnsi="宋体" w:cs="宋体"/>
          <w:b/>
          <w:bCs/>
          <w:szCs w:val="21"/>
          <w:highlight w:val="none"/>
          <w:lang w:val="en-US" w:eastAsia="zh-CN"/>
        </w:rPr>
        <w:t>净化</w:t>
      </w:r>
      <w:r>
        <w:rPr>
          <w:rFonts w:hint="eastAsia" w:ascii="宋体" w:hAnsi="宋体" w:eastAsia="宋体" w:cs="宋体"/>
          <w:b/>
          <w:bCs/>
          <w:szCs w:val="21"/>
          <w:highlight w:val="none"/>
          <w:lang w:val="en-US" w:eastAsia="zh-CN"/>
        </w:rPr>
        <w:t>设备</w:t>
      </w:r>
    </w:p>
    <w:p w14:paraId="0E77332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2.2.1工程范围：</w:t>
      </w:r>
    </w:p>
    <w:p w14:paraId="5564F0B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包含相官车辆段食堂内成套水过滤</w:t>
      </w:r>
      <w:r>
        <w:rPr>
          <w:rFonts w:hint="eastAsia" w:ascii="宋体" w:hAnsi="宋体" w:cs="宋体"/>
          <w:kern w:val="0"/>
          <w:szCs w:val="21"/>
          <w:highlight w:val="none"/>
          <w:lang w:val="en-US" w:eastAsia="zh-CN"/>
        </w:rPr>
        <w:t>净化</w:t>
      </w:r>
      <w:r>
        <w:rPr>
          <w:rFonts w:hint="eastAsia" w:ascii="宋体" w:hAnsi="宋体" w:eastAsia="宋体" w:cs="宋体"/>
          <w:kern w:val="0"/>
          <w:szCs w:val="21"/>
          <w:highlight w:val="none"/>
          <w:lang w:val="en-US" w:eastAsia="zh-CN"/>
        </w:rPr>
        <w:t>设备的采购、安装、调试。</w:t>
      </w:r>
    </w:p>
    <w:p w14:paraId="2F69AAB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2.2.2加装净水器工作内容如下：</w:t>
      </w:r>
    </w:p>
    <w:p w14:paraId="53BD7C8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w:t>
      </w:r>
      <w:r>
        <w:rPr>
          <w:rFonts w:hint="eastAsia" w:ascii="宋体" w:hAnsi="宋体" w:cs="宋体"/>
          <w:kern w:val="0"/>
          <w:szCs w:val="21"/>
          <w:highlight w:val="none"/>
          <w:lang w:val="en-US" w:eastAsia="zh-CN"/>
        </w:rPr>
        <w:t>对</w:t>
      </w:r>
      <w:r>
        <w:rPr>
          <w:rFonts w:hint="eastAsia" w:ascii="宋体" w:hAnsi="宋体" w:eastAsia="宋体" w:cs="宋体"/>
          <w:kern w:val="0"/>
          <w:szCs w:val="21"/>
          <w:highlight w:val="none"/>
          <w:lang w:val="en-US" w:eastAsia="zh-CN"/>
        </w:rPr>
        <w:t>食堂区域对饮用水部分新增工业级净化过滤装置；</w:t>
      </w:r>
    </w:p>
    <w:p w14:paraId="77D43F2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（2）对厨房区域给水管路、排水管路、阀门点位进行改造。</w:t>
      </w:r>
    </w:p>
    <w:p w14:paraId="7B86E6E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2.2.3增加净水器的效果：</w:t>
      </w:r>
    </w:p>
    <w:p w14:paraId="64249EB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（1）对相官车辆段食堂炉灶间及粗加工间区域的日常供水提供水质过滤、净化的功能；</w:t>
      </w:r>
    </w:p>
    <w:p w14:paraId="45CFCB8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（2）对相官车辆段食堂炉灶间及粗加工间区域的日常供水增设检修旁通管路，用于日常检修或设备故障时的临时供水。</w:t>
      </w:r>
    </w:p>
    <w:p w14:paraId="62AF2A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2.3控制中心生活水管改造</w:t>
      </w:r>
    </w:p>
    <w:p w14:paraId="7110457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2.3.1工程范围：</w:t>
      </w:r>
    </w:p>
    <w:p w14:paraId="21D8908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包含控制中心地下一层水</w:t>
      </w:r>
      <w:r>
        <w:rPr>
          <w:rFonts w:hint="eastAsia" w:ascii="宋体" w:hAnsi="宋体" w:cs="宋体"/>
          <w:kern w:val="0"/>
          <w:szCs w:val="21"/>
          <w:highlight w:val="none"/>
          <w:lang w:val="en-US" w:eastAsia="zh-CN"/>
        </w:rPr>
        <w:t>路</w:t>
      </w:r>
      <w:r>
        <w:rPr>
          <w:rFonts w:hint="eastAsia" w:ascii="宋体" w:hAnsi="宋体" w:eastAsia="宋体" w:cs="宋体"/>
          <w:kern w:val="0"/>
          <w:szCs w:val="21"/>
          <w:highlight w:val="none"/>
          <w:lang w:val="en-US" w:eastAsia="zh-CN"/>
        </w:rPr>
        <w:t>改造材料的采购、安装、调试。</w:t>
      </w:r>
    </w:p>
    <w:p w14:paraId="6D75A42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2.3.2控制中心生活水管改造工作内容如下：</w:t>
      </w:r>
    </w:p>
    <w:p w14:paraId="46C3106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（1）自低区加压管道JL-A2</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DN80</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增设支管及阀门、水表，接入原有JL-A12</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DN50</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管路；</w:t>
      </w:r>
    </w:p>
    <w:p w14:paraId="5FF6148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（2）保留原有JL-A12(DN50</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管路增设旁通闸阀。</w:t>
      </w:r>
    </w:p>
    <w:p w14:paraId="4CC5D34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2.3.3控制中心生活水管改造的效果：</w:t>
      </w:r>
    </w:p>
    <w:p w14:paraId="6C8DEF5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保留原有市政供水功能的条件下，增设加压供水方式。确保供水压力稳定。</w:t>
      </w:r>
    </w:p>
    <w:p w14:paraId="4AA217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2.4合同期限</w:t>
      </w:r>
    </w:p>
    <w:p w14:paraId="6CE83D8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自签订合同之日起30个日历天内按招标人管理制度完成开工报审；120个日历天内完成全部设备安装、调试及验收工作。</w:t>
      </w:r>
    </w:p>
    <w:p w14:paraId="0966FAE5">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三、标准技术规范</w:t>
      </w:r>
    </w:p>
    <w:p w14:paraId="091E937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3.1技术标准</w:t>
      </w:r>
    </w:p>
    <w:p w14:paraId="747A6B5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本项工程的设计、制造、安装、测试以及使用的材料，均将遵守如下标准：</w:t>
      </w:r>
    </w:p>
    <w:p w14:paraId="3E2F20D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●《地铁设计规范》（GB50157-2013）</w:t>
      </w:r>
    </w:p>
    <w:p w14:paraId="2710C44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●《城市轨道交通工程项目建设标准》（建标104－2008）</w:t>
      </w:r>
    </w:p>
    <w:p w14:paraId="400B545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●《城市轨道交通技术规范》(GB50490-2009)</w:t>
      </w:r>
    </w:p>
    <w:p w14:paraId="11AC0AC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●《建筑给水排水设计标准》（GB50015-2019）</w:t>
      </w:r>
    </w:p>
    <w:p w14:paraId="44F2A13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●《建筑设计防火规范》(GB50016-2018)</w:t>
      </w:r>
    </w:p>
    <w:p w14:paraId="5A209DE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●《建设工程施工现场消防安全技术规范》（GB50720-2011）</w:t>
      </w:r>
    </w:p>
    <w:p w14:paraId="447BBA9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●《地下铁道工程施工及验收规范》（GB50299-1999）(2003年版)</w:t>
      </w:r>
    </w:p>
    <w:p w14:paraId="77278B0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●《现场设备、工业管道焊接工程施工及验收规范》（GB50236-2011）</w:t>
      </w:r>
    </w:p>
    <w:p w14:paraId="1EA863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●《给水排水管道工程施工及验收规范》（GB50268-2008）</w:t>
      </w:r>
    </w:p>
    <w:p w14:paraId="09F65E6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●《流体输送用不锈钢焊接标准》（GB/T12771—2008）</w:t>
      </w:r>
    </w:p>
    <w:p w14:paraId="09BB1A8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●《建筑给水薄壁不锈钢管管道工程技术规程》（CECS277—2010）</w:t>
      </w:r>
    </w:p>
    <w:p w14:paraId="5D441D1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●《生活饮用水卫生标准》GB5749-2022</w:t>
      </w:r>
    </w:p>
    <w:p w14:paraId="3147CE4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●《人机界面标志标识的基本和安全规则设备端子、导体终端和导体的标识》（GB/T4026-2025）</w:t>
      </w:r>
    </w:p>
    <w:p w14:paraId="5713C74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●《不锈钢冷轧钢板和钢带》（GB/T328-2015）</w:t>
      </w:r>
    </w:p>
    <w:p w14:paraId="68BD37E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●《金属材料熔焊质量要求第3部分：一般质量要求》（GB/T12467.3-2009）</w:t>
      </w:r>
    </w:p>
    <w:p w14:paraId="28BA778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●《城镇机电紫外线消毒设备》（GB/T19837-2019）</w:t>
      </w:r>
    </w:p>
    <w:p w14:paraId="6BB11DF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●《建筑机电工程抗震设计规范》(GB50981）</w:t>
      </w:r>
    </w:p>
    <w:p w14:paraId="612470B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●《机械设备安装工程施工及验收通用规范》(GB50231)</w:t>
      </w:r>
    </w:p>
    <w:p w14:paraId="7C84765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●《生活饮用水卫生标准》（GB5749）</w:t>
      </w:r>
    </w:p>
    <w:p w14:paraId="077FA03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●《生活饮用水外置式膜过滤系统设计规范》GB/T39808-2021；</w:t>
      </w:r>
    </w:p>
    <w:p w14:paraId="79811EC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●《综合布线系统工程验收规范》GB/T50312-2016；</w:t>
      </w:r>
    </w:p>
    <w:p w14:paraId="304D56C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●《家用和类似用途饮用水处理滤芯》GB/T30306—2024；</w:t>
      </w:r>
    </w:p>
    <w:p w14:paraId="47A40E7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●《生活饮用水水质处理器卫生安全与功能评价规范》——一般水质处理器；</w:t>
      </w:r>
    </w:p>
    <w:p w14:paraId="059FFE2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●质量安全体系应符合ISO9001标准；</w:t>
      </w:r>
    </w:p>
    <w:p w14:paraId="7166279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●环境管理体系应符合ISO14000标准；</w:t>
      </w:r>
    </w:p>
    <w:p w14:paraId="4CDA4C5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●《电气装置安装工程施工及验收规范》</w:t>
      </w:r>
    </w:p>
    <w:p w14:paraId="3F36C2B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●国家最新有关标准；</w:t>
      </w:r>
    </w:p>
    <w:p w14:paraId="3174B59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●本要求中特别指定和制定的标准及技术要求</w:t>
      </w:r>
    </w:p>
    <w:p w14:paraId="10F008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公认的中华人民共和国行业标准（同项规定的，按标准内最高要求执行或按双方商定的标准执行）上述技术标准和规范如有不涉及之处或未能达到国际和国家最新标准时，投标人应使系统符合最新版本的国际和国家标准、规范，并提供所采用的国际和国家标准、规范以及所采用版本的有关技术资料。</w:t>
      </w:r>
    </w:p>
    <w:p w14:paraId="4C26D8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bookmarkStart w:id="79" w:name="_Toc440531487"/>
      <w:r>
        <w:rPr>
          <w:rFonts w:hint="eastAsia" w:ascii="宋体" w:hAnsi="宋体" w:eastAsia="宋体" w:cs="宋体"/>
          <w:b/>
          <w:bCs/>
          <w:color w:val="auto"/>
          <w:sz w:val="21"/>
          <w:szCs w:val="21"/>
          <w:highlight w:val="none"/>
          <w:lang w:val="en-US" w:eastAsia="zh-CN"/>
        </w:rPr>
        <w:t>3.2技术要求</w:t>
      </w:r>
      <w:bookmarkEnd w:id="79"/>
    </w:p>
    <w:p w14:paraId="177581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（一）汊河站、汊河新城站加装变频给水系统</w:t>
      </w:r>
    </w:p>
    <w:p w14:paraId="2145EB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3.2.1变频给水设备</w:t>
      </w:r>
    </w:p>
    <w:p w14:paraId="6C14030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3.2.1.1变频给水设备（以下简称整机）包括气压罐、水泵（含电机）、控制柜（含变频器、可编程控制器及其他元器件）、食品级组合式不锈钢水箱、紫外线消毒设备、压力传感器、蜂鸣器、混凝土基础等部分组成。整机为一体式结构，应高效节能、运行安全可靠、管理方便、供水压力稳定、流量连续可调。整机性能参数符合设计要求。整机配套使用的部件、材料均应选用国家标准（行业标准）的产品。</w:t>
      </w:r>
    </w:p>
    <w:p w14:paraId="11DFAF6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3.2.1.2整机内部和构件表面应作防锈和防腐处理，处理方法和要求应符合国家及行业相关标准规定。</w:t>
      </w:r>
    </w:p>
    <w:p w14:paraId="162C94B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3.2.1.3整机表面应无明显的划伤、锈斑和压痕，表面整洁、美观光滑、喷涂层均匀，色调一致，无流痕、气泡和剥落。</w:t>
      </w:r>
    </w:p>
    <w:p w14:paraId="79225E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3.2.2变频增压泵</w:t>
      </w:r>
    </w:p>
    <w:p w14:paraId="6C65CF3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3.2.2.1水泵参数：380V；流量≥20m³/h；扬程≥30m；功率≥3.0kW。</w:t>
      </w:r>
    </w:p>
    <w:p w14:paraId="3753BBD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3.2.2.2水泵的运转应平稳、自如、无卡阻现象。</w:t>
      </w:r>
    </w:p>
    <w:p w14:paraId="6CBEFED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3.2.2.3水泵的震动值、噪声级以及安全性能的要求应符合国家及行业相关标准规定。</w:t>
      </w:r>
    </w:p>
    <w:p w14:paraId="0419788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3.2.2.4名优产品，应能适应变频器的变频控制要求，且电机转子内应有热敏电阻传感器。电机防护等级IP54及以上，绝缘等级F级。轴承选用精密轴承，泵轴应采用不锈钢420级别以上，</w:t>
      </w:r>
      <w:bookmarkStart w:id="80" w:name="_Toc6423"/>
      <w:bookmarkStart w:id="81" w:name="_Toc12684"/>
      <w:bookmarkStart w:id="82" w:name="_Toc28235"/>
      <w:bookmarkStart w:id="83" w:name="_Toc12889"/>
      <w:bookmarkStart w:id="84" w:name="_Toc6979"/>
      <w:bookmarkStart w:id="85" w:name="_Toc10695"/>
      <w:bookmarkStart w:id="86" w:name="_Toc25474"/>
      <w:bookmarkStart w:id="87" w:name="_Toc19586"/>
      <w:bookmarkStart w:id="88" w:name="_Toc9074"/>
      <w:r>
        <w:rPr>
          <w:rFonts w:hint="eastAsia" w:ascii="宋体" w:hAnsi="宋体" w:eastAsia="宋体" w:cs="宋体"/>
          <w:kern w:val="0"/>
          <w:szCs w:val="21"/>
          <w:highlight w:val="none"/>
          <w:lang w:val="en-US" w:eastAsia="zh-CN"/>
        </w:rPr>
        <w:t>叶轮制造材料应不小于不锈钢304</w:t>
      </w:r>
      <w:r>
        <w:rPr>
          <w:rFonts w:hint="eastAsia" w:ascii="宋体" w:hAnsi="宋体" w:cs="宋体"/>
          <w:kern w:val="0"/>
          <w:szCs w:val="21"/>
          <w:highlight w:val="none"/>
          <w:lang w:val="en-US" w:eastAsia="zh-CN"/>
        </w:rPr>
        <w:t>。</w:t>
      </w:r>
      <w:bookmarkEnd w:id="80"/>
      <w:bookmarkEnd w:id="81"/>
      <w:bookmarkEnd w:id="82"/>
      <w:bookmarkEnd w:id="83"/>
      <w:bookmarkEnd w:id="84"/>
      <w:bookmarkEnd w:id="85"/>
      <w:bookmarkEnd w:id="86"/>
      <w:bookmarkEnd w:id="87"/>
      <w:bookmarkEnd w:id="88"/>
    </w:p>
    <w:p w14:paraId="2998BC0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3.2.2.5密封采用机械密封。</w:t>
      </w:r>
    </w:p>
    <w:p w14:paraId="3DDA211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3.2.2.6水泵基座采用碳钢，并做好防锈、防腐处理。</w:t>
      </w:r>
    </w:p>
    <w:p w14:paraId="39ACD4A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3.2.2.7现场安装空间环境约2.0m×4.0m，要求设备整体尺寸满足空间条件。</w:t>
      </w:r>
    </w:p>
    <w:p w14:paraId="6BBB12D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3.2.2.8水泵应有旋转方向标志</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铭牌应平整光洁，文字、符号、线条应清晰，具体内容及要求应符合《GB/T13306-2011标牌》的规定。</w:t>
      </w:r>
    </w:p>
    <w:p w14:paraId="79EB180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3.2.2.9需配备设备名称标识标贴。</w:t>
      </w:r>
    </w:p>
    <w:p w14:paraId="0991A6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3.2.3控制柜</w:t>
      </w:r>
    </w:p>
    <w:p w14:paraId="53E4985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3.2.3.1当一台泵出现故障时，其它水泵自动切换投入运行。每台水泵应由单独开关控制，且主开关和分开关应具有选择性闭锁。</w:t>
      </w:r>
    </w:p>
    <w:p w14:paraId="6A62B9C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3.2.3.2当变频器、PLC机出现故障时，控制柜应有保护措施，并应预留RS485通信接口。</w:t>
      </w:r>
    </w:p>
    <w:p w14:paraId="6326085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3.2.3.3控制柜中所用的导线、指示灯和按钮的颜色应符合国家标准《人机界面标志标识的基本和安全规则，设备端子、导体终端和导体的标识》GB/T4026-2025的规定。</w:t>
      </w:r>
    </w:p>
    <w:p w14:paraId="58298C0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3.2.3.4控制柜应保证水泵可根据水泵工作次数、工作时间依次自动轮换运行，先启先停。当水泵出现过热、过载、过流、短路、缺相、过压等情况时，控制柜应有保护措施。当出现瞬时断电时控制柜的记忆贮存不能丢失，如何实施请</w:t>
      </w:r>
      <w:r>
        <w:rPr>
          <w:rFonts w:hint="eastAsia" w:ascii="宋体" w:hAnsi="宋体" w:cs="宋体"/>
          <w:kern w:val="0"/>
          <w:szCs w:val="21"/>
          <w:highlight w:val="none"/>
          <w:lang w:val="en-US" w:eastAsia="zh-CN"/>
        </w:rPr>
        <w:t>中标人做好解释</w:t>
      </w:r>
      <w:r>
        <w:rPr>
          <w:rFonts w:hint="eastAsia" w:ascii="宋体" w:hAnsi="宋体" w:eastAsia="宋体" w:cs="宋体"/>
          <w:kern w:val="0"/>
          <w:szCs w:val="21"/>
          <w:highlight w:val="none"/>
          <w:lang w:val="en-US" w:eastAsia="zh-CN"/>
        </w:rPr>
        <w:t>说明。</w:t>
      </w:r>
    </w:p>
    <w:p w14:paraId="6D64F38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3.2.3.5控制柜应能防尘、防潮，防护等级为IP54。控制柜材质为冷轧钢板，钢板表面除锈处理后采用静电喷涂。</w:t>
      </w:r>
    </w:p>
    <w:p w14:paraId="11DA47E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3.2.3.6控制柜应有电源指示灯及开关、每台水泵工况（启、停、故障）指示灯及开关、水位指示灯、手/自动状态指示灯及切换开关，且有功能标志。</w:t>
      </w:r>
    </w:p>
    <w:p w14:paraId="549EF77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3.2.3.7变频控制柜变频器和可编程控制器采用优质品牌产品，同时配以优质低压电器。</w:t>
      </w:r>
    </w:p>
    <w:p w14:paraId="7CFD94F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3.2.3.8主要开关、交流接触器、热继电器选用优质品牌产品</w:t>
      </w:r>
      <w:r>
        <w:rPr>
          <w:rFonts w:hint="eastAsia" w:ascii="宋体" w:hAnsi="宋体" w:cs="宋体"/>
          <w:kern w:val="0"/>
          <w:szCs w:val="21"/>
          <w:highlight w:val="none"/>
          <w:lang w:val="en-US" w:eastAsia="zh-CN"/>
        </w:rPr>
        <w:t>。</w:t>
      </w:r>
    </w:p>
    <w:p w14:paraId="19FC08B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3.2.3.9</w:t>
      </w:r>
      <w:r>
        <w:rPr>
          <w:rFonts w:hint="eastAsia" w:ascii="宋体" w:hAnsi="宋体" w:cs="宋体"/>
          <w:kern w:val="0"/>
          <w:szCs w:val="21"/>
          <w:highlight w:val="none"/>
          <w:lang w:val="en-US" w:eastAsia="zh-CN"/>
        </w:rPr>
        <w:t>中标人</w:t>
      </w:r>
      <w:r>
        <w:rPr>
          <w:rFonts w:hint="eastAsia" w:ascii="宋体" w:hAnsi="宋体" w:eastAsia="宋体" w:cs="宋体"/>
          <w:kern w:val="0"/>
          <w:szCs w:val="21"/>
          <w:highlight w:val="none"/>
          <w:lang w:val="en-US" w:eastAsia="zh-CN"/>
        </w:rPr>
        <w:t>应提供控制柜控制原理图、端子排图。</w:t>
      </w:r>
    </w:p>
    <w:p w14:paraId="7493574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3.2.3.10配水位控制器，满足无水停泵需求。</w:t>
      </w:r>
    </w:p>
    <w:p w14:paraId="6D117DA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3.2.3.11需配备设备名称标识标贴。</w:t>
      </w:r>
    </w:p>
    <w:p w14:paraId="377B78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3.2.4电缆</w:t>
      </w:r>
    </w:p>
    <w:p w14:paraId="6E6F2AF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3.2.4.1新增变频供水设备控制柜采用下进电下出电的接电方式，由AP-XF-1回路接引380V电源，控制电缆接入RI/O-6控制箱（汊河新城站）、RI/O-5控制箱（汊河站），并预留超高、超低水位故障报警、手/自动位、通信状态等报警点位，接入蜂鸣器。</w:t>
      </w:r>
    </w:p>
    <w:p w14:paraId="4CBE39F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3.2.4.2所有供电及控制电缆应为防水、阻燃、低烟、无卤电缆。</w:t>
      </w:r>
    </w:p>
    <w:p w14:paraId="49F1A7F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3.2.4.3控制柜与水泵间的控制电缆采用屏蔽电缆。控制电缆的最小截面应≥2.5mm²，控制柜内的导线最小截面≥2.5mm²。</w:t>
      </w:r>
    </w:p>
    <w:p w14:paraId="310535C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3.2.4.4控制电缆选用≥10</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1.5mm²专用电缆。</w:t>
      </w:r>
    </w:p>
    <w:p w14:paraId="44F459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3.2.5气压罐</w:t>
      </w:r>
    </w:p>
    <w:p w14:paraId="50B7B04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3.2.5.1气压罐应为气囊式，隔膜的材质应卫生、无毒，能用于生活饮用水系统。</w:t>
      </w:r>
    </w:p>
    <w:p w14:paraId="634FEE9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3.2.5.2应提供气压罐的</w:t>
      </w:r>
      <w:r>
        <w:rPr>
          <w:rFonts w:hint="eastAsia" w:ascii="宋体" w:hAnsi="宋体" w:cs="宋体"/>
          <w:kern w:val="0"/>
          <w:szCs w:val="21"/>
          <w:highlight w:val="none"/>
          <w:lang w:val="en-US" w:eastAsia="zh-CN"/>
        </w:rPr>
        <w:t>产品合格</w:t>
      </w:r>
      <w:r>
        <w:rPr>
          <w:rFonts w:hint="eastAsia" w:ascii="宋体" w:hAnsi="宋体" w:eastAsia="宋体" w:cs="宋体"/>
          <w:kern w:val="0"/>
          <w:szCs w:val="21"/>
          <w:highlight w:val="none"/>
          <w:lang w:val="en-US" w:eastAsia="zh-CN"/>
        </w:rPr>
        <w:t>证。</w:t>
      </w:r>
    </w:p>
    <w:p w14:paraId="4EB93A6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3.2.5.3气压罐内外壁应</w:t>
      </w:r>
      <w:r>
        <w:rPr>
          <w:rFonts w:hint="eastAsia" w:ascii="宋体" w:hAnsi="宋体" w:cs="宋体"/>
          <w:kern w:val="0"/>
          <w:szCs w:val="21"/>
          <w:highlight w:val="none"/>
          <w:lang w:val="en-US" w:eastAsia="zh-CN"/>
        </w:rPr>
        <w:t>做</w:t>
      </w:r>
      <w:r>
        <w:rPr>
          <w:rFonts w:hint="eastAsia" w:ascii="宋体" w:hAnsi="宋体" w:eastAsia="宋体" w:cs="宋体"/>
          <w:kern w:val="0"/>
          <w:szCs w:val="21"/>
          <w:highlight w:val="none"/>
          <w:lang w:val="en-US" w:eastAsia="zh-CN"/>
        </w:rPr>
        <w:t>防腐处理。气压罐罐体材料为A3钢板焊接结构，应有足够的强度和刚度。气压罐的制作及进出口法兰应符合GB150-2011、GB/T17481-2008、GB/T9113-2010等国家及行业相关标准规定。气压罐的顶部应有显示罐内气压压力的显示仪表。</w:t>
      </w:r>
    </w:p>
    <w:p w14:paraId="67905FD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3.2.5.4需配备设备名称标识标贴。</w:t>
      </w:r>
    </w:p>
    <w:p w14:paraId="7E133D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3.2.6管道附件</w:t>
      </w:r>
    </w:p>
    <w:p w14:paraId="2A75BCE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3.2.6.1阀门、管件均采用不锈钢材质，主水管及阀门连接口径为DN100，设备于生活水入户支管处增加两处三通；并于两处三通之间增设维修旁路与旁通阀门；水泵进/出水管道应设检修闸阀；水泵出水管道应设止回阀；安装前均应进行检查，并清除管内、管口杂物。</w:t>
      </w:r>
    </w:p>
    <w:p w14:paraId="4FF6DFE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3.2.6.2不锈钢技术要求产品设计和制造应满足《流体输送用不锈钢焊接标准》（GB/T12771—2008）、《建筑给水薄壁不锈钢管管道工程技术规程》（CECS277—2010）等规范要求。</w:t>
      </w:r>
    </w:p>
    <w:p w14:paraId="78A8F47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3.2.6.3管材及管件应进行检查，检查外观和规格尺寸。</w:t>
      </w:r>
    </w:p>
    <w:p w14:paraId="241639B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3.2.6.4管材及管件应具备质量检测部门的质量合格证，并应有明显标志注明规格和商标。包装上应标有生产厂家的名称、批号、数量、生产日期和检验代号。给水用管材及管件应具备建材管理部门的认证文件。生活饮用水给水管材及管件还应具备卫生管理部门的认证文件。</w:t>
      </w:r>
    </w:p>
    <w:p w14:paraId="037984C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3.2.6.5连接方式：进/出水主管道采用卡压式连接。水泵组件管道可采用卡压或卡箍</w:t>
      </w:r>
      <w:r>
        <w:rPr>
          <w:rFonts w:hint="eastAsia" w:ascii="宋体" w:hAnsi="宋体" w:cs="宋体"/>
          <w:kern w:val="0"/>
          <w:szCs w:val="21"/>
          <w:highlight w:val="none"/>
          <w:lang w:val="en-US" w:eastAsia="zh-CN"/>
        </w:rPr>
        <w:t>连</w:t>
      </w:r>
      <w:r>
        <w:rPr>
          <w:rFonts w:hint="eastAsia" w:ascii="宋体" w:hAnsi="宋体" w:eastAsia="宋体" w:cs="宋体"/>
          <w:kern w:val="0"/>
          <w:szCs w:val="21"/>
          <w:highlight w:val="none"/>
          <w:lang w:val="en-US" w:eastAsia="zh-CN"/>
        </w:rPr>
        <w:t>接等方式。</w:t>
      </w:r>
    </w:p>
    <w:p w14:paraId="7C205C9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3.2.6.6不同管径的连接方式薄壁不锈钢管管道壁厚应不低于《建筑给水薄壁不锈钢管管道工程技术规程》（CECS277—2010）中的要求。</w:t>
      </w:r>
    </w:p>
    <w:p w14:paraId="6555281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3.2.6.7阀门安装前，应</w:t>
      </w:r>
      <w:r>
        <w:rPr>
          <w:rFonts w:hint="eastAsia" w:ascii="宋体" w:hAnsi="宋体" w:cs="宋体"/>
          <w:kern w:val="0"/>
          <w:szCs w:val="21"/>
          <w:highlight w:val="none"/>
          <w:lang w:val="en-US" w:eastAsia="zh-CN"/>
        </w:rPr>
        <w:t>做</w:t>
      </w:r>
      <w:r>
        <w:rPr>
          <w:rFonts w:hint="eastAsia" w:ascii="宋体" w:hAnsi="宋体" w:eastAsia="宋体" w:cs="宋体"/>
          <w:kern w:val="0"/>
          <w:szCs w:val="21"/>
          <w:highlight w:val="none"/>
          <w:lang w:val="en-US" w:eastAsia="zh-CN"/>
        </w:rPr>
        <w:t>耐压强度试验。对于安装在主干管上起切断作用的闭路阀门，应逐个做强度和严密性试验。强度和严密性试验压力应为阀门出厂规定的压力，同时应有试验记录备查。</w:t>
      </w:r>
    </w:p>
    <w:p w14:paraId="6D023E0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3.2.6.8阀门安装位置、方向应符合现场要求，阀门、管件的连接应牢固、紧密，不得有渗漏现象。安装后，阀门与管道中心线应垂直，操作机构灵活、准确。</w:t>
      </w:r>
    </w:p>
    <w:p w14:paraId="06888A2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3.2.6.9阀门安装应保证其型号、规格符合设计要求，表面洁净，朝向正确，启闭灵活。</w:t>
      </w:r>
    </w:p>
    <w:p w14:paraId="35ACA34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3.2.6.10管件表面不得有裂纹、重皮和麻面。</w:t>
      </w:r>
    </w:p>
    <w:p w14:paraId="1560FBB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3.2.6.11安装的阀门在工程最终验收前不得有漏水痕迹。</w:t>
      </w:r>
    </w:p>
    <w:p w14:paraId="0C1AE03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3.2.6.12阀门具有完备的试验及测试能力等。</w:t>
      </w:r>
    </w:p>
    <w:p w14:paraId="25F2FB3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3.2.6.13阀门上需配备常开、常闭、阀门名称的标识标贴，管件上需配备管道走向的标识标贴。</w:t>
      </w:r>
    </w:p>
    <w:p w14:paraId="07580E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3.2.7食品级组合式不锈钢水箱</w:t>
      </w:r>
    </w:p>
    <w:p w14:paraId="544FE02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3.2.7.1参数：2m³（2.0m×1.0m×1.0m）</w:t>
      </w:r>
    </w:p>
    <w:p w14:paraId="4623EB9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3.2.7.2外观:水箱外表应整洁、光滑、不和有锋、毛刺及明显的碰撞缺陷，焊缝应平整并涂装饰性覆盖层。</w:t>
      </w:r>
    </w:p>
    <w:p w14:paraId="3CB8C10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3.2.7.3水箱主体结构及内部加固、支撑件必须为SUS304不锈钢材质符合《生活饮用水卫生规范》，其机械性能应符合《不锈钢冷轧钢板和钢带》GB/T328-2015的规定。</w:t>
      </w:r>
    </w:p>
    <w:p w14:paraId="4A6715D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3.2.7.4焊接材料应与水池(箱)同材质，加固处及组板焊接处应符合《金属材料熔焊质量要求第3部分：一般质量要求》GB/T12467.3-2009的规定要求，水箱外顶部必须满焊以防灰尘及雨水渗入。焊缝应进行抗氧化处理，焊缝不允许存在裂纹气孔、缩孔、夹渣、未焊透、焊瘤和烧穿等缺陷不锈。水箱内的支撑角铁必须焊接牢靠，并且不得影响日常水池清洗消毒工作。</w:t>
      </w:r>
    </w:p>
    <w:p w14:paraId="7B769F0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3.2.7.5溢流管管径应大于进水管管径，溢流管、通气孔需设不锈钢过滤网。</w:t>
      </w:r>
    </w:p>
    <w:p w14:paraId="3698517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3.2.7.6水箱自身进出水管必须采用SUS304不锈钢的成品给水管制作，水箱每个出水管上加装阀门。</w:t>
      </w:r>
    </w:p>
    <w:p w14:paraId="2EE1C58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3.2.7.7以现场实际环境为标准于水箱内部安装浮球阀。</w:t>
      </w:r>
    </w:p>
    <w:p w14:paraId="1513D89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3.2.7.8水箱外安装液位计，便于观察水箱内部水位情况。</w:t>
      </w:r>
    </w:p>
    <w:p w14:paraId="7470B30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3.2.7.9需配备设备名称标识标贴。</w:t>
      </w:r>
    </w:p>
    <w:p w14:paraId="39CF84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3.2.8紫外线消毒设备</w:t>
      </w:r>
    </w:p>
    <w:p w14:paraId="6605C90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3.2.8.1设备安装应符合《城镇机电紫外线消毒设备》GB/T19837-2019的规定</w:t>
      </w:r>
      <w:r>
        <w:rPr>
          <w:rFonts w:hint="eastAsia" w:ascii="宋体" w:hAnsi="宋体" w:cs="宋体"/>
          <w:kern w:val="0"/>
          <w:szCs w:val="21"/>
          <w:highlight w:val="none"/>
          <w:lang w:val="en-US" w:eastAsia="zh-CN"/>
        </w:rPr>
        <w:t>。</w:t>
      </w:r>
    </w:p>
    <w:p w14:paraId="2449737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3.2.8.2紫外线消毒设备消毒后的水质应符合需要达到《生活饮用水卫生标准》GB5749-2022。</w:t>
      </w:r>
    </w:p>
    <w:p w14:paraId="25ECED1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3.2.8.3设备安装于变频加压水泵出水口处，与整套变频设备形成一体化。要求设备具有独立通断电控制功能，设备进/出水管道增设检修闸阀。</w:t>
      </w:r>
    </w:p>
    <w:p w14:paraId="381C35E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3.2.8.4需配备设备名称标识标贴。</w:t>
      </w:r>
    </w:p>
    <w:p w14:paraId="7E9DEE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3.2.9混凝土基础</w:t>
      </w:r>
    </w:p>
    <w:p w14:paraId="7D0E4B1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3.2.9.1水泵、控制柜、水箱、气压罐的混凝土基础尺寸需满足《建筑机电工程抗震设计规范》(GB50981)及《机械设备安装工程施工及验收通用规范》(GB50231)相关规定。</w:t>
      </w:r>
    </w:p>
    <w:p w14:paraId="2DE7577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3.2.9.2基础平面尺寸须超出底座边缘至少200mm，单级泵基础高度不低于400mm。基础顶面需预埋厚度&gt;20mm的钢制垫板，垫板外缘距基础边沿保持50mm间隙。</w:t>
      </w:r>
    </w:p>
    <w:p w14:paraId="1099416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3.2.9.3基础配筋采用双层双向Φ12@150构造配筋，顶部300mm范围内加密至Ф14@100。混凝土强度等级不得低于C30，基础表面平整度偏差需控制在3mm/m以内，水平度误差不超过0.1%。</w:t>
      </w:r>
    </w:p>
    <w:p w14:paraId="4CF061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3.2.10蜂鸣器</w:t>
      </w:r>
    </w:p>
    <w:p w14:paraId="0023D13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3.2.10.1额定电压要求与控制柜内的控制电源电压匹配；额定电流要求PLC的输出点或继电器能够带动此负载。</w:t>
      </w:r>
    </w:p>
    <w:p w14:paraId="3D25FCE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3.2.10.2驱动方式采用直流电压驱动。由故障继电器的常开触点控制一个中间继电器，再由继电器触点驱动蜂鸣器。</w:t>
      </w:r>
    </w:p>
    <w:p w14:paraId="57AA210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3.2.10.3声压要求≥85dB。</w:t>
      </w:r>
    </w:p>
    <w:p w14:paraId="4CB59A2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3.2.10.4发声频率要求2700Hz~4000Hz之间的固定频率。</w:t>
      </w:r>
    </w:p>
    <w:p w14:paraId="5145A72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3.2.10.5采用面板安装式的安装方法，蜂鸣器主体安装在控制柜面板的开孔上，通过面板螺母或固定夹从背后紧固。</w:t>
      </w:r>
    </w:p>
    <w:p w14:paraId="6AD16A8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3.2.10.6蜂鸣器主体应能承受一定的机械振动。</w:t>
      </w:r>
    </w:p>
    <w:p w14:paraId="093023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3.2.11液位计</w:t>
      </w:r>
    </w:p>
    <w:p w14:paraId="1DB681B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采用管式液位计，安装与生活水箱外部，满足水位实时显示需要。</w:t>
      </w:r>
    </w:p>
    <w:p w14:paraId="29FE9C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3.2.12施工场地</w:t>
      </w:r>
    </w:p>
    <w:p w14:paraId="063AA1B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（1）汊河新城站消防泵房</w:t>
      </w:r>
    </w:p>
    <w:p w14:paraId="374EF8A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p>
    <w:p w14:paraId="49EF821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drawing>
          <wp:inline distT="0" distB="0" distL="114300" distR="114300">
            <wp:extent cx="3506470" cy="6243955"/>
            <wp:effectExtent l="0" t="0" r="17780" b="4445"/>
            <wp:docPr id="10" name="图片 1" descr="1cea7ee2c8f82e9cbb27664928477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1cea7ee2c8f82e9cbb2766492847727c"/>
                    <pic:cNvPicPr>
                      <a:picLocks noChangeAspect="1"/>
                    </pic:cNvPicPr>
                  </pic:nvPicPr>
                  <pic:blipFill>
                    <a:blip r:embed="rId6"/>
                    <a:stretch>
                      <a:fillRect/>
                    </a:stretch>
                  </pic:blipFill>
                  <pic:spPr>
                    <a:xfrm>
                      <a:off x="0" y="0"/>
                      <a:ext cx="3506470" cy="6243955"/>
                    </a:xfrm>
                    <a:prstGeom prst="rect">
                      <a:avLst/>
                    </a:prstGeom>
                    <a:noFill/>
                    <a:ln>
                      <a:noFill/>
                    </a:ln>
                  </pic:spPr>
                </pic:pic>
              </a:graphicData>
            </a:graphic>
          </wp:inline>
        </w:drawing>
      </w:r>
    </w:p>
    <w:p w14:paraId="24C3C63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（2）汊河站消防泵房</w:t>
      </w:r>
    </w:p>
    <w:p w14:paraId="4294F74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drawing>
          <wp:inline distT="0" distB="0" distL="114300" distR="114300">
            <wp:extent cx="4588510" cy="3442970"/>
            <wp:effectExtent l="0" t="0" r="2540" b="5080"/>
            <wp:docPr id="11" name="图片 2" descr="65645169606f6e47f5c27236cf82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65645169606f6e47f5c27236cf820547"/>
                    <pic:cNvPicPr>
                      <a:picLocks noChangeAspect="1"/>
                    </pic:cNvPicPr>
                  </pic:nvPicPr>
                  <pic:blipFill>
                    <a:blip r:embed="rId7"/>
                    <a:stretch>
                      <a:fillRect/>
                    </a:stretch>
                  </pic:blipFill>
                  <pic:spPr>
                    <a:xfrm>
                      <a:off x="0" y="0"/>
                      <a:ext cx="4588510" cy="3442970"/>
                    </a:xfrm>
                    <a:prstGeom prst="rect">
                      <a:avLst/>
                    </a:prstGeom>
                    <a:noFill/>
                    <a:ln>
                      <a:noFill/>
                    </a:ln>
                  </pic:spPr>
                </pic:pic>
              </a:graphicData>
            </a:graphic>
          </wp:inline>
        </w:drawing>
      </w:r>
    </w:p>
    <w:p w14:paraId="04D9B2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3.2.13设备安装方式（图例仅供参考，实际安装方式效果图由中标人提供）</w:t>
      </w:r>
    </w:p>
    <w:p w14:paraId="3DD45AB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drawing>
          <wp:inline distT="0" distB="0" distL="114300" distR="114300">
            <wp:extent cx="4986655" cy="3571240"/>
            <wp:effectExtent l="0" t="0" r="4445" b="1016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8">
                      <a:lum bright="-6000"/>
                    </a:blip>
                    <a:stretch>
                      <a:fillRect/>
                    </a:stretch>
                  </pic:blipFill>
                  <pic:spPr>
                    <a:xfrm>
                      <a:off x="0" y="0"/>
                      <a:ext cx="4986655" cy="3571240"/>
                    </a:xfrm>
                    <a:prstGeom prst="rect">
                      <a:avLst/>
                    </a:prstGeom>
                    <a:noFill/>
                    <a:ln>
                      <a:noFill/>
                    </a:ln>
                  </pic:spPr>
                </pic:pic>
              </a:graphicData>
            </a:graphic>
          </wp:inline>
        </w:drawing>
      </w:r>
    </w:p>
    <w:p w14:paraId="6F4785E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drawing>
          <wp:inline distT="0" distB="0" distL="114300" distR="114300">
            <wp:extent cx="4782185" cy="3662045"/>
            <wp:effectExtent l="0" t="0" r="18415" b="1460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9"/>
                    <a:stretch>
                      <a:fillRect/>
                    </a:stretch>
                  </pic:blipFill>
                  <pic:spPr>
                    <a:xfrm>
                      <a:off x="0" y="0"/>
                      <a:ext cx="4782185" cy="3662045"/>
                    </a:xfrm>
                    <a:prstGeom prst="rect">
                      <a:avLst/>
                    </a:prstGeom>
                    <a:noFill/>
                    <a:ln>
                      <a:noFill/>
                    </a:ln>
                  </pic:spPr>
                </pic:pic>
              </a:graphicData>
            </a:graphic>
          </wp:inline>
        </w:drawing>
      </w:r>
    </w:p>
    <w:p w14:paraId="0D94C506">
      <w:pPr>
        <w:keepNext w:val="0"/>
        <w:keepLines w:val="0"/>
        <w:pageBreakBefore w:val="0"/>
        <w:widowControl/>
        <w:numPr>
          <w:ilvl w:val="0"/>
          <w:numId w:val="0"/>
        </w:numPr>
        <w:kinsoku/>
        <w:wordWrap/>
        <w:overflowPunct/>
        <w:topLinePunct w:val="0"/>
        <w:autoSpaceDE/>
        <w:autoSpaceDN/>
        <w:bidi w:val="0"/>
        <w:spacing w:line="560" w:lineRule="exact"/>
        <w:ind w:firstLine="420" w:firstLineChars="200"/>
        <w:jc w:val="left"/>
        <w:textAlignment w:val="auto"/>
        <w:rPr>
          <w:rFonts w:hint="default" w:ascii="宋体" w:hAnsi="宋体" w:eastAsia="宋体" w:cs="宋体"/>
          <w:b/>
          <w:bCs/>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en-US" w:eastAsia="zh-CN"/>
        </w:rPr>
        <w:t>（二）相官车辆段食堂饮用水加装净化器</w:t>
      </w:r>
      <w:r>
        <w:rPr>
          <w:rFonts w:hint="eastAsia" w:ascii="宋体" w:hAnsi="宋体" w:cs="宋体"/>
          <w:b/>
          <w:bCs/>
          <w:color w:val="auto"/>
          <w:kern w:val="2"/>
          <w:sz w:val="21"/>
          <w:szCs w:val="21"/>
          <w:highlight w:val="none"/>
          <w:lang w:val="en-US" w:eastAsia="zh-CN"/>
        </w:rPr>
        <w:t xml:space="preserve"> </w:t>
      </w:r>
    </w:p>
    <w:p w14:paraId="556EA68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3.3净水器项目技术要求</w:t>
      </w:r>
    </w:p>
    <w:p w14:paraId="327D3F7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3.3.1环境要求</w:t>
      </w:r>
    </w:p>
    <w:p w14:paraId="00AC326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本项工程新增设备必须可靠地工作在以下环境条件中：</w:t>
      </w:r>
    </w:p>
    <w:tbl>
      <w:tblPr>
        <w:tblStyle w:val="24"/>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3"/>
        <w:gridCol w:w="4304"/>
        <w:gridCol w:w="2112"/>
      </w:tblGrid>
      <w:tr w14:paraId="3B2E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2103" w:type="dxa"/>
            <w:noWrap w:val="0"/>
            <w:vAlign w:val="center"/>
          </w:tcPr>
          <w:p w14:paraId="1B3EA4A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项目</w:t>
            </w:r>
          </w:p>
        </w:tc>
        <w:tc>
          <w:tcPr>
            <w:tcW w:w="4304" w:type="dxa"/>
            <w:noWrap w:val="0"/>
            <w:vAlign w:val="center"/>
          </w:tcPr>
          <w:p w14:paraId="182134A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范围值</w:t>
            </w:r>
          </w:p>
        </w:tc>
        <w:tc>
          <w:tcPr>
            <w:tcW w:w="2112" w:type="dxa"/>
            <w:noWrap w:val="0"/>
            <w:vAlign w:val="center"/>
          </w:tcPr>
          <w:p w14:paraId="0C0DD05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备注</w:t>
            </w:r>
          </w:p>
        </w:tc>
      </w:tr>
      <w:tr w14:paraId="7258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103" w:type="dxa"/>
            <w:noWrap w:val="0"/>
            <w:vAlign w:val="center"/>
          </w:tcPr>
          <w:p w14:paraId="31C63AD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给水温度</w:t>
            </w:r>
          </w:p>
        </w:tc>
        <w:tc>
          <w:tcPr>
            <w:tcW w:w="4304" w:type="dxa"/>
            <w:noWrap w:val="0"/>
            <w:vAlign w:val="center"/>
          </w:tcPr>
          <w:p w14:paraId="75D9C51D">
            <w:pPr>
              <w:keepNext w:val="0"/>
              <w:keepLines w:val="0"/>
              <w:numPr>
                <w:ilvl w:val="0"/>
                <w:numId w:val="0"/>
              </w:numPr>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5-25℃</w:t>
            </w:r>
          </w:p>
        </w:tc>
        <w:tc>
          <w:tcPr>
            <w:tcW w:w="2112" w:type="dxa"/>
            <w:noWrap w:val="0"/>
            <w:vAlign w:val="center"/>
          </w:tcPr>
          <w:p w14:paraId="1F07AC0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rPr>
            </w:pPr>
          </w:p>
        </w:tc>
      </w:tr>
      <w:tr w14:paraId="4FE2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2103" w:type="dxa"/>
            <w:noWrap w:val="0"/>
            <w:vAlign w:val="center"/>
          </w:tcPr>
          <w:p w14:paraId="79061AE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给水压力</w:t>
            </w:r>
          </w:p>
        </w:tc>
        <w:tc>
          <w:tcPr>
            <w:tcW w:w="4304" w:type="dxa"/>
            <w:noWrap w:val="0"/>
            <w:vAlign w:val="center"/>
          </w:tcPr>
          <w:p w14:paraId="3F4831B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0.2-0.3MPa</w:t>
            </w:r>
          </w:p>
        </w:tc>
        <w:tc>
          <w:tcPr>
            <w:tcW w:w="2112" w:type="dxa"/>
            <w:noWrap w:val="0"/>
            <w:vAlign w:val="center"/>
          </w:tcPr>
          <w:p w14:paraId="43A1A8D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rPr>
            </w:pPr>
          </w:p>
        </w:tc>
      </w:tr>
      <w:tr w14:paraId="7A4A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103" w:type="dxa"/>
            <w:noWrap w:val="0"/>
            <w:vAlign w:val="center"/>
          </w:tcPr>
          <w:p w14:paraId="7EF4368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工作环境</w:t>
            </w:r>
          </w:p>
        </w:tc>
        <w:tc>
          <w:tcPr>
            <w:tcW w:w="4304" w:type="dxa"/>
            <w:noWrap w:val="0"/>
            <w:vAlign w:val="center"/>
          </w:tcPr>
          <w:p w14:paraId="187E30A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5-40℃</w:t>
            </w:r>
          </w:p>
        </w:tc>
        <w:tc>
          <w:tcPr>
            <w:tcW w:w="2112" w:type="dxa"/>
            <w:noWrap w:val="0"/>
            <w:vAlign w:val="center"/>
          </w:tcPr>
          <w:p w14:paraId="28F4D21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rPr>
            </w:pPr>
          </w:p>
        </w:tc>
      </w:tr>
      <w:tr w14:paraId="719C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103" w:type="dxa"/>
            <w:noWrap w:val="0"/>
            <w:vAlign w:val="center"/>
          </w:tcPr>
          <w:p w14:paraId="4423ECF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额定电压</w:t>
            </w:r>
          </w:p>
        </w:tc>
        <w:tc>
          <w:tcPr>
            <w:tcW w:w="4304" w:type="dxa"/>
            <w:noWrap w:val="0"/>
            <w:vAlign w:val="center"/>
          </w:tcPr>
          <w:p w14:paraId="3CF9A46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220V</w:t>
            </w:r>
          </w:p>
        </w:tc>
        <w:tc>
          <w:tcPr>
            <w:tcW w:w="2112" w:type="dxa"/>
            <w:noWrap w:val="0"/>
            <w:vAlign w:val="center"/>
          </w:tcPr>
          <w:p w14:paraId="3CBB739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rPr>
            </w:pPr>
          </w:p>
        </w:tc>
      </w:tr>
    </w:tbl>
    <w:p w14:paraId="005AE4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3.3.2稳定性要求</w:t>
      </w:r>
    </w:p>
    <w:p w14:paraId="74677F6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3.3.2.1设备是安全、可靠的，并能适应连续24小时不间断地运行。</w:t>
      </w:r>
    </w:p>
    <w:p w14:paraId="33DD2A2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3.3.2.2设备平稳运行期间，如无外因导致，设备平均故障频率不得高于1次/5000h。</w:t>
      </w:r>
    </w:p>
    <w:p w14:paraId="5C78B59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3.3.3制造工艺要求</w:t>
      </w:r>
    </w:p>
    <w:p w14:paraId="0E903E1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3.3.3.1饮用水净化过滤装置所有与水接触的材料均符合食品级标准。</w:t>
      </w:r>
    </w:p>
    <w:p w14:paraId="2A3E826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3.3.3.2饮用水净化过滤装置应标明额定总净水量和滤芯寿命以及建议的更换周期。</w:t>
      </w:r>
    </w:p>
    <w:p w14:paraId="7D09780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3.3.3.3零部件的布置、固定和排列应使检查、拆除和更换时不影响或损坏连线上的其他零部件。</w:t>
      </w:r>
    </w:p>
    <w:p w14:paraId="70766A6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3.3.3.4设备和仪器的金属构件表面除了加工装配面和电镀表面以外，都进行防锈或喷涂处理。在装配前，对封闭结构的内表面也有必要喷涂或进行防锈处理，处理质量符合SSPC标准。</w:t>
      </w:r>
    </w:p>
    <w:p w14:paraId="01E2D0B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3.3.3.5本项目涉及的设备适应厨房日常工作环境，选用体积小、重量轻、耗能少、防尘、防锈、防潮的设备和材料。</w:t>
      </w:r>
    </w:p>
    <w:p w14:paraId="03A1D26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3.3.4设备技术要求</w:t>
      </w:r>
    </w:p>
    <w:p w14:paraId="423AF22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3.3.4.1</w:t>
      </w:r>
      <w:bookmarkStart w:id="89" w:name="_Toc17885"/>
      <w:bookmarkStart w:id="90" w:name="_Toc13347"/>
      <w:r>
        <w:rPr>
          <w:rFonts w:hint="eastAsia" w:ascii="宋体" w:hAnsi="宋体" w:eastAsia="宋体" w:cs="宋体"/>
          <w:color w:val="auto"/>
          <w:kern w:val="0"/>
          <w:sz w:val="21"/>
          <w:szCs w:val="21"/>
          <w:highlight w:val="none"/>
          <w:lang w:val="en-US" w:eastAsia="zh-CN"/>
        </w:rPr>
        <w:t>饮用水净化过滤装置的过滤速率</w:t>
      </w:r>
      <w:bookmarkEnd w:id="89"/>
      <w:bookmarkEnd w:id="90"/>
      <w:r>
        <w:rPr>
          <w:rFonts w:hint="eastAsia" w:ascii="宋体" w:hAnsi="宋体" w:eastAsia="宋体" w:cs="宋体"/>
          <w:color w:val="auto"/>
          <w:kern w:val="0"/>
          <w:sz w:val="21"/>
          <w:szCs w:val="21"/>
          <w:highlight w:val="none"/>
          <w:lang w:val="en-US" w:eastAsia="zh-CN"/>
        </w:rPr>
        <w:t>不得低于2.5m³/h。</w:t>
      </w:r>
    </w:p>
    <w:p w14:paraId="5C6D7A5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3.3.4.2设备过滤后至炉灶间、粗加工区用水水压不得低于0.14MP，不得高于0.35MP。</w:t>
      </w:r>
    </w:p>
    <w:p w14:paraId="31AF0F6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3.3.4.3饮用水净化过滤装置应标明额定总净水量和滤芯寿命以及建议的更换周期。</w:t>
      </w:r>
    </w:p>
    <w:p w14:paraId="6EE006C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1"/>
          <w:szCs w:val="21"/>
          <w:highlight w:val="none"/>
          <w:lang w:val="en-US" w:eastAsia="zh-CN"/>
        </w:rPr>
        <w:t>3.3.4.3设备过滤后泥沙、重金属、微生物值需要达到以下标准：</w:t>
      </w:r>
    </w:p>
    <w:tbl>
      <w:tblPr>
        <w:tblStyle w:val="24"/>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2481"/>
        <w:gridCol w:w="2622"/>
        <w:gridCol w:w="1699"/>
      </w:tblGrid>
      <w:tr w14:paraId="628E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41F2FF1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vertAlign w:val="baseline"/>
                <w:lang w:val="en-US" w:eastAsia="zh-CN" w:bidi="ar-SA"/>
              </w:rPr>
            </w:pPr>
            <w:r>
              <w:rPr>
                <w:rFonts w:hint="eastAsia" w:ascii="宋体" w:hAnsi="宋体" w:eastAsia="宋体" w:cs="宋体"/>
                <w:b/>
                <w:bCs/>
                <w:color w:val="auto"/>
                <w:kern w:val="0"/>
                <w:sz w:val="21"/>
                <w:szCs w:val="21"/>
                <w:highlight w:val="none"/>
                <w:vertAlign w:val="baseline"/>
                <w:lang w:val="en-US" w:eastAsia="zh-CN" w:bidi="ar-SA"/>
              </w:rPr>
              <w:t>项目</w:t>
            </w:r>
          </w:p>
        </w:tc>
        <w:tc>
          <w:tcPr>
            <w:tcW w:w="2481" w:type="dxa"/>
            <w:noWrap w:val="0"/>
            <w:vAlign w:val="center"/>
          </w:tcPr>
          <w:p w14:paraId="0FD8919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vertAlign w:val="baseline"/>
                <w:lang w:val="en-US" w:eastAsia="zh-CN" w:bidi="ar-SA"/>
              </w:rPr>
            </w:pPr>
            <w:r>
              <w:rPr>
                <w:rFonts w:hint="eastAsia" w:ascii="宋体" w:hAnsi="宋体" w:eastAsia="宋体" w:cs="宋体"/>
                <w:b/>
                <w:bCs/>
                <w:color w:val="auto"/>
                <w:kern w:val="0"/>
                <w:sz w:val="21"/>
                <w:szCs w:val="21"/>
                <w:highlight w:val="none"/>
                <w:vertAlign w:val="baseline"/>
                <w:lang w:val="en-US" w:eastAsia="zh-CN" w:bidi="ar-SA"/>
              </w:rPr>
              <w:t>单位</w:t>
            </w:r>
          </w:p>
        </w:tc>
        <w:tc>
          <w:tcPr>
            <w:tcW w:w="2622" w:type="dxa"/>
            <w:noWrap w:val="0"/>
            <w:vAlign w:val="center"/>
          </w:tcPr>
          <w:p w14:paraId="0ABCA0B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vertAlign w:val="baseline"/>
                <w:lang w:val="en-US" w:eastAsia="zh-CN" w:bidi="ar-SA"/>
              </w:rPr>
            </w:pPr>
            <w:r>
              <w:rPr>
                <w:rFonts w:hint="eastAsia" w:ascii="宋体" w:hAnsi="宋体" w:eastAsia="宋体" w:cs="宋体"/>
                <w:b/>
                <w:bCs/>
                <w:color w:val="auto"/>
                <w:kern w:val="0"/>
                <w:sz w:val="21"/>
                <w:szCs w:val="21"/>
                <w:highlight w:val="none"/>
                <w:vertAlign w:val="baseline"/>
                <w:lang w:val="en-US" w:eastAsia="zh-CN" w:bidi="ar-SA"/>
              </w:rPr>
              <w:t>规范要求</w:t>
            </w:r>
          </w:p>
        </w:tc>
        <w:tc>
          <w:tcPr>
            <w:tcW w:w="1699" w:type="dxa"/>
            <w:noWrap w:val="0"/>
            <w:vAlign w:val="center"/>
          </w:tcPr>
          <w:p w14:paraId="181370C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vertAlign w:val="baseline"/>
                <w:lang w:val="en-US" w:eastAsia="zh-CN" w:bidi="ar-SA"/>
              </w:rPr>
            </w:pPr>
            <w:r>
              <w:rPr>
                <w:rFonts w:hint="eastAsia" w:ascii="宋体" w:hAnsi="宋体" w:eastAsia="宋体" w:cs="宋体"/>
                <w:b/>
                <w:bCs/>
                <w:color w:val="auto"/>
                <w:kern w:val="0"/>
                <w:sz w:val="21"/>
                <w:szCs w:val="21"/>
                <w:highlight w:val="none"/>
                <w:vertAlign w:val="baseline"/>
                <w:lang w:val="en-US" w:eastAsia="zh-CN" w:bidi="ar-SA"/>
              </w:rPr>
              <w:t>备注</w:t>
            </w:r>
          </w:p>
        </w:tc>
      </w:tr>
      <w:tr w14:paraId="0E25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05EA07D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色度</w:t>
            </w:r>
          </w:p>
        </w:tc>
        <w:tc>
          <w:tcPr>
            <w:tcW w:w="2481" w:type="dxa"/>
            <w:noWrap w:val="0"/>
            <w:vAlign w:val="center"/>
          </w:tcPr>
          <w:p w14:paraId="7E14513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NTU</w:t>
            </w:r>
          </w:p>
        </w:tc>
        <w:tc>
          <w:tcPr>
            <w:tcW w:w="2622" w:type="dxa"/>
            <w:noWrap w:val="0"/>
            <w:vAlign w:val="center"/>
          </w:tcPr>
          <w:p w14:paraId="1E5BB4C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增加量≤5</w:t>
            </w:r>
          </w:p>
        </w:tc>
        <w:tc>
          <w:tcPr>
            <w:tcW w:w="1699" w:type="dxa"/>
            <w:noWrap w:val="0"/>
            <w:vAlign w:val="center"/>
          </w:tcPr>
          <w:p w14:paraId="493A1D5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2E58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6A5962D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浑浊度</w:t>
            </w:r>
          </w:p>
        </w:tc>
        <w:tc>
          <w:tcPr>
            <w:tcW w:w="2481" w:type="dxa"/>
            <w:noWrap w:val="0"/>
            <w:vAlign w:val="center"/>
          </w:tcPr>
          <w:p w14:paraId="06E2C3D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w:t>
            </w:r>
          </w:p>
        </w:tc>
        <w:tc>
          <w:tcPr>
            <w:tcW w:w="2622" w:type="dxa"/>
            <w:noWrap w:val="0"/>
            <w:vAlign w:val="center"/>
          </w:tcPr>
          <w:p w14:paraId="1C71C79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增加量≤0.5</w:t>
            </w:r>
          </w:p>
        </w:tc>
        <w:tc>
          <w:tcPr>
            <w:tcW w:w="1699" w:type="dxa"/>
            <w:noWrap w:val="0"/>
            <w:vAlign w:val="center"/>
          </w:tcPr>
          <w:p w14:paraId="15FAFA2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32A2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4678C02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臭和味</w:t>
            </w:r>
          </w:p>
        </w:tc>
        <w:tc>
          <w:tcPr>
            <w:tcW w:w="2481" w:type="dxa"/>
            <w:noWrap w:val="0"/>
            <w:vAlign w:val="center"/>
          </w:tcPr>
          <w:p w14:paraId="5DFB356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w:t>
            </w:r>
          </w:p>
        </w:tc>
        <w:tc>
          <w:tcPr>
            <w:tcW w:w="2622" w:type="dxa"/>
            <w:noWrap w:val="0"/>
            <w:vAlign w:val="center"/>
          </w:tcPr>
          <w:p w14:paraId="5B8AEC3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无异臭和异味</w:t>
            </w:r>
          </w:p>
        </w:tc>
        <w:tc>
          <w:tcPr>
            <w:tcW w:w="1699" w:type="dxa"/>
            <w:noWrap w:val="0"/>
            <w:vAlign w:val="center"/>
          </w:tcPr>
          <w:p w14:paraId="777A75F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4FD1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17" w:type="dxa"/>
            <w:noWrap w:val="0"/>
            <w:vAlign w:val="center"/>
          </w:tcPr>
          <w:p w14:paraId="646C657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肉眼可见物</w:t>
            </w:r>
          </w:p>
        </w:tc>
        <w:tc>
          <w:tcPr>
            <w:tcW w:w="2481" w:type="dxa"/>
            <w:noWrap w:val="0"/>
            <w:vAlign w:val="center"/>
          </w:tcPr>
          <w:p w14:paraId="31E4894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728F4BE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不产生任何肉眼可见碎片杂物等</w:t>
            </w:r>
          </w:p>
        </w:tc>
        <w:tc>
          <w:tcPr>
            <w:tcW w:w="1699" w:type="dxa"/>
            <w:noWrap w:val="0"/>
            <w:vAlign w:val="center"/>
          </w:tcPr>
          <w:p w14:paraId="7477142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0837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17" w:type="dxa"/>
            <w:noWrap w:val="0"/>
            <w:vAlign w:val="center"/>
          </w:tcPr>
          <w:p w14:paraId="1F7973D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高锰酸盐指数</w:t>
            </w:r>
          </w:p>
          <w:p w14:paraId="41F52EB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（以O₂计）</w:t>
            </w:r>
          </w:p>
        </w:tc>
        <w:tc>
          <w:tcPr>
            <w:tcW w:w="2481" w:type="dxa"/>
            <w:noWrap w:val="0"/>
            <w:vAlign w:val="center"/>
          </w:tcPr>
          <w:p w14:paraId="7B37EEE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3A5BA88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增加量≤2</w:t>
            </w:r>
          </w:p>
        </w:tc>
        <w:tc>
          <w:tcPr>
            <w:tcW w:w="1699" w:type="dxa"/>
            <w:noWrap w:val="0"/>
            <w:vAlign w:val="center"/>
          </w:tcPr>
          <w:p w14:paraId="7BFA7E6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4ADB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4D76912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铅</w:t>
            </w:r>
          </w:p>
        </w:tc>
        <w:tc>
          <w:tcPr>
            <w:tcW w:w="2481" w:type="dxa"/>
            <w:noWrap w:val="0"/>
            <w:vAlign w:val="center"/>
          </w:tcPr>
          <w:p w14:paraId="07649E0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22EC6FA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增加量≤0.001</w:t>
            </w:r>
          </w:p>
        </w:tc>
        <w:tc>
          <w:tcPr>
            <w:tcW w:w="1699" w:type="dxa"/>
            <w:noWrap w:val="0"/>
            <w:vAlign w:val="center"/>
          </w:tcPr>
          <w:p w14:paraId="1B87BA3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265D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59148DB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镉</w:t>
            </w:r>
          </w:p>
        </w:tc>
        <w:tc>
          <w:tcPr>
            <w:tcW w:w="2481" w:type="dxa"/>
            <w:noWrap w:val="0"/>
            <w:vAlign w:val="center"/>
          </w:tcPr>
          <w:p w14:paraId="49428E7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6AB1935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增加量≤0.0005</w:t>
            </w:r>
          </w:p>
        </w:tc>
        <w:tc>
          <w:tcPr>
            <w:tcW w:w="1699" w:type="dxa"/>
            <w:noWrap w:val="0"/>
            <w:vAlign w:val="center"/>
          </w:tcPr>
          <w:p w14:paraId="322D22A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4288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0A29146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汞</w:t>
            </w:r>
          </w:p>
        </w:tc>
        <w:tc>
          <w:tcPr>
            <w:tcW w:w="2481" w:type="dxa"/>
            <w:noWrap w:val="0"/>
            <w:vAlign w:val="center"/>
          </w:tcPr>
          <w:p w14:paraId="555CD88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3D866F8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增加量≤0.0002</w:t>
            </w:r>
          </w:p>
        </w:tc>
        <w:tc>
          <w:tcPr>
            <w:tcW w:w="1699" w:type="dxa"/>
            <w:noWrap w:val="0"/>
            <w:vAlign w:val="center"/>
          </w:tcPr>
          <w:p w14:paraId="0804867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5EB6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6A5D600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铬（六价）</w:t>
            </w:r>
          </w:p>
        </w:tc>
        <w:tc>
          <w:tcPr>
            <w:tcW w:w="2481" w:type="dxa"/>
            <w:noWrap w:val="0"/>
            <w:vAlign w:val="center"/>
          </w:tcPr>
          <w:p w14:paraId="616F714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08D1273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增加量＜0.005</w:t>
            </w:r>
          </w:p>
        </w:tc>
        <w:tc>
          <w:tcPr>
            <w:tcW w:w="1699" w:type="dxa"/>
            <w:noWrap w:val="0"/>
            <w:vAlign w:val="center"/>
          </w:tcPr>
          <w:p w14:paraId="282F398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71A6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56D5931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砷</w:t>
            </w:r>
          </w:p>
        </w:tc>
        <w:tc>
          <w:tcPr>
            <w:tcW w:w="2481" w:type="dxa"/>
            <w:noWrap w:val="0"/>
            <w:vAlign w:val="center"/>
          </w:tcPr>
          <w:p w14:paraId="6E3FD02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0434088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增加量＜0.001</w:t>
            </w:r>
          </w:p>
        </w:tc>
        <w:tc>
          <w:tcPr>
            <w:tcW w:w="1699" w:type="dxa"/>
            <w:noWrap w:val="0"/>
            <w:vAlign w:val="center"/>
          </w:tcPr>
          <w:p w14:paraId="2BB88C6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34B0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6D05833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挥发酚类</w:t>
            </w:r>
          </w:p>
        </w:tc>
        <w:tc>
          <w:tcPr>
            <w:tcW w:w="2481" w:type="dxa"/>
            <w:noWrap w:val="0"/>
            <w:vAlign w:val="center"/>
          </w:tcPr>
          <w:p w14:paraId="361990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1193E5F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增加量≤0.002</w:t>
            </w:r>
          </w:p>
        </w:tc>
        <w:tc>
          <w:tcPr>
            <w:tcW w:w="1699" w:type="dxa"/>
            <w:noWrap w:val="0"/>
            <w:vAlign w:val="center"/>
          </w:tcPr>
          <w:p w14:paraId="404C157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2AA4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7B9DF0F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菌落总数</w:t>
            </w:r>
          </w:p>
        </w:tc>
        <w:tc>
          <w:tcPr>
            <w:tcW w:w="2481" w:type="dxa"/>
            <w:noWrap w:val="0"/>
            <w:vAlign w:val="center"/>
          </w:tcPr>
          <w:p w14:paraId="652F1ED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MPN/mL</w:t>
            </w:r>
          </w:p>
        </w:tc>
        <w:tc>
          <w:tcPr>
            <w:tcW w:w="2622" w:type="dxa"/>
            <w:noWrap w:val="0"/>
            <w:vAlign w:val="center"/>
          </w:tcPr>
          <w:p w14:paraId="2E69B47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≤100</w:t>
            </w:r>
          </w:p>
        </w:tc>
        <w:tc>
          <w:tcPr>
            <w:tcW w:w="1699" w:type="dxa"/>
            <w:noWrap w:val="0"/>
            <w:vAlign w:val="center"/>
          </w:tcPr>
          <w:p w14:paraId="0A8B715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32DB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117" w:type="dxa"/>
            <w:noWrap w:val="0"/>
            <w:vAlign w:val="center"/>
          </w:tcPr>
          <w:p w14:paraId="2904FE4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总大肠菌群</w:t>
            </w:r>
          </w:p>
        </w:tc>
        <w:tc>
          <w:tcPr>
            <w:tcW w:w="2481" w:type="dxa"/>
            <w:noWrap w:val="0"/>
            <w:vAlign w:val="center"/>
          </w:tcPr>
          <w:p w14:paraId="18D96E8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MPN/100mL</w:t>
            </w:r>
          </w:p>
        </w:tc>
        <w:tc>
          <w:tcPr>
            <w:tcW w:w="2622" w:type="dxa"/>
            <w:noWrap w:val="0"/>
            <w:vAlign w:val="center"/>
          </w:tcPr>
          <w:p w14:paraId="2DE7443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每100mL水样不得检出</w:t>
            </w:r>
          </w:p>
        </w:tc>
        <w:tc>
          <w:tcPr>
            <w:tcW w:w="1699" w:type="dxa"/>
            <w:noWrap w:val="0"/>
            <w:vAlign w:val="center"/>
          </w:tcPr>
          <w:p w14:paraId="51AC90F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67CB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17" w:type="dxa"/>
            <w:noWrap w:val="0"/>
            <w:vAlign w:val="center"/>
          </w:tcPr>
          <w:p w14:paraId="6DA7BD9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耐热大肠菌群</w:t>
            </w:r>
          </w:p>
        </w:tc>
        <w:tc>
          <w:tcPr>
            <w:tcW w:w="2481" w:type="dxa"/>
            <w:noWrap w:val="0"/>
            <w:vAlign w:val="center"/>
          </w:tcPr>
          <w:p w14:paraId="4001087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MPN/100mL</w:t>
            </w:r>
          </w:p>
        </w:tc>
        <w:tc>
          <w:tcPr>
            <w:tcW w:w="2622" w:type="dxa"/>
            <w:noWrap w:val="0"/>
            <w:vAlign w:val="center"/>
          </w:tcPr>
          <w:p w14:paraId="034DEEF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每100mL水样不得检出</w:t>
            </w:r>
          </w:p>
        </w:tc>
        <w:tc>
          <w:tcPr>
            <w:tcW w:w="1699" w:type="dxa"/>
            <w:noWrap w:val="0"/>
            <w:vAlign w:val="center"/>
          </w:tcPr>
          <w:p w14:paraId="32A3F79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bl>
    <w:p w14:paraId="41A3B11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3.3.4.4设备应具备产品标签、使用说明、产品执行的标准编号、卫生许可批准文号、性能参数等信息。</w:t>
      </w:r>
    </w:p>
    <w:p w14:paraId="2F6D673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3.3.4.5设备滤芯应采用通用滤芯或市场可采买的滤芯。</w:t>
      </w:r>
    </w:p>
    <w:p w14:paraId="6598ED3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3.3.4.6设备具有故障信息、滤芯使用寿命等相关信息查询或故障报警功能。</w:t>
      </w:r>
    </w:p>
    <w:p w14:paraId="1F4A622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3.3.5设备安装要求</w:t>
      </w:r>
    </w:p>
    <w:p w14:paraId="153611A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3.3.5.1设备计划安装于生活水入户水管支管处（食堂厨房西北角），用于炉灶间及粗加工间区域的供水，不含洗碗间、食堂洗手池及电开水器的供水（如下图标红区域），现场预留1.9m×1m×2.5.空间用于设备安装（含预留及散热），实际安装位置以现场施工为准。</w:t>
      </w:r>
    </w:p>
    <w:p w14:paraId="070A321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b w:val="0"/>
          <w:bCs/>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highlight w:val="none"/>
          <w:lang w:val="en-US" w:eastAsia="zh-CN"/>
        </w:rPr>
        <w:drawing>
          <wp:inline distT="0" distB="0" distL="114300" distR="114300">
            <wp:extent cx="4931410" cy="3256280"/>
            <wp:effectExtent l="0" t="0" r="2540" b="1270"/>
            <wp:docPr id="1" name="图片 5"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001"/>
                    <pic:cNvPicPr>
                      <a:picLocks noChangeAspect="1"/>
                    </pic:cNvPicPr>
                  </pic:nvPicPr>
                  <pic:blipFill>
                    <a:blip r:embed="rId10"/>
                    <a:stretch>
                      <a:fillRect/>
                    </a:stretch>
                  </pic:blipFill>
                  <pic:spPr>
                    <a:xfrm>
                      <a:off x="0" y="0"/>
                      <a:ext cx="4931410" cy="3256280"/>
                    </a:xfrm>
                    <a:prstGeom prst="rect">
                      <a:avLst/>
                    </a:prstGeom>
                    <a:noFill/>
                    <a:ln>
                      <a:noFill/>
                    </a:ln>
                  </pic:spPr>
                </pic:pic>
              </a:graphicData>
            </a:graphic>
          </wp:inline>
        </w:drawing>
      </w:r>
    </w:p>
    <w:p w14:paraId="35D2865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3.3.5.2设备安装需牢靠，设备及相关附件不得占用、堵塞、封闭消防通道。</w:t>
      </w:r>
    </w:p>
    <w:p w14:paraId="7AD7A9B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3.3.5.3设备于生活水入户支管处增加两处DN50的三通，并于两处三通之间增设维修旁路与旁通阀门，水管采用卡压方式连接。</w:t>
      </w:r>
    </w:p>
    <w:p w14:paraId="519D770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3.3.5.4设备表面要求采用304不锈钢。设备样式参考下图（图片来源于网络，仅供参考）。</w:t>
      </w:r>
    </w:p>
    <w:p w14:paraId="1918EE6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color w:val="auto"/>
          <w:kern w:val="0"/>
          <w:sz w:val="24"/>
          <w:szCs w:val="24"/>
          <w:highlight w:val="none"/>
          <w:lang w:val="en-US" w:eastAsia="zh-CN"/>
        </w:rPr>
      </w:pPr>
      <w:r>
        <w:rPr>
          <w:rFonts w:hint="eastAsia" w:ascii="方正仿宋_GB2312" w:hAnsi="方正仿宋_GB2312" w:eastAsia="方正仿宋_GB2312" w:cs="方正仿宋_GB2312"/>
          <w:color w:val="auto"/>
          <w:kern w:val="0"/>
          <w:sz w:val="24"/>
          <w:szCs w:val="24"/>
          <w:highlight w:val="none"/>
          <w:lang w:val="en-US" w:eastAsia="zh-CN"/>
        </w:rPr>
        <w:drawing>
          <wp:inline distT="0" distB="0" distL="114300" distR="114300">
            <wp:extent cx="4889500" cy="2750820"/>
            <wp:effectExtent l="0" t="0" r="6350" b="11430"/>
            <wp:docPr id="2" name="图片 6" descr="微信图片_20251028094747_90_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微信图片_20251028094747_90_225"/>
                    <pic:cNvPicPr>
                      <a:picLocks noChangeAspect="1"/>
                    </pic:cNvPicPr>
                  </pic:nvPicPr>
                  <pic:blipFill>
                    <a:blip r:embed="rId11"/>
                    <a:stretch>
                      <a:fillRect/>
                    </a:stretch>
                  </pic:blipFill>
                  <pic:spPr>
                    <a:xfrm>
                      <a:off x="0" y="0"/>
                      <a:ext cx="4889500" cy="2750820"/>
                    </a:xfrm>
                    <a:prstGeom prst="rect">
                      <a:avLst/>
                    </a:prstGeom>
                    <a:noFill/>
                    <a:ln>
                      <a:noFill/>
                    </a:ln>
                  </pic:spPr>
                </pic:pic>
              </a:graphicData>
            </a:graphic>
          </wp:inline>
        </w:drawing>
      </w:r>
    </w:p>
    <w:p w14:paraId="1C8952C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3.3.5.5设备结构牢靠，四周有304不锈钢支撑，正面与侧面具304不锈钢罩面，具备防磕碰性能，适当的位置预留检修与维护的柜门。</w:t>
      </w:r>
    </w:p>
    <w:p w14:paraId="767E413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3.3.6设备用电要求</w:t>
      </w:r>
    </w:p>
    <w:p w14:paraId="7B3466F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3.3.6.1设备采用220V交流电源。</w:t>
      </w:r>
    </w:p>
    <w:p w14:paraId="58B2708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3.3.6.2设备额定功率不得高1000W。</w:t>
      </w:r>
    </w:p>
    <w:p w14:paraId="071D6DB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3.3.6.3取电于设备就近的三级负荷插座，引电导线选用WDZB-BYJ-450/750低烟无卤阻燃耐火交联聚乙烯导线。</w:t>
      </w:r>
    </w:p>
    <w:p w14:paraId="1660CB0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3.3.6.4走线须规范，具有牢靠的固定卡扣，线缆不得位于水管下方。</w:t>
      </w:r>
    </w:p>
    <w:p w14:paraId="6E33E33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20" w:firstLineChars="200"/>
        <w:jc w:val="left"/>
        <w:textAlignment w:val="auto"/>
        <w:rPr>
          <w:rFonts w:hint="default" w:ascii="宋体" w:hAnsi="宋体" w:eastAsia="宋体" w:cs="宋体"/>
          <w:b/>
          <w:bCs/>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en-US" w:eastAsia="zh-CN"/>
        </w:rPr>
        <w:t>（三）改造控制中心生活水管</w:t>
      </w:r>
      <w:r>
        <w:rPr>
          <w:rFonts w:hint="eastAsia" w:ascii="宋体" w:hAnsi="宋体" w:cs="宋体"/>
          <w:b/>
          <w:bCs/>
          <w:color w:val="auto"/>
          <w:kern w:val="2"/>
          <w:sz w:val="21"/>
          <w:szCs w:val="21"/>
          <w:highlight w:val="none"/>
          <w:lang w:val="en-US" w:eastAsia="zh-CN"/>
        </w:rPr>
        <w:t xml:space="preserve"> </w:t>
      </w:r>
    </w:p>
    <w:p w14:paraId="05118FF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3.4技术要求：</w:t>
      </w:r>
    </w:p>
    <w:p w14:paraId="619A301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3.4.1低区加压管道JL-A2连接口径为DN80，原管路增设三通，增设管路安装配套阀门、水表，经原有桥架接入JL-A12(DN50)管路。</w:t>
      </w:r>
    </w:p>
    <w:p w14:paraId="38DD966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3.4.2原有JL-A12(DN50)管路增设旁通闸阀。</w:t>
      </w:r>
    </w:p>
    <w:p w14:paraId="1F7B18C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3.4.3管路经过桥架需进行固定及减震垫。</w:t>
      </w:r>
    </w:p>
    <w:p w14:paraId="27E2181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3.5管道附件</w:t>
      </w:r>
    </w:p>
    <w:p w14:paraId="220D43C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3.5.1阀门、管件均采用不锈钢材质，安装前均应进行检查，并清除管内、管口杂物。</w:t>
      </w:r>
    </w:p>
    <w:p w14:paraId="1D33815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3.5.2不锈钢技术要求产品设计和制造应满足《流体输送用不锈钢焊接标准》（GB/T12771—2008）、《建筑给水薄壁不锈钢管管道工程技术规程》（CECS277—2010）等规范要求。</w:t>
      </w:r>
    </w:p>
    <w:p w14:paraId="3F3F334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3.5.3管材及管件应具备质量检测部门的质量合格证，并应有明显标志注明规格和商标。包装上应标有生产厂家的名称、批号、数量、生产日期和检验代号。给水用管材及管件应具备建材管理部门的认证文件。生活饮用水给水管材及管件还应具备卫生管理部门的认证文件。</w:t>
      </w:r>
    </w:p>
    <w:p w14:paraId="37FCD7D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3.5.4连接方式：卡压式连接。</w:t>
      </w:r>
    </w:p>
    <w:p w14:paraId="32306B6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3.5.5不同管径的卡压连接方式薄壁不锈钢管管道壁厚应不低于《建筑给水薄壁不锈钢管管道工程技术规程》（CECS277—2010）中的要求。</w:t>
      </w:r>
    </w:p>
    <w:p w14:paraId="72C3CE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3.5.6阀门安装前，应作耐压强度试验。对于安装在主干管上起切断作用的闭路阀门，应逐个做强度和严密性试验。强度和严密性试验压力应为阀门出厂规定的压力，同时应有试验记录备查。</w:t>
      </w:r>
    </w:p>
    <w:p w14:paraId="65030A0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3.5.7阀门安装位置、方向应符合现场要求，阀门、管件的连接应牢固、紧密，不得有渗漏现象。安装后，阀门与管道中心线应垂直，操作机构灵活、准确。</w:t>
      </w:r>
    </w:p>
    <w:p w14:paraId="2DC9F26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3.5.8阀门安装应保证其型号、规格符合设计要求，表面洁净，朝向正确，启闭灵活。</w:t>
      </w:r>
    </w:p>
    <w:p w14:paraId="055881D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3.6施工现场图</w:t>
      </w:r>
    </w:p>
    <w:p w14:paraId="207FDB69">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方正仿宋_GB2312" w:hAnsi="方正仿宋_GB2312" w:eastAsia="方正仿宋_GB2312" w:cs="方正仿宋_GB2312"/>
          <w:color w:val="auto"/>
          <w:sz w:val="24"/>
          <w:szCs w:val="24"/>
          <w:highlight w:val="none"/>
        </w:rPr>
        <w:drawing>
          <wp:inline distT="0" distB="0" distL="114300" distR="114300">
            <wp:extent cx="5230495" cy="3936365"/>
            <wp:effectExtent l="0" t="0" r="8255"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30495" cy="3936365"/>
                    </a:xfrm>
                    <a:prstGeom prst="rect">
                      <a:avLst/>
                    </a:prstGeom>
                    <a:noFill/>
                    <a:ln>
                      <a:noFill/>
                    </a:ln>
                  </pic:spPr>
                </pic:pic>
              </a:graphicData>
            </a:graphic>
          </wp:inline>
        </w:drawing>
      </w:r>
    </w:p>
    <w:p w14:paraId="73AA825F">
      <w:pPr>
        <w:numPr>
          <w:ilvl w:val="0"/>
          <w:numId w:val="0"/>
        </w:num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现场环境图</w:t>
      </w:r>
    </w:p>
    <w:p w14:paraId="1E779FD6">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80" w:firstLineChars="200"/>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drawing>
          <wp:inline distT="0" distB="0" distL="114300" distR="114300">
            <wp:extent cx="2955925" cy="3888105"/>
            <wp:effectExtent l="0" t="0" r="15875" b="17145"/>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13"/>
                    <a:stretch>
                      <a:fillRect/>
                    </a:stretch>
                  </pic:blipFill>
                  <pic:spPr>
                    <a:xfrm>
                      <a:off x="0" y="0"/>
                      <a:ext cx="2955925" cy="3888105"/>
                    </a:xfrm>
                    <a:prstGeom prst="rect">
                      <a:avLst/>
                    </a:prstGeom>
                    <a:noFill/>
                    <a:ln>
                      <a:noFill/>
                    </a:ln>
                  </pic:spPr>
                </pic:pic>
              </a:graphicData>
            </a:graphic>
          </wp:inline>
        </w:drawing>
      </w:r>
    </w:p>
    <w:p w14:paraId="7F1858FE">
      <w:pPr>
        <w:numPr>
          <w:ilvl w:val="0"/>
          <w:numId w:val="0"/>
        </w:num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二至五层JL-A2加压供水管</w:t>
      </w:r>
    </w:p>
    <w:p w14:paraId="3F1FD562">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80" w:firstLineChars="200"/>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drawing>
          <wp:inline distT="0" distB="0" distL="114300" distR="114300">
            <wp:extent cx="4985385" cy="3733800"/>
            <wp:effectExtent l="0" t="0" r="5715" b="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pic:cNvPicPr>
                  </pic:nvPicPr>
                  <pic:blipFill>
                    <a:blip r:embed="rId14"/>
                    <a:stretch>
                      <a:fillRect/>
                    </a:stretch>
                  </pic:blipFill>
                  <pic:spPr>
                    <a:xfrm>
                      <a:off x="0" y="0"/>
                      <a:ext cx="4985385" cy="3733800"/>
                    </a:xfrm>
                    <a:prstGeom prst="rect">
                      <a:avLst/>
                    </a:prstGeom>
                    <a:noFill/>
                    <a:ln>
                      <a:noFill/>
                    </a:ln>
                  </pic:spPr>
                </pic:pic>
              </a:graphicData>
            </a:graphic>
          </wp:inline>
        </w:drawing>
      </w:r>
    </w:p>
    <w:p w14:paraId="7F01449A">
      <w:pPr>
        <w:numPr>
          <w:ilvl w:val="0"/>
          <w:numId w:val="0"/>
        </w:num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负二至一层JL-12生活水管</w:t>
      </w:r>
    </w:p>
    <w:p w14:paraId="23652FB4">
      <w:pPr>
        <w:numPr>
          <w:ilvl w:val="0"/>
          <w:numId w:val="0"/>
        </w:numPr>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3.7地下二层设计平面图</w:t>
      </w:r>
    </w:p>
    <w:p w14:paraId="186F2AAE">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80" w:firstLineChars="200"/>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drawing>
          <wp:inline distT="0" distB="0" distL="114300" distR="114300">
            <wp:extent cx="4666615" cy="5895340"/>
            <wp:effectExtent l="0" t="0" r="635" b="10160"/>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15"/>
                    <a:stretch>
                      <a:fillRect/>
                    </a:stretch>
                  </pic:blipFill>
                  <pic:spPr>
                    <a:xfrm>
                      <a:off x="0" y="0"/>
                      <a:ext cx="4666615" cy="5895340"/>
                    </a:xfrm>
                    <a:prstGeom prst="rect">
                      <a:avLst/>
                    </a:prstGeom>
                    <a:noFill/>
                    <a:ln>
                      <a:noFill/>
                    </a:ln>
                  </pic:spPr>
                </pic:pic>
              </a:graphicData>
            </a:graphic>
          </wp:inline>
        </w:drawing>
      </w:r>
    </w:p>
    <w:p w14:paraId="03D3B08C">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四、服务要求与条件</w:t>
      </w:r>
    </w:p>
    <w:p w14:paraId="6B7AF6C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4.1项目人员要求</w:t>
      </w:r>
    </w:p>
    <w:p w14:paraId="4A6992A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项目负责人1名：大专以上学历，机电相关专业，具有机电工程项目的项目负责人业绩经验。</w:t>
      </w:r>
    </w:p>
    <w:p w14:paraId="25B2450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安全负责人1名：大专以上学历，持有安全员C证。</w:t>
      </w:r>
    </w:p>
    <w:p w14:paraId="7ED3F99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一般作业人员</w:t>
      </w:r>
      <w:r>
        <w:rPr>
          <w:rFonts w:hint="eastAsia" w:ascii="宋体" w:hAnsi="宋体" w:cs="宋体"/>
          <w:color w:val="auto"/>
          <w:kern w:val="0"/>
          <w:sz w:val="21"/>
          <w:szCs w:val="21"/>
          <w:highlight w:val="none"/>
          <w:lang w:val="en-US" w:eastAsia="zh-CN"/>
        </w:rPr>
        <w:t>不低于3人</w:t>
      </w:r>
      <w:r>
        <w:rPr>
          <w:rFonts w:hint="eastAsia" w:ascii="宋体" w:hAnsi="宋体" w:eastAsia="宋体" w:cs="宋体"/>
          <w:color w:val="auto"/>
          <w:kern w:val="0"/>
          <w:sz w:val="21"/>
          <w:szCs w:val="21"/>
          <w:highlight w:val="none"/>
          <w:lang w:val="en-US" w:eastAsia="zh-CN"/>
        </w:rPr>
        <w:t>：具备机电工程项目施工工作经验。</w:t>
      </w:r>
    </w:p>
    <w:p w14:paraId="0848614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特种作业人员</w:t>
      </w:r>
      <w:r>
        <w:rPr>
          <w:rFonts w:hint="eastAsia" w:ascii="宋体" w:hAnsi="宋体" w:cs="宋体"/>
          <w:color w:val="auto"/>
          <w:kern w:val="0"/>
          <w:sz w:val="21"/>
          <w:szCs w:val="21"/>
          <w:highlight w:val="none"/>
          <w:lang w:val="en-US" w:eastAsia="zh-CN"/>
        </w:rPr>
        <w:t>不低于3人</w:t>
      </w:r>
      <w:r>
        <w:rPr>
          <w:rFonts w:hint="eastAsia" w:ascii="宋体" w:hAnsi="宋体" w:eastAsia="宋体" w:cs="宋体"/>
          <w:color w:val="auto"/>
          <w:kern w:val="0"/>
          <w:sz w:val="21"/>
          <w:szCs w:val="21"/>
          <w:highlight w:val="none"/>
          <w:lang w:val="en-US" w:eastAsia="zh-CN"/>
        </w:rPr>
        <w:t>：登高作业人员、焊切割人员须持有相应证书。</w:t>
      </w:r>
    </w:p>
    <w:p w14:paraId="4FCDC3D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注：合同签订后项目实施前提交</w:t>
      </w:r>
      <w:r>
        <w:rPr>
          <w:rFonts w:hint="eastAsia" w:ascii="宋体" w:hAnsi="宋体" w:cs="宋体"/>
          <w:color w:val="auto"/>
          <w:kern w:val="0"/>
          <w:sz w:val="21"/>
          <w:szCs w:val="21"/>
          <w:highlight w:val="none"/>
          <w:lang w:val="en-US" w:eastAsia="zh-CN"/>
        </w:rPr>
        <w:t>所有</w:t>
      </w:r>
      <w:r>
        <w:rPr>
          <w:rFonts w:hint="eastAsia" w:ascii="宋体" w:hAnsi="宋体" w:eastAsia="宋体" w:cs="宋体"/>
          <w:color w:val="auto"/>
          <w:kern w:val="0"/>
          <w:sz w:val="21"/>
          <w:szCs w:val="21"/>
          <w:highlight w:val="none"/>
          <w:lang w:val="en-US" w:eastAsia="zh-CN"/>
        </w:rPr>
        <w:t>人员资料报招标人核查</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中标人须按照上述要求配置人员，否则招标人报监督管理部门依法处理。</w:t>
      </w:r>
    </w:p>
    <w:p w14:paraId="0333309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4.2中标人施工过程所发生的一切交通（含地铁卡）、通信费用由中标人承担，项目所需的工器具、办公用品、管理用具、劳保用品、安全防护用具、工作服（工作服的式样、标识需征得招标人同意）等均由中标人自行解决。</w:t>
      </w:r>
    </w:p>
    <w:p w14:paraId="4027980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4.3实施人员要求具备一定的消防设备施工作业经验，作业前要了解工程项目的内容和性质、服务对象及安装位置，实施人员要熟悉技术、质量要求，强化技术管理及安全保护措施。</w:t>
      </w:r>
    </w:p>
    <w:p w14:paraId="6BFE883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方正仿宋_GB2312" w:hAnsi="方正仿宋_GB2312" w:eastAsia="方正仿宋_GB2312" w:cs="方正仿宋_GB2312"/>
          <w:color w:val="auto"/>
          <w:kern w:val="0"/>
          <w:sz w:val="24"/>
          <w:szCs w:val="24"/>
          <w:highlight w:val="none"/>
          <w:lang w:val="en-US" w:eastAsia="zh-CN"/>
        </w:rPr>
      </w:pPr>
      <w:r>
        <w:rPr>
          <w:rFonts w:hint="eastAsia" w:ascii="宋体" w:hAnsi="宋体" w:eastAsia="宋体" w:cs="宋体"/>
          <w:color w:val="auto"/>
          <w:kern w:val="0"/>
          <w:sz w:val="21"/>
          <w:szCs w:val="21"/>
          <w:highlight w:val="none"/>
          <w:lang w:val="en-US" w:eastAsia="zh-CN"/>
        </w:rPr>
        <w:t>4.4必须无条件遵守运营公司所有的制度及相关管理规定。所有作业时间、作业人员资质要求、作业人员进场安全培训要求均按招标人有关规定。</w:t>
      </w:r>
    </w:p>
    <w:p w14:paraId="3F99DCD2">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五、工作内容（工程量）</w:t>
      </w:r>
    </w:p>
    <w:p w14:paraId="592E70D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5.1项目一：工作量清单</w:t>
      </w:r>
    </w:p>
    <w:tbl>
      <w:tblPr>
        <w:tblStyle w:val="23"/>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700"/>
        <w:gridCol w:w="1548"/>
        <w:gridCol w:w="700"/>
        <w:gridCol w:w="700"/>
        <w:gridCol w:w="2524"/>
        <w:gridCol w:w="3078"/>
      </w:tblGrid>
      <w:tr w14:paraId="3391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49" w:hRule="atLeast"/>
          <w:tblHeader/>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45D6962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序号</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B1649B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名称</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83D783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数量</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709C7E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单位</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7FE2C0D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技术规格或工程特性</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2E92467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备注</w:t>
            </w:r>
          </w:p>
        </w:tc>
      </w:tr>
      <w:tr w14:paraId="2C33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5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7E0B23F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F99496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变频增压泵</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69C5B8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4</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AFE8DE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1ADF942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参考</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05C5DE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一站2台，一主一备</w:t>
            </w:r>
          </w:p>
        </w:tc>
      </w:tr>
      <w:tr w14:paraId="58A1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3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2874E8D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2</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95FA4C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变频增压泵控制柜</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8C5CD4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9DA6BC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040785C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参考</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3</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3334E1E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一站一台</w:t>
            </w:r>
          </w:p>
        </w:tc>
      </w:tr>
      <w:tr w14:paraId="3C09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38"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62DDE55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3</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91A1D2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电力电缆</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66405B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30</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05AB24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米</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6F9BB29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rPr>
            </w:pPr>
            <w:r>
              <w:rPr>
                <w:rFonts w:hint="eastAsia" w:ascii="宋体" w:hAnsi="宋体" w:eastAsia="宋体" w:cs="宋体"/>
                <w:color w:val="auto"/>
                <w:sz w:val="21"/>
                <w:szCs w:val="21"/>
                <w:highlight w:val="none"/>
                <w:lang w:val="en-US" w:eastAsia="zh-CN"/>
              </w:rPr>
              <w:t>≥2.5mm²</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0B279C8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以现场实际环境为主</w:t>
            </w:r>
          </w:p>
          <w:p w14:paraId="0F5FE78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（要求配钢套管或电缆桥架）</w:t>
            </w:r>
          </w:p>
        </w:tc>
      </w:tr>
      <w:tr w14:paraId="3B3A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708"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02B4125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4</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48C80B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控制电缆</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AE1193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50</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E04F8F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米</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56F9661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≥10X1.5mm²</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25313D7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以现场实际环境为主</w:t>
            </w:r>
          </w:p>
          <w:p w14:paraId="0EA0869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（要求配钢套管或电缆桥架）</w:t>
            </w:r>
          </w:p>
        </w:tc>
      </w:tr>
      <w:tr w14:paraId="18DC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38"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2A53FFF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5</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D4A45A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气压罐</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DA9C88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927A9C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台</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4AE4D04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参考3.2.5</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7F4B479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一站一台</w:t>
            </w:r>
          </w:p>
        </w:tc>
      </w:tr>
      <w:tr w14:paraId="4725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5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30D79A2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13D7C3C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食品级组合式不锈钢水箱</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ED879D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67A2EC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台</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0AEF5CA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参考</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7</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7D747F6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一站一台</w:t>
            </w:r>
          </w:p>
        </w:tc>
      </w:tr>
      <w:tr w14:paraId="22BA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3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3435A40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CAE4AA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紫外线消毒设备</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91CA6C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4B48EC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台</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194FB1C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参考</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8</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7B65FE7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一站一台</w:t>
            </w:r>
          </w:p>
        </w:tc>
      </w:tr>
      <w:tr w14:paraId="1E5F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3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618DB8C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50AB082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混凝土基础</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4D3670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693E54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座</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2630F02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参考3.2.9</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0528251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可采用整体式基础</w:t>
            </w:r>
          </w:p>
        </w:tc>
      </w:tr>
      <w:tr w14:paraId="7E0F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5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51E1658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63EBEA7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管道辅材</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BA6555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若干</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C89496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个</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5872900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参考</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2.6</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34DC1E7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以现场实际环境为主</w:t>
            </w:r>
          </w:p>
        </w:tc>
      </w:tr>
    </w:tbl>
    <w:p w14:paraId="447A45E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注：以上工作量清单表为需求参考工作量，投标人投标前应组织现场勘查，实际情况以现场勘查为准。如投标人未进行现场勘查，招标人则认为，投标人已完成掌握了解现场设备实际情况。</w:t>
      </w:r>
    </w:p>
    <w:p w14:paraId="0EC0174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1"/>
          <w:szCs w:val="21"/>
          <w:highlight w:val="none"/>
          <w:lang w:val="en-US" w:eastAsia="zh-CN"/>
        </w:rPr>
        <w:t>项目二：工作量清单</w:t>
      </w:r>
    </w:p>
    <w:tbl>
      <w:tblPr>
        <w:tblStyle w:val="23"/>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904"/>
        <w:gridCol w:w="735"/>
        <w:gridCol w:w="1095"/>
        <w:gridCol w:w="2985"/>
        <w:gridCol w:w="1921"/>
      </w:tblGrid>
      <w:tr w14:paraId="7B50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8D9608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序号</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38BDC8F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名称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7F71E7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数量</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517652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单位</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5B12CF7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技术规格或工程特性</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BBC648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备注</w:t>
            </w:r>
          </w:p>
        </w:tc>
      </w:tr>
      <w:tr w14:paraId="2EF4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D0BF00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B99E17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净水器</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431E1C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CA9047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套</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7980DBA0">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参考3.3.6.3</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14370A9">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rPr>
            </w:pPr>
          </w:p>
        </w:tc>
      </w:tr>
      <w:tr w14:paraId="11AA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89DA3C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340DE85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阀门</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E8595D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94EC4A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件</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27E653F2">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304不锈钢；DN50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A9E8558">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rPr>
            </w:pPr>
          </w:p>
        </w:tc>
      </w:tr>
      <w:tr w14:paraId="3341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6B929C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34990E1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金属水管</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41B6F8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7404C0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米</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14C1EC2B">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薄壁304不锈钢；DN50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06E041F">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rPr>
            </w:pPr>
          </w:p>
        </w:tc>
      </w:tr>
      <w:tr w14:paraId="1B35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2216E3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299E71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线缆</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5A17BA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71E8A3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米</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6003C808">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WDZB-BYJ-450/750低烟无卤阻燃耐火交联聚乙烯导线</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E6A014E">
            <w:pPr>
              <w:keepNext w:val="0"/>
              <w:keepLines w:val="0"/>
              <w:suppressLineNumbers w:val="0"/>
              <w:tabs>
                <w:tab w:val="left" w:pos="420"/>
              </w:tabs>
              <w:adjustRightInd w:val="0"/>
              <w:snapToGrid w:val="0"/>
              <w:spacing w:before="0" w:beforeAutospacing="0" w:after="0" w:afterAutospacing="0" w:line="240" w:lineRule="auto"/>
              <w:ind w:left="0" w:right="0" w:firstLine="480" w:firstLineChars="200"/>
              <w:jc w:val="left"/>
              <w:rPr>
                <w:rFonts w:hint="eastAsia" w:ascii="宋体" w:hAnsi="宋体" w:eastAsia="宋体" w:cs="宋体"/>
                <w:color w:val="auto"/>
                <w:kern w:val="0"/>
                <w:sz w:val="24"/>
                <w:szCs w:val="24"/>
                <w:highlight w:val="none"/>
              </w:rPr>
            </w:pPr>
          </w:p>
        </w:tc>
      </w:tr>
      <w:tr w14:paraId="76E9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2386F6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5</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1FFD79E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排水管</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8A49A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5</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B46979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米</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0C94F1B5">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PVC材质</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DAAB19E">
            <w:pPr>
              <w:keepNext w:val="0"/>
              <w:keepLines w:val="0"/>
              <w:suppressLineNumbers w:val="0"/>
              <w:tabs>
                <w:tab w:val="left" w:pos="420"/>
              </w:tabs>
              <w:adjustRightInd w:val="0"/>
              <w:snapToGrid w:val="0"/>
              <w:spacing w:before="0" w:beforeAutospacing="0" w:after="0" w:afterAutospacing="0" w:line="240" w:lineRule="auto"/>
              <w:ind w:left="0" w:right="0" w:firstLine="480" w:firstLineChars="200"/>
              <w:jc w:val="left"/>
              <w:rPr>
                <w:rFonts w:hint="eastAsia" w:ascii="宋体" w:hAnsi="宋体" w:eastAsia="宋体" w:cs="宋体"/>
                <w:color w:val="auto"/>
                <w:kern w:val="0"/>
                <w:sz w:val="24"/>
                <w:szCs w:val="24"/>
                <w:highlight w:val="none"/>
              </w:rPr>
            </w:pPr>
          </w:p>
        </w:tc>
      </w:tr>
      <w:tr w14:paraId="63E3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3A6DEB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6</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45F9D26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U型卡箍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9ADE6C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6</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CA180B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件</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44152384">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M8或M10；不锈钢材质</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F4D8AC8">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rPr>
            </w:pPr>
          </w:p>
        </w:tc>
      </w:tr>
      <w:tr w14:paraId="7CDC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8B8703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1840DF1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辅材</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35B12B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若干</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D6F12F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件</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1EF38A8A">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8E2FEA3">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p>
        </w:tc>
      </w:tr>
    </w:tbl>
    <w:p w14:paraId="7CD3AFC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jc w:val="left"/>
        <w:textAlignment w:val="auto"/>
        <w:rPr>
          <w:rFonts w:hint="eastAsia" w:ascii="宋体" w:hAnsi="宋体" w:eastAsia="宋体" w:cs="宋体"/>
          <w:b/>
          <w:color w:val="auto"/>
          <w:kern w:val="0"/>
          <w:sz w:val="21"/>
          <w:szCs w:val="21"/>
          <w:highlight w:val="none"/>
        </w:rPr>
      </w:pPr>
      <w:r>
        <w:rPr>
          <w:rFonts w:hint="eastAsia" w:ascii="方正仿宋_GB2312" w:hAnsi="方正仿宋_GB2312" w:eastAsia="方正仿宋_GB2312" w:cs="方正仿宋_GB2312"/>
          <w:b/>
          <w:color w:val="auto"/>
          <w:kern w:val="0"/>
          <w:sz w:val="24"/>
          <w:szCs w:val="24"/>
          <w:highlight w:val="none"/>
        </w:rPr>
        <w:tab/>
      </w:r>
      <w:r>
        <w:rPr>
          <w:rFonts w:hint="eastAsia" w:ascii="宋体" w:hAnsi="宋体" w:eastAsia="宋体" w:cs="宋体"/>
          <w:b/>
          <w:color w:val="auto"/>
          <w:kern w:val="0"/>
          <w:sz w:val="21"/>
          <w:szCs w:val="21"/>
          <w:highlight w:val="none"/>
        </w:rPr>
        <w:t>注：以上工作量清单表为需求参考工作量，投标人投标前应组织现场勘查，实际情况以现场勘查为准。如投标人未进行现场勘查，招标人则认为，投标人已完成掌握了解现场设备实际情况。</w:t>
      </w:r>
    </w:p>
    <w:p w14:paraId="46D5ACD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5.3项目三：工作量清单</w:t>
      </w:r>
    </w:p>
    <w:tbl>
      <w:tblPr>
        <w:tblStyle w:val="23"/>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904"/>
        <w:gridCol w:w="735"/>
        <w:gridCol w:w="1095"/>
        <w:gridCol w:w="2985"/>
        <w:gridCol w:w="1921"/>
      </w:tblGrid>
      <w:tr w14:paraId="1F08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7E5D9A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序号</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1977CC0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名称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306A41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数量</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2ECE5C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单位</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7867382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技术规格或工程特性</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BCD230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备注</w:t>
            </w:r>
          </w:p>
        </w:tc>
      </w:tr>
      <w:tr w14:paraId="1CC2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052ED4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1EDB6FA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不锈钢水管</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06CC55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233F32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米</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5D0E5E9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DN80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0178D9E">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1"/>
                <w:szCs w:val="21"/>
                <w:highlight w:val="none"/>
              </w:rPr>
            </w:pPr>
          </w:p>
        </w:tc>
      </w:tr>
      <w:tr w14:paraId="63AD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777325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31BB27C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不锈钢三通</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990958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09908D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个</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393424E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DN80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395CDB3">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1"/>
                <w:szCs w:val="21"/>
                <w:highlight w:val="none"/>
              </w:rPr>
            </w:pPr>
          </w:p>
        </w:tc>
      </w:tr>
      <w:tr w14:paraId="146C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9EAAE0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69CEE7E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不锈钢变径</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5AA469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871896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个</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499F6E7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DN80转DN50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D5FE767">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1"/>
                <w:szCs w:val="21"/>
                <w:highlight w:val="none"/>
              </w:rPr>
            </w:pPr>
          </w:p>
        </w:tc>
      </w:tr>
      <w:tr w14:paraId="464F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52705A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6111909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不锈钢闸阀</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338263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AC3613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个</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7F0281B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570B81F">
            <w:pPr>
              <w:keepNext w:val="0"/>
              <w:keepLines w:val="0"/>
              <w:suppressLineNumbers w:val="0"/>
              <w:tabs>
                <w:tab w:val="left" w:pos="420"/>
              </w:tabs>
              <w:adjustRightInd w:val="0"/>
              <w:snapToGrid w:val="0"/>
              <w:spacing w:before="0" w:beforeAutospacing="0" w:after="0" w:afterAutospacing="0" w:line="240" w:lineRule="auto"/>
              <w:ind w:left="0" w:right="0" w:firstLine="420" w:firstLineChars="200"/>
              <w:jc w:val="left"/>
              <w:rPr>
                <w:rFonts w:hint="eastAsia" w:ascii="宋体" w:hAnsi="宋体" w:eastAsia="宋体" w:cs="宋体"/>
                <w:color w:val="auto"/>
                <w:kern w:val="0"/>
                <w:sz w:val="21"/>
                <w:szCs w:val="21"/>
                <w:highlight w:val="none"/>
              </w:rPr>
            </w:pPr>
          </w:p>
        </w:tc>
      </w:tr>
      <w:tr w14:paraId="3C6A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344A8D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5</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737EDED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水表</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4AD37A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75CCDB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个</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6DFE211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D3DD84A">
            <w:pPr>
              <w:keepNext w:val="0"/>
              <w:keepLines w:val="0"/>
              <w:suppressLineNumbers w:val="0"/>
              <w:tabs>
                <w:tab w:val="left" w:pos="420"/>
              </w:tabs>
              <w:adjustRightInd w:val="0"/>
              <w:snapToGrid w:val="0"/>
              <w:spacing w:before="0" w:beforeAutospacing="0" w:after="0" w:afterAutospacing="0" w:line="240" w:lineRule="auto"/>
              <w:ind w:left="0" w:right="0" w:firstLine="420" w:firstLineChars="200"/>
              <w:jc w:val="left"/>
              <w:rPr>
                <w:rFonts w:hint="eastAsia" w:ascii="宋体" w:hAnsi="宋体" w:eastAsia="宋体" w:cs="宋体"/>
                <w:color w:val="auto"/>
                <w:kern w:val="0"/>
                <w:sz w:val="21"/>
                <w:szCs w:val="21"/>
                <w:highlight w:val="none"/>
              </w:rPr>
            </w:pPr>
          </w:p>
        </w:tc>
      </w:tr>
      <w:tr w14:paraId="44D9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41BA5B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6</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71713FE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不锈钢水管</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BA5175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1699FF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米</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4412647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13AE5AB">
            <w:pPr>
              <w:keepNext w:val="0"/>
              <w:keepLines w:val="0"/>
              <w:suppressLineNumbers w:val="0"/>
              <w:tabs>
                <w:tab w:val="left" w:pos="420"/>
              </w:tabs>
              <w:adjustRightInd w:val="0"/>
              <w:snapToGrid w:val="0"/>
              <w:spacing w:before="0" w:beforeAutospacing="0" w:after="0" w:afterAutospacing="0" w:line="240" w:lineRule="auto"/>
              <w:ind w:left="0" w:right="0" w:firstLine="420" w:firstLineChars="200"/>
              <w:jc w:val="left"/>
              <w:rPr>
                <w:rFonts w:hint="eastAsia" w:ascii="宋体" w:hAnsi="宋体" w:eastAsia="宋体" w:cs="宋体"/>
                <w:color w:val="auto"/>
                <w:kern w:val="0"/>
                <w:sz w:val="21"/>
                <w:szCs w:val="21"/>
                <w:highlight w:val="none"/>
              </w:rPr>
            </w:pPr>
          </w:p>
        </w:tc>
      </w:tr>
      <w:tr w14:paraId="0B7D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520B44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7</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9A82E8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不锈钢三通</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AF1EB9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686AAB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个</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77C23DB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67C1FAA">
            <w:pPr>
              <w:keepNext w:val="0"/>
              <w:keepLines w:val="0"/>
              <w:suppressLineNumbers w:val="0"/>
              <w:tabs>
                <w:tab w:val="left" w:pos="420"/>
              </w:tabs>
              <w:adjustRightInd w:val="0"/>
              <w:snapToGrid w:val="0"/>
              <w:spacing w:before="0" w:beforeAutospacing="0" w:after="0" w:afterAutospacing="0" w:line="240" w:lineRule="auto"/>
              <w:ind w:left="0" w:right="0" w:firstLine="420" w:firstLineChars="200"/>
              <w:jc w:val="left"/>
              <w:rPr>
                <w:rFonts w:hint="eastAsia" w:ascii="宋体" w:hAnsi="宋体" w:eastAsia="宋体" w:cs="宋体"/>
                <w:color w:val="auto"/>
                <w:kern w:val="0"/>
                <w:sz w:val="21"/>
                <w:szCs w:val="21"/>
                <w:highlight w:val="none"/>
              </w:rPr>
            </w:pPr>
          </w:p>
        </w:tc>
      </w:tr>
      <w:tr w14:paraId="45A2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222597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71BAFE2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卡箍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2845B1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4</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9CFB4D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件</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106D9B0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满足现场桥架需求</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4E18393">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1"/>
                <w:szCs w:val="21"/>
                <w:highlight w:val="none"/>
              </w:rPr>
            </w:pPr>
          </w:p>
        </w:tc>
      </w:tr>
      <w:tr w14:paraId="135F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2D42A8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7B4A02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辅材</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202F12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若干</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0E7EE3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件</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7B14810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各类直接、弯头、辅材</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D3A96AC">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根据施工现场条件</w:t>
            </w:r>
          </w:p>
        </w:tc>
      </w:tr>
    </w:tbl>
    <w:p w14:paraId="0AE3B9B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方正仿宋_GB2312" w:hAnsi="方正仿宋_GB2312" w:eastAsia="方正仿宋_GB2312" w:cs="方正仿宋_GB2312"/>
          <w:color w:val="auto"/>
          <w:kern w:val="0"/>
          <w:sz w:val="24"/>
          <w:szCs w:val="24"/>
          <w:highlight w:val="none"/>
          <w:lang w:eastAsia="zh-CN"/>
        </w:rPr>
      </w:pPr>
      <w:r>
        <w:rPr>
          <w:rFonts w:hint="eastAsia" w:ascii="宋体" w:hAnsi="宋体" w:eastAsia="宋体" w:cs="宋体"/>
          <w:color w:val="auto"/>
          <w:kern w:val="0"/>
          <w:sz w:val="21"/>
          <w:szCs w:val="21"/>
          <w:highlight w:val="none"/>
          <w:lang w:val="en-US" w:eastAsia="zh-CN"/>
        </w:rPr>
        <w:t>5.4</w:t>
      </w:r>
      <w:r>
        <w:rPr>
          <w:rFonts w:hint="eastAsia" w:ascii="宋体" w:hAnsi="宋体" w:eastAsia="宋体" w:cs="宋体"/>
          <w:color w:val="auto"/>
          <w:kern w:val="0"/>
          <w:sz w:val="21"/>
          <w:szCs w:val="21"/>
          <w:highlight w:val="none"/>
        </w:rPr>
        <w:t>投标人应根据本项目实际需求提供设备明细清单。</w:t>
      </w:r>
    </w:p>
    <w:p w14:paraId="2553931F">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91" w:name="_Toc204592777"/>
      <w:bookmarkStart w:id="92" w:name="_Toc203206424"/>
      <w:bookmarkStart w:id="93" w:name="_Toc270685503"/>
      <w:bookmarkStart w:id="94" w:name="_Toc270689669"/>
      <w:bookmarkStart w:id="95" w:name="_Toc414004292"/>
      <w:bookmarkStart w:id="96" w:name="_Toc199246698"/>
      <w:bookmarkStart w:id="97" w:name="_Toc270684931"/>
      <w:bookmarkStart w:id="98" w:name="_Toc270688006"/>
      <w:bookmarkStart w:id="99" w:name="_Toc31131"/>
      <w:bookmarkStart w:id="100" w:name="_Toc203205323"/>
      <w:bookmarkStart w:id="101" w:name="_Toc145927498"/>
      <w:r>
        <w:rPr>
          <w:rFonts w:hint="eastAsia" w:ascii="宋体" w:hAnsi="宋体" w:eastAsia="宋体" w:cs="宋体"/>
          <w:b/>
          <w:sz w:val="21"/>
          <w:szCs w:val="21"/>
          <w:highlight w:val="none"/>
          <w:lang w:val="en-US" w:eastAsia="zh-CN"/>
        </w:rPr>
        <w:t>六、文件</w:t>
      </w:r>
      <w:bookmarkEnd w:id="91"/>
      <w:bookmarkEnd w:id="92"/>
      <w:bookmarkEnd w:id="93"/>
      <w:bookmarkEnd w:id="94"/>
      <w:bookmarkEnd w:id="95"/>
      <w:bookmarkEnd w:id="96"/>
      <w:bookmarkEnd w:id="97"/>
      <w:bookmarkEnd w:id="98"/>
      <w:bookmarkEnd w:id="99"/>
      <w:bookmarkEnd w:id="100"/>
    </w:p>
    <w:p w14:paraId="5AE760C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6.1对于从市场上采购的产品，必须提供产品说明书和合格证，说明书应能满足</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lang w:val="en-US" w:eastAsia="zh-CN"/>
        </w:rPr>
        <w:t>的维修和采购的要求；</w:t>
      </w:r>
    </w:p>
    <w:p w14:paraId="20E2D15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6.2设备应符合国家标准。</w:t>
      </w:r>
    </w:p>
    <w:p w14:paraId="6FD3CB9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bookmarkStart w:id="102" w:name="_Toc17251"/>
      <w:bookmarkStart w:id="103" w:name="_Toc161942218"/>
      <w:bookmarkStart w:id="104" w:name="_Toc165541668"/>
      <w:bookmarkStart w:id="105" w:name="_Toc414004294"/>
      <w:bookmarkStart w:id="106" w:name="_Toc270688008"/>
      <w:bookmarkStart w:id="107" w:name="_Toc270689671"/>
      <w:r>
        <w:rPr>
          <w:rFonts w:hint="eastAsia" w:ascii="宋体" w:hAnsi="宋体" w:eastAsia="宋体" w:cs="宋体"/>
          <w:color w:val="auto"/>
          <w:kern w:val="0"/>
          <w:sz w:val="21"/>
          <w:szCs w:val="21"/>
          <w:highlight w:val="none"/>
          <w:lang w:val="en-US" w:eastAsia="zh-CN"/>
        </w:rPr>
        <w:t>6.3手册要求</w:t>
      </w:r>
      <w:bookmarkEnd w:id="102"/>
      <w:bookmarkEnd w:id="103"/>
      <w:bookmarkEnd w:id="104"/>
      <w:bookmarkEnd w:id="105"/>
      <w:bookmarkEnd w:id="106"/>
      <w:bookmarkEnd w:id="107"/>
    </w:p>
    <w:p w14:paraId="3E0F585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6.3.1安装手册：安装手册应由所需之全部图纸和文件组成，应定义：</w:t>
      </w:r>
    </w:p>
    <w:p w14:paraId="5BD31B0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●电源、数据、控制和通信接口的配线规程；</w:t>
      </w:r>
    </w:p>
    <w:p w14:paraId="7CFE520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●为设备就位所需之地板、导轨、支架的安装、钻孔和上螺丝的方法；</w:t>
      </w:r>
    </w:p>
    <w:p w14:paraId="1E8313C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●安全警告或注意事项；</w:t>
      </w:r>
    </w:p>
    <w:p w14:paraId="7F99348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●接地及其连接规程；</w:t>
      </w:r>
    </w:p>
    <w:p w14:paraId="245FC5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●测试和校准方法；</w:t>
      </w:r>
    </w:p>
    <w:p w14:paraId="6E8FBF2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●气候防护、灰尘防护和其他的环境防护；</w:t>
      </w:r>
    </w:p>
    <w:p w14:paraId="289253C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●正确安装设备所需要的其他规程；</w:t>
      </w:r>
    </w:p>
    <w:p w14:paraId="498AB4D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●安装所需工具的功能及建议数量。</w:t>
      </w:r>
    </w:p>
    <w:p w14:paraId="71BD2B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.2操作手册：操作手册应为</w:t>
      </w:r>
      <w:r>
        <w:rPr>
          <w:rFonts w:hint="eastAsia" w:ascii="宋体" w:hAnsi="宋体" w:eastAsia="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在系统操作和检查提供指导。</w:t>
      </w:r>
    </w:p>
    <w:p w14:paraId="4E2A82F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●系统概述；</w:t>
      </w:r>
    </w:p>
    <w:p w14:paraId="22C7895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●主要功能说明；</w:t>
      </w:r>
    </w:p>
    <w:p w14:paraId="291DA10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●操作指南；</w:t>
      </w:r>
    </w:p>
    <w:p w14:paraId="095AD38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●故障状态；</w:t>
      </w:r>
    </w:p>
    <w:p w14:paraId="04CE627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●供货商提交的说明资料要对所规定的每一种设备及其如何操作予以阐述；</w:t>
      </w:r>
    </w:p>
    <w:p w14:paraId="7562ED0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.3维修手册：</w:t>
      </w:r>
    </w:p>
    <w:p w14:paraId="0223189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●维修手册应为系统维修人员的维护提供指导。</w:t>
      </w:r>
    </w:p>
    <w:p w14:paraId="45C9E92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●手册应对各系统各级检修的内容、要求、方法、程序、设备、工具、材料等方面做出详细的说明；对主要的故障部件的更换、调整和测试做出详细的说明。</w:t>
      </w:r>
    </w:p>
    <w:p w14:paraId="62A61BD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●维修手册应用中文编制；</w:t>
      </w:r>
    </w:p>
    <w:p w14:paraId="3B480E6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.4最终技术文件</w:t>
      </w:r>
    </w:p>
    <w:p w14:paraId="097F31F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最终技术文件应包括所供系统的最终技术参数，它应能清晰规定所有实现子系统要求的硬件和软件，并取得系统集成商和</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的确认。</w:t>
      </w:r>
    </w:p>
    <w:p w14:paraId="09158D7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最终技术文件包括但不限于下列内容：</w:t>
      </w:r>
    </w:p>
    <w:p w14:paraId="18D064E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●系统总说明；</w:t>
      </w:r>
    </w:p>
    <w:p w14:paraId="4A74F31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●系统构成；</w:t>
      </w:r>
    </w:p>
    <w:p w14:paraId="56569C3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●功能详细描述；</w:t>
      </w:r>
    </w:p>
    <w:p w14:paraId="1543F92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●技术参数；</w:t>
      </w:r>
    </w:p>
    <w:bookmarkEnd w:id="101"/>
    <w:p w14:paraId="16B752AD">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108" w:name="_Toc119140875"/>
      <w:bookmarkStart w:id="109" w:name="_Toc414004295"/>
      <w:bookmarkStart w:id="110" w:name="_Toc270689672"/>
      <w:bookmarkStart w:id="111" w:name="_Toc119945225"/>
      <w:bookmarkStart w:id="112" w:name="_Toc203205324"/>
      <w:bookmarkStart w:id="113" w:name="_Toc130888805"/>
      <w:bookmarkStart w:id="114" w:name="_Toc20393"/>
      <w:bookmarkStart w:id="115" w:name="_Toc203206425"/>
      <w:bookmarkStart w:id="116" w:name="_Toc270685504"/>
      <w:bookmarkStart w:id="117" w:name="_Toc136230048"/>
      <w:bookmarkStart w:id="118" w:name="_Toc119945109"/>
      <w:bookmarkStart w:id="119" w:name="_Toc270688009"/>
      <w:bookmarkStart w:id="120" w:name="_Toc204592778"/>
      <w:bookmarkStart w:id="121" w:name="_Toc270684932"/>
      <w:bookmarkStart w:id="122" w:name="_Toc509033984"/>
      <w:r>
        <w:rPr>
          <w:rFonts w:hint="eastAsia" w:ascii="宋体" w:hAnsi="宋体" w:eastAsia="宋体" w:cs="宋体"/>
          <w:b/>
          <w:sz w:val="21"/>
          <w:szCs w:val="21"/>
          <w:highlight w:val="none"/>
          <w:lang w:val="en-US" w:eastAsia="zh-CN"/>
        </w:rPr>
        <w:t>七、培训</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2AFCE09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本项目培训为现场培训（免费，人数不限），要求如下：</w:t>
      </w:r>
    </w:p>
    <w:p w14:paraId="14FACE1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7.1</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派出经验丰富的技术人员对</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的维修、操作人员进行现场培训。</w:t>
      </w:r>
    </w:p>
    <w:p w14:paraId="6F89F82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7.2现场培训在本项目终验之后进行，该培训在控制中心进行，培训的内容包括正常操作程序和如何处理紧急情况。</w:t>
      </w:r>
    </w:p>
    <w:p w14:paraId="780F8ED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7.3现场培训包括安装、调试、维护等项内容，使维护人员掌握操作维护</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提供的设备、专用仪表的能力。</w:t>
      </w:r>
    </w:p>
    <w:p w14:paraId="7589033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7.4</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提供培训人员所需的设备、工具、仪器仪表等。</w:t>
      </w:r>
    </w:p>
    <w:p w14:paraId="5E04200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23" w:name="_Toc48382253"/>
      <w:bookmarkStart w:id="124" w:name="_Toc270689673"/>
      <w:bookmarkStart w:id="125" w:name="_Toc414004296"/>
      <w:bookmarkStart w:id="126" w:name="_Toc270685505"/>
      <w:bookmarkStart w:id="127" w:name="_Toc22825"/>
      <w:bookmarkStart w:id="128" w:name="_Toc199246701"/>
      <w:bookmarkStart w:id="129" w:name="_Toc198968314"/>
      <w:bookmarkStart w:id="130" w:name="_Toc270684933"/>
      <w:bookmarkStart w:id="131" w:name="_Toc203206432"/>
      <w:bookmarkStart w:id="132" w:name="_Toc198967522"/>
      <w:bookmarkStart w:id="133" w:name="_Toc204592783"/>
      <w:bookmarkStart w:id="134" w:name="_Toc270688010"/>
      <w:bookmarkStart w:id="135" w:name="_Toc49593672"/>
      <w:bookmarkStart w:id="136" w:name="_Toc48443677"/>
      <w:r>
        <w:rPr>
          <w:rFonts w:hint="eastAsia" w:ascii="宋体" w:hAnsi="宋体" w:eastAsia="宋体" w:cs="宋体"/>
          <w:color w:val="auto"/>
          <w:kern w:val="0"/>
          <w:sz w:val="21"/>
          <w:szCs w:val="21"/>
          <w:highlight w:val="none"/>
        </w:rPr>
        <w:t>7.5</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提供培训的相关资料及文本。</w:t>
      </w:r>
    </w:p>
    <w:p w14:paraId="01965661">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八、试验、检验、验收</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Start w:id="137" w:name="_Toc508685005"/>
      <w:bookmarkStart w:id="138" w:name="_Toc39297924"/>
      <w:bookmarkStart w:id="139" w:name="_Toc198968315"/>
      <w:bookmarkStart w:id="140" w:name="_Toc508891162"/>
      <w:bookmarkStart w:id="141" w:name="_Toc48382255"/>
      <w:bookmarkStart w:id="142" w:name="_Toc502480351"/>
      <w:bookmarkStart w:id="143" w:name="_Toc48443679"/>
      <w:bookmarkStart w:id="144" w:name="_Toc49593674"/>
      <w:bookmarkStart w:id="145" w:name="_Toc508704371"/>
      <w:bookmarkStart w:id="146" w:name="_Toc508685078"/>
      <w:bookmarkStart w:id="147" w:name="_Toc508089936"/>
    </w:p>
    <w:p w14:paraId="0FE4556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48" w:name="_Toc203206433"/>
      <w:bookmarkStart w:id="149" w:name="_Toc270684934"/>
      <w:bookmarkStart w:id="150" w:name="_Toc199246702"/>
      <w:bookmarkStart w:id="151" w:name="_Toc414004297"/>
      <w:bookmarkStart w:id="152" w:name="_Toc270689674"/>
      <w:bookmarkStart w:id="153" w:name="_Toc417"/>
      <w:bookmarkStart w:id="154" w:name="_Toc204592784"/>
      <w:bookmarkStart w:id="155" w:name="_Toc270688011"/>
      <w:bookmarkStart w:id="156" w:name="_Toc270685506"/>
      <w:r>
        <w:rPr>
          <w:rFonts w:hint="eastAsia" w:ascii="宋体" w:hAnsi="宋体" w:eastAsia="宋体" w:cs="宋体"/>
          <w:color w:val="auto"/>
          <w:kern w:val="0"/>
          <w:sz w:val="21"/>
          <w:szCs w:val="21"/>
          <w:highlight w:val="none"/>
        </w:rPr>
        <w:t>8.1到货检查</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31C8470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57" w:name="_Toc203206434"/>
      <w:r>
        <w:rPr>
          <w:rFonts w:hint="eastAsia" w:ascii="宋体" w:hAnsi="宋体" w:eastAsia="宋体" w:cs="宋体"/>
          <w:color w:val="auto"/>
          <w:kern w:val="0"/>
          <w:sz w:val="21"/>
          <w:szCs w:val="21"/>
          <w:highlight w:val="none"/>
        </w:rPr>
        <w:t>合同项下的设备、材料和技术文件运抵规定的交货地点后，买卖双方人员共同对其进行检查，并</w:t>
      </w:r>
      <w:r>
        <w:rPr>
          <w:rFonts w:hint="eastAsia" w:ascii="宋体" w:hAnsi="宋体" w:eastAsia="宋体" w:cs="宋体"/>
          <w:color w:val="auto"/>
          <w:kern w:val="0"/>
          <w:sz w:val="21"/>
          <w:szCs w:val="21"/>
          <w:highlight w:val="none"/>
          <w:lang w:eastAsia="zh-CN"/>
        </w:rPr>
        <w:t>认真做好</w:t>
      </w:r>
      <w:r>
        <w:rPr>
          <w:rFonts w:hint="eastAsia" w:ascii="宋体" w:hAnsi="宋体" w:eastAsia="宋体" w:cs="宋体"/>
          <w:color w:val="auto"/>
          <w:kern w:val="0"/>
          <w:sz w:val="21"/>
          <w:szCs w:val="21"/>
          <w:highlight w:val="none"/>
        </w:rPr>
        <w:t>交接记录，各方签字。</w:t>
      </w:r>
      <w:bookmarkEnd w:id="157"/>
    </w:p>
    <w:p w14:paraId="7CD0F11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58" w:name="_Toc203206435"/>
      <w:r>
        <w:rPr>
          <w:rFonts w:hint="eastAsia" w:ascii="宋体" w:hAnsi="宋体" w:eastAsia="宋体" w:cs="宋体"/>
          <w:color w:val="auto"/>
          <w:kern w:val="0"/>
          <w:sz w:val="21"/>
          <w:szCs w:val="21"/>
          <w:highlight w:val="none"/>
        </w:rPr>
        <w:t>检查的内容主要有：满足合同对包装的要求；外观良好，运输途中未受损；</w:t>
      </w:r>
      <w:bookmarkEnd w:id="158"/>
    </w:p>
    <w:p w14:paraId="7014D56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59" w:name="_Toc203206436"/>
      <w:r>
        <w:rPr>
          <w:rFonts w:hint="eastAsia" w:ascii="宋体" w:hAnsi="宋体" w:eastAsia="宋体" w:cs="宋体"/>
          <w:color w:val="auto"/>
          <w:kern w:val="0"/>
          <w:sz w:val="21"/>
          <w:szCs w:val="21"/>
          <w:highlight w:val="none"/>
        </w:rPr>
        <w:t>编号、数量和名称与合同要求的货物清单核实无误。</w:t>
      </w:r>
      <w:bookmarkEnd w:id="159"/>
    </w:p>
    <w:p w14:paraId="61D275E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60" w:name="_Toc48382256"/>
      <w:bookmarkStart w:id="161" w:name="_Toc48443680"/>
      <w:bookmarkStart w:id="162" w:name="_Toc199246703"/>
      <w:bookmarkStart w:id="163" w:name="_Toc502480352"/>
      <w:bookmarkStart w:id="164" w:name="_Toc414004298"/>
      <w:bookmarkStart w:id="165" w:name="_Toc270689675"/>
      <w:bookmarkStart w:id="166" w:name="_Toc204592785"/>
      <w:bookmarkStart w:id="167" w:name="_Toc39297925"/>
      <w:bookmarkStart w:id="168" w:name="_Toc508685006"/>
      <w:bookmarkStart w:id="169" w:name="_Toc203206437"/>
      <w:bookmarkStart w:id="170" w:name="_Toc508685079"/>
      <w:bookmarkStart w:id="171" w:name="_Toc270685507"/>
      <w:bookmarkStart w:id="172" w:name="_Toc270684935"/>
      <w:bookmarkStart w:id="173" w:name="_Toc198968316"/>
      <w:bookmarkStart w:id="174" w:name="_Toc508891163"/>
      <w:bookmarkStart w:id="175" w:name="_Toc49593675"/>
      <w:bookmarkStart w:id="176" w:name="_Toc270688012"/>
      <w:bookmarkStart w:id="177" w:name="_Toc508089937"/>
      <w:bookmarkStart w:id="178" w:name="_Toc508704372"/>
      <w:bookmarkStart w:id="179" w:name="_Toc2437"/>
      <w:r>
        <w:rPr>
          <w:rFonts w:hint="eastAsia" w:ascii="宋体" w:hAnsi="宋体" w:eastAsia="宋体" w:cs="宋体"/>
          <w:color w:val="auto"/>
          <w:kern w:val="0"/>
          <w:sz w:val="21"/>
          <w:szCs w:val="21"/>
          <w:highlight w:val="none"/>
        </w:rPr>
        <w:t>8.2开箱检验</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0F7F25F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80" w:name="_Toc203206438"/>
      <w:r>
        <w:rPr>
          <w:rFonts w:hint="eastAsia" w:ascii="宋体" w:hAnsi="宋体" w:eastAsia="宋体" w:cs="宋体"/>
          <w:color w:val="auto"/>
          <w:kern w:val="0"/>
          <w:sz w:val="21"/>
          <w:szCs w:val="21"/>
          <w:highlight w:val="none"/>
        </w:rPr>
        <w:t>在设备运到现场规定时间内，</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与</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到现场进行开箱检查若发现有诸如数量、型号</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外观与合同不符以及存在的质量问题，均由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负责。开箱检查结果，不免除供应商对产品功能方面的任何责任。</w:t>
      </w:r>
      <w:bookmarkEnd w:id="180"/>
    </w:p>
    <w:p w14:paraId="73E68C2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81" w:name="_Toc508891164"/>
      <w:bookmarkStart w:id="182" w:name="_Toc15713"/>
      <w:bookmarkStart w:id="183" w:name="_Toc508704373"/>
      <w:bookmarkStart w:id="184" w:name="_Toc270684936"/>
      <w:bookmarkStart w:id="185" w:name="_Toc502480353"/>
      <w:bookmarkStart w:id="186" w:name="_Toc39297926"/>
      <w:bookmarkStart w:id="187" w:name="_Toc48382257"/>
      <w:bookmarkStart w:id="188" w:name="_Toc48443681"/>
      <w:bookmarkStart w:id="189" w:name="_Toc508685080"/>
      <w:bookmarkStart w:id="190" w:name="_Toc49593676"/>
      <w:bookmarkStart w:id="191" w:name="_Toc198968317"/>
      <w:bookmarkStart w:id="192" w:name="_Toc270685508"/>
      <w:bookmarkStart w:id="193" w:name="_Toc414004299"/>
      <w:bookmarkStart w:id="194" w:name="_Toc270689676"/>
      <w:bookmarkStart w:id="195" w:name="_Toc508685007"/>
      <w:bookmarkStart w:id="196" w:name="_Toc199246704"/>
      <w:bookmarkStart w:id="197" w:name="_Toc203206439"/>
      <w:bookmarkStart w:id="198" w:name="_Toc508089938"/>
      <w:bookmarkStart w:id="199" w:name="_Toc270688013"/>
      <w:bookmarkStart w:id="200" w:name="_Toc204592786"/>
      <w:r>
        <w:rPr>
          <w:rFonts w:hint="eastAsia" w:ascii="宋体" w:hAnsi="宋体" w:eastAsia="宋体" w:cs="宋体"/>
          <w:color w:val="auto"/>
          <w:kern w:val="0"/>
          <w:sz w:val="21"/>
          <w:szCs w:val="21"/>
          <w:highlight w:val="none"/>
        </w:rPr>
        <w:t>8.3竣工验收</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3EB6CE7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01" w:name="_Toc42398431"/>
      <w:bookmarkStart w:id="202" w:name="_Toc48456544"/>
      <w:r>
        <w:rPr>
          <w:rFonts w:hint="eastAsia" w:ascii="宋体" w:hAnsi="宋体" w:eastAsia="宋体" w:cs="宋体"/>
          <w:color w:val="auto"/>
          <w:kern w:val="0"/>
          <w:sz w:val="21"/>
          <w:szCs w:val="21"/>
          <w:highlight w:val="none"/>
        </w:rPr>
        <w:t>8.3.1</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应提前根据工程进度要求，制定设备安装、验收计划，提交</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审核，由</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审批、确认。</w:t>
      </w:r>
    </w:p>
    <w:p w14:paraId="78421A6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8.3.2安装完成后，</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按照</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制定安装验收计划和行业相关安装验收标准进行竣工验收。</w:t>
      </w:r>
    </w:p>
    <w:p w14:paraId="1DDCB86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竣工验收应包括但不限于以下内容：</w:t>
      </w:r>
    </w:p>
    <w:p w14:paraId="0255F90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（1）所有设备、电缆布线和配电安全、可靠。</w:t>
      </w:r>
    </w:p>
    <w:p w14:paraId="1DC303A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电缆和设备的绝缘电阻要大于IEC规定要求。</w:t>
      </w:r>
    </w:p>
    <w:p w14:paraId="6E15487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所有用于故障指示和报警的电子回路应工作正常。</w:t>
      </w:r>
    </w:p>
    <w:p w14:paraId="036876B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设备外观检查：（现场检查，据图核对）</w:t>
      </w:r>
    </w:p>
    <w:p w14:paraId="05ABA4A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在检查过程中，如发现</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未能满足施工图和</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需求表的功能要求，</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应无条件的按照要求进行整改，直至达到规定的要求。</w:t>
      </w:r>
    </w:p>
    <w:p w14:paraId="4445CF6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（6）相官车辆段食堂饮用水加装净化器中，净水器出水水质需出具第三方机构的水质检测报告，费用由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lang w:val="en-US" w:eastAsia="zh-CN"/>
        </w:rPr>
        <w:t>承担。</w:t>
      </w:r>
    </w:p>
    <w:p w14:paraId="564DA02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8.3.3对未通过验收的安装项目，</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向</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发出修改、替换通知，限期修改、替换，由此而发生的费用由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承担。</w:t>
      </w:r>
    </w:p>
    <w:p w14:paraId="4772875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8.3.4竣工验收设备功能需满足</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要求的所有功能，如果系统功能不满足合同规定的技术要求，</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必须在规定的时间内进行解决，由此引起的一切费用由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负责。</w:t>
      </w:r>
    </w:p>
    <w:p w14:paraId="7E4838D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03" w:name="_Toc203206440"/>
      <w:bookmarkStart w:id="204" w:name="_Toc270684937"/>
      <w:bookmarkStart w:id="205" w:name="_Toc270685509"/>
      <w:bookmarkStart w:id="206" w:name="_Toc270689677"/>
      <w:bookmarkStart w:id="207" w:name="_Toc270688014"/>
      <w:bookmarkStart w:id="208" w:name="_Toc4322"/>
      <w:bookmarkStart w:id="209" w:name="_Toc204592787"/>
      <w:bookmarkStart w:id="210" w:name="_Toc49593685"/>
      <w:bookmarkStart w:id="211" w:name="_Toc198968318"/>
      <w:bookmarkStart w:id="212" w:name="_Toc414004300"/>
      <w:bookmarkStart w:id="213" w:name="_Toc199246705"/>
      <w:bookmarkStart w:id="214" w:name="_Toc48462671"/>
      <w:r>
        <w:rPr>
          <w:rFonts w:hint="eastAsia" w:ascii="宋体" w:hAnsi="宋体" w:eastAsia="宋体" w:cs="宋体"/>
          <w:color w:val="auto"/>
          <w:kern w:val="0"/>
          <w:sz w:val="21"/>
          <w:szCs w:val="21"/>
          <w:highlight w:val="none"/>
        </w:rPr>
        <w:t>8.4最终验收</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37AB0A5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质量保证期结束后四十五(45)天内，</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确认设备运行可靠，功能齐全、各项指标及技术参数全部合格，对本工程项目无异议，即可开具最终验收证书。</w:t>
      </w:r>
    </w:p>
    <w:p w14:paraId="318CCE8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若</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认为设备中出现的疏漏和错误不影响最终验收证书的签署，</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应签署最终验收证书并注明存在的疏漏和错误。</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应采取措施对存在的疏漏和错误(包括潜在的)进行修正，直至使</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满意为止。</w:t>
      </w:r>
    </w:p>
    <w:p w14:paraId="2385CD2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在质量保证期内，</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所供设备和产品出现任何质量问题，</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将负责对故障设备或模块元件予以免费维修或更换。</w:t>
      </w:r>
      <w:bookmarkStart w:id="215" w:name="安装责任"/>
      <w:bookmarkEnd w:id="215"/>
      <w:bookmarkStart w:id="216" w:name="买方责任"/>
      <w:bookmarkEnd w:id="216"/>
      <w:bookmarkStart w:id="217" w:name="卖方"/>
      <w:bookmarkEnd w:id="217"/>
      <w:bookmarkStart w:id="218" w:name="买方的责任"/>
      <w:bookmarkEnd w:id="218"/>
      <w:bookmarkStart w:id="219" w:name="调试"/>
      <w:bookmarkEnd w:id="219"/>
      <w:bookmarkStart w:id="220" w:name="卖方2"/>
      <w:bookmarkEnd w:id="220"/>
    </w:p>
    <w:p w14:paraId="0B9579A7">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221" w:name="_Toc270689678"/>
      <w:bookmarkStart w:id="222" w:name="_Toc270685510"/>
      <w:bookmarkStart w:id="223" w:name="_Toc145927649"/>
      <w:bookmarkStart w:id="224" w:name="_Toc414004301"/>
      <w:bookmarkStart w:id="225" w:name="_Toc203206441"/>
      <w:bookmarkStart w:id="226" w:name="_Toc270684938"/>
      <w:bookmarkStart w:id="227" w:name="_Toc141329160"/>
      <w:bookmarkStart w:id="228" w:name="_Toc5134"/>
      <w:bookmarkStart w:id="229" w:name="_Toc270688015"/>
      <w:bookmarkStart w:id="230" w:name="_Toc199246710"/>
      <w:bookmarkStart w:id="231" w:name="_Toc145927554"/>
      <w:bookmarkStart w:id="232" w:name="_Toc145928068"/>
      <w:bookmarkStart w:id="233" w:name="_Toc204592788"/>
      <w:r>
        <w:rPr>
          <w:rFonts w:hint="eastAsia" w:ascii="宋体" w:hAnsi="宋体" w:eastAsia="宋体" w:cs="宋体"/>
          <w:b/>
          <w:sz w:val="21"/>
          <w:szCs w:val="21"/>
          <w:highlight w:val="none"/>
          <w:lang w:val="en-US" w:eastAsia="zh-CN"/>
        </w:rPr>
        <w:t>九、质保期及后续服务</w:t>
      </w:r>
      <w:bookmarkEnd w:id="221"/>
      <w:bookmarkEnd w:id="222"/>
      <w:bookmarkEnd w:id="223"/>
      <w:bookmarkEnd w:id="224"/>
      <w:bookmarkEnd w:id="225"/>
      <w:bookmarkEnd w:id="226"/>
      <w:bookmarkEnd w:id="227"/>
      <w:bookmarkEnd w:id="228"/>
      <w:bookmarkEnd w:id="229"/>
      <w:bookmarkEnd w:id="230"/>
      <w:bookmarkEnd w:id="231"/>
      <w:bookmarkEnd w:id="232"/>
      <w:bookmarkEnd w:id="233"/>
    </w:p>
    <w:p w14:paraId="22613F6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34" w:name="_Toc119207257"/>
      <w:bookmarkStart w:id="235" w:name="_Toc145928069"/>
      <w:bookmarkStart w:id="236" w:name="_Toc270684939"/>
      <w:bookmarkStart w:id="237" w:name="_Toc203206442"/>
      <w:bookmarkStart w:id="238" w:name="_Toc136685266"/>
      <w:bookmarkStart w:id="239" w:name="_Toc270688016"/>
      <w:bookmarkStart w:id="240" w:name="_Toc28847"/>
      <w:bookmarkStart w:id="241" w:name="_Toc414004302"/>
      <w:bookmarkStart w:id="242" w:name="_Toc145927650"/>
      <w:bookmarkStart w:id="243" w:name="_Toc199246711"/>
      <w:bookmarkStart w:id="244" w:name="_Toc119945233"/>
      <w:bookmarkStart w:id="245" w:name="_Toc145927555"/>
      <w:bookmarkStart w:id="246" w:name="_Toc270689679"/>
      <w:bookmarkStart w:id="247" w:name="_Toc119140924"/>
      <w:bookmarkStart w:id="248" w:name="_Toc119207184"/>
      <w:bookmarkStart w:id="249" w:name="_Toc204592789"/>
      <w:bookmarkStart w:id="250" w:name="_Toc119379241"/>
      <w:bookmarkStart w:id="251" w:name="_Toc130888812"/>
      <w:bookmarkStart w:id="252" w:name="_Toc270685511"/>
      <w:r>
        <w:rPr>
          <w:rFonts w:hint="eastAsia" w:ascii="宋体" w:hAnsi="宋体" w:eastAsia="宋体" w:cs="宋体"/>
          <w:color w:val="auto"/>
          <w:kern w:val="0"/>
          <w:sz w:val="21"/>
          <w:szCs w:val="21"/>
          <w:highlight w:val="none"/>
        </w:rPr>
        <w:t>9.1质保期的服务</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Start w:id="253" w:name="_Toc132788449"/>
      <w:bookmarkStart w:id="254" w:name="_Toc132788261"/>
    </w:p>
    <w:p w14:paraId="294DD85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55" w:name="_Toc145927651"/>
      <w:bookmarkStart w:id="256" w:name="_Toc145927556"/>
      <w:r>
        <w:rPr>
          <w:rFonts w:hint="eastAsia" w:ascii="宋体" w:hAnsi="宋体" w:eastAsia="宋体" w:cs="宋体"/>
          <w:color w:val="auto"/>
          <w:kern w:val="0"/>
          <w:sz w:val="21"/>
          <w:szCs w:val="21"/>
          <w:highlight w:val="none"/>
        </w:rPr>
        <w:t>9.1.1质量保证期（以下简称“质保期”）从设备安装调试完毕并通过竣工验收之日开始计算。本项目质保期最少为</w:t>
      </w: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年。</w:t>
      </w:r>
    </w:p>
    <w:p w14:paraId="343AE98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9.1.2在质保期内，</w:t>
      </w:r>
      <w:r>
        <w:rPr>
          <w:rFonts w:hint="eastAsia" w:ascii="宋体" w:hAnsi="宋体" w:eastAsia="宋体" w:cs="宋体"/>
          <w:color w:val="auto"/>
          <w:kern w:val="0"/>
          <w:sz w:val="21"/>
          <w:szCs w:val="21"/>
          <w:highlight w:val="none"/>
          <w:lang w:eastAsia="zh-CN"/>
        </w:rPr>
        <w:t>乙方</w:t>
      </w:r>
      <w:r>
        <w:rPr>
          <w:rFonts w:hint="eastAsia" w:ascii="宋体" w:hAnsi="宋体" w:eastAsia="宋体" w:cs="宋体"/>
          <w:color w:val="auto"/>
          <w:kern w:val="0"/>
          <w:sz w:val="21"/>
          <w:szCs w:val="21"/>
          <w:highlight w:val="none"/>
        </w:rPr>
        <w:t>将做到以下几点：</w:t>
      </w:r>
    </w:p>
    <w:p w14:paraId="047607B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9.1.2.</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继续</w:t>
      </w:r>
      <w:r>
        <w:rPr>
          <w:rFonts w:hint="eastAsia" w:ascii="宋体" w:hAnsi="宋体" w:eastAsia="宋体" w:cs="宋体"/>
          <w:color w:val="auto"/>
          <w:kern w:val="0"/>
          <w:sz w:val="21"/>
          <w:szCs w:val="21"/>
          <w:highlight w:val="none"/>
          <w:lang w:eastAsia="zh-CN"/>
        </w:rPr>
        <w:t>记录</w:t>
      </w:r>
      <w:r>
        <w:rPr>
          <w:rFonts w:hint="eastAsia" w:ascii="宋体" w:hAnsi="宋体" w:eastAsia="宋体" w:cs="宋体"/>
          <w:color w:val="auto"/>
          <w:kern w:val="0"/>
          <w:sz w:val="21"/>
          <w:szCs w:val="21"/>
          <w:highlight w:val="none"/>
        </w:rPr>
        <w:t>各子系统和设备运行的所有故障。</w:t>
      </w:r>
    </w:p>
    <w:p w14:paraId="39306E5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9.1.2.</w:t>
      </w:r>
      <w:r>
        <w:rPr>
          <w:rFonts w:hint="eastAsia" w:ascii="宋体" w:hAnsi="宋体" w:eastAsia="宋体" w:cs="宋体"/>
          <w:color w:val="auto"/>
          <w:kern w:val="0"/>
          <w:sz w:val="21"/>
          <w:szCs w:val="21"/>
          <w:highlight w:val="none"/>
          <w:lang w:val="en-US" w:eastAsia="zh-CN"/>
        </w:rPr>
        <w:t>1相官车辆段食堂饮用水加装净化器中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提供至少一次全套滤芯更换服务，且提供一年使用量的滤芯备件（不得少于一套）。</w:t>
      </w:r>
    </w:p>
    <w:p w14:paraId="220D3AE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9.1.2.</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对由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原因引起或造成系统（或设备）故障或板卡等部件损坏，</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将免费修理或更换。修理的时间为：</w:t>
      </w:r>
      <w:r>
        <w:rPr>
          <w:rFonts w:hint="eastAsia" w:ascii="宋体" w:hAnsi="宋体" w:cs="宋体"/>
          <w:color w:val="auto"/>
          <w:kern w:val="0"/>
          <w:sz w:val="21"/>
          <w:szCs w:val="21"/>
          <w:highlight w:val="none"/>
          <w:lang w:val="en-US" w:eastAsia="zh-CN"/>
        </w:rPr>
        <w:t>一个月</w:t>
      </w:r>
      <w:r>
        <w:rPr>
          <w:rFonts w:hint="eastAsia" w:ascii="宋体" w:hAnsi="宋体" w:eastAsia="宋体" w:cs="宋体"/>
          <w:color w:val="auto"/>
          <w:kern w:val="0"/>
          <w:sz w:val="21"/>
          <w:szCs w:val="21"/>
          <w:highlight w:val="none"/>
        </w:rPr>
        <w:t>。如在规定时间未能完成，且无任何原因，</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将视情节根据合同相关条款对其进行经济处罚。</w:t>
      </w:r>
    </w:p>
    <w:p w14:paraId="4200754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对维修（或更换）后的设备，</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同时提供设备维修（或更换）书面报告。书面报告的内容包括但不限于以下内容：</w:t>
      </w:r>
    </w:p>
    <w:p w14:paraId="5869EE3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（1）故障报告人（</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w:t>
      </w:r>
    </w:p>
    <w:p w14:paraId="0C00885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（2）故障受理人（</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w:t>
      </w:r>
    </w:p>
    <w:p w14:paraId="4BDD492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（3）故障发生时间；</w:t>
      </w:r>
    </w:p>
    <w:p w14:paraId="09680C0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（4）故障现象；</w:t>
      </w:r>
    </w:p>
    <w:p w14:paraId="266D722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（5）故障产生的原因；</w:t>
      </w:r>
    </w:p>
    <w:p w14:paraId="3DDEF44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（6）处理、解决办法；</w:t>
      </w:r>
    </w:p>
    <w:p w14:paraId="4C49EC1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（7）故障修复时间；</w:t>
      </w:r>
    </w:p>
    <w:p w14:paraId="5467984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（8）处理人签名。</w:t>
      </w:r>
    </w:p>
    <w:p w14:paraId="51D8A8D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w:t>
      </w:r>
      <w:r>
        <w:rPr>
          <w:rFonts w:hint="eastAsia" w:ascii="宋体" w:hAnsi="宋体" w:eastAsia="宋体" w:cs="宋体"/>
          <w:color w:val="auto"/>
          <w:kern w:val="0"/>
          <w:sz w:val="21"/>
          <w:szCs w:val="21"/>
          <w:highlight w:val="none"/>
          <w:lang w:val="en-US" w:eastAsia="zh-CN"/>
        </w:rPr>
        <w:t>2.5</w:t>
      </w:r>
      <w:r>
        <w:rPr>
          <w:rFonts w:hint="eastAsia" w:ascii="宋体" w:hAnsi="宋体" w:eastAsia="宋体" w:cs="宋体"/>
          <w:color w:val="auto"/>
          <w:kern w:val="0"/>
          <w:sz w:val="21"/>
          <w:szCs w:val="21"/>
          <w:highlight w:val="none"/>
        </w:rPr>
        <w:t>对所提供的设备实行“三包”。既包修、包换、包退。</w:t>
      </w:r>
    </w:p>
    <w:p w14:paraId="165D4AE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w:t>
      </w:r>
      <w:r>
        <w:rPr>
          <w:rFonts w:hint="eastAsia" w:ascii="宋体" w:hAnsi="宋体" w:eastAsia="宋体" w:cs="宋体"/>
          <w:color w:val="auto"/>
          <w:kern w:val="0"/>
          <w:sz w:val="21"/>
          <w:szCs w:val="21"/>
          <w:highlight w:val="none"/>
          <w:lang w:val="en-US" w:eastAsia="zh-CN"/>
        </w:rPr>
        <w:t>2.6</w:t>
      </w:r>
      <w:r>
        <w:rPr>
          <w:rFonts w:hint="eastAsia" w:ascii="宋体" w:hAnsi="宋体" w:eastAsia="宋体" w:cs="宋体"/>
          <w:color w:val="auto"/>
          <w:kern w:val="0"/>
          <w:sz w:val="21"/>
          <w:szCs w:val="21"/>
          <w:highlight w:val="none"/>
        </w:rPr>
        <w:t>对所提供的设备免费提供日常维护服务、排除故障及抢修服务、软件升级服务。</w:t>
      </w:r>
    </w:p>
    <w:p w14:paraId="7C0548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w:t>
      </w:r>
      <w:r>
        <w:rPr>
          <w:rFonts w:hint="eastAsia" w:ascii="宋体" w:hAnsi="宋体" w:eastAsia="宋体" w:cs="宋体"/>
          <w:color w:val="auto"/>
          <w:kern w:val="0"/>
          <w:sz w:val="21"/>
          <w:szCs w:val="21"/>
          <w:highlight w:val="none"/>
          <w:lang w:val="en-US" w:eastAsia="zh-CN"/>
        </w:rPr>
        <w:t>2.7</w:t>
      </w:r>
      <w:r>
        <w:rPr>
          <w:rFonts w:hint="eastAsia" w:ascii="宋体" w:hAnsi="宋体" w:eastAsia="宋体" w:cs="宋体"/>
          <w:color w:val="auto"/>
          <w:kern w:val="0"/>
          <w:sz w:val="21"/>
          <w:szCs w:val="21"/>
          <w:highlight w:val="none"/>
        </w:rPr>
        <w:t>如果发生故障的设备或材料需要更换或修理，在修理期间可使用</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的备件，但</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必须购买全新的替换件提供给</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w:t>
      </w:r>
    </w:p>
    <w:p w14:paraId="7B59297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w:t>
      </w:r>
      <w:r>
        <w:rPr>
          <w:rFonts w:hint="eastAsia" w:ascii="宋体" w:hAnsi="宋体" w:eastAsia="宋体" w:cs="宋体"/>
          <w:color w:val="auto"/>
          <w:kern w:val="0"/>
          <w:sz w:val="21"/>
          <w:szCs w:val="21"/>
          <w:highlight w:val="none"/>
          <w:lang w:val="en-US" w:eastAsia="zh-CN"/>
        </w:rPr>
        <w:t>2.8</w:t>
      </w:r>
      <w:r>
        <w:rPr>
          <w:rFonts w:hint="eastAsia" w:ascii="宋体" w:hAnsi="宋体" w:eastAsia="宋体" w:cs="宋体"/>
          <w:color w:val="auto"/>
          <w:kern w:val="0"/>
          <w:sz w:val="21"/>
          <w:szCs w:val="21"/>
          <w:highlight w:val="none"/>
        </w:rPr>
        <w:t>如果</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提供的设备出现的故障在质保期内未能解决，</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将不受质保期制约无条件负责直至故障解决。</w:t>
      </w:r>
      <w:bookmarkEnd w:id="253"/>
      <w:bookmarkEnd w:id="254"/>
      <w:bookmarkEnd w:id="255"/>
      <w:bookmarkEnd w:id="256"/>
      <w:bookmarkStart w:id="257" w:name="_Toc132788451"/>
      <w:bookmarkStart w:id="258" w:name="_Toc132431585"/>
      <w:bookmarkStart w:id="259" w:name="_Toc132788263"/>
    </w:p>
    <w:bookmarkEnd w:id="257"/>
    <w:bookmarkEnd w:id="258"/>
    <w:bookmarkEnd w:id="259"/>
    <w:p w14:paraId="421D24B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60" w:name="_Toc270684940"/>
      <w:bookmarkStart w:id="261" w:name="_Toc132788264"/>
      <w:bookmarkStart w:id="262" w:name="_Toc270685512"/>
      <w:bookmarkStart w:id="263" w:name="_Toc203206443"/>
      <w:bookmarkStart w:id="264" w:name="_Toc145928070"/>
      <w:bookmarkStart w:id="265" w:name="_Toc204592790"/>
      <w:bookmarkStart w:id="266" w:name="_Toc270689680"/>
      <w:bookmarkStart w:id="267" w:name="_Toc145927561"/>
      <w:bookmarkStart w:id="268" w:name="_Toc414004303"/>
      <w:bookmarkStart w:id="269" w:name="_Toc132788452"/>
      <w:bookmarkStart w:id="270" w:name="_Toc145927656"/>
      <w:bookmarkStart w:id="271" w:name="_Toc19146"/>
      <w:bookmarkStart w:id="272" w:name="_Toc136685267"/>
      <w:bookmarkStart w:id="273" w:name="_Toc199246712"/>
      <w:bookmarkStart w:id="274" w:name="_Toc270688017"/>
      <w:r>
        <w:rPr>
          <w:rFonts w:hint="eastAsia" w:ascii="宋体" w:hAnsi="宋体" w:eastAsia="宋体" w:cs="宋体"/>
          <w:color w:val="auto"/>
          <w:kern w:val="0"/>
          <w:sz w:val="21"/>
          <w:szCs w:val="21"/>
          <w:highlight w:val="none"/>
        </w:rPr>
        <w:t>9.2质保期责任</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2B80291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75" w:name="_Toc132788453"/>
      <w:bookmarkStart w:id="276" w:name="_Toc132788265"/>
      <w:r>
        <w:rPr>
          <w:rFonts w:hint="eastAsia" w:ascii="宋体" w:hAnsi="宋体" w:eastAsia="宋体" w:cs="宋体"/>
          <w:color w:val="auto"/>
          <w:kern w:val="0"/>
          <w:sz w:val="21"/>
          <w:szCs w:val="21"/>
          <w:highlight w:val="none"/>
        </w:rPr>
        <w:t>9.2.1在质保期内，由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完成任何扫尾工作或履行质保期服务义务所致，或由发生在最终验收日期之前任何</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的风险所致的原因引起的任何损失或损害投保所需的全部保险</w:t>
      </w:r>
      <w:r>
        <w:rPr>
          <w:rFonts w:hint="eastAsia" w:ascii="宋体" w:hAnsi="宋体" w:eastAsia="宋体" w:cs="宋体"/>
          <w:color w:val="auto"/>
          <w:kern w:val="0"/>
          <w:sz w:val="21"/>
          <w:szCs w:val="21"/>
          <w:highlight w:val="none"/>
          <w:lang w:eastAsia="zh-CN"/>
        </w:rPr>
        <w:t>费用</w:t>
      </w:r>
      <w:r>
        <w:rPr>
          <w:rFonts w:hint="eastAsia" w:ascii="宋体" w:hAnsi="宋体" w:eastAsia="宋体" w:cs="宋体"/>
          <w:color w:val="auto"/>
          <w:kern w:val="0"/>
          <w:sz w:val="21"/>
          <w:szCs w:val="21"/>
          <w:highlight w:val="none"/>
        </w:rPr>
        <w:t>均由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支付。</w:t>
      </w:r>
      <w:bookmarkEnd w:id="275"/>
      <w:bookmarkEnd w:id="276"/>
    </w:p>
    <w:p w14:paraId="1E27415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9.2.2在质保期内，供应商应在</w:t>
      </w:r>
      <w:r>
        <w:rPr>
          <w:rFonts w:hint="eastAsia" w:ascii="宋体" w:hAnsi="宋体" w:eastAsia="宋体" w:cs="宋体"/>
          <w:color w:val="auto"/>
          <w:kern w:val="0"/>
          <w:sz w:val="21"/>
          <w:szCs w:val="21"/>
          <w:highlight w:val="none"/>
          <w:lang w:val="en-US" w:eastAsia="zh-CN"/>
        </w:rPr>
        <w:t>项目所在地</w:t>
      </w:r>
      <w:r>
        <w:rPr>
          <w:rFonts w:hint="eastAsia" w:ascii="宋体" w:hAnsi="宋体" w:eastAsia="宋体" w:cs="宋体"/>
          <w:color w:val="auto"/>
          <w:kern w:val="0"/>
          <w:sz w:val="21"/>
          <w:szCs w:val="21"/>
          <w:highlight w:val="none"/>
        </w:rPr>
        <w:t>设置专职售后服务人员，对与设备有关的各类问题要及时回复。</w:t>
      </w:r>
    </w:p>
    <w:p w14:paraId="5754A33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9.2.3在质保期内，供应商应现场指导技术人员对设备进行养护与维修。</w:t>
      </w:r>
    </w:p>
    <w:p w14:paraId="55495FC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77" w:name="_Toc145928071"/>
      <w:bookmarkStart w:id="278" w:name="_Toc17711"/>
      <w:bookmarkStart w:id="279" w:name="_Toc203206444"/>
      <w:bookmarkStart w:id="280" w:name="_Toc270684941"/>
      <w:bookmarkStart w:id="281" w:name="_Toc199246713"/>
      <w:bookmarkStart w:id="282" w:name="_Toc145927657"/>
      <w:bookmarkStart w:id="283" w:name="_Toc270688018"/>
      <w:bookmarkStart w:id="284" w:name="_Toc204592791"/>
      <w:bookmarkStart w:id="285" w:name="_Toc270685513"/>
      <w:bookmarkStart w:id="286" w:name="_Toc145927562"/>
      <w:bookmarkStart w:id="287" w:name="_Toc136685268"/>
      <w:bookmarkStart w:id="288" w:name="_Toc270689681"/>
      <w:bookmarkStart w:id="289" w:name="_Toc414004304"/>
      <w:bookmarkStart w:id="290" w:name="_Toc130888814"/>
      <w:r>
        <w:rPr>
          <w:rFonts w:hint="eastAsia" w:ascii="宋体" w:hAnsi="宋体" w:eastAsia="宋体" w:cs="宋体"/>
          <w:color w:val="auto"/>
          <w:kern w:val="0"/>
          <w:sz w:val="21"/>
          <w:szCs w:val="21"/>
          <w:highlight w:val="none"/>
        </w:rPr>
        <w:t>9.3质保期后服务</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79E9D3B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9.3.</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供应商应经常性地进行多种方式的巡检（例如电话），随时了解设备运行情况；定期安排专职技术人员对设备进行现场巡检，并根据需要对设备的主要技术指标进行测试，保证设备的固有性能，同时提供设备检查测试报告，签字确认。</w:t>
      </w:r>
    </w:p>
    <w:p w14:paraId="154B32C5">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十、施工作业要求</w:t>
      </w:r>
    </w:p>
    <w:p w14:paraId="12F3BE2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91" w:name="_Toc29139"/>
      <w:r>
        <w:rPr>
          <w:rFonts w:hint="eastAsia" w:ascii="宋体" w:hAnsi="宋体" w:eastAsia="宋体" w:cs="宋体"/>
          <w:color w:val="auto"/>
          <w:kern w:val="0"/>
          <w:sz w:val="21"/>
          <w:szCs w:val="21"/>
          <w:highlight w:val="none"/>
        </w:rPr>
        <w:t>1</w:t>
      </w:r>
      <w:bookmarkStart w:id="292" w:name="_Toc270689664"/>
      <w:bookmarkStart w:id="293" w:name="_Toc204592772"/>
      <w:bookmarkStart w:id="294" w:name="_Toc270684930"/>
      <w:bookmarkStart w:id="295" w:name="_Toc199246694"/>
      <w:bookmarkStart w:id="296" w:name="_Toc270685502"/>
      <w:bookmarkStart w:id="297" w:name="_Toc415489329"/>
      <w:bookmarkStart w:id="298" w:name="_Toc270688001"/>
      <w:bookmarkStart w:id="299" w:name="_Toc203205320"/>
      <w:bookmarkStart w:id="300" w:name="_Toc203206421"/>
      <w:r>
        <w:rPr>
          <w:rFonts w:hint="eastAsia" w:ascii="宋体" w:hAnsi="宋体" w:eastAsia="宋体" w:cs="宋体"/>
          <w:color w:val="auto"/>
          <w:kern w:val="0"/>
          <w:sz w:val="21"/>
          <w:szCs w:val="21"/>
          <w:highlight w:val="none"/>
        </w:rPr>
        <w:t>0.1施工工艺要求</w:t>
      </w:r>
      <w:bookmarkEnd w:id="291"/>
      <w:bookmarkEnd w:id="292"/>
      <w:bookmarkEnd w:id="293"/>
      <w:bookmarkEnd w:id="294"/>
      <w:bookmarkEnd w:id="295"/>
      <w:bookmarkEnd w:id="296"/>
      <w:bookmarkEnd w:id="297"/>
      <w:bookmarkEnd w:id="298"/>
      <w:bookmarkEnd w:id="299"/>
      <w:bookmarkEnd w:id="300"/>
    </w:p>
    <w:p w14:paraId="06145FE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301" w:name="_Toc415489330"/>
      <w:bookmarkStart w:id="302" w:name="_Toc270689665"/>
      <w:bookmarkStart w:id="303" w:name="_Toc13984"/>
      <w:bookmarkStart w:id="304" w:name="_Toc270688002"/>
      <w:r>
        <w:rPr>
          <w:rFonts w:hint="eastAsia" w:ascii="宋体" w:hAnsi="宋体" w:eastAsia="宋体" w:cs="宋体"/>
          <w:color w:val="auto"/>
          <w:kern w:val="0"/>
          <w:sz w:val="21"/>
          <w:szCs w:val="21"/>
          <w:highlight w:val="none"/>
        </w:rPr>
        <w:t>10.1.1施工场地与条件</w:t>
      </w:r>
      <w:bookmarkEnd w:id="301"/>
      <w:bookmarkEnd w:id="302"/>
      <w:bookmarkEnd w:id="303"/>
      <w:bookmarkEnd w:id="304"/>
    </w:p>
    <w:p w14:paraId="6BDCD8E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全面负责施工范围内的现场施工管理，对施工场地内的用水、用电、施工现场的安全与卫生、场地内的施工协调负有全面的管理责任。</w:t>
      </w:r>
    </w:p>
    <w:p w14:paraId="547CA26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305" w:name="_Toc415489331"/>
      <w:bookmarkStart w:id="306" w:name="_Toc28027"/>
      <w:bookmarkStart w:id="307" w:name="_Toc270689666"/>
      <w:bookmarkStart w:id="308" w:name="_Toc270688003"/>
      <w:r>
        <w:rPr>
          <w:rFonts w:hint="eastAsia" w:ascii="宋体" w:hAnsi="宋体" w:eastAsia="宋体" w:cs="宋体"/>
          <w:color w:val="auto"/>
          <w:kern w:val="0"/>
          <w:sz w:val="21"/>
          <w:szCs w:val="21"/>
          <w:highlight w:val="none"/>
        </w:rPr>
        <w:t>10.1.2施工准备</w:t>
      </w:r>
      <w:bookmarkEnd w:id="305"/>
      <w:bookmarkEnd w:id="306"/>
      <w:bookmarkEnd w:id="307"/>
      <w:bookmarkEnd w:id="308"/>
    </w:p>
    <w:p w14:paraId="7B34FFB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10.1.2.1</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充分考虑本工程的特点，包括工期要求和施工时的相互干扰等，提出切实可行的施工方法和施工组织方案。</w:t>
      </w:r>
    </w:p>
    <w:p w14:paraId="58577EB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10.1.2.2认真作好施工图交底工作。</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根据</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要求做好施工图设计，负责施工图的细化工作。</w:t>
      </w:r>
    </w:p>
    <w:p w14:paraId="3F32928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10.1.2.3</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在开工前派出技术人员，根据</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的要求进行现场勘测。</w:t>
      </w:r>
    </w:p>
    <w:p w14:paraId="63BDD81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10.1.2.4编制施工组织方案，并与其他设备与建筑装修工作相协调。</w:t>
      </w:r>
    </w:p>
    <w:p w14:paraId="71B50AB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10.1.2.5由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负责所有货物的仓储，工程完毕后向</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进行交接。</w:t>
      </w:r>
    </w:p>
    <w:p w14:paraId="011C3E4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309" w:name="_Toc415489332"/>
      <w:bookmarkStart w:id="310" w:name="_Toc270689667"/>
      <w:bookmarkStart w:id="311" w:name="_Toc18647"/>
      <w:bookmarkStart w:id="312" w:name="_Toc270688004"/>
      <w:r>
        <w:rPr>
          <w:rFonts w:hint="eastAsia" w:ascii="宋体" w:hAnsi="宋体" w:eastAsia="宋体" w:cs="宋体"/>
          <w:color w:val="auto"/>
          <w:kern w:val="0"/>
          <w:sz w:val="21"/>
          <w:szCs w:val="21"/>
          <w:highlight w:val="none"/>
        </w:rPr>
        <w:t>10.1.3开工准备</w:t>
      </w:r>
      <w:bookmarkEnd w:id="309"/>
      <w:bookmarkEnd w:id="310"/>
      <w:bookmarkEnd w:id="311"/>
      <w:bookmarkEnd w:id="312"/>
      <w:bookmarkStart w:id="313" w:name="T1306"/>
      <w:bookmarkEnd w:id="313"/>
    </w:p>
    <w:p w14:paraId="1D3D4EE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为保证工程顺利实施，正式开工前必须具备下列条件：</w:t>
      </w:r>
    </w:p>
    <w:p w14:paraId="0DD01F9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10.1.3.1</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在开工前应组织施工调查，并根据合同做好施工组织工作，提出施工组织计划以及质量保证措施。</w:t>
      </w:r>
    </w:p>
    <w:p w14:paraId="0C61F0F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10.1.3.2安装验收规范书</w:t>
      </w:r>
    </w:p>
    <w:p w14:paraId="77DA877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在工程进行安装前2周向</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提供安装工程规范（包括验收工程、标准、方法以及对不合格工程的修理和替换的规定等），经</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批准后，安装验收规范书正式生效。</w:t>
      </w:r>
    </w:p>
    <w:p w14:paraId="72DC927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10.1.3.3用于安装的设计文件及施工图应满足施工需要，</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应核实</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的需求能否满足，工程能否顺利实施，发现问题应及时通知</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。施工人员应熟悉施工图纸及有关资料，包括工程特点、施工方案、工艺要求、施工质量标准等。</w:t>
      </w:r>
    </w:p>
    <w:p w14:paraId="4EA0C2F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10.1.3.4设备、器材供货、货源、规格数量与施工图相吻合，施工机具、仪表（器），劳动力已安排落实，可满足连续施工和阶段施工要求。</w:t>
      </w:r>
    </w:p>
    <w:p w14:paraId="0BB66B9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10.1.3.5乙供的材料型号、规格必须符合设计要求，并有产品合格证书，未经鉴定批准的产品或不合格产品不得在本工程使用，所有乙供材料的试验和检验应执行合同的有关规定。</w:t>
      </w:r>
    </w:p>
    <w:p w14:paraId="3D87818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314" w:name="_Toc270688005"/>
      <w:bookmarkStart w:id="315" w:name="_Toc18405"/>
      <w:bookmarkStart w:id="316" w:name="_Toc270689668"/>
      <w:bookmarkStart w:id="317" w:name="_Toc415489333"/>
      <w:r>
        <w:rPr>
          <w:rFonts w:hint="eastAsia" w:ascii="宋体" w:hAnsi="宋体" w:eastAsia="宋体" w:cs="宋体"/>
          <w:color w:val="auto"/>
          <w:kern w:val="0"/>
          <w:sz w:val="21"/>
          <w:szCs w:val="21"/>
          <w:highlight w:val="none"/>
        </w:rPr>
        <w:t>10.2施工技术要求</w:t>
      </w:r>
      <w:bookmarkEnd w:id="314"/>
      <w:bookmarkEnd w:id="315"/>
      <w:bookmarkEnd w:id="316"/>
      <w:bookmarkEnd w:id="317"/>
    </w:p>
    <w:p w14:paraId="205135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10.2.1</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施工中采用和推广经批准的新技术、新材料、新工艺，应制定不低于现行国家或部及行业规范水平的质量标准和工艺要求，并经</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代表批准。</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在工程中所用设备、材料及其安装必须符合设计要求及国家现行标准。</w:t>
      </w:r>
    </w:p>
    <w:p w14:paraId="56A6D87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10.2.2在工程施工过程中，如果工程的位置、标高尺寸或准线出现错误，</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应修正上述错误并负担修正错误的一切费用。</w:t>
      </w:r>
    </w:p>
    <w:p w14:paraId="50B5104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10.2.3乙供材料的型号、规格、货源、数量符合设计及合同规定。内部设备接(插)件(盘)完整，符合施工图设计。</w:t>
      </w:r>
    </w:p>
    <w:p w14:paraId="30EC99D7">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318" w:name="_Toc208481056"/>
      <w:bookmarkStart w:id="319" w:name="_Toc172623577"/>
      <w:bookmarkStart w:id="320" w:name="_Toc294082656"/>
      <w:bookmarkStart w:id="321" w:name="_Toc440551886"/>
      <w:bookmarkStart w:id="322" w:name="_Toc488238909"/>
      <w:r>
        <w:rPr>
          <w:rFonts w:hint="eastAsia" w:ascii="宋体" w:hAnsi="宋体" w:eastAsia="宋体" w:cs="宋体"/>
          <w:b/>
          <w:sz w:val="21"/>
          <w:szCs w:val="21"/>
          <w:highlight w:val="none"/>
          <w:lang w:val="en-US" w:eastAsia="zh-CN"/>
        </w:rPr>
        <w:t>十一、作业要求</w:t>
      </w:r>
    </w:p>
    <w:p w14:paraId="775AF12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11.1中标人进场前需向招标人缴纳履约保证金及签订安全协议，要通过招标人的安全培训并且合格。</w:t>
      </w:r>
    </w:p>
    <w:p w14:paraId="20D24A3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11.2中标人自行将每日施工所需材料运至现场，并做好未完品保护。</w:t>
      </w:r>
    </w:p>
    <w:p w14:paraId="4EB64B5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11.3中标人每日作业完成后须经双方检查确认合格后方可撤离现场。</w:t>
      </w:r>
    </w:p>
    <w:p w14:paraId="502633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11.4中标人应严格遵守滁宁城铁的安全施工制度要求，做好现场的作业安全防护，文明施工，保证施工现场工完料清。</w:t>
      </w:r>
    </w:p>
    <w:p w14:paraId="279F080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11.5现场作业人员防护用品必须齐备（反光背心、安全帽、劳保手套、劳保鞋等），否则不予操作，操作时须规范佩戴防护用品。</w:t>
      </w:r>
    </w:p>
    <w:p w14:paraId="2791E0A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11.6施工完成后必须清理现场，做到“三清”，并配合招标人检查完毕后方可撤离现场。</w:t>
      </w:r>
    </w:p>
    <w:p w14:paraId="4CD26B9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11.7密切加强与运营部门的协调工作，并按管理规定对人员、物件及时清场，施工场所要做到工完料尽。</w:t>
      </w:r>
    </w:p>
    <w:p w14:paraId="0BD28C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11.8实施人员工作前不许饮酒，进入施工现场不准嬉笑打闹。实施期间应做好相应的安全保护措施。</w:t>
      </w:r>
    </w:p>
    <w:p w14:paraId="7C6685E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11.9实施前须由项目负责人向操作人员进行技术交底和安全交底，并做好记录（签字确认），未经交底者不得进入现场作业。</w:t>
      </w:r>
    </w:p>
    <w:p w14:paraId="03104D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11.10对既有设施、设备的操作，中标人需在招标人监督下，由相关专业配合完成。</w:t>
      </w:r>
    </w:p>
    <w:bookmarkEnd w:id="318"/>
    <w:bookmarkEnd w:id="319"/>
    <w:bookmarkEnd w:id="320"/>
    <w:bookmarkEnd w:id="321"/>
    <w:bookmarkEnd w:id="322"/>
    <w:p w14:paraId="6B455D98">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323" w:name="_Toc208481057"/>
      <w:bookmarkStart w:id="324" w:name="_Toc440551887"/>
      <w:bookmarkStart w:id="325" w:name="_Toc294082657"/>
      <w:bookmarkStart w:id="326" w:name="_Toc488238910"/>
      <w:bookmarkStart w:id="327" w:name="_Toc172623578"/>
      <w:r>
        <w:rPr>
          <w:rFonts w:hint="eastAsia" w:ascii="宋体" w:hAnsi="宋体" w:eastAsia="宋体" w:cs="宋体"/>
          <w:b/>
          <w:sz w:val="21"/>
          <w:szCs w:val="21"/>
          <w:highlight w:val="none"/>
          <w:lang w:val="en-US" w:eastAsia="zh-CN"/>
        </w:rPr>
        <w:t>十二、保证措施</w:t>
      </w:r>
      <w:bookmarkEnd w:id="323"/>
      <w:bookmarkEnd w:id="324"/>
      <w:bookmarkEnd w:id="325"/>
      <w:bookmarkEnd w:id="326"/>
      <w:bookmarkEnd w:id="327"/>
    </w:p>
    <w:p w14:paraId="5CE316C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12.1严格遵守和执行国家、地方、行业的相关法律、法规、规范、规程、标准及招标人的各项管理制度及规定。</w:t>
      </w:r>
    </w:p>
    <w:p w14:paraId="1AE856D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12.2遵守合同协议，组织足够力量的技术人员、技术工人，完成合同约定。</w:t>
      </w:r>
    </w:p>
    <w:p w14:paraId="59E7BE5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12.3对组织机构定岗、定员。队伍人员素质、专业技术结构满足各项要求，并保证人员稳定。</w:t>
      </w:r>
    </w:p>
    <w:p w14:paraId="7A2688D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12.4严格按照招标人管理模式，及招标人审定的工作计划和方案组织实施。</w:t>
      </w:r>
    </w:p>
    <w:p w14:paraId="10CE4AF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12.5按照合同协议认真执行，及时完成初验、问题反馈以及最终验收。</w:t>
      </w:r>
    </w:p>
    <w:p w14:paraId="736A92D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12.6同招标人密切配合，有权利也有义务为招标人生产及设备维护提出合理化建议，形成“</w:t>
      </w:r>
      <w:r>
        <w:rPr>
          <w:rFonts w:hint="eastAsia" w:ascii="宋体" w:hAnsi="宋体" w:eastAsia="宋体" w:cs="宋体"/>
          <w:color w:val="auto"/>
          <w:kern w:val="0"/>
          <w:sz w:val="21"/>
          <w:szCs w:val="21"/>
          <w:highlight w:val="none"/>
          <w:lang w:eastAsia="zh-CN"/>
        </w:rPr>
        <w:t>相融</w:t>
      </w:r>
      <w:r>
        <w:rPr>
          <w:rFonts w:hint="eastAsia" w:ascii="宋体" w:hAnsi="宋体" w:eastAsia="宋体" w:cs="宋体"/>
          <w:color w:val="auto"/>
          <w:kern w:val="0"/>
          <w:sz w:val="21"/>
          <w:szCs w:val="21"/>
          <w:highlight w:val="none"/>
        </w:rPr>
        <w:t>、相敬、互通、互助”的局面。</w:t>
      </w:r>
    </w:p>
    <w:p w14:paraId="744AA0C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12.7强化对工期的检查、监督。</w:t>
      </w:r>
    </w:p>
    <w:p w14:paraId="13A5553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12.8严格控制质量。认真做好每一项工作任务，做到工作不留尾项，不留隐患，不出现返工，降低总体成本，提高经济效益。</w:t>
      </w:r>
    </w:p>
    <w:p w14:paraId="23625BF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12.9加强安全管理力度，杜绝各类事故的发生。</w:t>
      </w:r>
    </w:p>
    <w:p w14:paraId="7C2F363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12.10团队人员的病假、事假、调休轮休、探亲等各种假期，中标人必须在定编不缺员的情况下合理安排，并经招标人批准。</w:t>
      </w:r>
    </w:p>
    <w:p w14:paraId="0EF89C3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12.11项目负责人及主要技术骨干休息，离开岗位，必须向招标人办理请假手续。岗位缺员，招标人有权另行临时聘员或工作外协，所发生的费用由中标人承担。</w:t>
      </w:r>
    </w:p>
    <w:p w14:paraId="5F7A2DBE">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328" w:name="_Toc294082658"/>
      <w:bookmarkStart w:id="329" w:name="_Toc172623579"/>
      <w:bookmarkStart w:id="330" w:name="_Toc208481058"/>
      <w:bookmarkStart w:id="331" w:name="_Toc440551888"/>
      <w:bookmarkStart w:id="332" w:name="_Toc488238911"/>
      <w:r>
        <w:rPr>
          <w:rFonts w:hint="eastAsia" w:ascii="宋体" w:hAnsi="宋体" w:eastAsia="宋体" w:cs="宋体"/>
          <w:b/>
          <w:sz w:val="21"/>
          <w:szCs w:val="21"/>
          <w:highlight w:val="none"/>
          <w:lang w:val="en-US" w:eastAsia="zh-CN"/>
        </w:rPr>
        <w:t>十三、质量管理</w:t>
      </w:r>
      <w:bookmarkEnd w:id="328"/>
      <w:bookmarkEnd w:id="329"/>
      <w:bookmarkEnd w:id="330"/>
      <w:bookmarkEnd w:id="331"/>
      <w:bookmarkEnd w:id="332"/>
    </w:p>
    <w:p w14:paraId="16DB8F3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.1中标人必须有明确的项目质量方针、质量目标并按此进行质量管理。</w:t>
      </w:r>
    </w:p>
    <w:p w14:paraId="16C99B5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.2中标人必须认真贯彻执行GB/T19001-ISO9001质量保证标准。以完整的质量管理体系对待每一项检测工作，从准备到交工的各个环节都要做到精心组织，科学管理，对检测质量严格要求。</w:t>
      </w:r>
    </w:p>
    <w:p w14:paraId="16A9B61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.3质量保证</w:t>
      </w:r>
    </w:p>
    <w:p w14:paraId="16B1106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.3.1认真贯彻执行国家、地方、行业及招标人有关部门对设备质量的有关规范、规定和《质量管理和质量保证》体系等有关规定。</w:t>
      </w:r>
    </w:p>
    <w:p w14:paraId="13F5EB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.3.2坚持把“质量第一，用户至上”作为质量控制的基本原则。</w:t>
      </w:r>
    </w:p>
    <w:p w14:paraId="7E161FA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.3.3针对质量目标编制质量检验与管理体制实施细则，编制工作关键项目的施工（检修）作业技术措施或作业指导书，并严格执行，做好预防措施、控制质量通病。</w:t>
      </w:r>
    </w:p>
    <w:p w14:paraId="69C8FC1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.3.4选派作业水平较高且有丰富经验的专业人员上岗，并组织学习滁宁城铁设备特性和技术标准以及要求，努力提高人员的业务素质，避免人为失误。以人的工作质量保工序质量、促工程质量，确保作业质量。</w:t>
      </w:r>
    </w:p>
    <w:p w14:paraId="466FA1B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.3.5“以人为核心”，加强对员工的质量意识教育，充分调动所有施工人员的积极性，增强人的责任感，抓好施工过程中的质量控制，加大质量管理和质量检验力度，虚心接受招标人意见。</w:t>
      </w:r>
    </w:p>
    <w:p w14:paraId="6603F42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.3.6项目保证资料真实、完整、规范、及时、满足要求。</w:t>
      </w:r>
    </w:p>
    <w:p w14:paraId="5D74F2A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.3.7检测管理标准化，检测操作规范化。</w:t>
      </w:r>
    </w:p>
    <w:p w14:paraId="715DD43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.3.8强化全过程的质量管理，在工作准备阶段主动与招标人取得联系，确保质量和工期。</w:t>
      </w:r>
    </w:p>
    <w:p w14:paraId="7C63C84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.3.9加强隐蔽工程的质量管理，隐蔽工程施工必须经招标人检查，并办好签字手续后方可隐蔽。</w:t>
      </w:r>
    </w:p>
    <w:p w14:paraId="0AB199E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.3.10坚持预防为主，确保工程的内在质量和外观质量均符合要求。</w:t>
      </w:r>
    </w:p>
    <w:p w14:paraId="0A716D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.3.11对施工（检修）用机具、设备、计量器具严格管理。对施工（检修）用检验、测量和试验设备分类按期进行校验、校准，使用前进行仔细检查，保证使用合格的计量器具。</w:t>
      </w:r>
    </w:p>
    <w:p w14:paraId="1500247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.3.12认真填写记录，做到不合格工序不转序，不合格项目不移交。尤其是对关键工序和特殊过程严加控制，确保工序质量。</w:t>
      </w:r>
    </w:p>
    <w:p w14:paraId="6B8648C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.3.13认真做好每次开工作业前的准备，工作结束的质量总结。</w:t>
      </w:r>
    </w:p>
    <w:p w14:paraId="7B9859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.3.14过程中发生的质量问题或质量事故要及时报告招标人，中标人必须及时制定处理方案，经招标人和有关部门审批后</w:t>
      </w:r>
      <w:r>
        <w:rPr>
          <w:rFonts w:hint="eastAsia" w:ascii="宋体" w:hAnsi="宋体" w:cs="宋体"/>
          <w:color w:val="auto"/>
          <w:kern w:val="0"/>
          <w:sz w:val="21"/>
          <w:szCs w:val="21"/>
          <w:highlight w:val="none"/>
          <w:lang w:eastAsia="zh-CN"/>
        </w:rPr>
        <w:t>实施</w:t>
      </w:r>
      <w:r>
        <w:rPr>
          <w:rFonts w:hint="eastAsia" w:ascii="宋体" w:hAnsi="宋体" w:eastAsia="宋体" w:cs="宋体"/>
          <w:color w:val="auto"/>
          <w:kern w:val="0"/>
          <w:sz w:val="21"/>
          <w:szCs w:val="21"/>
          <w:highlight w:val="none"/>
        </w:rPr>
        <w:t>。</w:t>
      </w:r>
    </w:p>
    <w:p w14:paraId="59F7CFD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.3.15中标人应对工作内容认真自检，确认合格后，再报招标人确认。</w:t>
      </w:r>
    </w:p>
    <w:p w14:paraId="4102D1B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.3.16中标人必须对现场跟踪检查，发现问题及时组织处理。</w:t>
      </w:r>
    </w:p>
    <w:p w14:paraId="4AA262F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.3.17工作完成后，及时整理完工资料，并交付招标人审核、确认。</w:t>
      </w:r>
    </w:p>
    <w:p w14:paraId="6DE4A9B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.4质量管理组织机构及主要职责</w:t>
      </w:r>
    </w:p>
    <w:p w14:paraId="5EB235A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中标人必须提供该项目的质量管理组织架构图及各岗位的主要职责。</w:t>
      </w:r>
    </w:p>
    <w:p w14:paraId="405CD2E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.5中标人必须有明确的安全质量检验标准及技术规范并参照执行。</w:t>
      </w:r>
    </w:p>
    <w:p w14:paraId="74E5A5F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6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中标人提出施工（检修）作业技术要求，中标人提出施工（检修）工艺，经招标人批准后执行。</w:t>
      </w:r>
    </w:p>
    <w:p w14:paraId="63534AD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.7文件资料控制</w:t>
      </w:r>
    </w:p>
    <w:p w14:paraId="10ED1D9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.7.1所有与检测相关文件和记录应分别进行编号、分类、登记、发放、传递、保管和回收，必须与招标人管理同步。</w:t>
      </w:r>
    </w:p>
    <w:p w14:paraId="4CCA290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.7.2图纸及计划、任务单、各类会议纪要（记录）按程序文件的要求统一编号、分类、登记、标识、存档，按招标人批准的范围发放、传递。</w:t>
      </w:r>
    </w:p>
    <w:p w14:paraId="13F6A17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.7.3如项目修改原设计，中标人必须征得招标人同意并在资料相应位置明确标识，并将修改存档，同时将修改指令复印件附在图中。对作废图纸应及时回收，交招标人统一处理。</w:t>
      </w:r>
    </w:p>
    <w:p w14:paraId="6B8F2DB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.7.4有一整套检修规范、标准等文件，对于标准的更新及规程、规范的变化应及时报告招标人，并在相应部位做代替说明，待业方批准后执行。</w:t>
      </w:r>
    </w:p>
    <w:p w14:paraId="054DC780">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333" w:name="_Toc208481059"/>
      <w:bookmarkStart w:id="334" w:name="_Toc440551889"/>
      <w:bookmarkStart w:id="335" w:name="_Toc488238912"/>
      <w:bookmarkStart w:id="336" w:name="_Toc294082659"/>
      <w:bookmarkStart w:id="337" w:name="_Toc172623580"/>
      <w:r>
        <w:rPr>
          <w:rFonts w:hint="eastAsia" w:ascii="宋体" w:hAnsi="宋体" w:eastAsia="宋体" w:cs="宋体"/>
          <w:b/>
          <w:sz w:val="21"/>
          <w:szCs w:val="21"/>
          <w:highlight w:val="none"/>
          <w:lang w:val="en-US" w:eastAsia="zh-CN"/>
        </w:rPr>
        <w:t>十四、安全管理</w:t>
      </w:r>
      <w:bookmarkEnd w:id="333"/>
      <w:bookmarkEnd w:id="334"/>
      <w:bookmarkEnd w:id="335"/>
      <w:bookmarkEnd w:id="336"/>
      <w:bookmarkEnd w:id="337"/>
    </w:p>
    <w:p w14:paraId="728B550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.1中标人必须有明确的该项目的安全目标、安全指标并进行安全管理。</w:t>
      </w:r>
    </w:p>
    <w:p w14:paraId="25ED657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.2中标人必须提供该项目的安全控制组织架构及主要岗位职责。</w:t>
      </w:r>
    </w:p>
    <w:p w14:paraId="77B8932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.3安全控制管理制度</w:t>
      </w:r>
    </w:p>
    <w:p w14:paraId="3DD359F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.3.1在作业过程中，首先牢固树立“安全第一、预防为主”的思想。</w:t>
      </w:r>
    </w:p>
    <w:p w14:paraId="7D49921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.3.2全面执行中标人发布的安全管理制度：</w:t>
      </w:r>
    </w:p>
    <w:p w14:paraId="56ADAB5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.4安全组织、技术措施</w:t>
      </w:r>
    </w:p>
    <w:p w14:paraId="5F79A8A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遵照现行国家及有关部门的安全法规、规范、规定对本项目进行安全管理、健康管理、环境管理，确保安全施工（检修），杜绝一切人身伤亡事故。要有完整的安全管理组织体制，有专兼职安全干部，安全员负责设备检测和日常的安全、防火工作等。</w:t>
      </w:r>
    </w:p>
    <w:p w14:paraId="7D7CDD9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实行“三级”安全管理，坚持“管施工（检修）的同时必须抓安全”，“项目负责人是第一安全责任人”的原则，开展好正常的安全活动。中标人对本合同工作范围内的安全、消防等负责，对本单位进场人员治安保卫工作负责。</w:t>
      </w:r>
    </w:p>
    <w:p w14:paraId="230CE6D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.4.3强化各级安全监察网络，一级抓一级，层层落实安全生产责任制，抓好安全基础工作，重点放在预防上，有针对性的开展好作业前的安全预想预防工作，在布置工作的同时也要布置安全，认真做好内部的各种</w:t>
      </w:r>
      <w:r>
        <w:rPr>
          <w:rFonts w:hint="eastAsia" w:ascii="宋体" w:hAnsi="宋体" w:cs="宋体"/>
          <w:color w:val="auto"/>
          <w:kern w:val="0"/>
          <w:sz w:val="21"/>
          <w:szCs w:val="21"/>
          <w:highlight w:val="none"/>
          <w:lang w:eastAsia="zh-CN"/>
        </w:rPr>
        <w:t>安全管理台账</w:t>
      </w:r>
      <w:r>
        <w:rPr>
          <w:rFonts w:hint="eastAsia" w:ascii="宋体" w:hAnsi="宋体" w:eastAsia="宋体" w:cs="宋体"/>
          <w:color w:val="auto"/>
          <w:kern w:val="0"/>
          <w:sz w:val="21"/>
          <w:szCs w:val="21"/>
          <w:highlight w:val="none"/>
        </w:rPr>
        <w:t>。</w:t>
      </w:r>
    </w:p>
    <w:p w14:paraId="5D912A5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.4.4执行招标人制定的安全管理制度、安全操作规程及安全奖惩办法等规章制度，强化安全管理。</w:t>
      </w:r>
    </w:p>
    <w:p w14:paraId="5EA9E88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.4.5推行安全风险</w:t>
      </w:r>
      <w:r>
        <w:rPr>
          <w:rFonts w:hint="eastAsia" w:ascii="宋体" w:hAnsi="宋体" w:cs="宋体"/>
          <w:color w:val="auto"/>
          <w:kern w:val="0"/>
          <w:sz w:val="21"/>
          <w:szCs w:val="21"/>
          <w:highlight w:val="none"/>
          <w:lang w:eastAsia="zh-CN"/>
        </w:rPr>
        <w:t>制度</w:t>
      </w:r>
      <w:r>
        <w:rPr>
          <w:rFonts w:hint="eastAsia" w:ascii="宋体" w:hAnsi="宋体" w:eastAsia="宋体" w:cs="宋体"/>
          <w:color w:val="auto"/>
          <w:kern w:val="0"/>
          <w:sz w:val="21"/>
          <w:szCs w:val="21"/>
          <w:highlight w:val="none"/>
        </w:rPr>
        <w:t>，执行《“安全风险抵押金”制度》，从负责人到施工（检修）人员，逐级签订安全风险责任合同。</w:t>
      </w:r>
    </w:p>
    <w:p w14:paraId="68F94DB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.4.6专、兼职安全员固定在作业现场，掌握安全动态，加强安全监督管理，抓好安全措施的落实，及时向负责人提供安全信息，协助抓好整个项目的安全工作。</w:t>
      </w:r>
    </w:p>
    <w:p w14:paraId="6337EBD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.4.7项目负责人、安全员都有责任搞好本单位的施工（检修）安全。凡</w:t>
      </w:r>
      <w:r>
        <w:rPr>
          <w:rFonts w:hint="eastAsia" w:ascii="宋体" w:hAnsi="宋体" w:cs="宋体"/>
          <w:color w:val="auto"/>
          <w:kern w:val="0"/>
          <w:sz w:val="21"/>
          <w:szCs w:val="21"/>
          <w:highlight w:val="none"/>
          <w:lang w:eastAsia="zh-CN"/>
        </w:rPr>
        <w:t>发现</w:t>
      </w:r>
      <w:r>
        <w:rPr>
          <w:rFonts w:hint="eastAsia" w:ascii="宋体" w:hAnsi="宋体" w:eastAsia="宋体" w:cs="宋体"/>
          <w:color w:val="auto"/>
          <w:kern w:val="0"/>
          <w:sz w:val="21"/>
          <w:szCs w:val="21"/>
          <w:highlight w:val="none"/>
        </w:rPr>
        <w:t>违反安全操作规程者，有权令其停止工作。</w:t>
      </w:r>
    </w:p>
    <w:p w14:paraId="495FB98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.4.8加强对职工的安全教育，定期组织安全学习</w:t>
      </w:r>
      <w:r>
        <w:rPr>
          <w:rFonts w:hint="eastAsia" w:ascii="宋体" w:hAnsi="宋体" w:cs="宋体"/>
          <w:color w:val="auto"/>
          <w:kern w:val="0"/>
          <w:sz w:val="21"/>
          <w:szCs w:val="21"/>
          <w:highlight w:val="none"/>
          <w:lang w:eastAsia="zh-CN"/>
        </w:rPr>
        <w:t>，在</w:t>
      </w:r>
      <w:r>
        <w:rPr>
          <w:rFonts w:hint="eastAsia" w:ascii="宋体" w:hAnsi="宋体" w:eastAsia="宋体" w:cs="宋体"/>
          <w:color w:val="auto"/>
          <w:kern w:val="0"/>
          <w:sz w:val="21"/>
          <w:szCs w:val="21"/>
          <w:highlight w:val="none"/>
        </w:rPr>
        <w:t>施工（检修）中严格执行安全措施和安全规程，狠抓安全措施的落实，防患于未然。</w:t>
      </w:r>
    </w:p>
    <w:p w14:paraId="6197AF0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15.4.9在危险作业区域和交叉作业区域，增加临时性安全监察岗，加强预控和监督。</w:t>
      </w:r>
    </w:p>
    <w:p w14:paraId="5D2E7C0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.4.10各级领导和业务部门定期深入作业现场，进行安全大检查，查思想、查管理、查落实，查隐患，对安全上的薄弱环节决不放过。</w:t>
      </w:r>
    </w:p>
    <w:p w14:paraId="31EA701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.4.11坚持文明施工（检修），保证施工（检修）机械、设备完好和清洁，安全操作规程齐全，持证上岗，施工（检修）现场的安全管理、安全设施、安全工器具要符合规定。</w:t>
      </w:r>
    </w:p>
    <w:p w14:paraId="78EDAB3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.4.12作业现场设置安全标志，安全员上岗监督，作业人员一律戴安全帽，闲杂人员不得进入作业现场；登高时必须佩好安全带及安全绳后才能进行高空作业，严禁高空落物。</w:t>
      </w:r>
    </w:p>
    <w:p w14:paraId="78AFA6A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4.13施工（检修）中严格按照安规办事，施工（检修）现场坚持特殊工种100%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10A3C5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.4.14各分项作业都制定明确的安全保证措施，贯彻执行于作业的全过程。</w:t>
      </w:r>
    </w:p>
    <w:p w14:paraId="4BEA17B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.4.15加强对机具设备的维护管理，操作前检查；操作人员必须经考试合格，才能上岗，其它人员不能顶岗操作。</w:t>
      </w:r>
    </w:p>
    <w:p w14:paraId="1912D2C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.4.16加强对车辆使用的管理，加强车辆保养和司机安全意识教育；加强所有作业人员在地铁隧道中行走的安全教育，防止行车伤害，杜绝交通事故发生。</w:t>
      </w:r>
    </w:p>
    <w:p w14:paraId="7FAEA06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.4.17作业用临时电源箱，下班后应将闸刀拉开上锁，所有机电设备都应设接地接零等保护装置，严禁乱拉、乱接电源线。</w:t>
      </w:r>
    </w:p>
    <w:p w14:paraId="1DE996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工作负责人</w:t>
      </w:r>
      <w:r>
        <w:rPr>
          <w:rFonts w:hint="eastAsia" w:ascii="宋体" w:hAnsi="宋体" w:cs="宋体"/>
          <w:color w:val="auto"/>
          <w:kern w:val="0"/>
          <w:sz w:val="21"/>
          <w:szCs w:val="21"/>
          <w:highlight w:val="none"/>
          <w:lang w:eastAsia="zh-CN"/>
        </w:rPr>
        <w:t>必须</w:t>
      </w:r>
      <w:r>
        <w:rPr>
          <w:rFonts w:hint="eastAsia" w:ascii="宋体" w:hAnsi="宋体" w:eastAsia="宋体" w:cs="宋体"/>
          <w:color w:val="auto"/>
          <w:kern w:val="0"/>
          <w:sz w:val="21"/>
          <w:szCs w:val="21"/>
          <w:highlight w:val="none"/>
        </w:rPr>
        <w:t>办理许可手续后方可带领工作人员进入工作现场。</w:t>
      </w:r>
    </w:p>
    <w:p w14:paraId="3AD6845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w:t>
      </w:r>
      <w:r>
        <w:rPr>
          <w:rFonts w:hint="eastAsia" w:ascii="宋体" w:hAnsi="宋体" w:eastAsia="宋体" w:cs="宋体"/>
          <w:color w:val="auto"/>
          <w:kern w:val="0"/>
          <w:sz w:val="21"/>
          <w:szCs w:val="21"/>
          <w:highlight w:val="none"/>
          <w:lang w:val="en-US" w:eastAsia="zh-CN"/>
        </w:rPr>
        <w:t>19</w:t>
      </w:r>
      <w:r>
        <w:rPr>
          <w:rFonts w:hint="eastAsia" w:ascii="宋体" w:hAnsi="宋体" w:eastAsia="宋体" w:cs="宋体"/>
          <w:color w:val="auto"/>
          <w:kern w:val="0"/>
          <w:sz w:val="21"/>
          <w:szCs w:val="21"/>
          <w:highlight w:val="none"/>
        </w:rPr>
        <w:t>在危险区域动火必须到招标人安保部办理动火证。并派专人监护，方可实施。</w:t>
      </w:r>
    </w:p>
    <w:p w14:paraId="4E6CECE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对设备缺陷的处理工作，必须在工作前将缺陷发生的原因、处理的方法以及处理工作时对现场条件的要求、工作中的安全注意事项等核查清楚。</w:t>
      </w:r>
    </w:p>
    <w:p w14:paraId="17D8722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对大型作业等较为复杂的施工（检修）作业项目，有关人员必须在施工（检修）前</w:t>
      </w:r>
      <w:r>
        <w:rPr>
          <w:rFonts w:hint="eastAsia" w:ascii="宋体" w:hAnsi="宋体" w:cs="宋体"/>
          <w:color w:val="auto"/>
          <w:kern w:val="0"/>
          <w:sz w:val="21"/>
          <w:szCs w:val="21"/>
          <w:highlight w:val="none"/>
          <w:lang w:eastAsia="zh-CN"/>
        </w:rPr>
        <w:t>深入</w:t>
      </w:r>
      <w:r>
        <w:rPr>
          <w:rFonts w:hint="eastAsia" w:ascii="宋体" w:hAnsi="宋体" w:eastAsia="宋体" w:cs="宋体"/>
          <w:color w:val="auto"/>
          <w:kern w:val="0"/>
          <w:sz w:val="21"/>
          <w:szCs w:val="21"/>
          <w:highlight w:val="none"/>
        </w:rPr>
        <w:t>现场，对大型施工（检修）机械的行走路线和工作位置以及对施工（检修）构成障碍的物体等核查清楚，以确定可行的施工（检修）方案和作业中的不安全因素，制定可靠的安全防范措施。</w:t>
      </w:r>
    </w:p>
    <w:p w14:paraId="2A09FA0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保证作业区内的清洁卫生。</w:t>
      </w:r>
    </w:p>
    <w:p w14:paraId="4FC1ADD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爱护招标人的消防设施，按招标人有关规定及时到指定地点调换使用过的灭火器材。</w:t>
      </w:r>
    </w:p>
    <w:p w14:paraId="3AB4314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中标人必须严格遵守招标人及中标人规定的劳动纪律，中标人规定的劳动纪律及各类规章制度、规程不得与招标人的规章制度、规程相违背。</w:t>
      </w:r>
    </w:p>
    <w:p w14:paraId="2A4F09B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中标人必须严格遵守招标人所在地的“社会治安管理条例”。</w:t>
      </w:r>
    </w:p>
    <w:p w14:paraId="09C017F0">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338" w:name="_Toc488238913"/>
      <w:bookmarkStart w:id="339" w:name="_Toc440551890"/>
      <w:bookmarkStart w:id="340" w:name="_Toc172623581"/>
      <w:bookmarkStart w:id="341" w:name="_Toc208481060"/>
      <w:bookmarkStart w:id="342" w:name="_Toc294082660"/>
      <w:r>
        <w:rPr>
          <w:rFonts w:hint="eastAsia" w:ascii="宋体" w:hAnsi="宋体" w:eastAsia="宋体" w:cs="宋体"/>
          <w:b/>
          <w:sz w:val="21"/>
          <w:szCs w:val="21"/>
          <w:highlight w:val="none"/>
          <w:lang w:val="en-US" w:eastAsia="zh-CN"/>
        </w:rPr>
        <w:t>十五、文明管理</w:t>
      </w:r>
      <w:bookmarkEnd w:id="338"/>
      <w:bookmarkEnd w:id="339"/>
      <w:bookmarkEnd w:id="340"/>
      <w:bookmarkEnd w:id="341"/>
      <w:bookmarkEnd w:id="342"/>
    </w:p>
    <w:p w14:paraId="7470F06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.1作业过程中，严格按照“规范化管理、标准化作业”规定要求，实施文明管理。</w:t>
      </w:r>
    </w:p>
    <w:p w14:paraId="320EC96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.2作业过程中，中标人应合理地保持作业</w:t>
      </w:r>
      <w:r>
        <w:rPr>
          <w:rFonts w:hint="eastAsia" w:ascii="宋体" w:hAnsi="宋体" w:cs="宋体"/>
          <w:color w:val="auto"/>
          <w:kern w:val="0"/>
          <w:sz w:val="21"/>
          <w:szCs w:val="21"/>
          <w:highlight w:val="none"/>
          <w:lang w:eastAsia="zh-CN"/>
        </w:rPr>
        <w:t>现场</w:t>
      </w:r>
      <w:r>
        <w:rPr>
          <w:rFonts w:hint="eastAsia" w:ascii="宋体" w:hAnsi="宋体" w:eastAsia="宋体" w:cs="宋体"/>
          <w:color w:val="auto"/>
          <w:kern w:val="0"/>
          <w:sz w:val="21"/>
          <w:szCs w:val="21"/>
          <w:highlight w:val="none"/>
        </w:rPr>
        <w:t>不出现不必要的障碍，处置好作业设备及多余材料，保持现场整洁和道路畅通。</w:t>
      </w:r>
    </w:p>
    <w:p w14:paraId="65157F2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3保护作业区域内各种管线、输电及通信线路、控制开关、生产通道、测量标点等，不得随意破坏、操作、占用。如与其他作业平面发生矛盾，应事先通报招标人，在得到招标人同意后方可按要求执行。如发现未经请示同意而擅自行事，将视其具体情况给予罚款处理。</w:t>
      </w:r>
    </w:p>
    <w:p w14:paraId="5CFE300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.4必须负责作业现场日常卫生清理工作，保证公共环境整洁。</w:t>
      </w:r>
    </w:p>
    <w:p w14:paraId="4FEC81B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.5运至作业现场的备品备件，剩余部分由中标人及时回收，并放到招标人指定的地点。</w:t>
      </w:r>
    </w:p>
    <w:p w14:paraId="3EC7F40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.6作业现场讲文明、讲礼貌，遇事商量解决，严禁打架、斗殴。</w:t>
      </w:r>
    </w:p>
    <w:p w14:paraId="368CA9D5">
      <w:pP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br w:type="page"/>
      </w:r>
    </w:p>
    <w:p w14:paraId="2880BDC6">
      <w:pPr>
        <w:numPr>
          <w:ilvl w:val="0"/>
          <w:numId w:val="5"/>
        </w:num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25206C00">
      <w:pPr>
        <w:numPr>
          <w:ilvl w:val="0"/>
          <w:numId w:val="0"/>
        </w:numPr>
        <w:jc w:val="left"/>
        <w:rPr>
          <w:rFonts w:hint="eastAsia" w:eastAsia="仿宋"/>
          <w:b/>
          <w:highlight w:val="none"/>
          <w:lang w:eastAsia="zh-CN"/>
        </w:rPr>
      </w:pPr>
      <w:r>
        <w:rPr>
          <w:rFonts w:hint="eastAsia" w:eastAsia="仿宋"/>
          <w:b/>
          <w:highlight w:val="none"/>
        </w:rPr>
        <w:t>甲方：</w:t>
      </w:r>
    </w:p>
    <w:p w14:paraId="441AFBEF">
      <w:pPr>
        <w:spacing w:line="360" w:lineRule="auto"/>
        <w:rPr>
          <w:rFonts w:eastAsia="仿宋"/>
          <w:b/>
          <w:highlight w:val="none"/>
          <w:u w:val="single"/>
        </w:rPr>
      </w:pPr>
      <w:r>
        <w:rPr>
          <w:rFonts w:hint="eastAsia" w:eastAsia="仿宋"/>
          <w:b/>
          <w:highlight w:val="none"/>
        </w:rPr>
        <w:t>乙方：</w:t>
      </w:r>
    </w:p>
    <w:p w14:paraId="7B550967">
      <w:pPr>
        <w:spacing w:line="360" w:lineRule="auto"/>
        <w:ind w:firstLine="420" w:firstLineChars="200"/>
        <w:rPr>
          <w:rFonts w:eastAsia="仿宋"/>
          <w:highlight w:val="none"/>
        </w:rPr>
      </w:pPr>
      <w:r>
        <w:rPr>
          <w:rFonts w:eastAsia="仿宋"/>
          <w:highlight w:val="none"/>
        </w:rPr>
        <w:t>根据有关法律</w:t>
      </w:r>
      <w:r>
        <w:rPr>
          <w:rFonts w:hint="eastAsia" w:eastAsia="仿宋"/>
          <w:highlight w:val="none"/>
        </w:rPr>
        <w:t>法规</w:t>
      </w:r>
      <w:r>
        <w:rPr>
          <w:rFonts w:eastAsia="仿宋"/>
          <w:highlight w:val="none"/>
        </w:rPr>
        <w:t>规定，遵循平等、自愿、公平和诚信的原则，</w:t>
      </w:r>
      <w:r>
        <w:rPr>
          <w:rFonts w:hint="eastAsia" w:eastAsia="仿宋"/>
          <w:highlight w:val="none"/>
        </w:rPr>
        <w:t>甲、乙</w:t>
      </w:r>
      <w:r>
        <w:rPr>
          <w:rFonts w:eastAsia="仿宋"/>
          <w:highlight w:val="none"/>
        </w:rPr>
        <w:t>双方就</w:t>
      </w:r>
      <w:r>
        <w:rPr>
          <w:rFonts w:hint="eastAsia" w:eastAsia="仿宋"/>
          <w:highlight w:val="none"/>
          <w:u w:val="single"/>
          <w:lang w:eastAsia="zh-CN"/>
        </w:rPr>
        <w:t>滁州至南京城际铁路（滁州段）一期生活用水改造及车辆段加装过滤装置项目</w:t>
      </w:r>
      <w:r>
        <w:rPr>
          <w:rFonts w:hint="eastAsia" w:eastAsia="仿宋"/>
          <w:highlight w:val="none"/>
        </w:rPr>
        <w:t>（以下称“本项目”）的实施</w:t>
      </w:r>
      <w:r>
        <w:rPr>
          <w:rFonts w:eastAsia="仿宋"/>
          <w:highlight w:val="none"/>
        </w:rPr>
        <w:t>及有关事项协商一致</w:t>
      </w:r>
      <w:r>
        <w:rPr>
          <w:rFonts w:hint="eastAsia" w:eastAsia="仿宋"/>
          <w:highlight w:val="none"/>
        </w:rPr>
        <w:t>，</w:t>
      </w:r>
      <w:r>
        <w:rPr>
          <w:rFonts w:eastAsia="仿宋"/>
          <w:highlight w:val="none"/>
        </w:rPr>
        <w:t>共同达成如下协议：</w:t>
      </w:r>
    </w:p>
    <w:p w14:paraId="0789248B">
      <w:pPr>
        <w:pStyle w:val="39"/>
        <w:numPr>
          <w:ilvl w:val="0"/>
          <w:numId w:val="0"/>
        </w:numPr>
        <w:spacing w:line="360" w:lineRule="auto"/>
        <w:ind w:leftChars="0"/>
        <w:rPr>
          <w:rFonts w:eastAsia="仿宋"/>
          <w:b/>
          <w:highlight w:val="none"/>
        </w:rPr>
      </w:pPr>
      <w:bookmarkStart w:id="343" w:name="_Toc351203486"/>
      <w:r>
        <w:rPr>
          <w:rFonts w:hint="eastAsia" w:eastAsia="仿宋"/>
          <w:b/>
          <w:highlight w:val="none"/>
          <w:lang w:val="en-US" w:eastAsia="zh-CN"/>
        </w:rPr>
        <w:t>一、</w:t>
      </w:r>
      <w:r>
        <w:rPr>
          <w:rFonts w:eastAsia="仿宋"/>
          <w:b/>
          <w:highlight w:val="none"/>
        </w:rPr>
        <w:t>合同文件构成</w:t>
      </w:r>
      <w:bookmarkEnd w:id="343"/>
    </w:p>
    <w:p w14:paraId="040B1419">
      <w:pPr>
        <w:spacing w:line="360" w:lineRule="auto"/>
        <w:rPr>
          <w:rFonts w:eastAsia="仿宋"/>
          <w:bCs/>
          <w:highlight w:val="none"/>
        </w:rPr>
      </w:pPr>
      <w:bookmarkStart w:id="344" w:name="_Hlk14188859"/>
      <w:r>
        <w:rPr>
          <w:rFonts w:eastAsia="仿宋"/>
          <w:bCs/>
          <w:highlight w:val="none"/>
        </w:rPr>
        <w:t>本</w:t>
      </w:r>
      <w:r>
        <w:rPr>
          <w:rFonts w:hint="eastAsia" w:eastAsia="仿宋"/>
          <w:bCs/>
          <w:highlight w:val="none"/>
          <w:lang w:eastAsia="zh-CN"/>
        </w:rPr>
        <w:t>合同</w:t>
      </w:r>
      <w:r>
        <w:rPr>
          <w:rFonts w:eastAsia="仿宋"/>
          <w:bCs/>
          <w:highlight w:val="none"/>
        </w:rPr>
        <w:t>书与下列文件一起构成合同文件：</w:t>
      </w:r>
    </w:p>
    <w:p w14:paraId="4E0A9042">
      <w:pPr>
        <w:pStyle w:val="39"/>
        <w:numPr>
          <w:ilvl w:val="0"/>
          <w:numId w:val="6"/>
        </w:numPr>
        <w:spacing w:line="360" w:lineRule="auto"/>
        <w:ind w:firstLineChars="0"/>
        <w:rPr>
          <w:rFonts w:eastAsia="仿宋"/>
          <w:highlight w:val="none"/>
        </w:rPr>
      </w:pPr>
      <w:r>
        <w:rPr>
          <w:rFonts w:hint="eastAsia" w:eastAsia="仿宋"/>
          <w:highlight w:val="none"/>
        </w:rPr>
        <w:t>招标文件、投标文件、</w:t>
      </w:r>
      <w:r>
        <w:rPr>
          <w:rFonts w:eastAsia="仿宋"/>
          <w:highlight w:val="none"/>
        </w:rPr>
        <w:t>中标通知书（如有）；</w:t>
      </w:r>
    </w:p>
    <w:p w14:paraId="739DD1EF">
      <w:pPr>
        <w:pStyle w:val="39"/>
        <w:numPr>
          <w:ilvl w:val="0"/>
          <w:numId w:val="6"/>
        </w:numPr>
        <w:spacing w:line="360" w:lineRule="auto"/>
        <w:ind w:firstLineChars="0"/>
        <w:rPr>
          <w:rFonts w:eastAsia="仿宋"/>
          <w:highlight w:val="none"/>
        </w:rPr>
      </w:pPr>
      <w:bookmarkStart w:id="345" w:name="_Hlk14189050"/>
      <w:r>
        <w:rPr>
          <w:rFonts w:hint="eastAsia" w:eastAsia="仿宋"/>
          <w:highlight w:val="none"/>
        </w:rPr>
        <w:t>竞争性磋商</w:t>
      </w:r>
      <w:r>
        <w:rPr>
          <w:rFonts w:hint="eastAsia" w:eastAsia="仿宋"/>
          <w:highlight w:val="none"/>
          <w:lang w:val="en-US" w:eastAsia="zh-CN"/>
        </w:rPr>
        <w:t>文件</w:t>
      </w:r>
      <w:r>
        <w:rPr>
          <w:rFonts w:hint="eastAsia" w:eastAsia="仿宋"/>
          <w:highlight w:val="none"/>
        </w:rPr>
        <w:t>、谈判文件及申请文件（如有）</w:t>
      </w:r>
      <w:r>
        <w:rPr>
          <w:rFonts w:eastAsia="仿宋"/>
          <w:highlight w:val="none"/>
        </w:rPr>
        <w:t>；</w:t>
      </w:r>
    </w:p>
    <w:p w14:paraId="4EBDBF58">
      <w:pPr>
        <w:numPr>
          <w:ilvl w:val="0"/>
          <w:numId w:val="6"/>
        </w:numPr>
        <w:spacing w:line="360" w:lineRule="auto"/>
        <w:ind w:left="720" w:leftChars="0" w:hanging="720" w:firstLineChars="0"/>
        <w:rPr>
          <w:rFonts w:eastAsia="仿宋"/>
          <w:highlight w:val="none"/>
        </w:rPr>
      </w:pPr>
      <w:r>
        <w:rPr>
          <w:rFonts w:eastAsia="仿宋"/>
          <w:highlight w:val="none"/>
        </w:rPr>
        <w:t>技术标准和要求</w:t>
      </w:r>
      <w:r>
        <w:rPr>
          <w:rFonts w:hint="eastAsia" w:eastAsia="仿宋"/>
          <w:highlight w:val="none"/>
          <w:lang w:eastAsia="zh-CN"/>
        </w:rPr>
        <w:t>（</w:t>
      </w:r>
      <w:r>
        <w:rPr>
          <w:rFonts w:hint="eastAsia" w:eastAsia="仿宋"/>
          <w:highlight w:val="none"/>
          <w:lang w:val="en-US" w:eastAsia="zh-CN"/>
        </w:rPr>
        <w:t>用户需求书</w:t>
      </w:r>
      <w:r>
        <w:rPr>
          <w:rFonts w:hint="eastAsia" w:eastAsia="仿宋"/>
          <w:highlight w:val="none"/>
          <w:lang w:eastAsia="zh-CN"/>
        </w:rPr>
        <w:t>）</w:t>
      </w:r>
      <w:r>
        <w:rPr>
          <w:rFonts w:eastAsia="仿宋"/>
          <w:highlight w:val="none"/>
        </w:rPr>
        <w:t>；</w:t>
      </w:r>
      <w:bookmarkEnd w:id="345"/>
    </w:p>
    <w:p w14:paraId="681E10EE">
      <w:pPr>
        <w:numPr>
          <w:ilvl w:val="0"/>
          <w:numId w:val="6"/>
        </w:numPr>
        <w:spacing w:line="360" w:lineRule="auto"/>
        <w:ind w:left="720" w:leftChars="0" w:hanging="720" w:firstLineChars="0"/>
        <w:rPr>
          <w:rFonts w:eastAsia="仿宋"/>
          <w:highlight w:val="none"/>
        </w:rPr>
      </w:pPr>
      <w:r>
        <w:rPr>
          <w:rFonts w:eastAsia="仿宋"/>
          <w:highlight w:val="none"/>
        </w:rPr>
        <w:t>图纸</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p>
    <w:p w14:paraId="070942C0">
      <w:pPr>
        <w:numPr>
          <w:ilvl w:val="0"/>
          <w:numId w:val="6"/>
        </w:numPr>
        <w:spacing w:line="360" w:lineRule="auto"/>
        <w:ind w:left="720" w:leftChars="0" w:hanging="720" w:firstLineChars="0"/>
        <w:rPr>
          <w:rFonts w:eastAsia="仿宋"/>
          <w:highlight w:val="none"/>
        </w:rPr>
      </w:pPr>
      <w:r>
        <w:rPr>
          <w:rFonts w:eastAsia="仿宋"/>
          <w:highlight w:val="none"/>
        </w:rPr>
        <w:t>已标价工程量清单或预算书</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bookmarkStart w:id="346" w:name="_Hlk14189066"/>
    </w:p>
    <w:p w14:paraId="3B8D39D1">
      <w:pPr>
        <w:numPr>
          <w:ilvl w:val="0"/>
          <w:numId w:val="6"/>
        </w:numPr>
        <w:spacing w:line="360" w:lineRule="auto"/>
        <w:ind w:left="720" w:leftChars="0" w:hanging="720" w:firstLineChars="0"/>
        <w:rPr>
          <w:rFonts w:eastAsia="仿宋"/>
          <w:highlight w:val="none"/>
        </w:rPr>
      </w:pPr>
      <w:r>
        <w:rPr>
          <w:rFonts w:hint="eastAsia" w:eastAsia="仿宋"/>
          <w:highlight w:val="none"/>
        </w:rPr>
        <w:t>其他文件：_</w:t>
      </w:r>
      <w:r>
        <w:rPr>
          <w:rFonts w:eastAsia="仿宋"/>
          <w:highlight w:val="none"/>
        </w:rPr>
        <w:t>____________________</w:t>
      </w:r>
      <w:bookmarkEnd w:id="344"/>
      <w:bookmarkEnd w:id="346"/>
    </w:p>
    <w:p w14:paraId="39501BA3">
      <w:pPr>
        <w:spacing w:line="360" w:lineRule="auto"/>
        <w:ind w:firstLine="420" w:firstLineChars="200"/>
        <w:rPr>
          <w:rFonts w:eastAsia="仿宋"/>
          <w:highlight w:val="none"/>
        </w:rPr>
      </w:pPr>
      <w:r>
        <w:rPr>
          <w:rFonts w:eastAsia="仿宋"/>
          <w:highlight w:val="none"/>
        </w:rPr>
        <w:t>上述各项合同文件包括合同当事人就该项合同文件所作出的补充和修改，属于同一类内容的文件，应以最新签署的为准。</w:t>
      </w:r>
    </w:p>
    <w:p w14:paraId="19EEF47B">
      <w:pPr>
        <w:spacing w:line="360" w:lineRule="auto"/>
        <w:outlineLvl w:val="0"/>
        <w:rPr>
          <w:rFonts w:eastAsia="仿宋"/>
          <w:b/>
          <w:bCs/>
          <w:highlight w:val="none"/>
        </w:rPr>
      </w:pPr>
      <w:r>
        <w:rPr>
          <w:rFonts w:hint="eastAsia" w:eastAsia="仿宋"/>
          <w:b/>
          <w:bCs/>
          <w:highlight w:val="none"/>
        </w:rPr>
        <w:t>二、项目概况</w:t>
      </w:r>
    </w:p>
    <w:p w14:paraId="13059FA8">
      <w:pPr>
        <w:spacing w:line="360" w:lineRule="auto"/>
        <w:rPr>
          <w:rFonts w:eastAsia="仿宋"/>
          <w:highlight w:val="none"/>
        </w:rPr>
      </w:pPr>
      <w:r>
        <w:rPr>
          <w:rFonts w:hint="eastAsia" w:eastAsia="仿宋"/>
          <w:highlight w:val="none"/>
        </w:rPr>
        <w:t>2</w:t>
      </w:r>
      <w:r>
        <w:rPr>
          <w:rFonts w:eastAsia="仿宋"/>
          <w:highlight w:val="none"/>
        </w:rPr>
        <w:t>.1</w:t>
      </w:r>
      <w:r>
        <w:rPr>
          <w:rFonts w:hint="eastAsia" w:eastAsia="仿宋"/>
          <w:highlight w:val="none"/>
          <w:lang w:val="en-US" w:eastAsia="zh-CN"/>
        </w:rPr>
        <w:t xml:space="preserve"> </w:t>
      </w:r>
      <w:r>
        <w:rPr>
          <w:rFonts w:hint="eastAsia" w:eastAsia="仿宋"/>
          <w:highlight w:val="none"/>
        </w:rPr>
        <w:t>项目实施</w:t>
      </w:r>
      <w:r>
        <w:rPr>
          <w:rFonts w:eastAsia="仿宋"/>
          <w:highlight w:val="none"/>
        </w:rPr>
        <w:t>地点：</w:t>
      </w:r>
      <w:r>
        <w:rPr>
          <w:rFonts w:hint="eastAsia" w:eastAsia="仿宋"/>
          <w:highlight w:val="none"/>
          <w:u w:val="single"/>
          <w:lang w:val="en-US" w:eastAsia="zh-CN"/>
        </w:rPr>
        <w:t xml:space="preserve"> </w:t>
      </w:r>
      <w:r>
        <w:rPr>
          <w:rFonts w:eastAsia="仿宋"/>
          <w:highlight w:val="none"/>
          <w:u w:val="single"/>
        </w:rPr>
        <w:t xml:space="preserve">    </w:t>
      </w:r>
      <w:r>
        <w:rPr>
          <w:rFonts w:hint="eastAsia" w:eastAsia="仿宋"/>
          <w:highlight w:val="none"/>
          <w:u w:val="single"/>
          <w:lang w:val="en-US" w:eastAsia="zh-CN"/>
        </w:rPr>
        <w:t xml:space="preserve">         </w:t>
      </w:r>
      <w:r>
        <w:rPr>
          <w:rFonts w:eastAsia="仿宋"/>
          <w:highlight w:val="none"/>
          <w:u w:val="single"/>
        </w:rPr>
        <w:t xml:space="preserve">   </w:t>
      </w:r>
    </w:p>
    <w:p w14:paraId="075C2815">
      <w:pPr>
        <w:spacing w:line="360" w:lineRule="auto"/>
        <w:rPr>
          <w:rFonts w:eastAsia="仿宋"/>
          <w:color w:val="auto"/>
          <w:highlight w:val="none"/>
        </w:rPr>
      </w:pPr>
      <w:r>
        <w:rPr>
          <w:rFonts w:hint="eastAsia" w:eastAsia="仿宋"/>
          <w:highlight w:val="none"/>
        </w:rPr>
        <w:t>2</w:t>
      </w:r>
      <w:r>
        <w:rPr>
          <w:rFonts w:eastAsia="仿宋"/>
          <w:highlight w:val="none"/>
        </w:rPr>
        <w:t xml:space="preserve">.2 </w:t>
      </w:r>
      <w:r>
        <w:rPr>
          <w:rFonts w:hint="eastAsia" w:eastAsia="仿宋"/>
          <w:highlight w:val="none"/>
        </w:rPr>
        <w:t>项目内容：</w:t>
      </w:r>
      <w:r>
        <w:rPr>
          <w:rFonts w:hint="eastAsia" w:eastAsia="仿宋"/>
          <w:highlight w:val="none"/>
          <w:u w:val="single"/>
          <w:lang w:val="en-US" w:eastAsia="zh-CN"/>
        </w:rPr>
        <w:t xml:space="preserve"> </w:t>
      </w:r>
      <w:r>
        <w:rPr>
          <w:rFonts w:eastAsia="仿宋"/>
          <w:highlight w:val="none"/>
          <w:u w:val="single"/>
        </w:rPr>
        <w:t xml:space="preserve"> </w:t>
      </w:r>
      <w:r>
        <w:rPr>
          <w:rFonts w:hint="eastAsia" w:eastAsia="仿宋"/>
          <w:color w:val="auto"/>
          <w:highlight w:val="none"/>
          <w:u w:val="single"/>
          <w:lang w:val="en-US" w:eastAsia="zh-CN"/>
        </w:rPr>
        <w:t>详见用户需求书</w:t>
      </w:r>
      <w:r>
        <w:rPr>
          <w:rFonts w:eastAsia="仿宋"/>
          <w:color w:val="auto"/>
          <w:highlight w:val="none"/>
          <w:u w:val="single"/>
        </w:rPr>
        <w:t xml:space="preserve">     </w:t>
      </w:r>
    </w:p>
    <w:p w14:paraId="035981DF">
      <w:pPr>
        <w:spacing w:line="360" w:lineRule="auto"/>
        <w:outlineLvl w:val="0"/>
        <w:rPr>
          <w:rFonts w:hint="eastAsia" w:eastAsia="仿宋"/>
          <w:b/>
          <w:bCs/>
          <w:color w:val="auto"/>
          <w:highlight w:val="none"/>
        </w:rPr>
      </w:pPr>
      <w:r>
        <w:rPr>
          <w:rFonts w:hint="eastAsia" w:eastAsia="仿宋"/>
          <w:b/>
          <w:bCs/>
          <w:color w:val="auto"/>
          <w:highlight w:val="none"/>
        </w:rPr>
        <w:t>三、合同工期</w:t>
      </w:r>
    </w:p>
    <w:p w14:paraId="75E6596F">
      <w:pPr>
        <w:spacing w:line="360" w:lineRule="auto"/>
        <w:rPr>
          <w:rFonts w:eastAsia="仿宋"/>
          <w:color w:val="auto"/>
          <w:highlight w:val="none"/>
          <w:u w:val="single"/>
        </w:rPr>
      </w:pPr>
      <w:r>
        <w:rPr>
          <w:rFonts w:hint="eastAsia" w:eastAsia="仿宋"/>
          <w:color w:val="auto"/>
          <w:highlight w:val="none"/>
          <w:lang w:val="en-US" w:eastAsia="zh-CN"/>
        </w:rPr>
        <w:t xml:space="preserve">3.1 </w:t>
      </w:r>
      <w:r>
        <w:rPr>
          <w:rFonts w:hint="eastAsia" w:eastAsia="仿宋"/>
          <w:color w:val="auto"/>
          <w:highlight w:val="none"/>
        </w:rPr>
        <w:t>本项目工期为</w:t>
      </w:r>
      <w:r>
        <w:rPr>
          <w:rFonts w:hint="eastAsia" w:eastAsia="仿宋"/>
          <w:color w:val="auto"/>
          <w:highlight w:val="none"/>
          <w:u w:val="single"/>
          <w:lang w:val="en-US" w:eastAsia="zh-CN"/>
        </w:rPr>
        <w:t xml:space="preserve">     </w:t>
      </w:r>
      <w:r>
        <w:rPr>
          <w:rFonts w:hint="eastAsia" w:eastAsia="仿宋"/>
          <w:color w:val="auto"/>
          <w:highlight w:val="none"/>
        </w:rPr>
        <w:t>天（日历天），自</w:t>
      </w:r>
      <w:r>
        <w:rPr>
          <w:rFonts w:hint="eastAsia" w:eastAsia="仿宋"/>
          <w:color w:val="auto"/>
          <w:highlight w:val="none"/>
          <w:u w:val="single"/>
        </w:rPr>
        <w:t>甲方下达开工通知书之日起计算</w:t>
      </w:r>
      <w:r>
        <w:rPr>
          <w:rFonts w:hint="eastAsia" w:eastAsia="仿宋"/>
          <w:color w:val="auto"/>
          <w:highlight w:val="none"/>
          <w:u w:val="none"/>
        </w:rPr>
        <w:t>。</w:t>
      </w:r>
    </w:p>
    <w:p w14:paraId="6AA8635C">
      <w:pPr>
        <w:spacing w:line="360" w:lineRule="auto"/>
        <w:rPr>
          <w:rFonts w:hint="default" w:eastAsia="仿宋"/>
          <w:b/>
          <w:color w:val="auto"/>
          <w:highlight w:val="none"/>
          <w:lang w:val="en-US" w:eastAsia="zh-CN"/>
        </w:rPr>
      </w:pPr>
      <w:bookmarkStart w:id="347" w:name="_Toc351203484"/>
      <w:r>
        <w:rPr>
          <w:rFonts w:hint="eastAsia" w:eastAsia="仿宋"/>
          <w:b/>
          <w:color w:val="auto"/>
          <w:highlight w:val="none"/>
        </w:rPr>
        <w:t>四</w:t>
      </w:r>
      <w:r>
        <w:rPr>
          <w:rFonts w:eastAsia="仿宋"/>
          <w:b/>
          <w:color w:val="auto"/>
          <w:highlight w:val="none"/>
        </w:rPr>
        <w:t>、合同价</w:t>
      </w:r>
      <w:bookmarkEnd w:id="347"/>
      <w:r>
        <w:rPr>
          <w:rFonts w:hint="eastAsia" w:eastAsia="仿宋"/>
          <w:b/>
          <w:color w:val="auto"/>
          <w:highlight w:val="none"/>
        </w:rPr>
        <w:t>款</w:t>
      </w:r>
      <w:r>
        <w:rPr>
          <w:rFonts w:hint="eastAsia" w:eastAsia="仿宋"/>
          <w:b/>
          <w:color w:val="auto"/>
          <w:highlight w:val="none"/>
          <w:lang w:val="en-US" w:eastAsia="zh-CN"/>
        </w:rPr>
        <w:t>及付款方式</w:t>
      </w:r>
    </w:p>
    <w:p w14:paraId="11554297">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b/>
          <w:bCs/>
          <w:color w:val="auto"/>
          <w:sz w:val="21"/>
          <w:szCs w:val="21"/>
          <w:highlight w:val="none"/>
        </w:rPr>
      </w:pPr>
      <w:r>
        <w:rPr>
          <w:rFonts w:hint="eastAsia" w:eastAsia="仿宋"/>
          <w:color w:val="auto"/>
          <w:sz w:val="21"/>
          <w:szCs w:val="21"/>
          <w:highlight w:val="none"/>
        </w:rPr>
        <w:t>4</w:t>
      </w:r>
      <w:r>
        <w:rPr>
          <w:rFonts w:eastAsia="仿宋"/>
          <w:color w:val="auto"/>
          <w:sz w:val="21"/>
          <w:szCs w:val="21"/>
          <w:highlight w:val="none"/>
        </w:rPr>
        <w:t xml:space="preserve">.1 </w:t>
      </w:r>
      <w:r>
        <w:rPr>
          <w:rFonts w:ascii="仿宋" w:hAnsi="仿宋" w:eastAsia="仿宋"/>
          <w:color w:val="auto"/>
          <w:sz w:val="21"/>
          <w:szCs w:val="21"/>
          <w:highlight w:val="none"/>
        </w:rPr>
        <w:t>本合同不含税价</w:t>
      </w:r>
      <w:r>
        <w:rPr>
          <w:rFonts w:hint="eastAsia" w:ascii="仿宋" w:hAnsi="仿宋" w:eastAsia="仿宋"/>
          <w:color w:val="auto"/>
          <w:sz w:val="21"/>
          <w:szCs w:val="21"/>
          <w:highlight w:val="none"/>
          <w:lang w:val="en-US" w:eastAsia="zh-CN"/>
        </w:rPr>
        <w:t>款</w:t>
      </w:r>
      <w:r>
        <w:rPr>
          <w:rFonts w:ascii="仿宋" w:hAnsi="仿宋" w:eastAsia="仿宋"/>
          <w:color w:val="auto"/>
          <w:sz w:val="21"/>
          <w:szCs w:val="21"/>
          <w:highlight w:val="none"/>
        </w:rPr>
        <w:t>为</w:t>
      </w:r>
      <w:r>
        <w:rPr>
          <w:rFonts w:hint="eastAsia" w:ascii="仿宋" w:hAnsi="仿宋" w:eastAsia="仿宋"/>
          <w:color w:val="auto"/>
          <w:sz w:val="21"/>
          <w:szCs w:val="21"/>
          <w:highlight w:val="none"/>
        </w:rPr>
        <w:t>人民币（大写）</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元）</w:t>
      </w:r>
      <w:r>
        <w:rPr>
          <w:rFonts w:ascii="仿宋" w:hAnsi="仿宋" w:eastAsia="仿宋"/>
          <w:color w:val="auto"/>
          <w:sz w:val="21"/>
          <w:szCs w:val="21"/>
          <w:highlight w:val="none"/>
        </w:rPr>
        <w:t>，含税总价共计为</w:t>
      </w:r>
      <w:r>
        <w:rPr>
          <w:rFonts w:hint="eastAsia" w:ascii="仿宋" w:hAnsi="仿宋" w:eastAsia="仿宋"/>
          <w:color w:val="auto"/>
          <w:sz w:val="21"/>
          <w:szCs w:val="21"/>
          <w:highlight w:val="none"/>
        </w:rPr>
        <w:t>人民币（大写）</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元）,税率为_</w:t>
      </w:r>
      <w:r>
        <w:rPr>
          <w:rFonts w:ascii="仿宋" w:hAnsi="仿宋" w:eastAsia="仿宋"/>
          <w:color w:val="auto"/>
          <w:sz w:val="21"/>
          <w:szCs w:val="21"/>
          <w:highlight w:val="none"/>
        </w:rPr>
        <w:t>____%。</w:t>
      </w:r>
    </w:p>
    <w:p w14:paraId="5440D66E">
      <w:pPr>
        <w:spacing w:line="360" w:lineRule="auto"/>
        <w:rPr>
          <w:rFonts w:eastAsia="仿宋"/>
          <w:color w:val="auto"/>
          <w:highlight w:val="none"/>
        </w:rPr>
      </w:pPr>
      <w:r>
        <w:rPr>
          <w:rFonts w:hint="eastAsia" w:eastAsia="仿宋"/>
          <w:color w:val="auto"/>
          <w:highlight w:val="none"/>
        </w:rPr>
        <w:t>4</w:t>
      </w:r>
      <w:r>
        <w:rPr>
          <w:rFonts w:eastAsia="仿宋"/>
          <w:color w:val="auto"/>
          <w:highlight w:val="none"/>
        </w:rPr>
        <w:t xml:space="preserve">.2 </w:t>
      </w:r>
      <w:r>
        <w:rPr>
          <w:rFonts w:hint="eastAsia" w:eastAsia="仿宋"/>
          <w:color w:val="auto"/>
          <w:highlight w:val="none"/>
        </w:rPr>
        <w:t>本合同采用以下第</w:t>
      </w:r>
      <w:r>
        <w:rPr>
          <w:rFonts w:hint="eastAsia" w:eastAsia="仿宋"/>
          <w:color w:val="auto"/>
          <w:highlight w:val="none"/>
          <w:u w:val="single"/>
          <w:lang w:val="en-US" w:eastAsia="zh-CN"/>
        </w:rPr>
        <w:t>1</w:t>
      </w:r>
      <w:r>
        <w:rPr>
          <w:rFonts w:hint="eastAsia" w:eastAsia="仿宋"/>
          <w:color w:val="auto"/>
          <w:highlight w:val="none"/>
        </w:rPr>
        <w:t>种价格形式：</w:t>
      </w:r>
    </w:p>
    <w:p w14:paraId="352F481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1.总价合同形式</w:t>
      </w:r>
    </w:p>
    <w:p w14:paraId="1E8F7F8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（1）合同价款包括合同项目范围内的合同设备（含合同规定的各种材料、备品备件、专用工具）、设计、土建、安装、保管、调试、试验、验收、并网、技术服务等费用。</w:t>
      </w:r>
    </w:p>
    <w:p w14:paraId="3F8128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eastAsia="仿宋"/>
          <w:highlight w:val="none"/>
        </w:rPr>
      </w:pPr>
      <w:r>
        <w:rPr>
          <w:rFonts w:hint="eastAsia" w:eastAsia="仿宋"/>
          <w:color w:val="auto"/>
          <w:highlight w:val="none"/>
        </w:rPr>
        <w:t>（</w:t>
      </w:r>
      <w:r>
        <w:rPr>
          <w:rFonts w:eastAsia="仿宋"/>
          <w:color w:val="auto"/>
          <w:highlight w:val="none"/>
        </w:rPr>
        <w:t>2</w:t>
      </w:r>
      <w:r>
        <w:rPr>
          <w:rFonts w:hint="eastAsia" w:eastAsia="仿宋"/>
          <w:color w:val="auto"/>
          <w:highlight w:val="none"/>
        </w:rPr>
        <w:t>）以甲方提供的工程量清单包干，在合同约定的范围内合同</w:t>
      </w:r>
      <w:r>
        <w:rPr>
          <w:rFonts w:hint="eastAsia" w:eastAsia="仿宋"/>
          <w:highlight w:val="none"/>
        </w:rPr>
        <w:t>总价原则上不作任何调整。</w:t>
      </w:r>
    </w:p>
    <w:p w14:paraId="5A5B2FE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（3）</w:t>
      </w:r>
      <w:r>
        <w:rPr>
          <w:rFonts w:eastAsia="仿宋"/>
          <w:highlight w:val="none"/>
        </w:rPr>
        <w:t>本合同总价在合同有效期内为不变价</w:t>
      </w:r>
      <w:r>
        <w:rPr>
          <w:rFonts w:hint="eastAsia" w:eastAsia="仿宋"/>
          <w:highlight w:val="none"/>
        </w:rPr>
        <w:t>，除非发生下列情形可作调整外，不会因为其他情形发生任何调整：</w:t>
      </w:r>
    </w:p>
    <w:p w14:paraId="1BC8E5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a</w:t>
      </w:r>
      <w:r>
        <w:rPr>
          <w:rFonts w:eastAsia="仿宋"/>
          <w:highlight w:val="none"/>
        </w:rPr>
        <w:t xml:space="preserve">. </w:t>
      </w:r>
      <w:r>
        <w:rPr>
          <w:rFonts w:hint="eastAsia" w:eastAsia="仿宋"/>
          <w:highlight w:val="none"/>
        </w:rPr>
        <w:t>按照甲方要求或指示的设计变更，导致不包含在合同范围内的工程量或费用的增加，或者导致合同范围内的工程量或费用的减少；</w:t>
      </w:r>
    </w:p>
    <w:p w14:paraId="3AD7367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b</w:t>
      </w:r>
      <w:r>
        <w:rPr>
          <w:rFonts w:eastAsia="仿宋"/>
          <w:highlight w:val="none"/>
        </w:rPr>
        <w:t>.</w:t>
      </w:r>
      <w:r>
        <w:rPr>
          <w:rFonts w:hint="eastAsia" w:eastAsia="仿宋"/>
          <w:highlight w:val="none"/>
        </w:rPr>
        <w:t>经甲方签证确认的非乙方原因导致的合同工程现场签证事项。</w:t>
      </w:r>
    </w:p>
    <w:p w14:paraId="7937A90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2.单价合同形式</w:t>
      </w:r>
    </w:p>
    <w:p w14:paraId="4D65682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0466428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（2）构成合同价款的项目单价一经甲方和乙方签订合同确定后不作调整。</w:t>
      </w:r>
    </w:p>
    <w:p w14:paraId="03609C4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3.其他形式</w:t>
      </w:r>
    </w:p>
    <w:p w14:paraId="7C01B5B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s="仿宋"/>
          <w:highlight w:val="none"/>
        </w:rPr>
        <w:t>本项目中的</w:t>
      </w:r>
      <w:r>
        <w:rPr>
          <w:rFonts w:hint="eastAsia" w:eastAsia="仿宋"/>
          <w:highlight w:val="none"/>
        </w:rPr>
        <w:t>_____</w:t>
      </w:r>
      <w:r>
        <w:rPr>
          <w:rFonts w:hint="eastAsia" w:eastAsia="仿宋"/>
          <w:color w:val="auto"/>
          <w:highlight w:val="none"/>
        </w:rPr>
        <w:t>_____(</w:t>
      </w:r>
      <w:r>
        <w:rPr>
          <w:rFonts w:hint="eastAsia" w:eastAsia="仿宋" w:cs="仿宋"/>
          <w:color w:val="auto"/>
          <w:highlight w:val="none"/>
        </w:rPr>
        <w:t>工程量确定的子项目名称</w:t>
      </w:r>
      <w:r>
        <w:rPr>
          <w:rFonts w:hint="eastAsia" w:eastAsia="仿宋"/>
          <w:color w:val="auto"/>
          <w:highlight w:val="none"/>
        </w:rPr>
        <w:t>)</w:t>
      </w:r>
      <w:r>
        <w:rPr>
          <w:rFonts w:hint="eastAsia" w:eastAsia="仿宋" w:cs="仿宋"/>
          <w:color w:val="auto"/>
          <w:highlight w:val="none"/>
        </w:rPr>
        <w:t>以双方确认的</w:t>
      </w:r>
      <w:r>
        <w:rPr>
          <w:rFonts w:hint="eastAsia" w:eastAsia="仿宋"/>
          <w:color w:val="auto"/>
          <w:highlight w:val="none"/>
        </w:rPr>
        <w:t>/</w:t>
      </w:r>
      <w:r>
        <w:rPr>
          <w:rFonts w:hint="eastAsia" w:eastAsia="仿宋" w:cs="仿宋"/>
          <w:color w:val="auto"/>
          <w:highlight w:val="none"/>
        </w:rPr>
        <w:t>甲方提供的报价清单中固定总价包干，这部分项目的合同价款在约定的范围内原则上不作任何调整；本项目中的</w:t>
      </w:r>
      <w:r>
        <w:rPr>
          <w:rFonts w:hint="eastAsia" w:eastAsia="仿宋"/>
          <w:color w:val="auto"/>
          <w:highlight w:val="none"/>
        </w:rPr>
        <w:t>__________(</w:t>
      </w:r>
      <w:r>
        <w:rPr>
          <w:rFonts w:hint="eastAsia" w:eastAsia="仿宋" w:cs="仿宋"/>
          <w:color w:val="auto"/>
          <w:highlight w:val="none"/>
        </w:rPr>
        <w:t>工程量预估的子项目名称</w:t>
      </w:r>
      <w:r>
        <w:rPr>
          <w:rFonts w:hint="eastAsia" w:eastAsia="仿宋"/>
          <w:color w:val="auto"/>
          <w:highlight w:val="none"/>
        </w:rPr>
        <w:t>)</w:t>
      </w:r>
      <w:r>
        <w:rPr>
          <w:rFonts w:hint="eastAsia" w:eastAsia="仿宋" w:cs="仿宋"/>
          <w:color w:val="auto"/>
          <w:highlight w:val="none"/>
        </w:rPr>
        <w:t>工程量为预估，以双方或者甲方确认的报价清单中的固定单价包干，这部分项目的合同价款按双方最终确认的工程量据实计算，固定单价原则上不作任何调整。</w:t>
      </w:r>
    </w:p>
    <w:p w14:paraId="438592D4">
      <w:pPr>
        <w:spacing w:line="360" w:lineRule="auto"/>
        <w:rPr>
          <w:rFonts w:eastAsia="仿宋"/>
          <w:highlight w:val="none"/>
        </w:rPr>
      </w:pPr>
      <w:r>
        <w:rPr>
          <w:rFonts w:hint="eastAsia" w:eastAsia="仿宋"/>
          <w:color w:val="auto"/>
          <w:highlight w:val="none"/>
        </w:rPr>
        <w:t>4</w:t>
      </w:r>
      <w:r>
        <w:rPr>
          <w:rFonts w:eastAsia="仿宋"/>
          <w:color w:val="auto"/>
          <w:highlight w:val="none"/>
        </w:rPr>
        <w:t xml:space="preserve">.3 </w:t>
      </w:r>
      <w:r>
        <w:rPr>
          <w:rFonts w:hint="eastAsia" w:eastAsia="仿宋"/>
          <w:color w:val="auto"/>
          <w:highlight w:val="none"/>
        </w:rPr>
        <w:t>出现合同约定的合同价款调增事项后的七个工作日内，乙方应向甲方提交合同价款调增报告并附上相关资料，若乙方在七个工作日内未提交合同价款调增报</w:t>
      </w:r>
      <w:r>
        <w:rPr>
          <w:rFonts w:hint="eastAsia" w:eastAsia="仿宋"/>
          <w:highlight w:val="none"/>
        </w:rPr>
        <w:t>告的，视为乙方对该事项不存在调整价款。</w:t>
      </w:r>
    </w:p>
    <w:p w14:paraId="688B0130">
      <w:pPr>
        <w:spacing w:line="360" w:lineRule="auto"/>
        <w:rPr>
          <w:rFonts w:eastAsia="仿宋"/>
          <w:highlight w:val="none"/>
        </w:rPr>
      </w:pPr>
      <w:r>
        <w:rPr>
          <w:rFonts w:hint="eastAsia" w:eastAsia="仿宋"/>
          <w:highlight w:val="none"/>
        </w:rPr>
        <w:t>4</w:t>
      </w:r>
      <w:r>
        <w:rPr>
          <w:rFonts w:eastAsia="仿宋"/>
          <w:highlight w:val="none"/>
        </w:rPr>
        <w:t xml:space="preserve">.4 </w:t>
      </w:r>
      <w:r>
        <w:rPr>
          <w:rFonts w:hint="eastAsia" w:eastAsia="仿宋"/>
          <w:highlight w:val="none"/>
        </w:rPr>
        <w:t>甲方应</w:t>
      </w:r>
      <w:r>
        <w:rPr>
          <w:rFonts w:eastAsia="仿宋"/>
          <w:highlight w:val="none"/>
        </w:rPr>
        <w:t>在收到</w:t>
      </w:r>
      <w:r>
        <w:rPr>
          <w:rFonts w:hint="eastAsia" w:eastAsia="仿宋"/>
          <w:highlight w:val="none"/>
        </w:rPr>
        <w:t>乙方</w:t>
      </w:r>
      <w:r>
        <w:rPr>
          <w:rFonts w:eastAsia="仿宋"/>
          <w:highlight w:val="none"/>
        </w:rPr>
        <w:t>合同价款调增报告及相关资料之日起</w:t>
      </w:r>
      <w:r>
        <w:rPr>
          <w:rFonts w:eastAsia="仿宋"/>
          <w:highlight w:val="none"/>
          <w:u w:val="single"/>
        </w:rPr>
        <w:t>14</w:t>
      </w:r>
      <w:r>
        <w:rPr>
          <w:rFonts w:hint="eastAsia" w:eastAsia="仿宋"/>
          <w:highlight w:val="none"/>
          <w:u w:val="none"/>
          <w:lang w:val="en-US" w:eastAsia="zh-CN"/>
        </w:rPr>
        <w:t>个</w:t>
      </w:r>
      <w:r>
        <w:rPr>
          <w:rFonts w:hint="eastAsia" w:eastAsia="仿宋"/>
          <w:highlight w:val="none"/>
        </w:rPr>
        <w:t>工作日内</w:t>
      </w:r>
      <w:r>
        <w:rPr>
          <w:rFonts w:eastAsia="仿宋"/>
          <w:highlight w:val="none"/>
        </w:rPr>
        <w:t>对其核实，予以确认的</w:t>
      </w:r>
      <w:r>
        <w:rPr>
          <w:rFonts w:hint="eastAsia" w:eastAsia="仿宋"/>
          <w:highlight w:val="none"/>
        </w:rPr>
        <w:t>，</w:t>
      </w:r>
      <w:r>
        <w:rPr>
          <w:rFonts w:eastAsia="仿宋"/>
          <w:highlight w:val="none"/>
        </w:rPr>
        <w:t>应书面通知</w:t>
      </w:r>
      <w:r>
        <w:rPr>
          <w:rFonts w:hint="eastAsia" w:eastAsia="仿宋"/>
          <w:highlight w:val="none"/>
        </w:rPr>
        <w:t>乙方</w:t>
      </w:r>
      <w:r>
        <w:rPr>
          <w:rFonts w:eastAsia="仿宋"/>
          <w:highlight w:val="none"/>
        </w:rPr>
        <w:t>。</w:t>
      </w:r>
      <w:r>
        <w:rPr>
          <w:rFonts w:hint="eastAsia" w:eastAsia="仿宋"/>
          <w:highlight w:val="none"/>
        </w:rPr>
        <w:t>甲方未予确认的部分，乙方不得擅自变更或增加。</w:t>
      </w:r>
    </w:p>
    <w:p w14:paraId="6D992FED">
      <w:pPr>
        <w:spacing w:line="360" w:lineRule="auto"/>
        <w:rPr>
          <w:rFonts w:eastAsia="仿宋"/>
          <w:highlight w:val="none"/>
        </w:rPr>
      </w:pPr>
      <w:r>
        <w:rPr>
          <w:rFonts w:hint="eastAsia" w:eastAsia="仿宋"/>
          <w:highlight w:val="none"/>
        </w:rPr>
        <w:t>4</w:t>
      </w:r>
      <w:r>
        <w:rPr>
          <w:rFonts w:eastAsia="仿宋"/>
          <w:highlight w:val="none"/>
        </w:rPr>
        <w:t xml:space="preserve">.5 </w:t>
      </w:r>
      <w:r>
        <w:rPr>
          <w:rFonts w:hint="eastAsia" w:eastAsia="仿宋"/>
          <w:highlight w:val="none"/>
        </w:rPr>
        <w:t>出现合同约定的合同价款调减事项后的</w:t>
      </w:r>
      <w:r>
        <w:rPr>
          <w:rFonts w:hint="eastAsia" w:eastAsia="仿宋"/>
          <w:highlight w:val="none"/>
          <w:u w:val="single"/>
        </w:rPr>
        <w:t>7</w:t>
      </w:r>
      <w:r>
        <w:rPr>
          <w:rFonts w:hint="eastAsia" w:eastAsia="仿宋"/>
          <w:highlight w:val="none"/>
        </w:rPr>
        <w:t>个工作日内，甲方应向乙方提交合同价款调减报告并说明理由。乙方在收到甲方合同价款调减报告及相关资料之日起</w:t>
      </w:r>
      <w:r>
        <w:rPr>
          <w:rFonts w:hint="eastAsia" w:eastAsia="仿宋"/>
          <w:highlight w:val="none"/>
          <w:u w:val="single"/>
          <w:lang w:val="en-US" w:eastAsia="zh-CN"/>
        </w:rPr>
        <w:t>7</w:t>
      </w:r>
      <w:r>
        <w:rPr>
          <w:rFonts w:hint="eastAsia" w:eastAsia="仿宋"/>
          <w:highlight w:val="none"/>
        </w:rPr>
        <w:t>个工作日内不予确认也未提出不同意见的，视为乙方认可甲方的价款调减请求。</w:t>
      </w:r>
    </w:p>
    <w:p w14:paraId="1A2254B5">
      <w:pPr>
        <w:spacing w:line="360" w:lineRule="auto"/>
        <w:rPr>
          <w:rFonts w:hint="eastAsia" w:eastAsia="仿宋"/>
          <w:highlight w:val="none"/>
        </w:rPr>
      </w:pPr>
      <w:r>
        <w:rPr>
          <w:rFonts w:hint="eastAsia" w:eastAsia="仿宋"/>
          <w:highlight w:val="none"/>
        </w:rPr>
        <w:t>4</w:t>
      </w:r>
      <w:r>
        <w:rPr>
          <w:rFonts w:eastAsia="仿宋"/>
          <w:highlight w:val="none"/>
        </w:rPr>
        <w:t xml:space="preserve">.6 </w:t>
      </w:r>
      <w:r>
        <w:rPr>
          <w:rFonts w:hint="eastAsia" w:eastAsia="仿宋"/>
          <w:highlight w:val="none"/>
        </w:rPr>
        <w:t>经过甲乙双方确认调整的合同价款，作为追加（减）合同价款，与工程进度款或结算款同期支付。</w:t>
      </w:r>
    </w:p>
    <w:p w14:paraId="75330161">
      <w:pPr>
        <w:spacing w:line="360" w:lineRule="auto"/>
        <w:rPr>
          <w:rFonts w:eastAsia="仿宋"/>
          <w:highlight w:val="none"/>
        </w:rPr>
      </w:pPr>
      <w:r>
        <w:rPr>
          <w:rFonts w:hint="eastAsia" w:eastAsia="仿宋"/>
          <w:highlight w:val="none"/>
          <w:lang w:val="en-US" w:eastAsia="zh-CN"/>
        </w:rPr>
        <w:t>4.7 本合同款项应按</w:t>
      </w:r>
      <w:r>
        <w:rPr>
          <w:rFonts w:hint="eastAsia" w:eastAsia="仿宋"/>
          <w:highlight w:val="none"/>
        </w:rPr>
        <w:t>下列第</w:t>
      </w:r>
      <w:r>
        <w:rPr>
          <w:rFonts w:hint="eastAsia" w:eastAsia="仿宋"/>
          <w:highlight w:val="none"/>
          <w:u w:val="single"/>
          <w:lang w:val="en-US" w:eastAsia="zh-CN"/>
        </w:rPr>
        <w:t>1</w:t>
      </w:r>
      <w:r>
        <w:rPr>
          <w:rFonts w:hint="eastAsia" w:eastAsia="仿宋"/>
          <w:highlight w:val="none"/>
        </w:rPr>
        <w:t>种方式</w:t>
      </w:r>
      <w:r>
        <w:rPr>
          <w:rFonts w:hint="eastAsia" w:eastAsia="仿宋"/>
          <w:highlight w:val="none"/>
          <w:lang w:val="en-US" w:eastAsia="zh-CN"/>
        </w:rPr>
        <w:t>支付</w:t>
      </w:r>
      <w:r>
        <w:rPr>
          <w:rFonts w:hint="eastAsia" w:eastAsia="仿宋"/>
          <w:highlight w:val="none"/>
        </w:rPr>
        <w:t>：</w:t>
      </w:r>
    </w:p>
    <w:p w14:paraId="4CB7E36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eastAsia="仿宋"/>
          <w:color w:val="auto"/>
          <w:highlight w:val="none"/>
        </w:rPr>
        <w:t>1</w:t>
      </w:r>
      <w:r>
        <w:rPr>
          <w:rFonts w:hint="eastAsia" w:eastAsia="仿宋"/>
          <w:color w:val="auto"/>
          <w:highlight w:val="none"/>
        </w:rPr>
        <w:t>.一次性付款</w:t>
      </w:r>
    </w:p>
    <w:p w14:paraId="0699C98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eastAsia="仿宋"/>
          <w:highlight w:val="none"/>
          <w:lang w:val="en-US" w:eastAsia="zh-CN"/>
        </w:rPr>
      </w:pPr>
      <w:r>
        <w:rPr>
          <w:rFonts w:hint="eastAsia" w:eastAsia="仿宋"/>
          <w:highlight w:val="none"/>
          <w:lang w:val="en-US" w:eastAsia="zh-CN"/>
        </w:rPr>
        <w:t>工程完工及验收通过后，乙方提交付款申请及工作量清单，甲方审核后并按合同约定扣除索赔款项、违约金等，于30天内向乙方一次性支付结算款的97%，剩余3%待1年质保期满后一次性支付。</w:t>
      </w:r>
    </w:p>
    <w:p w14:paraId="1C42198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eastAsia="仿宋"/>
          <w:highlight w:val="none"/>
        </w:rPr>
        <w:t>2.</w:t>
      </w:r>
      <w:r>
        <w:rPr>
          <w:rFonts w:hint="eastAsia" w:eastAsia="仿宋"/>
          <w:highlight w:val="none"/>
        </w:rPr>
        <w:t>分阶段付款：</w:t>
      </w:r>
    </w:p>
    <w:p w14:paraId="22238C1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（1）首期付款：【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438C403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（2）第二期付款：【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2E31D8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（3）末期付款：在本</w:t>
      </w:r>
      <w:r>
        <w:rPr>
          <w:rFonts w:eastAsia="仿宋"/>
          <w:highlight w:val="none"/>
        </w:rPr>
        <w:t>项目</w:t>
      </w:r>
      <w:r>
        <w:rPr>
          <w:rFonts w:hint="eastAsia" w:eastAsia="仿宋"/>
          <w:highlight w:val="none"/>
        </w:rPr>
        <w:t>竣工验收通过后（如果存在项目变更，须完成结算审计）</w:t>
      </w:r>
      <w:r>
        <w:rPr>
          <w:rFonts w:eastAsia="仿宋"/>
          <w:highlight w:val="none"/>
        </w:rPr>
        <w:t>，甲方</w:t>
      </w:r>
      <w:r>
        <w:rPr>
          <w:rFonts w:hint="eastAsia" w:eastAsia="仿宋"/>
          <w:highlight w:val="none"/>
        </w:rPr>
        <w:t>收到</w:t>
      </w:r>
      <w:r>
        <w:rPr>
          <w:rFonts w:eastAsia="仿宋"/>
          <w:highlight w:val="none"/>
        </w:rPr>
        <w:t>乙方提供的有效</w:t>
      </w:r>
      <w:r>
        <w:rPr>
          <w:rFonts w:hint="eastAsia" w:eastAsia="仿宋"/>
          <w:highlight w:val="none"/>
        </w:rPr>
        <w:t>增值税专用发票后三十日内，甲方向乙方</w:t>
      </w:r>
      <w:r>
        <w:rPr>
          <w:rFonts w:eastAsia="仿宋"/>
          <w:highlight w:val="none"/>
        </w:rPr>
        <w:t>支付至结算价的</w:t>
      </w:r>
      <w:r>
        <w:rPr>
          <w:rFonts w:hint="eastAsia" w:eastAsia="仿宋"/>
          <w:highlight w:val="none"/>
          <w:u w:val="single"/>
        </w:rPr>
        <w:t>97</w:t>
      </w:r>
      <w:r>
        <w:rPr>
          <w:rFonts w:eastAsia="仿宋"/>
          <w:highlight w:val="none"/>
        </w:rPr>
        <w:t>%</w:t>
      </w:r>
      <w:r>
        <w:rPr>
          <w:rFonts w:hint="eastAsia" w:eastAsia="仿宋"/>
          <w:highlight w:val="none"/>
        </w:rPr>
        <w:t>；</w:t>
      </w:r>
    </w:p>
    <w:p w14:paraId="4AE5BB5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（4）</w:t>
      </w:r>
      <w:r>
        <w:rPr>
          <w:rFonts w:eastAsia="仿宋"/>
          <w:highlight w:val="none"/>
        </w:rPr>
        <w:t>余下</w:t>
      </w:r>
      <w:r>
        <w:rPr>
          <w:rFonts w:hint="eastAsia" w:eastAsia="仿宋"/>
          <w:highlight w:val="none"/>
          <w:u w:val="single"/>
        </w:rPr>
        <w:t>3</w:t>
      </w:r>
      <w:r>
        <w:rPr>
          <w:rFonts w:eastAsia="仿宋"/>
          <w:highlight w:val="none"/>
        </w:rPr>
        <w:t>%</w:t>
      </w:r>
      <w:r>
        <w:rPr>
          <w:rFonts w:hint="eastAsia" w:eastAsia="仿宋"/>
          <w:highlight w:val="none"/>
        </w:rPr>
        <w:t>的</w:t>
      </w:r>
      <w:r>
        <w:rPr>
          <w:rFonts w:eastAsia="仿宋"/>
          <w:highlight w:val="none"/>
        </w:rPr>
        <w:t>合同</w:t>
      </w:r>
      <w:r>
        <w:rPr>
          <w:rFonts w:hint="eastAsia" w:eastAsia="仿宋"/>
          <w:highlight w:val="none"/>
        </w:rPr>
        <w:t>价款</w:t>
      </w:r>
      <w:r>
        <w:rPr>
          <w:rFonts w:eastAsia="仿宋"/>
          <w:highlight w:val="none"/>
        </w:rPr>
        <w:t>作为质保金</w:t>
      </w:r>
      <w:r>
        <w:rPr>
          <w:rFonts w:hint="eastAsia" w:eastAsia="仿宋"/>
          <w:highlight w:val="none"/>
        </w:rPr>
        <w:t>，</w:t>
      </w:r>
      <w:r>
        <w:rPr>
          <w:rFonts w:eastAsia="仿宋"/>
          <w:highlight w:val="none"/>
        </w:rPr>
        <w:t>在</w:t>
      </w:r>
      <w:r>
        <w:rPr>
          <w:rFonts w:hint="eastAsia" w:eastAsia="仿宋"/>
          <w:highlight w:val="none"/>
        </w:rPr>
        <w:t>本</w:t>
      </w:r>
      <w:r>
        <w:rPr>
          <w:rFonts w:eastAsia="仿宋"/>
          <w:highlight w:val="none"/>
        </w:rPr>
        <w:t>项目</w:t>
      </w:r>
      <w:r>
        <w:rPr>
          <w:rFonts w:hint="eastAsia" w:eastAsia="仿宋"/>
          <w:highlight w:val="none"/>
        </w:rPr>
        <w:t>质保期结束并经</w:t>
      </w:r>
      <w:r>
        <w:rPr>
          <w:rFonts w:eastAsia="仿宋"/>
          <w:highlight w:val="none"/>
        </w:rPr>
        <w:t>验收</w:t>
      </w:r>
      <w:r>
        <w:rPr>
          <w:rFonts w:hint="eastAsia" w:eastAsia="仿宋"/>
          <w:highlight w:val="none"/>
        </w:rPr>
        <w:t>合格后三十日内，</w:t>
      </w:r>
      <w:r>
        <w:rPr>
          <w:rFonts w:eastAsia="仿宋"/>
          <w:highlight w:val="none"/>
        </w:rPr>
        <w:t>乙方提供（甲方</w:t>
      </w:r>
      <w:r>
        <w:rPr>
          <w:rFonts w:hint="eastAsia" w:eastAsia="仿宋"/>
          <w:highlight w:val="none"/>
        </w:rPr>
        <w:t>出具</w:t>
      </w:r>
      <w:r>
        <w:rPr>
          <w:rFonts w:eastAsia="仿宋"/>
          <w:highlight w:val="none"/>
        </w:rPr>
        <w:t>的）验收证明文件，由甲方支付给乙方。</w:t>
      </w:r>
    </w:p>
    <w:p w14:paraId="29642C90">
      <w:pPr>
        <w:spacing w:line="360" w:lineRule="auto"/>
        <w:rPr>
          <w:rFonts w:hint="eastAsia" w:eastAsia="仿宋"/>
          <w:highlight w:val="none"/>
          <w:lang w:val="en-US" w:eastAsia="zh-CN"/>
        </w:rPr>
      </w:pPr>
      <w:r>
        <w:rPr>
          <w:rFonts w:hint="eastAsia" w:eastAsia="仿宋"/>
          <w:highlight w:val="none"/>
          <w:lang w:val="en-US" w:eastAsia="zh-CN"/>
        </w:rPr>
        <w:t>4.8 合同价款以</w:t>
      </w:r>
      <w:r>
        <w:rPr>
          <w:rFonts w:hint="eastAsia" w:eastAsia="仿宋"/>
          <w:highlight w:val="none"/>
          <w:u w:val="single"/>
          <w:lang w:val="en-US" w:eastAsia="zh-CN"/>
        </w:rPr>
        <w:t xml:space="preserve"> 银行转账 </w:t>
      </w:r>
      <w:r>
        <w:rPr>
          <w:rFonts w:hint="eastAsia" w:eastAsia="仿宋"/>
          <w:highlight w:val="none"/>
          <w:lang w:val="en-US" w:eastAsia="zh-CN"/>
        </w:rPr>
        <w:t>的方式支付。</w:t>
      </w:r>
    </w:p>
    <w:p w14:paraId="4018C542">
      <w:pPr>
        <w:spacing w:line="360" w:lineRule="auto"/>
        <w:rPr>
          <w:rFonts w:hint="eastAsia" w:eastAsia="仿宋"/>
          <w:highlight w:val="none"/>
          <w:lang w:val="en-US" w:eastAsia="zh-CN"/>
        </w:rPr>
      </w:pPr>
      <w:r>
        <w:rPr>
          <w:rFonts w:hint="eastAsia" w:eastAsia="仿宋"/>
          <w:highlight w:val="none"/>
          <w:lang w:val="en-US" w:eastAsia="zh-CN"/>
        </w:rPr>
        <w:t>乙方银行账户信息确认如下：</w:t>
      </w:r>
    </w:p>
    <w:p w14:paraId="65C45F78">
      <w:pPr>
        <w:spacing w:line="360" w:lineRule="auto"/>
        <w:rPr>
          <w:rFonts w:hint="eastAsia" w:eastAsia="仿宋"/>
          <w:highlight w:val="none"/>
          <w:u w:val="none"/>
          <w:lang w:val="en-US" w:eastAsia="zh-CN"/>
        </w:rPr>
      </w:pPr>
      <w:r>
        <w:rPr>
          <w:rFonts w:hint="eastAsia" w:eastAsia="仿宋"/>
          <w:highlight w:val="none"/>
          <w:lang w:val="en-US" w:eastAsia="zh-CN"/>
        </w:rPr>
        <w:t>账户名：_____________________</w:t>
      </w:r>
      <w:r>
        <w:rPr>
          <w:rFonts w:hint="eastAsia" w:eastAsia="仿宋"/>
          <w:highlight w:val="none"/>
          <w:u w:val="none"/>
          <w:lang w:val="en-US" w:eastAsia="zh-CN"/>
        </w:rPr>
        <w:t xml:space="preserve">  </w:t>
      </w:r>
    </w:p>
    <w:p w14:paraId="59C5C8A9">
      <w:pPr>
        <w:spacing w:line="360" w:lineRule="auto"/>
        <w:rPr>
          <w:rFonts w:hint="default" w:eastAsia="仿宋"/>
          <w:highlight w:val="none"/>
          <w:lang w:val="en-US" w:eastAsia="zh-CN"/>
        </w:rPr>
      </w:pPr>
      <w:r>
        <w:rPr>
          <w:rFonts w:hint="eastAsia" w:eastAsia="仿宋"/>
          <w:highlight w:val="none"/>
          <w:lang w:val="en-US" w:eastAsia="zh-CN"/>
        </w:rPr>
        <w:t xml:space="preserve">开户行：_____________________                                   </w:t>
      </w:r>
    </w:p>
    <w:p w14:paraId="68B4FBE4">
      <w:pPr>
        <w:spacing w:line="360" w:lineRule="auto"/>
        <w:rPr>
          <w:rFonts w:hint="default" w:eastAsia="仿宋"/>
          <w:highlight w:val="none"/>
          <w:lang w:val="en-US" w:eastAsia="zh-CN"/>
        </w:rPr>
      </w:pPr>
      <w:r>
        <w:rPr>
          <w:rFonts w:hint="eastAsia" w:eastAsia="仿宋"/>
          <w:highlight w:val="none"/>
          <w:lang w:val="en-US" w:eastAsia="zh-CN"/>
        </w:rPr>
        <w:t xml:space="preserve">账号： ______________________                                         </w:t>
      </w:r>
    </w:p>
    <w:p w14:paraId="293CCCD3">
      <w:pPr>
        <w:spacing w:line="360" w:lineRule="auto"/>
        <w:rPr>
          <w:rFonts w:hint="eastAsia" w:eastAsia="仿宋"/>
          <w:highlight w:val="none"/>
          <w:lang w:val="en-US" w:eastAsia="zh-CN"/>
        </w:rPr>
      </w:pPr>
      <w:r>
        <w:rPr>
          <w:rFonts w:hint="eastAsia" w:eastAsia="仿宋"/>
          <w:highlight w:val="none"/>
          <w:lang w:val="en-US" w:eastAsia="zh-CN"/>
        </w:rPr>
        <w:t>甲方开票信息确认如下：</w:t>
      </w:r>
    </w:p>
    <w:p w14:paraId="14A355E7">
      <w:pPr>
        <w:spacing w:line="360" w:lineRule="auto"/>
        <w:rPr>
          <w:rFonts w:hint="eastAsia" w:eastAsia="仿宋"/>
          <w:highlight w:val="none"/>
          <w:lang w:val="en-US" w:eastAsia="zh-CN"/>
        </w:rPr>
      </w:pPr>
      <w:r>
        <w:rPr>
          <w:rFonts w:hint="eastAsia" w:eastAsia="仿宋"/>
          <w:highlight w:val="none"/>
          <w:lang w:val="en-US" w:eastAsia="zh-CN"/>
        </w:rPr>
        <w:t xml:space="preserve">单位名称：                                    </w:t>
      </w:r>
    </w:p>
    <w:p w14:paraId="7E7ACC75">
      <w:pPr>
        <w:spacing w:line="360" w:lineRule="auto"/>
        <w:rPr>
          <w:rFonts w:hint="eastAsia" w:eastAsia="仿宋"/>
          <w:highlight w:val="none"/>
          <w:lang w:val="en-US" w:eastAsia="zh-CN"/>
        </w:rPr>
      </w:pPr>
      <w:r>
        <w:rPr>
          <w:rFonts w:hint="eastAsia" w:eastAsia="仿宋"/>
          <w:highlight w:val="none"/>
          <w:lang w:val="en-US" w:eastAsia="zh-CN"/>
        </w:rPr>
        <w:t xml:space="preserve">纳税人识别号：                             </w:t>
      </w:r>
    </w:p>
    <w:p w14:paraId="1FCF13D4">
      <w:pPr>
        <w:spacing w:line="360" w:lineRule="auto"/>
        <w:rPr>
          <w:rFonts w:hint="eastAsia" w:eastAsia="仿宋"/>
          <w:highlight w:val="none"/>
          <w:lang w:val="en-US" w:eastAsia="zh-CN"/>
        </w:rPr>
      </w:pPr>
      <w:r>
        <w:rPr>
          <w:rFonts w:hint="eastAsia" w:eastAsia="仿宋"/>
          <w:highlight w:val="none"/>
          <w:lang w:val="en-US" w:eastAsia="zh-CN"/>
        </w:rPr>
        <w:t xml:space="preserve">地址、电话：                                  </w:t>
      </w:r>
    </w:p>
    <w:p w14:paraId="6F8E176E">
      <w:pPr>
        <w:spacing w:line="360" w:lineRule="auto"/>
        <w:rPr>
          <w:rFonts w:hint="eastAsia" w:eastAsia="仿宋"/>
          <w:highlight w:val="none"/>
          <w:lang w:val="en-US" w:eastAsia="zh-CN"/>
        </w:rPr>
      </w:pPr>
      <w:r>
        <w:rPr>
          <w:rFonts w:hint="eastAsia" w:eastAsia="仿宋"/>
          <w:highlight w:val="none"/>
          <w:lang w:val="en-US" w:eastAsia="zh-CN"/>
        </w:rPr>
        <w:t>开户行、账号：</w:t>
      </w:r>
    </w:p>
    <w:p w14:paraId="79E5541A">
      <w:pPr>
        <w:spacing w:line="360" w:lineRule="auto"/>
        <w:rPr>
          <w:rFonts w:eastAsia="仿宋"/>
          <w:highlight w:val="none"/>
        </w:rPr>
      </w:pPr>
      <w:r>
        <w:rPr>
          <w:rFonts w:hint="eastAsia" w:eastAsia="仿宋"/>
          <w:highlight w:val="none"/>
          <w:lang w:val="en-US" w:eastAsia="zh-CN"/>
        </w:rPr>
        <w:t xml:space="preserve">4.9 </w:t>
      </w:r>
      <w:r>
        <w:rPr>
          <w:rFonts w:hint="eastAsia" w:eastAsia="仿宋"/>
          <w:highlight w:val="none"/>
        </w:rPr>
        <w:t>乙方应支付的违约金、损失赔偿金等均可由甲方直接从未付的合同价款、履约保证金或质保金中扣除。如不足以赔付，甲方有权向乙方另行主张赔偿。</w:t>
      </w:r>
    </w:p>
    <w:p w14:paraId="083F2074">
      <w:pPr>
        <w:spacing w:line="360" w:lineRule="auto"/>
        <w:rPr>
          <w:rFonts w:hint="eastAsia" w:eastAsia="仿宋"/>
          <w:highlight w:val="none"/>
        </w:rPr>
      </w:pPr>
      <w:r>
        <w:rPr>
          <w:rFonts w:hint="eastAsia" w:eastAsia="仿宋"/>
          <w:highlight w:val="none"/>
          <w:lang w:val="en-US" w:eastAsia="zh-CN"/>
        </w:rPr>
        <w:t xml:space="preserve">4.10 </w:t>
      </w:r>
      <w:r>
        <w:rPr>
          <w:rFonts w:hint="eastAsia" w:eastAsia="仿宋"/>
          <w:highlight w:val="none"/>
        </w:rPr>
        <w:t>本合同约定的为含税合同价款。在合同履行期间，如遇国家的税率调整或其他政策影响税率的，税率随变化而变化，则合同价款及综合单价金额不做调整。</w:t>
      </w:r>
    </w:p>
    <w:p w14:paraId="51E95700">
      <w:pPr>
        <w:spacing w:line="360" w:lineRule="auto"/>
        <w:rPr>
          <w:rFonts w:eastAsia="仿宋"/>
          <w:highlight w:val="none"/>
        </w:rPr>
      </w:pPr>
      <w:r>
        <w:rPr>
          <w:rFonts w:hint="eastAsia" w:eastAsia="仿宋"/>
          <w:highlight w:val="none"/>
          <w:lang w:val="en-US" w:eastAsia="zh-CN"/>
        </w:rPr>
        <w:t xml:space="preserve">4.11 </w:t>
      </w:r>
      <w:r>
        <w:rPr>
          <w:rFonts w:hint="eastAsia" w:eastAsia="仿宋"/>
          <w:highlight w:val="none"/>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6DE4F9A">
      <w:pPr>
        <w:spacing w:line="360" w:lineRule="auto"/>
        <w:rPr>
          <w:rFonts w:eastAsia="仿宋"/>
          <w:b/>
          <w:highlight w:val="none"/>
        </w:rPr>
      </w:pPr>
      <w:r>
        <w:rPr>
          <w:rFonts w:hint="eastAsia" w:eastAsia="仿宋"/>
          <w:b/>
          <w:highlight w:val="none"/>
        </w:rPr>
        <w:t>五、甲方权利义务</w:t>
      </w:r>
    </w:p>
    <w:p w14:paraId="323C04E8">
      <w:pPr>
        <w:spacing w:line="360" w:lineRule="auto"/>
        <w:rPr>
          <w:rFonts w:eastAsia="仿宋"/>
          <w:highlight w:val="none"/>
        </w:rPr>
      </w:pPr>
      <w:r>
        <w:rPr>
          <w:rFonts w:hint="eastAsia" w:eastAsia="仿宋"/>
          <w:highlight w:val="none"/>
        </w:rPr>
        <w:t>5</w:t>
      </w:r>
      <w:r>
        <w:rPr>
          <w:rFonts w:eastAsia="仿宋"/>
          <w:highlight w:val="none"/>
        </w:rPr>
        <w:t>.1</w:t>
      </w:r>
      <w:r>
        <w:rPr>
          <w:rFonts w:hint="eastAsia" w:eastAsia="仿宋"/>
          <w:highlight w:val="none"/>
          <w:lang w:val="en-US" w:eastAsia="zh-CN"/>
        </w:rPr>
        <w:t xml:space="preserve"> </w:t>
      </w:r>
      <w:r>
        <w:rPr>
          <w:rFonts w:hint="eastAsia" w:eastAsia="仿宋"/>
          <w:highlight w:val="none"/>
        </w:rPr>
        <w:t>负责按照本合同约定向乙方支付相应的费用。</w:t>
      </w:r>
    </w:p>
    <w:p w14:paraId="2B7F3C97">
      <w:pPr>
        <w:spacing w:line="360" w:lineRule="auto"/>
        <w:rPr>
          <w:rFonts w:eastAsia="仿宋"/>
          <w:highlight w:val="none"/>
        </w:rPr>
      </w:pPr>
      <w:r>
        <w:rPr>
          <w:rFonts w:hint="eastAsia" w:eastAsia="仿宋"/>
          <w:highlight w:val="none"/>
        </w:rPr>
        <w:t>5</w:t>
      </w:r>
      <w:r>
        <w:rPr>
          <w:rFonts w:eastAsia="仿宋"/>
          <w:highlight w:val="none"/>
        </w:rPr>
        <w:t>.2</w:t>
      </w:r>
      <w:r>
        <w:rPr>
          <w:rFonts w:hint="eastAsia" w:eastAsia="仿宋"/>
          <w:highlight w:val="none"/>
          <w:lang w:val="en-US" w:eastAsia="zh-CN"/>
        </w:rPr>
        <w:t xml:space="preserve"> </w:t>
      </w:r>
      <w:r>
        <w:rPr>
          <w:rFonts w:hint="eastAsia" w:eastAsia="仿宋"/>
          <w:highlight w:val="none"/>
        </w:rPr>
        <w:t>负责向乙方提供本项目相关的图纸和资料，并审批乙方提供的施工方案和计划。</w:t>
      </w:r>
    </w:p>
    <w:p w14:paraId="5FA7BC9C">
      <w:pPr>
        <w:spacing w:line="360" w:lineRule="auto"/>
        <w:rPr>
          <w:rFonts w:eastAsia="仿宋"/>
          <w:highlight w:val="none"/>
        </w:rPr>
      </w:pPr>
      <w:r>
        <w:rPr>
          <w:rFonts w:hint="eastAsia" w:eastAsia="仿宋"/>
          <w:highlight w:val="none"/>
        </w:rPr>
        <w:t>5</w:t>
      </w:r>
      <w:r>
        <w:rPr>
          <w:rFonts w:eastAsia="仿宋"/>
          <w:highlight w:val="none"/>
        </w:rPr>
        <w:t xml:space="preserve">.3 </w:t>
      </w:r>
      <w:r>
        <w:rPr>
          <w:rFonts w:hint="eastAsia" w:eastAsia="仿宋"/>
          <w:highlight w:val="none"/>
        </w:rPr>
        <w:t>对乙方维修中的项目的施工质量、工程进度、安全生产、文明、环保施工等有协调、监督、监察的权利。</w:t>
      </w:r>
    </w:p>
    <w:p w14:paraId="19E9C4D1">
      <w:pPr>
        <w:spacing w:line="360" w:lineRule="auto"/>
        <w:rPr>
          <w:rFonts w:eastAsia="仿宋"/>
          <w:highlight w:val="none"/>
        </w:rPr>
      </w:pPr>
      <w:r>
        <w:rPr>
          <w:rFonts w:hint="eastAsia" w:eastAsia="仿宋"/>
          <w:highlight w:val="none"/>
        </w:rPr>
        <w:t>5.</w:t>
      </w:r>
      <w:r>
        <w:rPr>
          <w:rFonts w:eastAsia="仿宋"/>
          <w:highlight w:val="none"/>
        </w:rPr>
        <w:t>4</w:t>
      </w:r>
      <w:r>
        <w:rPr>
          <w:rFonts w:hint="eastAsia" w:eastAsia="仿宋"/>
          <w:highlight w:val="none"/>
          <w:lang w:val="en-US" w:eastAsia="zh-CN"/>
        </w:rPr>
        <w:t xml:space="preserve"> </w:t>
      </w:r>
      <w:r>
        <w:rPr>
          <w:rFonts w:hint="eastAsia" w:eastAsia="仿宋"/>
          <w:highlight w:val="none"/>
        </w:rPr>
        <w:t>负责本项目的完工验收，并办理项目结算。</w:t>
      </w:r>
    </w:p>
    <w:p w14:paraId="1CE8B7FE">
      <w:pPr>
        <w:spacing w:line="360" w:lineRule="auto"/>
        <w:rPr>
          <w:rFonts w:eastAsia="仿宋"/>
          <w:b/>
          <w:highlight w:val="none"/>
        </w:rPr>
      </w:pPr>
      <w:r>
        <w:rPr>
          <w:rFonts w:hint="eastAsia" w:eastAsia="仿宋"/>
          <w:b/>
          <w:highlight w:val="none"/>
        </w:rPr>
        <w:t>六、乙方权利义务</w:t>
      </w:r>
    </w:p>
    <w:p w14:paraId="4050084B">
      <w:pPr>
        <w:spacing w:line="360" w:lineRule="auto"/>
        <w:rPr>
          <w:rFonts w:eastAsia="仿宋"/>
          <w:highlight w:val="none"/>
        </w:rPr>
      </w:pPr>
      <w:r>
        <w:rPr>
          <w:rFonts w:hint="eastAsia" w:eastAsia="仿宋"/>
          <w:highlight w:val="none"/>
        </w:rPr>
        <w:t>6</w:t>
      </w:r>
      <w:r>
        <w:rPr>
          <w:rFonts w:eastAsia="仿宋"/>
          <w:highlight w:val="none"/>
        </w:rPr>
        <w:t>.1</w:t>
      </w:r>
      <w:r>
        <w:rPr>
          <w:rFonts w:hint="eastAsia" w:eastAsia="仿宋"/>
          <w:highlight w:val="none"/>
          <w:lang w:val="en-US" w:eastAsia="zh-CN"/>
        </w:rPr>
        <w:t xml:space="preserve"> </w:t>
      </w:r>
      <w:r>
        <w:rPr>
          <w:rFonts w:hint="eastAsia" w:eastAsia="仿宋"/>
          <w:highlight w:val="none"/>
        </w:rPr>
        <w:t>乙方应具有完成本项目的施工资质，在施工前应向甲方提供符合要求的施工计划、施工方案以及施工设计图纸等材料。</w:t>
      </w:r>
    </w:p>
    <w:p w14:paraId="2E8A6ADE">
      <w:pPr>
        <w:spacing w:line="360" w:lineRule="auto"/>
        <w:rPr>
          <w:rFonts w:eastAsia="仿宋"/>
          <w:highlight w:val="none"/>
        </w:rPr>
      </w:pPr>
      <w:r>
        <w:rPr>
          <w:rFonts w:hint="eastAsia" w:eastAsia="仿宋"/>
          <w:highlight w:val="none"/>
        </w:rPr>
        <w:t>6</w:t>
      </w:r>
      <w:r>
        <w:rPr>
          <w:rFonts w:eastAsia="仿宋"/>
          <w:highlight w:val="none"/>
        </w:rPr>
        <w:t>.2</w:t>
      </w:r>
      <w:r>
        <w:rPr>
          <w:rFonts w:hint="eastAsia" w:eastAsia="仿宋"/>
          <w:highlight w:val="none"/>
          <w:lang w:val="en-US" w:eastAsia="zh-CN"/>
        </w:rPr>
        <w:t xml:space="preserve"> </w:t>
      </w:r>
      <w:r>
        <w:rPr>
          <w:rFonts w:hint="eastAsia" w:eastAsia="仿宋"/>
          <w:highlight w:val="none"/>
        </w:rPr>
        <w:t>乙方指派项目经理负责组织施工，保质、保量、按期完成施工任务。</w:t>
      </w:r>
    </w:p>
    <w:p w14:paraId="5B9C4442">
      <w:pPr>
        <w:spacing w:line="360" w:lineRule="auto"/>
        <w:rPr>
          <w:rFonts w:eastAsia="仿宋"/>
          <w:highlight w:val="none"/>
        </w:rPr>
      </w:pPr>
      <w:r>
        <w:rPr>
          <w:rFonts w:hint="eastAsia" w:eastAsia="仿宋"/>
          <w:highlight w:val="none"/>
        </w:rPr>
        <w:t>6</w:t>
      </w:r>
      <w:r>
        <w:rPr>
          <w:rFonts w:eastAsia="仿宋"/>
          <w:highlight w:val="none"/>
        </w:rPr>
        <w:t>.3</w:t>
      </w:r>
      <w:r>
        <w:rPr>
          <w:rFonts w:hint="eastAsia" w:eastAsia="仿宋"/>
          <w:highlight w:val="none"/>
          <w:lang w:val="en-US" w:eastAsia="zh-CN"/>
        </w:rPr>
        <w:t xml:space="preserve"> </w:t>
      </w:r>
      <w:r>
        <w:rPr>
          <w:rFonts w:hint="eastAsia" w:eastAsia="仿宋"/>
          <w:highlight w:val="none"/>
        </w:rPr>
        <w:t>在项目实施前向甲方提交一份现场主要施工人员和施工设备的清单，严格执行施工规范、安全操作规程，遵守防火安全、环境保护等规定，做好各项质量检查记录。</w:t>
      </w:r>
    </w:p>
    <w:p w14:paraId="78AACF17">
      <w:pPr>
        <w:spacing w:line="360" w:lineRule="auto"/>
        <w:rPr>
          <w:rFonts w:eastAsia="仿宋"/>
          <w:highlight w:val="none"/>
        </w:rPr>
      </w:pPr>
      <w:r>
        <w:rPr>
          <w:rFonts w:hint="eastAsia" w:eastAsia="仿宋"/>
          <w:highlight w:val="none"/>
        </w:rPr>
        <w:t>6</w:t>
      </w:r>
      <w:r>
        <w:rPr>
          <w:rFonts w:eastAsia="仿宋"/>
          <w:highlight w:val="none"/>
        </w:rPr>
        <w:t>.4</w:t>
      </w:r>
      <w:r>
        <w:rPr>
          <w:rFonts w:hint="eastAsia" w:eastAsia="仿宋"/>
          <w:highlight w:val="none"/>
          <w:lang w:val="en-US" w:eastAsia="zh-CN"/>
        </w:rPr>
        <w:t xml:space="preserve"> </w:t>
      </w:r>
      <w:r>
        <w:rPr>
          <w:rFonts w:hint="eastAsia" w:eastAsia="仿宋"/>
          <w:highlight w:val="none"/>
        </w:rPr>
        <w:t>本项目实施过程中，应接受甲方的检查、检验，并为检查、检验提供便利条件。</w:t>
      </w:r>
    </w:p>
    <w:p w14:paraId="279B723A">
      <w:pPr>
        <w:spacing w:line="360" w:lineRule="auto"/>
        <w:rPr>
          <w:rFonts w:eastAsia="仿宋"/>
          <w:highlight w:val="none"/>
        </w:rPr>
      </w:pPr>
      <w:r>
        <w:rPr>
          <w:rFonts w:hint="eastAsia" w:eastAsia="仿宋"/>
          <w:highlight w:val="none"/>
        </w:rPr>
        <w:t>6</w:t>
      </w:r>
      <w:r>
        <w:rPr>
          <w:rFonts w:eastAsia="仿宋"/>
          <w:highlight w:val="none"/>
        </w:rPr>
        <w:t>.5</w:t>
      </w:r>
      <w:r>
        <w:rPr>
          <w:rFonts w:hint="eastAsia" w:eastAsia="仿宋"/>
          <w:highlight w:val="none"/>
          <w:lang w:val="en-US" w:eastAsia="zh-CN"/>
        </w:rPr>
        <w:t xml:space="preserve"> </w:t>
      </w:r>
      <w:r>
        <w:rPr>
          <w:rFonts w:hint="eastAsia" w:eastAsia="仿宋"/>
          <w:highlight w:val="none"/>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09B954DC">
      <w:pPr>
        <w:spacing w:line="360" w:lineRule="auto"/>
        <w:rPr>
          <w:rFonts w:eastAsia="仿宋"/>
          <w:highlight w:val="none"/>
        </w:rPr>
      </w:pPr>
      <w:r>
        <w:rPr>
          <w:rFonts w:hint="eastAsia" w:eastAsia="仿宋"/>
          <w:highlight w:val="none"/>
        </w:rPr>
        <w:t>6</w:t>
      </w:r>
      <w:r>
        <w:rPr>
          <w:rFonts w:eastAsia="仿宋"/>
          <w:highlight w:val="none"/>
        </w:rPr>
        <w:t>.6</w:t>
      </w:r>
      <w:r>
        <w:rPr>
          <w:rFonts w:hint="eastAsia" w:eastAsia="仿宋"/>
          <w:highlight w:val="none"/>
          <w:lang w:val="en-US" w:eastAsia="zh-CN"/>
        </w:rPr>
        <w:t xml:space="preserve"> </w:t>
      </w:r>
      <w:r>
        <w:rPr>
          <w:rFonts w:hint="eastAsia" w:eastAsia="仿宋"/>
          <w:highlight w:val="none"/>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D633E09">
      <w:pPr>
        <w:spacing w:line="360" w:lineRule="auto"/>
        <w:rPr>
          <w:rFonts w:eastAsia="仿宋"/>
          <w:highlight w:val="none"/>
        </w:rPr>
      </w:pPr>
      <w:r>
        <w:rPr>
          <w:rFonts w:hint="eastAsia" w:eastAsia="仿宋"/>
          <w:highlight w:val="none"/>
        </w:rPr>
        <w:t>6</w:t>
      </w:r>
      <w:r>
        <w:rPr>
          <w:rFonts w:eastAsia="仿宋"/>
          <w:highlight w:val="none"/>
        </w:rPr>
        <w:t>.7</w:t>
      </w:r>
      <w:r>
        <w:rPr>
          <w:rFonts w:hint="eastAsia" w:eastAsia="仿宋"/>
          <w:highlight w:val="none"/>
          <w:lang w:val="en-US" w:eastAsia="zh-CN"/>
        </w:rPr>
        <w:t xml:space="preserve"> </w:t>
      </w:r>
      <w:r>
        <w:rPr>
          <w:rFonts w:hint="eastAsia" w:eastAsia="仿宋"/>
          <w:highlight w:val="none"/>
        </w:rPr>
        <w:t>本项目完工未移交甲方之前，乙方应负责保管现场的一切设施和工程成品。</w:t>
      </w:r>
    </w:p>
    <w:p w14:paraId="19AD62F2">
      <w:pPr>
        <w:spacing w:line="360" w:lineRule="auto"/>
        <w:rPr>
          <w:rFonts w:eastAsia="仿宋"/>
          <w:highlight w:val="none"/>
        </w:rPr>
      </w:pPr>
      <w:r>
        <w:rPr>
          <w:rFonts w:hint="eastAsia" w:eastAsia="仿宋"/>
          <w:highlight w:val="none"/>
        </w:rPr>
        <w:t>6</w:t>
      </w:r>
      <w:r>
        <w:rPr>
          <w:rFonts w:eastAsia="仿宋"/>
          <w:highlight w:val="none"/>
        </w:rPr>
        <w:t>.8</w:t>
      </w:r>
      <w:r>
        <w:rPr>
          <w:rFonts w:hint="eastAsia" w:eastAsia="仿宋"/>
          <w:highlight w:val="none"/>
          <w:lang w:val="en-US" w:eastAsia="zh-CN"/>
        </w:rPr>
        <w:t xml:space="preserve"> </w:t>
      </w:r>
      <w:r>
        <w:rPr>
          <w:rFonts w:hint="eastAsia" w:eastAsia="仿宋"/>
          <w:highlight w:val="none"/>
        </w:rPr>
        <w:t>未经甲方的书面同意，乙方不得将其在本合同项下的权利和义务转让给第三方。</w:t>
      </w:r>
    </w:p>
    <w:p w14:paraId="0569550B">
      <w:pPr>
        <w:spacing w:line="360" w:lineRule="auto"/>
        <w:rPr>
          <w:rFonts w:hint="eastAsia" w:eastAsia="仿宋"/>
          <w:highlight w:val="none"/>
        </w:rPr>
      </w:pPr>
      <w:r>
        <w:rPr>
          <w:rFonts w:hint="eastAsia" w:eastAsia="仿宋"/>
          <w:highlight w:val="none"/>
        </w:rPr>
        <w:t>6</w:t>
      </w:r>
      <w:r>
        <w:rPr>
          <w:rFonts w:eastAsia="仿宋"/>
          <w:highlight w:val="none"/>
        </w:rPr>
        <w:t>.9</w:t>
      </w:r>
      <w:r>
        <w:rPr>
          <w:rFonts w:hint="eastAsia" w:eastAsia="仿宋"/>
          <w:highlight w:val="none"/>
          <w:lang w:val="en-US" w:eastAsia="zh-CN"/>
        </w:rPr>
        <w:t xml:space="preserve"> </w:t>
      </w:r>
      <w:r>
        <w:rPr>
          <w:rFonts w:hint="eastAsia" w:eastAsia="仿宋"/>
          <w:highlight w:val="none"/>
        </w:rPr>
        <w:t>负责办理</w:t>
      </w:r>
      <w:r>
        <w:rPr>
          <w:rFonts w:hint="eastAsia" w:eastAsia="仿宋"/>
          <w:highlight w:val="none"/>
          <w:lang w:val="en-US" w:eastAsia="zh-CN"/>
        </w:rPr>
        <w:t>项目</w:t>
      </w:r>
      <w:r>
        <w:rPr>
          <w:rFonts w:hint="eastAsia" w:eastAsia="仿宋"/>
          <w:highlight w:val="none"/>
        </w:rPr>
        <w:t>施工期间乙方相关雇员的工伤保险、意外伤害保险、第三者责任保险及工程设备保险等事宜并承担相关费用，并负责处理与其雇员、员工之间的劳动人事争议。</w:t>
      </w:r>
    </w:p>
    <w:p w14:paraId="6D4FF2E7">
      <w:pPr>
        <w:spacing w:line="360" w:lineRule="auto"/>
        <w:rPr>
          <w:rFonts w:hint="eastAsia" w:eastAsia="仿宋" w:cs="Times New Roman (正文 CS 字体)"/>
          <w:highlight w:val="none"/>
        </w:rPr>
      </w:pPr>
      <w:r>
        <w:rPr>
          <w:rFonts w:hint="eastAsia" w:eastAsia="仿宋"/>
          <w:highlight w:val="none"/>
          <w:lang w:val="en-US" w:eastAsia="zh-CN"/>
        </w:rPr>
        <w:t xml:space="preserve">6.10 </w:t>
      </w:r>
      <w:r>
        <w:rPr>
          <w:rFonts w:hint="eastAsia" w:eastAsia="仿宋"/>
          <w:highlight w:val="none"/>
        </w:rPr>
        <w:t>乙方承诺严格规范劳动用工，</w:t>
      </w:r>
      <w:r>
        <w:rPr>
          <w:rFonts w:hint="eastAsia" w:eastAsia="仿宋"/>
          <w:highlight w:val="none"/>
          <w:lang w:val="en-US" w:eastAsia="zh-CN"/>
        </w:rPr>
        <w:t>并</w:t>
      </w:r>
      <w:r>
        <w:rPr>
          <w:rFonts w:hint="eastAsia" w:eastAsia="仿宋"/>
          <w:highlight w:val="none"/>
        </w:rPr>
        <w:t>不得发生任何拖欠第三方材料款、拖欠农民工工资或集体聚集、上访、打架等群体事件，</w:t>
      </w:r>
      <w:r>
        <w:rPr>
          <w:rFonts w:hint="eastAsia" w:eastAsia="仿宋"/>
          <w:highlight w:val="none"/>
          <w:lang w:val="en-US" w:eastAsia="zh-CN"/>
        </w:rPr>
        <w:t>否则甲方有权解除合同，并有权从应付未付的合同款项、履约保证金中扣除因</w:t>
      </w:r>
      <w:r>
        <w:rPr>
          <w:rFonts w:hint="eastAsia" w:eastAsia="仿宋" w:cs="Times New Roman (正文 CS 字体)"/>
          <w:highlight w:val="none"/>
        </w:rPr>
        <w:t>乙方</w:t>
      </w:r>
      <w:r>
        <w:rPr>
          <w:rFonts w:hint="eastAsia" w:eastAsia="仿宋" w:cs="Times New Roman (正文 CS 字体)"/>
          <w:highlight w:val="none"/>
          <w:lang w:val="en-US" w:eastAsia="zh-CN"/>
        </w:rPr>
        <w:t>原因</w:t>
      </w:r>
      <w:r>
        <w:rPr>
          <w:rFonts w:hint="eastAsia" w:eastAsia="仿宋" w:cs="Times New Roman (正文 CS 字体)"/>
          <w:highlight w:val="none"/>
        </w:rPr>
        <w:t>导致的任何费用支出、违约金、损失或损害赔偿金。</w:t>
      </w:r>
    </w:p>
    <w:p w14:paraId="4D12B00B">
      <w:pPr>
        <w:spacing w:line="360" w:lineRule="auto"/>
        <w:rPr>
          <w:rFonts w:hint="eastAsia" w:eastAsia="仿宋"/>
          <w:highlight w:val="none"/>
          <w:lang w:val="en-US" w:eastAsia="zh-CN"/>
        </w:rPr>
      </w:pPr>
      <w:r>
        <w:rPr>
          <w:rFonts w:hint="default" w:eastAsia="仿宋"/>
          <w:highlight w:val="none"/>
          <w:lang w:eastAsia="zh-CN"/>
        </w:rPr>
        <w:t>6.11</w:t>
      </w:r>
      <w:r>
        <w:rPr>
          <w:rFonts w:hint="eastAsia" w:eastAsia="仿宋"/>
          <w:highlight w:val="none"/>
          <w:lang w:val="en-US" w:eastAsia="zh-CN"/>
        </w:rPr>
        <w:t xml:space="preserve"> 乙方</w:t>
      </w:r>
      <w:r>
        <w:rPr>
          <w:rFonts w:hint="eastAsia" w:eastAsia="仿宋"/>
          <w:highlight w:val="none"/>
          <w:lang w:val="en-US" w:eastAsia="zh-Hans"/>
        </w:rPr>
        <w:t>如</w:t>
      </w:r>
      <w:r>
        <w:rPr>
          <w:rFonts w:hint="eastAsia" w:eastAsia="仿宋"/>
          <w:highlight w:val="none"/>
          <w:lang w:val="en-US" w:eastAsia="zh-CN"/>
        </w:rPr>
        <w:t>在中标后</w:t>
      </w:r>
      <w:r>
        <w:rPr>
          <w:rFonts w:hint="eastAsia" w:eastAsia="仿宋"/>
          <w:highlight w:val="none"/>
          <w:lang w:val="en-US" w:eastAsia="zh-Hans"/>
        </w:rPr>
        <w:t>或者合同履行期间发生</w:t>
      </w:r>
      <w:r>
        <w:rPr>
          <w:rFonts w:hint="eastAsia" w:eastAsia="仿宋"/>
          <w:highlight w:val="none"/>
          <w:lang w:val="en-US" w:eastAsia="zh-CN"/>
        </w:rPr>
        <w:t>被人民法院列为失信被执行人、影响合同履约能力的重大行政处罚等情形，应及时向</w:t>
      </w:r>
      <w:r>
        <w:rPr>
          <w:rFonts w:hint="eastAsia" w:eastAsia="仿宋"/>
          <w:highlight w:val="none"/>
          <w:lang w:val="en-US" w:eastAsia="zh-Hans"/>
        </w:rPr>
        <w:t>甲方的</w:t>
      </w:r>
      <w:r>
        <w:rPr>
          <w:rFonts w:hint="eastAsia" w:eastAsia="仿宋"/>
          <w:highlight w:val="none"/>
          <w:lang w:val="en-US" w:eastAsia="zh-CN"/>
        </w:rPr>
        <w:t>履约管理单位</w:t>
      </w:r>
      <w:r>
        <w:rPr>
          <w:rFonts w:hint="eastAsia" w:eastAsia="仿宋"/>
          <w:highlight w:val="none"/>
          <w:lang w:val="en-US" w:eastAsia="zh-Hans"/>
        </w:rPr>
        <w:t>、</w:t>
      </w:r>
      <w:r>
        <w:rPr>
          <w:rFonts w:hint="eastAsia" w:eastAsia="仿宋"/>
          <w:highlight w:val="none"/>
          <w:lang w:val="en-US" w:eastAsia="zh-CN"/>
        </w:rPr>
        <w:t>物资部报备。</w:t>
      </w:r>
    </w:p>
    <w:p w14:paraId="7CBADB6F">
      <w:pPr>
        <w:spacing w:line="360" w:lineRule="auto"/>
        <w:rPr>
          <w:rFonts w:eastAsia="仿宋"/>
          <w:b/>
          <w:highlight w:val="none"/>
        </w:rPr>
      </w:pPr>
      <w:r>
        <w:rPr>
          <w:rFonts w:hint="eastAsia" w:eastAsia="仿宋"/>
          <w:b/>
          <w:highlight w:val="none"/>
          <w:lang w:val="en-US" w:eastAsia="zh-CN"/>
        </w:rPr>
        <w:t>七</w:t>
      </w:r>
      <w:r>
        <w:rPr>
          <w:rFonts w:hint="eastAsia" w:eastAsia="仿宋"/>
          <w:b/>
          <w:highlight w:val="none"/>
        </w:rPr>
        <w:t>、质量及验收要求</w:t>
      </w:r>
    </w:p>
    <w:p w14:paraId="24592128">
      <w:pPr>
        <w:spacing w:line="360" w:lineRule="auto"/>
        <w:rPr>
          <w:rFonts w:eastAsia="仿宋"/>
          <w:highlight w:val="none"/>
        </w:rPr>
      </w:pPr>
      <w:r>
        <w:rPr>
          <w:rFonts w:hint="eastAsia" w:eastAsia="仿宋"/>
          <w:highlight w:val="none"/>
        </w:rPr>
        <w:t>7</w:t>
      </w:r>
      <w:r>
        <w:rPr>
          <w:rFonts w:eastAsia="仿宋"/>
          <w:highlight w:val="none"/>
        </w:rPr>
        <w:t>.1</w:t>
      </w:r>
      <w:r>
        <w:rPr>
          <w:rFonts w:hint="eastAsia" w:eastAsia="仿宋"/>
          <w:highlight w:val="none"/>
          <w:lang w:val="en-US" w:eastAsia="zh-CN"/>
        </w:rPr>
        <w:t xml:space="preserve"> </w:t>
      </w:r>
      <w:r>
        <w:rPr>
          <w:rFonts w:hint="eastAsia" w:eastAsia="仿宋"/>
          <w:highlight w:val="none"/>
        </w:rPr>
        <w:t>乙方为本项目提供的材料均须符合国家标准，有质量合格证明，主要材料的品种、规格等经甲方认可后方可使用。</w:t>
      </w:r>
    </w:p>
    <w:p w14:paraId="232BC6F9">
      <w:pPr>
        <w:spacing w:line="360" w:lineRule="auto"/>
        <w:rPr>
          <w:rFonts w:eastAsia="仿宋"/>
          <w:highlight w:val="none"/>
        </w:rPr>
      </w:pPr>
      <w:r>
        <w:rPr>
          <w:rFonts w:hint="eastAsia" w:eastAsia="仿宋"/>
          <w:highlight w:val="none"/>
        </w:rPr>
        <w:t>7</w:t>
      </w:r>
      <w:r>
        <w:rPr>
          <w:rFonts w:eastAsia="仿宋"/>
          <w:highlight w:val="none"/>
        </w:rPr>
        <w:t>.2</w:t>
      </w:r>
      <w:r>
        <w:rPr>
          <w:rFonts w:hint="eastAsia" w:eastAsia="仿宋"/>
          <w:highlight w:val="none"/>
          <w:lang w:val="en-US" w:eastAsia="zh-CN"/>
        </w:rPr>
        <w:t xml:space="preserve"> </w:t>
      </w:r>
      <w:r>
        <w:rPr>
          <w:rFonts w:hint="eastAsia" w:eastAsia="仿宋"/>
          <w:highlight w:val="none"/>
        </w:rPr>
        <w:t>本项目施工质量应符合</w:t>
      </w:r>
      <w:r>
        <w:rPr>
          <w:rFonts w:eastAsia="仿宋"/>
          <w:highlight w:val="none"/>
        </w:rPr>
        <w:t>国家标准、行业标准、工程所在地的地方性标准</w:t>
      </w:r>
      <w:r>
        <w:rPr>
          <w:rFonts w:hint="eastAsia" w:eastAsia="仿宋"/>
          <w:highlight w:val="none"/>
        </w:rPr>
        <w:t>，并达到合同规定要求，各项技术指标符合施工图纸中所列举的指标要求。</w:t>
      </w:r>
    </w:p>
    <w:p w14:paraId="5F170DCF">
      <w:pPr>
        <w:spacing w:line="360" w:lineRule="auto"/>
        <w:rPr>
          <w:rFonts w:eastAsia="仿宋"/>
          <w:highlight w:val="none"/>
        </w:rPr>
      </w:pPr>
      <w:r>
        <w:rPr>
          <w:rFonts w:hint="eastAsia" w:eastAsia="仿宋"/>
          <w:highlight w:val="none"/>
        </w:rPr>
        <w:t>7.3</w:t>
      </w:r>
      <w:r>
        <w:rPr>
          <w:rFonts w:hint="eastAsia" w:eastAsia="仿宋"/>
          <w:highlight w:val="none"/>
          <w:lang w:val="en-US" w:eastAsia="zh-CN"/>
        </w:rPr>
        <w:t xml:space="preserve"> </w:t>
      </w:r>
      <w:r>
        <w:rPr>
          <w:rFonts w:hint="eastAsia" w:eastAsia="仿宋"/>
          <w:highlight w:val="none"/>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52A1C298">
      <w:pPr>
        <w:spacing w:line="360" w:lineRule="auto"/>
        <w:rPr>
          <w:rFonts w:eastAsia="仿宋"/>
          <w:highlight w:val="none"/>
        </w:rPr>
      </w:pPr>
      <w:r>
        <w:rPr>
          <w:rFonts w:hint="eastAsia" w:eastAsia="仿宋"/>
          <w:highlight w:val="none"/>
        </w:rPr>
        <w:t>7.4</w:t>
      </w:r>
      <w:r>
        <w:rPr>
          <w:rFonts w:hint="eastAsia" w:eastAsia="仿宋"/>
          <w:highlight w:val="none"/>
          <w:lang w:val="en-US" w:eastAsia="zh-CN"/>
        </w:rPr>
        <w:t xml:space="preserve"> </w:t>
      </w:r>
      <w:r>
        <w:rPr>
          <w:rFonts w:hint="eastAsia" w:eastAsia="仿宋"/>
          <w:highlight w:val="none"/>
        </w:rPr>
        <w:t>如遇规范、标准、技术规程对同一问题的处理出现相互矛盾的情况时，乙方应通知甲方，提出解决办法并征得甲方的同意。本项目所用的规范及标准应采用双方最新确定的方案。</w:t>
      </w:r>
    </w:p>
    <w:p w14:paraId="6B2E976F">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5</w:t>
      </w:r>
      <w:r>
        <w:rPr>
          <w:rFonts w:hint="eastAsia" w:eastAsia="仿宋"/>
          <w:highlight w:val="none"/>
          <w:lang w:val="en-US" w:eastAsia="zh-CN"/>
        </w:rPr>
        <w:t xml:space="preserve"> </w:t>
      </w:r>
      <w:r>
        <w:rPr>
          <w:rFonts w:hint="eastAsia" w:eastAsia="仿宋"/>
          <w:highlight w:val="none"/>
        </w:rPr>
        <w:t>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67B86106">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6</w:t>
      </w:r>
      <w:r>
        <w:rPr>
          <w:rFonts w:hint="eastAsia" w:eastAsia="仿宋"/>
          <w:highlight w:val="none"/>
          <w:lang w:val="en-US" w:eastAsia="zh-CN"/>
        </w:rPr>
        <w:t xml:space="preserve"> </w:t>
      </w:r>
      <w:r>
        <w:rPr>
          <w:rFonts w:hint="eastAsia" w:eastAsia="仿宋"/>
          <w:highlight w:val="none"/>
        </w:rPr>
        <w:t>甲乙双方对工程质量有争议，应协商确定第三方工程质量检验机构进行鉴定，所需费用及由此造成的损失，由责任方承担。</w:t>
      </w:r>
    </w:p>
    <w:p w14:paraId="79C4323B">
      <w:pPr>
        <w:spacing w:line="360" w:lineRule="auto"/>
        <w:rPr>
          <w:rFonts w:eastAsia="仿宋"/>
          <w:b/>
          <w:highlight w:val="none"/>
        </w:rPr>
      </w:pPr>
      <w:r>
        <w:rPr>
          <w:rFonts w:hint="eastAsia" w:eastAsia="仿宋"/>
          <w:b/>
          <w:highlight w:val="none"/>
        </w:rPr>
        <w:t>八、质量保证</w:t>
      </w:r>
    </w:p>
    <w:p w14:paraId="1E4CDD10">
      <w:pPr>
        <w:spacing w:line="360" w:lineRule="auto"/>
        <w:ind w:firstLine="420" w:firstLineChars="200"/>
        <w:rPr>
          <w:rFonts w:eastAsia="仿宋"/>
          <w:highlight w:val="none"/>
        </w:rPr>
      </w:pPr>
      <w:r>
        <w:rPr>
          <w:rFonts w:hint="eastAsia" w:eastAsia="仿宋"/>
          <w:highlight w:val="none"/>
        </w:rPr>
        <w:t>乙方应按法律法规及本合同约定，对交付甲方使用的工程或设备在质量保证期内承担质量保证责任。</w:t>
      </w:r>
    </w:p>
    <w:p w14:paraId="2D3A36F6">
      <w:pPr>
        <w:spacing w:line="360" w:lineRule="auto"/>
        <w:rPr>
          <w:rFonts w:eastAsia="仿宋"/>
          <w:highlight w:val="none"/>
        </w:rPr>
      </w:pPr>
      <w:r>
        <w:rPr>
          <w:rFonts w:hint="eastAsia" w:eastAsia="仿宋"/>
          <w:highlight w:val="none"/>
        </w:rPr>
        <w:t>8</w:t>
      </w:r>
      <w:r>
        <w:rPr>
          <w:rFonts w:eastAsia="仿宋"/>
          <w:highlight w:val="none"/>
        </w:rPr>
        <w:t>.1</w:t>
      </w:r>
      <w:r>
        <w:rPr>
          <w:rFonts w:hint="eastAsia" w:eastAsia="仿宋"/>
          <w:highlight w:val="none"/>
          <w:lang w:val="en-US" w:eastAsia="zh-CN"/>
        </w:rPr>
        <w:t xml:space="preserve"> </w:t>
      </w:r>
      <w:r>
        <w:rPr>
          <w:rFonts w:hint="eastAsia" w:eastAsia="仿宋"/>
          <w:highlight w:val="none"/>
        </w:rPr>
        <w:t>质量保证范围</w:t>
      </w:r>
    </w:p>
    <w:p w14:paraId="40E14083">
      <w:pPr>
        <w:keepNext w:val="0"/>
        <w:keepLines w:val="0"/>
        <w:pageBreakBefore w:val="0"/>
        <w:widowControl/>
        <w:kinsoku/>
        <w:wordWrap/>
        <w:overflowPunct/>
        <w:topLinePunct w:val="0"/>
        <w:autoSpaceDE/>
        <w:autoSpaceDN/>
        <w:bidi w:val="0"/>
        <w:adjustRightInd/>
        <w:snapToGrid/>
        <w:spacing w:line="360" w:lineRule="auto"/>
        <w:textAlignment w:val="auto"/>
        <w:rPr>
          <w:rFonts w:eastAsia="仿宋"/>
          <w:highlight w:val="none"/>
        </w:rPr>
      </w:pPr>
      <w:r>
        <w:rPr>
          <w:rFonts w:hint="eastAsia" w:eastAsia="仿宋"/>
          <w:highlight w:val="none"/>
        </w:rPr>
        <w:t>质量保证范围包括乙方承担的本项目一切工作和合同约定的其他工作。</w:t>
      </w:r>
    </w:p>
    <w:p w14:paraId="5CEE4F48">
      <w:pPr>
        <w:spacing w:line="360" w:lineRule="auto"/>
        <w:rPr>
          <w:rFonts w:eastAsia="仿宋"/>
          <w:highlight w:val="none"/>
        </w:rPr>
      </w:pPr>
      <w:r>
        <w:rPr>
          <w:rFonts w:hint="eastAsia" w:eastAsia="仿宋"/>
          <w:highlight w:val="none"/>
        </w:rPr>
        <w:t>8</w:t>
      </w:r>
      <w:r>
        <w:rPr>
          <w:rFonts w:eastAsia="仿宋"/>
          <w:highlight w:val="none"/>
        </w:rPr>
        <w:t>.2</w:t>
      </w:r>
      <w:r>
        <w:rPr>
          <w:rFonts w:hint="eastAsia" w:eastAsia="仿宋"/>
          <w:highlight w:val="none"/>
          <w:lang w:val="en-US" w:eastAsia="zh-CN"/>
        </w:rPr>
        <w:t xml:space="preserve"> </w:t>
      </w:r>
      <w:r>
        <w:rPr>
          <w:rFonts w:hint="eastAsia" w:eastAsia="仿宋"/>
          <w:highlight w:val="none"/>
        </w:rPr>
        <w:t>质量保证期限</w:t>
      </w:r>
    </w:p>
    <w:p w14:paraId="3CA964A3">
      <w:pPr>
        <w:spacing w:line="360" w:lineRule="auto"/>
        <w:rPr>
          <w:rFonts w:eastAsia="仿宋"/>
          <w:highlight w:val="none"/>
        </w:rPr>
      </w:pPr>
      <w:r>
        <w:rPr>
          <w:rFonts w:hint="eastAsia" w:eastAsia="仿宋"/>
          <w:highlight w:val="none"/>
        </w:rPr>
        <w:t>乙方对本项目承担质量保证责任的期限为</w:t>
      </w:r>
      <w:r>
        <w:rPr>
          <w:rFonts w:hint="eastAsia" w:ascii="宋体" w:hAnsi="宋体" w:eastAsia="宋体" w:cs="宋体"/>
          <w:highlight w:val="none"/>
          <w:u w:val="single"/>
          <w:lang w:val="en-US" w:eastAsia="zh-CN"/>
        </w:rPr>
        <w:t>1</w:t>
      </w:r>
      <w:r>
        <w:rPr>
          <w:rFonts w:hint="eastAsia" w:ascii="宋体" w:hAnsi="宋体" w:eastAsia="宋体" w:cs="宋体"/>
          <w:highlight w:val="none"/>
          <w:u w:val="single"/>
        </w:rPr>
        <w:t>年</w:t>
      </w:r>
      <w:r>
        <w:rPr>
          <w:rFonts w:eastAsia="仿宋"/>
          <w:highlight w:val="none"/>
        </w:rPr>
        <w:t>，</w:t>
      </w:r>
      <w:r>
        <w:rPr>
          <w:rFonts w:hint="eastAsia" w:eastAsia="仿宋"/>
          <w:highlight w:val="none"/>
        </w:rPr>
        <w:t>从验收合格之日起计算。</w:t>
      </w:r>
    </w:p>
    <w:p w14:paraId="10D4A0D2">
      <w:pPr>
        <w:spacing w:line="360" w:lineRule="auto"/>
        <w:rPr>
          <w:rFonts w:eastAsia="仿宋"/>
          <w:highlight w:val="none"/>
        </w:rPr>
      </w:pPr>
      <w:r>
        <w:rPr>
          <w:rFonts w:hint="eastAsia" w:eastAsia="仿宋"/>
          <w:highlight w:val="none"/>
        </w:rPr>
        <w:t>8</w:t>
      </w:r>
      <w:r>
        <w:rPr>
          <w:rFonts w:eastAsia="仿宋"/>
          <w:highlight w:val="none"/>
        </w:rPr>
        <w:t>.3</w:t>
      </w:r>
      <w:r>
        <w:rPr>
          <w:rFonts w:hint="eastAsia" w:eastAsia="仿宋"/>
          <w:highlight w:val="none"/>
          <w:lang w:val="en-US" w:eastAsia="zh-CN"/>
        </w:rPr>
        <w:t xml:space="preserve"> </w:t>
      </w:r>
      <w:r>
        <w:rPr>
          <w:rFonts w:hint="eastAsia" w:eastAsia="仿宋"/>
          <w:highlight w:val="none"/>
        </w:rPr>
        <w:t>质量保证责任承担</w:t>
      </w:r>
    </w:p>
    <w:p w14:paraId="661B6560">
      <w:pPr>
        <w:spacing w:line="360" w:lineRule="auto"/>
        <w:rPr>
          <w:rFonts w:eastAsia="仿宋"/>
          <w:highlight w:val="none"/>
        </w:rPr>
      </w:pPr>
      <w:r>
        <w:rPr>
          <w:rFonts w:eastAsia="仿宋"/>
          <w:highlight w:val="none"/>
        </w:rPr>
        <w:t>1）</w:t>
      </w:r>
      <w:r>
        <w:rPr>
          <w:rFonts w:hint="eastAsia" w:eastAsia="仿宋"/>
          <w:highlight w:val="none"/>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4AFA0C8F">
      <w:pPr>
        <w:spacing w:line="360" w:lineRule="auto"/>
        <w:rPr>
          <w:rFonts w:eastAsia="仿宋"/>
          <w:highlight w:val="none"/>
        </w:rPr>
      </w:pPr>
      <w:r>
        <w:rPr>
          <w:rFonts w:eastAsia="仿宋"/>
          <w:highlight w:val="none"/>
        </w:rPr>
        <w:t>2</w:t>
      </w:r>
      <w:r>
        <w:rPr>
          <w:rFonts w:hint="eastAsia" w:eastAsia="仿宋"/>
          <w:highlight w:val="none"/>
        </w:rPr>
        <w:t>）发生须紧急抢修的事故时，乙方接到通知后，应立即到达事故现场抢修。非乙方作业质量引起的事故，抢修费用由甲方承担（属于合同工作范围的在该合同项下支付）。</w:t>
      </w:r>
    </w:p>
    <w:p w14:paraId="706DBF66">
      <w:pPr>
        <w:spacing w:line="360" w:lineRule="auto"/>
        <w:rPr>
          <w:rFonts w:eastAsia="仿宋"/>
          <w:highlight w:val="none"/>
        </w:rPr>
      </w:pPr>
      <w:r>
        <w:rPr>
          <w:rFonts w:eastAsia="仿宋"/>
          <w:highlight w:val="none"/>
        </w:rPr>
        <w:t>3</w:t>
      </w:r>
      <w:r>
        <w:rPr>
          <w:rFonts w:hint="eastAsia" w:eastAsia="仿宋"/>
          <w:highlight w:val="none"/>
        </w:rPr>
        <w:t>）在国家规定的合理使用期限内，因乙方作业质量原因致使本项目在合理使用期限内造成人身伤亡和财产损害的，由乙方承担损害赔偿责任。</w:t>
      </w:r>
    </w:p>
    <w:p w14:paraId="7CAAA652">
      <w:pPr>
        <w:spacing w:line="360" w:lineRule="auto"/>
        <w:rPr>
          <w:rFonts w:eastAsia="仿宋"/>
          <w:b/>
          <w:highlight w:val="none"/>
        </w:rPr>
      </w:pPr>
      <w:r>
        <w:rPr>
          <w:rFonts w:hint="eastAsia" w:eastAsia="仿宋"/>
          <w:b/>
          <w:highlight w:val="none"/>
        </w:rPr>
        <w:t>九、履约担保</w:t>
      </w:r>
    </w:p>
    <w:p w14:paraId="702A23F7">
      <w:pPr>
        <w:spacing w:line="360" w:lineRule="auto"/>
        <w:rPr>
          <w:rFonts w:eastAsia="仿宋"/>
          <w:highlight w:val="none"/>
        </w:rPr>
      </w:pPr>
      <w:r>
        <w:rPr>
          <w:rFonts w:hint="eastAsia" w:eastAsia="仿宋"/>
          <w:highlight w:val="none"/>
        </w:rPr>
        <w:t>9</w:t>
      </w:r>
      <w:r>
        <w:rPr>
          <w:rFonts w:eastAsia="仿宋"/>
          <w:highlight w:val="none"/>
        </w:rPr>
        <w:t>.1</w:t>
      </w:r>
      <w:bookmarkStart w:id="348" w:name="_Toc198693812"/>
      <w:bookmarkStart w:id="349" w:name="_Toc198694697"/>
      <w:r>
        <w:rPr>
          <w:rFonts w:hint="eastAsia" w:eastAsia="仿宋"/>
          <w:highlight w:val="none"/>
          <w:lang w:val="en-US" w:eastAsia="zh-CN"/>
        </w:rPr>
        <w:t xml:space="preserve"> </w:t>
      </w:r>
      <w:r>
        <w:rPr>
          <w:rFonts w:hint="eastAsia" w:eastAsia="仿宋"/>
          <w:highlight w:val="none"/>
        </w:rPr>
        <w:t>履约担保</w:t>
      </w:r>
    </w:p>
    <w:p w14:paraId="03EB424E">
      <w:pPr>
        <w:spacing w:line="360" w:lineRule="auto"/>
        <w:rPr>
          <w:rFonts w:eastAsia="仿宋" w:cs="Times New Roman (正文 CS 字体)"/>
          <w:highlight w:val="none"/>
        </w:rPr>
      </w:pPr>
      <w:r>
        <w:rPr>
          <w:rFonts w:hint="eastAsia" w:eastAsia="仿宋" w:cs="Times New Roman (正文 CS 字体)"/>
          <w:highlight w:val="none"/>
        </w:rPr>
        <w:t>1</w:t>
      </w:r>
      <w:r>
        <w:rPr>
          <w:rFonts w:eastAsia="仿宋" w:cs="Times New Roman (正文 CS 字体)"/>
          <w:highlight w:val="none"/>
        </w:rPr>
        <w:t>.在本合同签订时，乙方应向甲方提交履约保证金，本项目履约保证金的金额为合同总价款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13F07B54">
      <w:pPr>
        <w:spacing w:line="360" w:lineRule="auto"/>
        <w:rPr>
          <w:rFonts w:eastAsia="仿宋" w:cs="Times New Roman (正文 CS 字体)"/>
          <w:highlight w:val="none"/>
        </w:rPr>
      </w:pPr>
      <w:r>
        <w:rPr>
          <w:rFonts w:eastAsia="仿宋" w:cs="Times New Roman (正文 CS 字体)"/>
          <w:highlight w:val="none"/>
        </w:rPr>
        <w:t>2.履约保证金由甲方持有，甲方有权在该保证金内扣除任何乙方应付而未付之任何款项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r>
        <w:rPr>
          <w:rFonts w:eastAsia="仿宋" w:cs="Times New Roman (正文 CS 字体)"/>
          <w:highlight w:val="none"/>
        </w:rPr>
        <w:t>如甲方根据</w:t>
      </w:r>
      <w:r>
        <w:rPr>
          <w:rFonts w:hint="eastAsia" w:eastAsia="仿宋" w:cs="Times New Roman (正文 CS 字体)"/>
          <w:highlight w:val="none"/>
        </w:rPr>
        <w:t>上述</w:t>
      </w:r>
      <w:r>
        <w:rPr>
          <w:rFonts w:eastAsia="仿宋" w:cs="Times New Roman (正文 CS 字体)"/>
          <w:highlight w:val="none"/>
        </w:rPr>
        <w:t>情况扣除保证金，乙方必须在扣款后七个工作日内，补足相等于该扣除款额的履约保证金，以保证合同履行期间履约保证金的完整。如履约保证金尚不能弥补甲方的损失，甲方有权另行向乙方主张赔偿。</w:t>
      </w:r>
    </w:p>
    <w:p w14:paraId="06A7B3F3">
      <w:pPr>
        <w:spacing w:line="360" w:lineRule="auto"/>
        <w:ind w:firstLine="105" w:firstLineChars="50"/>
        <w:rPr>
          <w:rFonts w:eastAsia="仿宋" w:cs="Times New Roman (正文 CS 字体)"/>
          <w:highlight w:val="none"/>
        </w:rPr>
      </w:pPr>
      <w:r>
        <w:rPr>
          <w:rFonts w:hint="eastAsia" w:eastAsia="仿宋" w:cs="Times New Roman (正文 CS 字体)"/>
          <w:highlight w:val="none"/>
        </w:rPr>
        <w:t>（采用履约保证金的方式时选用）</w:t>
      </w:r>
    </w:p>
    <w:p w14:paraId="2659DB8A">
      <w:pPr>
        <w:spacing w:line="360" w:lineRule="auto"/>
        <w:rPr>
          <w:rFonts w:eastAsia="仿宋" w:cs="Times New Roman (正文 CS 字体)"/>
          <w:b/>
          <w:highlight w:val="none"/>
        </w:rPr>
      </w:pPr>
      <w:r>
        <w:rPr>
          <w:rFonts w:hint="eastAsia" w:eastAsia="仿宋" w:cs="Times New Roman (正文 CS 字体)"/>
          <w:b/>
          <w:highlight w:val="none"/>
        </w:rPr>
        <w:t>或</w:t>
      </w:r>
    </w:p>
    <w:p w14:paraId="40F0A449">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4F0155FF">
      <w:pPr>
        <w:spacing w:line="360" w:lineRule="auto"/>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bookmarkStart w:id="350" w:name="_Hlk18247249"/>
      <w:r>
        <w:rPr>
          <w:rFonts w:hint="eastAsia" w:eastAsia="仿宋" w:cs="Times New Roman (正文 CS 字体)"/>
          <w:highlight w:val="none"/>
        </w:rPr>
        <w:t>（包括但不限于合同约定的乙方应支付款项、甲方垫付的其他费用等），</w:t>
      </w:r>
      <w:bookmarkStart w:id="351" w:name="_Hlk17966884"/>
      <w:r>
        <w:rPr>
          <w:rFonts w:hint="eastAsia" w:eastAsia="仿宋" w:cs="Times New Roman (正文 CS 字体)"/>
          <w:highlight w:val="none"/>
        </w:rPr>
        <w:t>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bookmarkEnd w:id="350"/>
      <w:bookmarkEnd w:id="351"/>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r>
        <w:rPr>
          <w:rFonts w:hint="eastAsia" w:eastAsia="仿宋" w:cs="Times New Roman (正文 CS 字体)"/>
          <w:highlight w:val="none"/>
        </w:rPr>
        <w:t>（采用履约保函的方式时选用）</w:t>
      </w:r>
    </w:p>
    <w:p w14:paraId="19B7ADA3">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r>
        <w:rPr>
          <w:rFonts w:hint="eastAsia" w:eastAsia="仿宋" w:cs="Times New Roman (正文 CS 字体)"/>
          <w:highlight w:val="none"/>
        </w:rPr>
        <w:t>（采用履约保函的方式时选用）</w:t>
      </w:r>
    </w:p>
    <w:p w14:paraId="6DB9DE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2DEA6A2F">
      <w:pPr>
        <w:spacing w:line="360" w:lineRule="auto"/>
        <w:rPr>
          <w:rFonts w:eastAsia="仿宋" w:cs="Times New Roman (正文 CS 字体)"/>
          <w:highlight w:val="none"/>
        </w:rPr>
      </w:pPr>
      <w:r>
        <w:rPr>
          <w:rFonts w:hint="eastAsia" w:eastAsia="仿宋" w:cs="Times New Roman (正文 CS 字体)"/>
          <w:highlight w:val="none"/>
          <w:lang w:val="en-US" w:eastAsia="zh-CN"/>
        </w:rPr>
        <w:t xml:space="preserve">9.2 </w:t>
      </w:r>
      <w:r>
        <w:rPr>
          <w:rFonts w:hint="eastAsia" w:eastAsia="仿宋" w:cs="Times New Roman (正文 CS 字体)"/>
          <w:highlight w:val="none"/>
        </w:rPr>
        <w:t>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bookmarkEnd w:id="348"/>
    <w:bookmarkEnd w:id="349"/>
    <w:p w14:paraId="2C0241D9">
      <w:pPr>
        <w:spacing w:line="360" w:lineRule="auto"/>
        <w:ind w:firstLine="420" w:firstLineChars="200"/>
        <w:rPr>
          <w:rFonts w:eastAsia="仿宋" w:cs="Times New Roman (正文 CS 字体)"/>
          <w:highlight w:val="none"/>
        </w:rPr>
      </w:pPr>
      <w:r>
        <w:rPr>
          <w:rFonts w:hint="eastAsia" w:eastAsia="仿宋" w:cs="Times New Roman (正文 CS 字体)"/>
          <w:highlight w:val="none"/>
          <w:lang w:val="en-US" w:eastAsia="zh-CN"/>
        </w:rPr>
        <w:t xml:space="preserve">乙方在本合同约定的服务期限届满并经甲方验收合格后30日内办理履约保证金（或履约保函）退还手续。 </w:t>
      </w:r>
    </w:p>
    <w:p w14:paraId="22A2AF58">
      <w:pPr>
        <w:spacing w:line="360" w:lineRule="auto"/>
        <w:rPr>
          <w:rFonts w:eastAsia="仿宋"/>
          <w:b/>
          <w:highlight w:val="none"/>
        </w:rPr>
      </w:pPr>
      <w:r>
        <w:rPr>
          <w:rFonts w:hint="eastAsia" w:eastAsia="仿宋"/>
          <w:b/>
          <w:highlight w:val="none"/>
        </w:rPr>
        <w:t>十、违约责任</w:t>
      </w:r>
    </w:p>
    <w:p w14:paraId="32217B45">
      <w:pPr>
        <w:spacing w:line="360" w:lineRule="auto"/>
        <w:rPr>
          <w:rFonts w:eastAsia="仿宋"/>
          <w:highlight w:val="none"/>
        </w:rPr>
      </w:pPr>
      <w:r>
        <w:rPr>
          <w:rFonts w:hint="eastAsia" w:eastAsia="仿宋"/>
          <w:highlight w:val="none"/>
        </w:rPr>
        <w:t>10</w:t>
      </w:r>
      <w:r>
        <w:rPr>
          <w:rFonts w:eastAsia="仿宋"/>
          <w:highlight w:val="none"/>
        </w:rPr>
        <w:t>.1</w:t>
      </w:r>
      <w:r>
        <w:rPr>
          <w:rFonts w:hint="eastAsia" w:eastAsia="仿宋"/>
          <w:highlight w:val="none"/>
          <w:lang w:val="en-US" w:eastAsia="zh-CN"/>
        </w:rPr>
        <w:t xml:space="preserve"> </w:t>
      </w:r>
      <w:r>
        <w:rPr>
          <w:rFonts w:hint="eastAsia" w:eastAsia="仿宋"/>
          <w:highlight w:val="none"/>
        </w:rPr>
        <w:t>在合同履行中，乙方不按照甲方的管理规定以及现场检查人员的施工管理要求进行施工的，每发现一次应向甲方支付1000元作为违约金，如同时给甲方造成损失的，乙方还应承担赔偿责任。</w:t>
      </w:r>
    </w:p>
    <w:p w14:paraId="308393AE">
      <w:pPr>
        <w:spacing w:line="360" w:lineRule="auto"/>
        <w:rPr>
          <w:rFonts w:hint="eastAsia" w:eastAsia="仿宋"/>
          <w:highlight w:val="none"/>
        </w:rPr>
      </w:pPr>
      <w:r>
        <w:rPr>
          <w:rFonts w:eastAsia="仿宋"/>
          <w:highlight w:val="none"/>
        </w:rPr>
        <w:t>10.2</w:t>
      </w:r>
      <w:r>
        <w:rPr>
          <w:rFonts w:hint="eastAsia" w:eastAsia="仿宋"/>
          <w:highlight w:val="none"/>
          <w:lang w:val="en-US" w:eastAsia="zh-CN"/>
        </w:rPr>
        <w:t xml:space="preserve"> </w:t>
      </w:r>
      <w:r>
        <w:rPr>
          <w:rFonts w:hint="eastAsia" w:eastAsia="仿宋"/>
          <w:highlight w:val="none"/>
        </w:rPr>
        <w:t>违反本合同第</w:t>
      </w:r>
      <w:r>
        <w:rPr>
          <w:rFonts w:eastAsia="仿宋"/>
          <w:highlight w:val="none"/>
        </w:rPr>
        <w:t>6.9</w:t>
      </w:r>
      <w:r>
        <w:rPr>
          <w:rFonts w:hint="eastAsia" w:eastAsia="仿宋"/>
          <w:highlight w:val="none"/>
        </w:rPr>
        <w:t>条规定，每发</w:t>
      </w:r>
      <w:r>
        <w:rPr>
          <w:rFonts w:hint="eastAsia" w:eastAsia="仿宋"/>
          <w:highlight w:val="none"/>
          <w:lang w:val="en-US" w:eastAsia="zh-CN"/>
        </w:rPr>
        <w:t>生一次</w:t>
      </w:r>
      <w:r>
        <w:rPr>
          <w:rFonts w:hint="eastAsia" w:eastAsia="仿宋"/>
          <w:highlight w:val="none"/>
        </w:rPr>
        <w:t>应向甲方支付</w:t>
      </w:r>
      <w:r>
        <w:rPr>
          <w:rFonts w:eastAsia="仿宋"/>
          <w:highlight w:val="none"/>
        </w:rPr>
        <w:t>1000</w:t>
      </w:r>
      <w:r>
        <w:rPr>
          <w:rFonts w:hint="eastAsia" w:eastAsia="仿宋"/>
          <w:highlight w:val="none"/>
        </w:rPr>
        <w:t>元作为违约金，如同时给甲方造成损失的，乙方还应承担赔偿责任。</w:t>
      </w:r>
    </w:p>
    <w:p w14:paraId="4A817B87">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3</w:t>
      </w:r>
      <w:r>
        <w:rPr>
          <w:rFonts w:hint="eastAsia" w:eastAsia="仿宋"/>
          <w:highlight w:val="none"/>
          <w:lang w:val="en-US" w:eastAsia="zh-CN"/>
        </w:rPr>
        <w:t xml:space="preserve"> </w:t>
      </w:r>
      <w:r>
        <w:rPr>
          <w:rFonts w:hint="eastAsia" w:eastAsia="仿宋"/>
          <w:highlight w:val="none"/>
        </w:rPr>
        <w:t>乙方未能按照甲方审查确认的施工图纸或做法说明进行施工而造成的工程量变更，乙方不得提出费用增加的要求，甲方也不需为此支付额外的费用。</w:t>
      </w:r>
    </w:p>
    <w:p w14:paraId="5C873073">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4</w:t>
      </w:r>
      <w:r>
        <w:rPr>
          <w:rFonts w:hint="eastAsia" w:eastAsia="仿宋"/>
          <w:highlight w:val="none"/>
          <w:lang w:val="en-US" w:eastAsia="zh-CN"/>
        </w:rPr>
        <w:t xml:space="preserve"> </w:t>
      </w:r>
      <w:r>
        <w:rPr>
          <w:rFonts w:hint="eastAsia" w:eastAsia="仿宋"/>
          <w:highlight w:val="none"/>
        </w:rPr>
        <w:t>由于乙方原因造成工程质量不合格或设计不符合双方约定的，乙方应按合同价款的</w:t>
      </w:r>
      <w:r>
        <w:rPr>
          <w:rFonts w:hint="eastAsia" w:eastAsia="仿宋"/>
          <w:highlight w:val="none"/>
          <w:u w:val="single"/>
        </w:rPr>
        <w:t>10%</w:t>
      </w:r>
      <w:r>
        <w:rPr>
          <w:rFonts w:hint="eastAsia" w:eastAsia="仿宋"/>
          <w:highlight w:val="none"/>
        </w:rPr>
        <w:t>向甲方支付违约金，并负责在本合同规定工期内返工至约定的质量标准要求，若违约金不足以弥补甲方的损失，乙方应足额赔偿甲方的损失。</w:t>
      </w:r>
    </w:p>
    <w:p w14:paraId="09CA3538">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5</w:t>
      </w:r>
      <w:r>
        <w:rPr>
          <w:rFonts w:hint="eastAsia" w:eastAsia="仿宋"/>
          <w:highlight w:val="none"/>
          <w:lang w:val="en-US" w:eastAsia="zh-CN"/>
        </w:rPr>
        <w:t xml:space="preserve"> </w:t>
      </w:r>
      <w:r>
        <w:rPr>
          <w:rFonts w:hint="eastAsia" w:eastAsia="仿宋"/>
          <w:highlight w:val="none"/>
        </w:rPr>
        <w:t>乙方未能在规定日期内竣工验收并交付甲方使用的，每逾期一日，乙方须按合同价款的</w:t>
      </w:r>
      <w:r>
        <w:rPr>
          <w:rFonts w:hint="eastAsia" w:eastAsia="仿宋"/>
          <w:highlight w:val="none"/>
          <w:u w:val="single"/>
        </w:rPr>
        <w:t>0.5%</w:t>
      </w:r>
      <w:r>
        <w:rPr>
          <w:rFonts w:hint="eastAsia" w:eastAsia="仿宋"/>
          <w:highlight w:val="none"/>
        </w:rPr>
        <w:t>向甲方支付违约金。</w:t>
      </w:r>
    </w:p>
    <w:p w14:paraId="06CE7E5C">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6</w:t>
      </w:r>
      <w:r>
        <w:rPr>
          <w:rFonts w:hint="eastAsia" w:eastAsia="仿宋"/>
          <w:highlight w:val="none"/>
          <w:lang w:val="en-US" w:eastAsia="zh-CN"/>
        </w:rPr>
        <w:t xml:space="preserve"> </w:t>
      </w:r>
      <w:r>
        <w:rPr>
          <w:rFonts w:hint="eastAsia" w:eastAsia="仿宋"/>
          <w:highlight w:val="none"/>
        </w:rPr>
        <w:t>乙方发生下列情形之一，甲方有权解除本合同</w:t>
      </w:r>
      <w:r>
        <w:rPr>
          <w:rFonts w:hint="eastAsia" w:eastAsia="仿宋"/>
          <w:highlight w:val="none"/>
          <w:lang w:val="en-US" w:eastAsia="zh-CN"/>
        </w:rPr>
        <w:t>并不予退还履约保证金，</w:t>
      </w:r>
      <w:r>
        <w:rPr>
          <w:rFonts w:hint="eastAsia" w:eastAsia="仿宋"/>
          <w:highlight w:val="none"/>
        </w:rPr>
        <w:t>甲方因合同解除而遭受损失的，乙方</w:t>
      </w:r>
      <w:r>
        <w:rPr>
          <w:rFonts w:hint="eastAsia" w:eastAsia="仿宋"/>
          <w:highlight w:val="none"/>
          <w:lang w:val="en-US" w:eastAsia="zh-CN"/>
        </w:rPr>
        <w:t>还</w:t>
      </w:r>
      <w:r>
        <w:rPr>
          <w:rFonts w:hint="eastAsia" w:eastAsia="仿宋"/>
          <w:highlight w:val="none"/>
        </w:rPr>
        <w:t>应承担赔偿责任：</w:t>
      </w:r>
    </w:p>
    <w:p w14:paraId="5F3FBCD4">
      <w:pPr>
        <w:spacing w:line="360" w:lineRule="auto"/>
        <w:rPr>
          <w:rFonts w:eastAsia="仿宋"/>
          <w:highlight w:val="none"/>
        </w:rPr>
      </w:pPr>
      <w:r>
        <w:rPr>
          <w:rFonts w:hint="eastAsia" w:eastAsia="仿宋"/>
          <w:highlight w:val="none"/>
        </w:rPr>
        <w:t>1）因乙方未能按照本合同规定，导致工程开工延误</w:t>
      </w:r>
      <w:r>
        <w:rPr>
          <w:rFonts w:hint="eastAsia" w:eastAsia="仿宋"/>
          <w:highlight w:val="none"/>
          <w:u w:val="single"/>
        </w:rPr>
        <w:t>20日</w:t>
      </w:r>
      <w:r>
        <w:rPr>
          <w:rFonts w:hint="eastAsia" w:eastAsia="仿宋"/>
          <w:highlight w:val="none"/>
        </w:rPr>
        <w:t>以上；</w:t>
      </w:r>
    </w:p>
    <w:p w14:paraId="57CC1CE5">
      <w:pPr>
        <w:spacing w:line="360" w:lineRule="auto"/>
        <w:rPr>
          <w:rFonts w:eastAsia="仿宋"/>
          <w:highlight w:val="none"/>
        </w:rPr>
      </w:pPr>
      <w:r>
        <w:rPr>
          <w:rFonts w:hint="eastAsia" w:eastAsia="仿宋"/>
          <w:highlight w:val="none"/>
        </w:rPr>
        <w:t>2）因乙方原因导致工程未能在本合同约定的期限内完工，且工期延误</w:t>
      </w:r>
      <w:r>
        <w:rPr>
          <w:rFonts w:hint="eastAsia" w:eastAsia="仿宋"/>
          <w:highlight w:val="none"/>
          <w:u w:val="single"/>
        </w:rPr>
        <w:t>30日</w:t>
      </w:r>
      <w:r>
        <w:rPr>
          <w:rFonts w:hint="eastAsia" w:eastAsia="仿宋"/>
          <w:highlight w:val="none"/>
        </w:rPr>
        <w:t>以上；</w:t>
      </w:r>
    </w:p>
    <w:p w14:paraId="581A71E4">
      <w:pPr>
        <w:spacing w:line="360" w:lineRule="auto"/>
        <w:rPr>
          <w:rFonts w:eastAsia="仿宋"/>
          <w:highlight w:val="none"/>
        </w:rPr>
      </w:pPr>
      <w:r>
        <w:rPr>
          <w:rFonts w:hint="eastAsia" w:eastAsia="仿宋"/>
          <w:highlight w:val="none"/>
        </w:rPr>
        <w:t>3）乙方违反本合同第六条的规定，导致发生安全事故的；</w:t>
      </w:r>
    </w:p>
    <w:p w14:paraId="377EB593">
      <w:pPr>
        <w:spacing w:line="360" w:lineRule="auto"/>
        <w:rPr>
          <w:rFonts w:eastAsia="仿宋"/>
          <w:highlight w:val="none"/>
        </w:rPr>
      </w:pPr>
      <w:r>
        <w:rPr>
          <w:rFonts w:hint="eastAsia" w:eastAsia="仿宋"/>
          <w:highlight w:val="none"/>
        </w:rPr>
        <w:t>4）乙方违反本合同项下的其他义务，并且在甲方发出违约通知后</w:t>
      </w:r>
      <w:r>
        <w:rPr>
          <w:rFonts w:hint="eastAsia" w:eastAsia="仿宋"/>
          <w:highlight w:val="none"/>
          <w:u w:val="single"/>
        </w:rPr>
        <w:t>10</w:t>
      </w:r>
      <w:r>
        <w:rPr>
          <w:rFonts w:hint="eastAsia" w:eastAsia="仿宋"/>
          <w:highlight w:val="none"/>
        </w:rPr>
        <w:t>天内或在违约通知限定的期限内仍未纠正，或纠正后仍不符合本合同的约定或甲方要求。</w:t>
      </w:r>
    </w:p>
    <w:p w14:paraId="46F65E24">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7</w:t>
      </w:r>
      <w:r>
        <w:rPr>
          <w:rFonts w:hint="eastAsia" w:eastAsia="仿宋"/>
          <w:highlight w:val="none"/>
          <w:lang w:val="en-US" w:eastAsia="zh-CN"/>
        </w:rPr>
        <w:t xml:space="preserve"> </w:t>
      </w:r>
      <w:r>
        <w:rPr>
          <w:rFonts w:hint="eastAsia" w:eastAsia="仿宋"/>
          <w:highlight w:val="none"/>
        </w:rPr>
        <w:t>在合同履行期间，擅自解除合同方，应按合同总金额的20％作为违约金付给</w:t>
      </w:r>
      <w:r>
        <w:rPr>
          <w:rFonts w:hint="eastAsia" w:eastAsia="仿宋"/>
          <w:highlight w:val="none"/>
          <w:lang w:val="en-US" w:eastAsia="zh-CN"/>
        </w:rPr>
        <w:t>守约</w:t>
      </w:r>
      <w:r>
        <w:rPr>
          <w:rFonts w:hint="eastAsia" w:eastAsia="仿宋"/>
          <w:highlight w:val="none"/>
        </w:rPr>
        <w:t>方。因擅自解除合同，使对方造成的实际损失超过违约金的，责任方应足额赔偿另一方损失。</w:t>
      </w:r>
    </w:p>
    <w:p w14:paraId="26ED1767">
      <w:pPr>
        <w:pageBreakBefore w:val="0"/>
        <w:kinsoku/>
        <w:wordWrap/>
        <w:overflowPunct/>
        <w:topLinePunct w:val="0"/>
        <w:bidi w:val="0"/>
        <w:snapToGrid/>
        <w:spacing w:line="360" w:lineRule="auto"/>
        <w:textAlignment w:val="auto"/>
        <w:rPr>
          <w:rFonts w:hint="eastAsia" w:eastAsia="仿宋"/>
          <w:highlight w:val="none"/>
        </w:rPr>
      </w:pPr>
      <w:r>
        <w:rPr>
          <w:rFonts w:hint="eastAsia" w:eastAsia="仿宋"/>
          <w:highlight w:val="none"/>
        </w:rPr>
        <w:t>10</w:t>
      </w:r>
      <w:r>
        <w:rPr>
          <w:rFonts w:eastAsia="仿宋"/>
          <w:highlight w:val="none"/>
        </w:rPr>
        <w:t>.</w:t>
      </w:r>
      <w:r>
        <w:rPr>
          <w:rFonts w:hint="eastAsia" w:eastAsia="仿宋"/>
          <w:highlight w:val="none"/>
        </w:rPr>
        <w:t>8</w:t>
      </w:r>
      <w:r>
        <w:rPr>
          <w:rFonts w:hint="eastAsia" w:eastAsia="仿宋"/>
          <w:highlight w:val="none"/>
          <w:lang w:val="en-US" w:eastAsia="zh-CN"/>
        </w:rPr>
        <w:t xml:space="preserve"> </w:t>
      </w:r>
      <w:r>
        <w:rPr>
          <w:rFonts w:hint="eastAsia" w:ascii="仿宋" w:hAnsi="仿宋" w:eastAsia="仿宋" w:cs="仿宋"/>
          <w:sz w:val="24"/>
          <w:szCs w:val="24"/>
          <w:highlight w:val="none"/>
          <w:lang w:eastAsia="zh-CN"/>
        </w:rPr>
        <w:t>本合同所称不可抗力事件指合同当事人不能预见、不能避免、不能克服的客观情况，包括但不限于地震、</w:t>
      </w:r>
      <w:r>
        <w:rPr>
          <w:rFonts w:hint="eastAsia" w:ascii="仿宋" w:hAnsi="仿宋" w:eastAsia="仿宋" w:cs="仿宋"/>
          <w:sz w:val="24"/>
          <w:szCs w:val="24"/>
          <w:highlight w:val="none"/>
          <w:lang w:val="en-US" w:eastAsia="zh-CN"/>
        </w:rPr>
        <w:t>火灾、</w:t>
      </w:r>
      <w:r>
        <w:rPr>
          <w:rFonts w:hint="eastAsia" w:ascii="仿宋" w:hAnsi="仿宋" w:eastAsia="仿宋" w:cs="仿宋"/>
          <w:sz w:val="24"/>
          <w:szCs w:val="24"/>
          <w:highlight w:val="none"/>
          <w:lang w:eastAsia="zh-CN"/>
        </w:rPr>
        <w:t>水灾、雷击、雪灾等天灾，战争、恐怖袭击、内乱、</w:t>
      </w:r>
      <w:r>
        <w:rPr>
          <w:rFonts w:hint="eastAsia" w:ascii="仿宋" w:hAnsi="仿宋" w:eastAsia="仿宋" w:cs="仿宋"/>
          <w:sz w:val="24"/>
          <w:szCs w:val="24"/>
          <w:highlight w:val="none"/>
          <w:lang w:val="en-US" w:eastAsia="zh-CN"/>
        </w:rPr>
        <w:t>疫情等</w:t>
      </w:r>
      <w:r>
        <w:rPr>
          <w:rFonts w:hint="eastAsia" w:ascii="仿宋" w:hAnsi="仿宋" w:eastAsia="仿宋" w:cs="仿宋"/>
          <w:sz w:val="24"/>
          <w:szCs w:val="24"/>
          <w:highlight w:val="none"/>
          <w:lang w:eastAsia="zh-CN"/>
        </w:rPr>
        <w:t>严重威胁安全或健康的情形。</w:t>
      </w:r>
      <w:r>
        <w:rPr>
          <w:rFonts w:hint="eastAsia" w:eastAsia="仿宋"/>
          <w:highlight w:val="none"/>
        </w:rPr>
        <w:t>因不可抗力使本合同的履行受到影响的，受不可抗力影响方应于该事由发生后</w:t>
      </w:r>
      <w:r>
        <w:rPr>
          <w:rFonts w:hint="eastAsia" w:eastAsia="仿宋"/>
          <w:highlight w:val="none"/>
          <w:u w:val="single"/>
        </w:rPr>
        <w:t>10</w:t>
      </w:r>
      <w:r>
        <w:rPr>
          <w:rFonts w:hint="eastAsia" w:eastAsia="仿宋"/>
          <w:highlight w:val="none"/>
        </w:rPr>
        <w:t>日内通知对方并提供相关证明。双方可根据受不可抗力影响的程度决定全部或部分免除本合同项下义务或解除本合同。因不可抗力导致的合同义务减免或合同终止，双方均不承担责任。</w:t>
      </w:r>
    </w:p>
    <w:p w14:paraId="03D2E371">
      <w:pPr>
        <w:spacing w:line="360" w:lineRule="auto"/>
        <w:rPr>
          <w:rFonts w:hint="eastAsia" w:eastAsia="仿宋"/>
          <w:b/>
          <w:highlight w:val="none"/>
          <w:lang w:eastAsia="zh-CN"/>
        </w:rPr>
      </w:pPr>
      <w:bookmarkStart w:id="352" w:name="_Toc424651548"/>
      <w:r>
        <w:rPr>
          <w:rFonts w:hint="eastAsia" w:eastAsia="仿宋"/>
          <w:b/>
          <w:highlight w:val="none"/>
          <w:lang w:val="en-US" w:eastAsia="zh-CN"/>
        </w:rPr>
        <w:t>十一、</w:t>
      </w:r>
      <w:r>
        <w:rPr>
          <w:rFonts w:hint="eastAsia" w:eastAsia="仿宋"/>
          <w:b/>
          <w:highlight w:val="none"/>
          <w:lang w:eastAsia="zh-CN"/>
        </w:rPr>
        <w:t>通知</w:t>
      </w:r>
      <w:bookmarkEnd w:id="352"/>
    </w:p>
    <w:p w14:paraId="705DF8D7">
      <w:pPr>
        <w:spacing w:line="360" w:lineRule="auto"/>
        <w:rPr>
          <w:rFonts w:hint="eastAsia" w:eastAsia="仿宋"/>
          <w:b w:val="0"/>
          <w:bCs/>
          <w:highlight w:val="none"/>
          <w:lang w:eastAsia="zh-CN"/>
        </w:rPr>
      </w:pPr>
      <w:r>
        <w:rPr>
          <w:rFonts w:hint="eastAsia" w:eastAsia="仿宋"/>
          <w:b w:val="0"/>
          <w:bCs/>
          <w:highlight w:val="none"/>
          <w:lang w:val="en-US" w:eastAsia="zh-CN"/>
        </w:rPr>
        <w:t xml:space="preserve">11.1 </w:t>
      </w:r>
      <w:r>
        <w:rPr>
          <w:rFonts w:hint="eastAsia" w:eastAsia="仿宋"/>
          <w:b w:val="0"/>
          <w:bCs/>
          <w:highlight w:val="none"/>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5ABBDB6">
      <w:pPr>
        <w:spacing w:line="360" w:lineRule="auto"/>
        <w:rPr>
          <w:rFonts w:hint="eastAsia" w:eastAsia="仿宋"/>
          <w:b w:val="0"/>
          <w:bCs/>
          <w:highlight w:val="none"/>
          <w:lang w:eastAsia="zh-CN"/>
        </w:rPr>
      </w:pPr>
      <w:r>
        <w:rPr>
          <w:rFonts w:hint="eastAsia" w:eastAsia="仿宋"/>
          <w:b w:val="0"/>
          <w:bCs/>
          <w:highlight w:val="none"/>
          <w:lang w:eastAsia="zh-CN"/>
        </w:rPr>
        <w:t>各方的联络及通讯方法以各方的下列信息为准：</w:t>
      </w:r>
    </w:p>
    <w:p w14:paraId="7E86F170">
      <w:pPr>
        <w:spacing w:line="360" w:lineRule="auto"/>
        <w:rPr>
          <w:rFonts w:hint="eastAsia" w:eastAsia="仿宋"/>
          <w:b w:val="0"/>
          <w:bCs/>
          <w:highlight w:val="none"/>
          <w:lang w:val="en-US" w:eastAsia="zh-CN"/>
        </w:rPr>
      </w:pPr>
      <w:r>
        <w:rPr>
          <w:rFonts w:hint="eastAsia" w:eastAsia="仿宋"/>
          <w:b w:val="0"/>
          <w:bCs/>
          <w:highlight w:val="none"/>
          <w:lang w:val="en-US" w:eastAsia="zh-CN"/>
        </w:rPr>
        <w:t xml:space="preserve">甲方： </w:t>
      </w:r>
    </w:p>
    <w:p w14:paraId="20BDD487">
      <w:pPr>
        <w:spacing w:line="360" w:lineRule="auto"/>
        <w:rPr>
          <w:rFonts w:hint="eastAsia" w:eastAsia="仿宋"/>
          <w:b w:val="0"/>
          <w:bCs/>
          <w:highlight w:val="none"/>
          <w:lang w:val="en-US" w:eastAsia="zh-CN"/>
        </w:rPr>
      </w:pPr>
      <w:r>
        <w:rPr>
          <w:rFonts w:hint="eastAsia" w:eastAsia="仿宋"/>
          <w:b w:val="0"/>
          <w:bCs/>
          <w:highlight w:val="none"/>
          <w:lang w:val="en-US" w:eastAsia="zh-CN"/>
        </w:rPr>
        <w:t>地址：</w:t>
      </w:r>
    </w:p>
    <w:p w14:paraId="40352DA1">
      <w:pPr>
        <w:spacing w:line="360" w:lineRule="auto"/>
        <w:rPr>
          <w:rFonts w:hint="eastAsia" w:eastAsia="仿宋"/>
          <w:b w:val="0"/>
          <w:bCs/>
          <w:highlight w:val="none"/>
          <w:lang w:eastAsia="zh-CN"/>
        </w:rPr>
      </w:pPr>
      <w:r>
        <w:rPr>
          <w:rFonts w:hint="eastAsia" w:eastAsia="仿宋"/>
          <w:b w:val="0"/>
          <w:bCs/>
          <w:highlight w:val="none"/>
          <w:lang w:val="en-US" w:eastAsia="zh-CN"/>
        </w:rPr>
        <w:t>电话：</w:t>
      </w:r>
    </w:p>
    <w:p w14:paraId="3C608947">
      <w:pPr>
        <w:spacing w:line="360" w:lineRule="auto"/>
        <w:rPr>
          <w:rFonts w:hint="eastAsia" w:eastAsia="仿宋"/>
          <w:b w:val="0"/>
          <w:bCs/>
          <w:highlight w:val="none"/>
          <w:lang w:eastAsia="zh-CN"/>
        </w:rPr>
      </w:pPr>
      <w:r>
        <w:rPr>
          <w:rFonts w:hint="eastAsia" w:eastAsia="仿宋"/>
          <w:b w:val="0"/>
          <w:bCs/>
          <w:highlight w:val="none"/>
          <w:lang w:eastAsia="zh-CN"/>
        </w:rPr>
        <w:t>收件人：_____________________</w:t>
      </w:r>
    </w:p>
    <w:p w14:paraId="30211E70">
      <w:pPr>
        <w:spacing w:line="360" w:lineRule="auto"/>
        <w:rPr>
          <w:rFonts w:hint="eastAsia" w:eastAsia="仿宋"/>
          <w:b w:val="0"/>
          <w:bCs/>
          <w:highlight w:val="none"/>
          <w:lang w:eastAsia="zh-CN"/>
        </w:rPr>
      </w:pPr>
      <w:r>
        <w:rPr>
          <w:rFonts w:hint="eastAsia" w:eastAsia="仿宋"/>
          <w:b w:val="0"/>
          <w:bCs/>
          <w:highlight w:val="none"/>
          <w:lang w:eastAsia="zh-CN"/>
        </w:rPr>
        <w:t>联系人：_____________________</w:t>
      </w:r>
    </w:p>
    <w:p w14:paraId="5D70738B">
      <w:pPr>
        <w:spacing w:line="360" w:lineRule="auto"/>
        <w:rPr>
          <w:rFonts w:hint="eastAsia" w:eastAsia="仿宋"/>
          <w:b w:val="0"/>
          <w:bCs/>
          <w:highlight w:val="none"/>
          <w:lang w:eastAsia="zh-CN"/>
        </w:rPr>
      </w:pPr>
    </w:p>
    <w:p w14:paraId="743D5C09">
      <w:pPr>
        <w:spacing w:line="360" w:lineRule="auto"/>
        <w:rPr>
          <w:rFonts w:hint="eastAsia" w:eastAsia="仿宋"/>
          <w:b w:val="0"/>
          <w:bCs/>
          <w:highlight w:val="none"/>
          <w:lang w:eastAsia="zh-CN"/>
        </w:rPr>
      </w:pPr>
      <w:r>
        <w:rPr>
          <w:rFonts w:hint="eastAsia" w:eastAsia="仿宋"/>
          <w:b w:val="0"/>
          <w:bCs/>
          <w:highlight w:val="none"/>
          <w:lang w:eastAsia="zh-CN"/>
        </w:rPr>
        <w:t>乙方：</w:t>
      </w:r>
    </w:p>
    <w:p w14:paraId="5DC89FF7">
      <w:pPr>
        <w:spacing w:line="360" w:lineRule="auto"/>
        <w:rPr>
          <w:rFonts w:hint="eastAsia" w:eastAsia="仿宋"/>
          <w:b w:val="0"/>
          <w:bCs/>
          <w:highlight w:val="none"/>
          <w:lang w:eastAsia="zh-CN"/>
        </w:rPr>
      </w:pPr>
      <w:r>
        <w:rPr>
          <w:rFonts w:hint="eastAsia" w:eastAsia="仿宋"/>
          <w:b w:val="0"/>
          <w:bCs/>
          <w:highlight w:val="none"/>
          <w:lang w:eastAsia="zh-CN"/>
        </w:rPr>
        <w:t>地址：_____________________</w:t>
      </w:r>
    </w:p>
    <w:p w14:paraId="573A37F1">
      <w:pPr>
        <w:spacing w:line="360" w:lineRule="auto"/>
        <w:rPr>
          <w:rFonts w:hint="eastAsia" w:eastAsia="仿宋"/>
          <w:b w:val="0"/>
          <w:bCs/>
          <w:highlight w:val="none"/>
          <w:lang w:eastAsia="zh-CN"/>
        </w:rPr>
      </w:pPr>
      <w:r>
        <w:rPr>
          <w:rFonts w:hint="eastAsia" w:eastAsia="仿宋"/>
          <w:b w:val="0"/>
          <w:bCs/>
          <w:highlight w:val="none"/>
          <w:lang w:eastAsia="zh-CN"/>
        </w:rPr>
        <w:t>电话：_____________________</w:t>
      </w:r>
    </w:p>
    <w:p w14:paraId="75D5F75A">
      <w:pPr>
        <w:spacing w:line="360" w:lineRule="auto"/>
        <w:rPr>
          <w:rFonts w:hint="eastAsia" w:eastAsia="仿宋"/>
          <w:b w:val="0"/>
          <w:bCs/>
          <w:highlight w:val="none"/>
          <w:lang w:eastAsia="zh-CN"/>
        </w:rPr>
      </w:pPr>
      <w:r>
        <w:rPr>
          <w:rFonts w:hint="eastAsia" w:eastAsia="仿宋"/>
          <w:b w:val="0"/>
          <w:bCs/>
          <w:highlight w:val="none"/>
          <w:lang w:eastAsia="zh-CN"/>
        </w:rPr>
        <w:t>收件人：____________________</w:t>
      </w:r>
    </w:p>
    <w:p w14:paraId="6FC567FA">
      <w:pPr>
        <w:spacing w:line="360" w:lineRule="auto"/>
        <w:rPr>
          <w:rFonts w:hint="eastAsia" w:eastAsia="仿宋"/>
          <w:b w:val="0"/>
          <w:bCs/>
          <w:highlight w:val="none"/>
          <w:lang w:eastAsia="zh-CN"/>
        </w:rPr>
      </w:pPr>
      <w:r>
        <w:rPr>
          <w:rFonts w:hint="eastAsia" w:eastAsia="仿宋"/>
          <w:b w:val="0"/>
          <w:bCs/>
          <w:highlight w:val="none"/>
          <w:lang w:eastAsia="zh-CN"/>
        </w:rPr>
        <w:t>联系人：__________________</w:t>
      </w:r>
    </w:p>
    <w:p w14:paraId="127EBB1F">
      <w:pPr>
        <w:spacing w:line="360" w:lineRule="auto"/>
        <w:rPr>
          <w:rFonts w:hint="eastAsia" w:eastAsia="仿宋"/>
          <w:b w:val="0"/>
          <w:bCs/>
          <w:highlight w:val="none"/>
          <w:lang w:val="en-US" w:eastAsia="zh-CN"/>
        </w:rPr>
      </w:pPr>
      <w:r>
        <w:rPr>
          <w:rFonts w:hint="eastAsia" w:eastAsia="仿宋"/>
          <w:b w:val="0"/>
          <w:bCs/>
          <w:highlight w:val="none"/>
          <w:lang w:val="en-US" w:eastAsia="zh-CN"/>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1179729">
      <w:pPr>
        <w:spacing w:line="360" w:lineRule="auto"/>
        <w:rPr>
          <w:rFonts w:hint="eastAsia" w:eastAsia="仿宋"/>
          <w:b w:val="0"/>
          <w:bCs/>
          <w:highlight w:val="none"/>
        </w:rPr>
      </w:pPr>
      <w:r>
        <w:rPr>
          <w:rFonts w:hint="eastAsia" w:eastAsia="仿宋"/>
          <w:b w:val="0"/>
          <w:bCs/>
          <w:highlight w:val="none"/>
          <w:lang w:val="en-US" w:eastAsia="zh-CN"/>
        </w:rPr>
        <w:t>11.3 本条款为独立条款，不受协议整体或其他条款的效力的影响，始终有效。</w:t>
      </w:r>
    </w:p>
    <w:p w14:paraId="5821E501">
      <w:pPr>
        <w:spacing w:line="360" w:lineRule="auto"/>
        <w:rPr>
          <w:rFonts w:eastAsia="仿宋"/>
          <w:b/>
          <w:highlight w:val="none"/>
        </w:rPr>
      </w:pPr>
      <w:r>
        <w:rPr>
          <w:rFonts w:hint="eastAsia" w:eastAsia="仿宋"/>
          <w:b/>
          <w:highlight w:val="none"/>
        </w:rPr>
        <w:t>十</w:t>
      </w:r>
      <w:r>
        <w:rPr>
          <w:rFonts w:hint="eastAsia" w:eastAsia="仿宋"/>
          <w:b/>
          <w:highlight w:val="none"/>
          <w:lang w:val="en-US" w:eastAsia="zh-CN"/>
        </w:rPr>
        <w:t>二</w:t>
      </w:r>
      <w:r>
        <w:rPr>
          <w:rFonts w:hint="eastAsia" w:eastAsia="仿宋"/>
          <w:b/>
          <w:highlight w:val="none"/>
        </w:rPr>
        <w:t>、争议解决</w:t>
      </w:r>
    </w:p>
    <w:p w14:paraId="0A93F26D">
      <w:pPr>
        <w:spacing w:line="360" w:lineRule="auto"/>
        <w:ind w:firstLine="420" w:firstLineChars="200"/>
        <w:rPr>
          <w:rFonts w:hint="eastAsia" w:eastAsia="仿宋"/>
          <w:b/>
          <w:highlight w:val="none"/>
          <w:lang w:val="en-US" w:eastAsia="zh-CN"/>
        </w:rPr>
      </w:pPr>
      <w:r>
        <w:rPr>
          <w:rFonts w:hint="eastAsia" w:eastAsia="仿宋"/>
          <w:highlight w:val="none"/>
        </w:rPr>
        <w:t>因履行合同所发生的或与本合同有关的一切争议，双方应通过友好协商解决。如果双方协商不成，任何一方可向</w:t>
      </w:r>
      <w:r>
        <w:rPr>
          <w:rFonts w:hint="eastAsia" w:eastAsia="仿宋"/>
          <w:highlight w:val="none"/>
          <w:lang w:val="en-US" w:eastAsia="zh-CN"/>
        </w:rPr>
        <w:t>甲方</w:t>
      </w:r>
      <w:r>
        <w:rPr>
          <w:rFonts w:hint="eastAsia" w:eastAsia="仿宋"/>
          <w:highlight w:val="none"/>
        </w:rPr>
        <w:t>所在地有管辖权的人民法院起诉。</w:t>
      </w:r>
    </w:p>
    <w:p w14:paraId="34F2CA80">
      <w:pPr>
        <w:spacing w:line="360" w:lineRule="auto"/>
        <w:rPr>
          <w:rFonts w:hint="default" w:eastAsia="仿宋"/>
          <w:b/>
          <w:highlight w:val="none"/>
          <w:lang w:val="en-US" w:eastAsia="zh-CN"/>
        </w:rPr>
      </w:pPr>
      <w:r>
        <w:rPr>
          <w:rFonts w:hint="eastAsia" w:eastAsia="仿宋"/>
          <w:b/>
          <w:highlight w:val="none"/>
          <w:lang w:val="en-US" w:eastAsia="zh-CN"/>
        </w:rPr>
        <w:t>十三、廉洁规范条款</w:t>
      </w:r>
    </w:p>
    <w:p w14:paraId="395FE2DD">
      <w:pPr>
        <w:spacing w:line="360" w:lineRule="auto"/>
        <w:ind w:firstLine="420" w:firstLineChars="200"/>
        <w:rPr>
          <w:rFonts w:hint="eastAsia" w:eastAsia="仿宋"/>
          <w:highlight w:val="none"/>
          <w:lang w:val="zh-CN"/>
        </w:rPr>
      </w:pPr>
      <w:r>
        <w:rPr>
          <w:rFonts w:hint="eastAsia" w:eastAsia="仿宋"/>
          <w:highlight w:val="none"/>
          <w:lang w:val="en-US" w:eastAsia="zh-CN"/>
        </w:rPr>
        <w:t>合同各方</w:t>
      </w:r>
      <w:r>
        <w:rPr>
          <w:rFonts w:hint="eastAsia" w:eastAsia="仿宋"/>
          <w:highlight w:val="none"/>
        </w:rPr>
        <w:t>承诺：在</w:t>
      </w:r>
      <w:r>
        <w:rPr>
          <w:rFonts w:hint="eastAsia" w:eastAsia="仿宋"/>
          <w:highlight w:val="none"/>
          <w:lang w:val="en-US" w:eastAsia="zh-CN"/>
        </w:rPr>
        <w:t>本项目实施</w:t>
      </w:r>
      <w:r>
        <w:rPr>
          <w:rFonts w:hint="eastAsia" w:eastAsia="仿宋"/>
          <w:highlight w:val="none"/>
        </w:rPr>
        <w:t>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w:t>
      </w:r>
      <w:r>
        <w:rPr>
          <w:rFonts w:hint="eastAsia" w:eastAsia="仿宋"/>
          <w:highlight w:val="none"/>
          <w:lang w:eastAsia="zh-CN"/>
        </w:rPr>
        <w:t>合同，</w:t>
      </w:r>
      <w:r>
        <w:rPr>
          <w:rFonts w:hint="eastAsia" w:ascii="仿宋" w:hAnsi="仿宋" w:eastAsia="仿宋" w:cs="仿宋"/>
          <w:color w:val="000000"/>
          <w:sz w:val="24"/>
          <w:highlight w:val="none"/>
          <w:lang w:val="en-US" w:eastAsia="zh-CN"/>
        </w:rPr>
        <w:t>甲方解除本合同的，有权不予退还乙方履约保证金</w:t>
      </w:r>
      <w:r>
        <w:rPr>
          <w:rFonts w:hint="eastAsia" w:eastAsia="仿宋"/>
          <w:highlight w:val="none"/>
        </w:rPr>
        <w:t>。</w:t>
      </w:r>
    </w:p>
    <w:p w14:paraId="5F5EB6C0">
      <w:pPr>
        <w:spacing w:line="360" w:lineRule="auto"/>
        <w:rPr>
          <w:rFonts w:eastAsia="仿宋"/>
          <w:b/>
          <w:highlight w:val="none"/>
        </w:rPr>
      </w:pPr>
      <w:r>
        <w:rPr>
          <w:rFonts w:hint="eastAsia" w:eastAsia="仿宋"/>
          <w:b/>
          <w:highlight w:val="none"/>
        </w:rPr>
        <w:t>十</w:t>
      </w:r>
      <w:r>
        <w:rPr>
          <w:rFonts w:hint="eastAsia" w:eastAsia="仿宋"/>
          <w:b/>
          <w:highlight w:val="none"/>
          <w:lang w:val="en-US" w:eastAsia="zh-CN"/>
        </w:rPr>
        <w:t>四</w:t>
      </w:r>
      <w:r>
        <w:rPr>
          <w:rFonts w:hint="eastAsia" w:eastAsia="仿宋"/>
          <w:b/>
          <w:highlight w:val="none"/>
        </w:rPr>
        <w:t>、附则</w:t>
      </w:r>
    </w:p>
    <w:p w14:paraId="21516AD2">
      <w:pPr>
        <w:spacing w:line="360" w:lineRule="auto"/>
        <w:rPr>
          <w:rFonts w:eastAsia="仿宋"/>
          <w:highlight w:val="none"/>
        </w:rPr>
      </w:pPr>
      <w:r>
        <w:rPr>
          <w:rFonts w:eastAsia="仿宋"/>
          <w:highlight w:val="none"/>
        </w:rPr>
        <w:t>1</w:t>
      </w:r>
      <w:r>
        <w:rPr>
          <w:rFonts w:hint="eastAsia" w:eastAsia="仿宋"/>
          <w:highlight w:val="none"/>
          <w:lang w:val="en-US" w:eastAsia="zh-CN"/>
        </w:rPr>
        <w:t>4</w:t>
      </w:r>
      <w:r>
        <w:rPr>
          <w:rFonts w:eastAsia="仿宋"/>
          <w:highlight w:val="none"/>
        </w:rPr>
        <w:t xml:space="preserve">.1 </w:t>
      </w:r>
      <w:bookmarkStart w:id="353" w:name="_Toc478650037"/>
      <w:r>
        <w:rPr>
          <w:rFonts w:hint="eastAsia" w:eastAsia="仿宋"/>
          <w:highlight w:val="none"/>
        </w:rPr>
        <w:t>本合同经甲、乙双方法定代表人或授权代表人签名</w:t>
      </w:r>
      <w:r>
        <w:rPr>
          <w:rFonts w:hint="eastAsia" w:eastAsia="仿宋"/>
          <w:highlight w:val="none"/>
          <w:lang w:val="en-US" w:eastAsia="zh-CN"/>
        </w:rPr>
        <w:t>（如为授权代表签名，乙方需提交法定代表人授权委托书</w:t>
      </w:r>
      <w:r>
        <w:rPr>
          <w:rFonts w:hint="eastAsia" w:eastAsia="仿宋"/>
          <w:highlight w:val="none"/>
          <w:lang w:eastAsia="zh-CN"/>
        </w:rPr>
        <w:t>）</w:t>
      </w:r>
      <w:r>
        <w:rPr>
          <w:rFonts w:hint="eastAsia" w:eastAsia="仿宋"/>
          <w:highlight w:val="none"/>
        </w:rPr>
        <w:t>并加盖单位公章或者合同专用章后生效。</w:t>
      </w:r>
      <w:r>
        <w:rPr>
          <w:rFonts w:eastAsia="仿宋"/>
          <w:highlight w:val="none"/>
        </w:rPr>
        <w:t>未尽事宜，双方根据需要，经协商可另外签订补充</w:t>
      </w:r>
      <w:r>
        <w:rPr>
          <w:rFonts w:hint="eastAsia" w:eastAsia="仿宋"/>
          <w:highlight w:val="none"/>
          <w:lang w:eastAsia="zh-CN"/>
        </w:rPr>
        <w:t>合同</w:t>
      </w:r>
      <w:r>
        <w:rPr>
          <w:rFonts w:eastAsia="仿宋"/>
          <w:highlight w:val="none"/>
        </w:rPr>
        <w:t>。</w:t>
      </w:r>
      <w:bookmarkEnd w:id="353"/>
    </w:p>
    <w:p w14:paraId="0A67CA98">
      <w:pPr>
        <w:spacing w:line="360" w:lineRule="auto"/>
        <w:rPr>
          <w:rFonts w:eastAsia="仿宋"/>
          <w:highlight w:val="none"/>
        </w:rPr>
      </w:pPr>
      <w:r>
        <w:rPr>
          <w:rFonts w:eastAsia="仿宋"/>
          <w:highlight w:val="none"/>
        </w:rPr>
        <w:t>1</w:t>
      </w:r>
      <w:r>
        <w:rPr>
          <w:rFonts w:hint="eastAsia" w:eastAsia="仿宋"/>
          <w:highlight w:val="none"/>
          <w:lang w:val="en-US" w:eastAsia="zh-CN"/>
        </w:rPr>
        <w:t>4</w:t>
      </w:r>
      <w:r>
        <w:rPr>
          <w:rFonts w:eastAsia="仿宋"/>
          <w:highlight w:val="none"/>
        </w:rPr>
        <w:t>.2 本合同一式</w:t>
      </w:r>
      <w:r>
        <w:rPr>
          <w:rFonts w:eastAsia="仿宋"/>
          <w:highlight w:val="none"/>
          <w:u w:val="single"/>
        </w:rPr>
        <w:t>9</w:t>
      </w:r>
      <w:r>
        <w:rPr>
          <w:rFonts w:eastAsia="仿宋"/>
          <w:highlight w:val="none"/>
        </w:rPr>
        <w:t>份，其中正本</w:t>
      </w:r>
      <w:r>
        <w:rPr>
          <w:rFonts w:eastAsia="仿宋"/>
          <w:highlight w:val="none"/>
          <w:u w:val="single"/>
        </w:rPr>
        <w:t>3</w:t>
      </w:r>
      <w:r>
        <w:rPr>
          <w:rFonts w:eastAsia="仿宋"/>
          <w:highlight w:val="none"/>
        </w:rPr>
        <w:t>份，甲方执</w:t>
      </w:r>
      <w:r>
        <w:rPr>
          <w:rFonts w:eastAsia="仿宋"/>
          <w:highlight w:val="none"/>
          <w:u w:val="single"/>
        </w:rPr>
        <w:t>1</w:t>
      </w:r>
      <w:r>
        <w:rPr>
          <w:rFonts w:eastAsia="仿宋"/>
          <w:highlight w:val="none"/>
        </w:rPr>
        <w:t>份，乙方执</w:t>
      </w:r>
      <w:r>
        <w:rPr>
          <w:rFonts w:eastAsia="仿宋"/>
          <w:highlight w:val="none"/>
          <w:u w:val="single"/>
        </w:rPr>
        <w:t>2</w:t>
      </w:r>
      <w:r>
        <w:rPr>
          <w:rFonts w:eastAsia="仿宋"/>
          <w:highlight w:val="none"/>
        </w:rPr>
        <w:t>份；副本</w:t>
      </w:r>
      <w:r>
        <w:rPr>
          <w:rFonts w:eastAsia="仿宋"/>
          <w:highlight w:val="none"/>
          <w:u w:val="single"/>
        </w:rPr>
        <w:t>6</w:t>
      </w:r>
      <w:r>
        <w:rPr>
          <w:rFonts w:eastAsia="仿宋"/>
          <w:highlight w:val="none"/>
        </w:rPr>
        <w:t>份，甲方执</w:t>
      </w:r>
      <w:r>
        <w:rPr>
          <w:rFonts w:eastAsia="仿宋"/>
          <w:highlight w:val="none"/>
          <w:u w:val="single"/>
        </w:rPr>
        <w:t>4</w:t>
      </w:r>
      <w:r>
        <w:rPr>
          <w:rFonts w:eastAsia="仿宋"/>
          <w:highlight w:val="none"/>
        </w:rPr>
        <w:t>份，乙方执</w:t>
      </w:r>
      <w:r>
        <w:rPr>
          <w:rFonts w:eastAsia="仿宋"/>
          <w:highlight w:val="none"/>
          <w:u w:val="single"/>
        </w:rPr>
        <w:t>2</w:t>
      </w:r>
      <w:r>
        <w:rPr>
          <w:rFonts w:eastAsia="仿宋"/>
          <w:highlight w:val="none"/>
        </w:rPr>
        <w:t>份；</w:t>
      </w:r>
      <w:r>
        <w:rPr>
          <w:rFonts w:hint="eastAsia" w:eastAsia="仿宋"/>
          <w:highlight w:val="none"/>
        </w:rPr>
        <w:t>正本和副本</w:t>
      </w:r>
      <w:r>
        <w:rPr>
          <w:rFonts w:eastAsia="仿宋"/>
          <w:highlight w:val="none"/>
        </w:rPr>
        <w:t>具有同等的法律效力</w:t>
      </w:r>
      <w:r>
        <w:rPr>
          <w:rFonts w:hint="eastAsia" w:eastAsia="仿宋"/>
          <w:highlight w:val="none"/>
        </w:rPr>
        <w:t>，如有互相矛盾之处，以正本为准。</w:t>
      </w:r>
    </w:p>
    <w:p w14:paraId="681D6EC2">
      <w:pPr>
        <w:spacing w:line="360" w:lineRule="auto"/>
        <w:rPr>
          <w:rFonts w:eastAsia="仿宋"/>
          <w:highlight w:val="none"/>
        </w:rPr>
      </w:pPr>
      <w:r>
        <w:rPr>
          <w:rFonts w:hint="eastAsia" w:eastAsia="仿宋"/>
          <w:highlight w:val="none"/>
        </w:rPr>
        <w:t>1</w:t>
      </w:r>
      <w:r>
        <w:rPr>
          <w:rFonts w:hint="eastAsia" w:eastAsia="仿宋"/>
          <w:highlight w:val="none"/>
          <w:lang w:val="en-US" w:eastAsia="zh-CN"/>
        </w:rPr>
        <w:t>4</w:t>
      </w:r>
      <w:r>
        <w:rPr>
          <w:rFonts w:hint="eastAsia" w:eastAsia="仿宋"/>
          <w:highlight w:val="none"/>
        </w:rPr>
        <w:t>.3</w:t>
      </w:r>
      <w:r>
        <w:rPr>
          <w:rFonts w:hint="eastAsia" w:eastAsia="仿宋"/>
          <w:highlight w:val="none"/>
          <w:lang w:val="en-US" w:eastAsia="zh-CN"/>
        </w:rPr>
        <w:t xml:space="preserve"> </w:t>
      </w:r>
      <w:r>
        <w:rPr>
          <w:rFonts w:hint="eastAsia" w:eastAsia="仿宋"/>
          <w:highlight w:val="none"/>
        </w:rPr>
        <w:t>本合同的附件内容作为合同的组成部分，与本合同具有同等法律效力。</w:t>
      </w:r>
    </w:p>
    <w:p w14:paraId="3B7996CC">
      <w:pPr>
        <w:spacing w:line="360" w:lineRule="auto"/>
        <w:rPr>
          <w:rFonts w:eastAsia="仿宋"/>
          <w:b/>
          <w:bCs/>
          <w:highlight w:val="none"/>
        </w:rPr>
      </w:pPr>
      <w:r>
        <w:rPr>
          <w:rFonts w:hint="eastAsia" w:eastAsia="仿宋"/>
          <w:b/>
          <w:bCs/>
          <w:highlight w:val="none"/>
        </w:rPr>
        <w:t>十</w:t>
      </w:r>
      <w:r>
        <w:rPr>
          <w:rFonts w:hint="eastAsia" w:eastAsia="仿宋"/>
          <w:b/>
          <w:bCs/>
          <w:highlight w:val="none"/>
          <w:lang w:val="en-US" w:eastAsia="zh-CN"/>
        </w:rPr>
        <w:t>五</w:t>
      </w:r>
      <w:r>
        <w:rPr>
          <w:rFonts w:hint="eastAsia" w:eastAsia="仿宋"/>
          <w:b/>
          <w:bCs/>
          <w:highlight w:val="none"/>
        </w:rPr>
        <w:t>、合同附件</w:t>
      </w:r>
    </w:p>
    <w:p w14:paraId="3AB7E9DF">
      <w:pPr>
        <w:spacing w:line="360" w:lineRule="auto"/>
        <w:ind w:firstLine="420" w:firstLineChars="200"/>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rPr>
        <w:t>附件一：</w:t>
      </w:r>
      <w:r>
        <w:rPr>
          <w:rFonts w:hint="eastAsia" w:ascii="仿宋" w:hAnsi="仿宋" w:eastAsia="仿宋" w:cs="仿宋"/>
          <w:sz w:val="21"/>
          <w:szCs w:val="21"/>
          <w:highlight w:val="none"/>
          <w:lang w:val="en-US" w:eastAsia="zh-CN"/>
        </w:rPr>
        <w:t>用户</w:t>
      </w:r>
      <w:r>
        <w:rPr>
          <w:rFonts w:hint="eastAsia" w:ascii="仿宋" w:hAnsi="仿宋" w:eastAsia="仿宋" w:cs="仿宋"/>
          <w:sz w:val="21"/>
          <w:szCs w:val="21"/>
          <w:highlight w:val="none"/>
        </w:rPr>
        <w:t>需求书</w:t>
      </w:r>
    </w:p>
    <w:p w14:paraId="1E055B59">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附件二：价格明细表</w:t>
      </w:r>
    </w:p>
    <w:p w14:paraId="3FB2AA6E">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附件三：项目组成员</w:t>
      </w:r>
    </w:p>
    <w:p w14:paraId="0CCAA860">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附件四：拟投入设备一览表</w:t>
      </w:r>
    </w:p>
    <w:p w14:paraId="7DB29068">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附件五：乙方技术方案及承诺（</w:t>
      </w:r>
      <w:r>
        <w:rPr>
          <w:rFonts w:hint="eastAsia" w:ascii="仿宋" w:hAnsi="仿宋" w:eastAsia="仿宋" w:cs="仿宋"/>
          <w:sz w:val="21"/>
          <w:szCs w:val="21"/>
          <w:highlight w:val="none"/>
          <w:lang w:val="en-US" w:eastAsia="zh-CN"/>
        </w:rPr>
        <w:t>或</w:t>
      </w:r>
      <w:r>
        <w:rPr>
          <w:rFonts w:hint="eastAsia" w:ascii="仿宋" w:hAnsi="仿宋" w:eastAsia="仿宋" w:cs="仿宋"/>
          <w:sz w:val="21"/>
          <w:szCs w:val="21"/>
          <w:highlight w:val="none"/>
        </w:rPr>
        <w:t>授权书）</w:t>
      </w:r>
    </w:p>
    <w:p w14:paraId="74EC129F">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附件六：法定代表人授权书及法定代表人身份证复印件</w:t>
      </w:r>
    </w:p>
    <w:p w14:paraId="41E59E0E">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附件七：履约保证金收据/履约保函复印件</w:t>
      </w:r>
    </w:p>
    <w:p w14:paraId="29873A26">
      <w:pPr>
        <w:spacing w:line="360" w:lineRule="auto"/>
        <w:ind w:firstLine="420" w:firstLineChars="200"/>
        <w:rPr>
          <w:highlight w:val="none"/>
        </w:rPr>
      </w:pPr>
      <w:r>
        <w:rPr>
          <w:rFonts w:hint="eastAsia" w:ascii="仿宋" w:hAnsi="仿宋" w:eastAsia="仿宋" w:cs="仿宋"/>
          <w:sz w:val="21"/>
          <w:szCs w:val="21"/>
          <w:highlight w:val="none"/>
          <w:lang w:val="en-US" w:eastAsia="zh-CN"/>
        </w:rPr>
        <w:t>附件八：中标通知书/成交通知书复印件</w:t>
      </w:r>
    </w:p>
    <w:p w14:paraId="3DE23829">
      <w:pPr>
        <w:rPr>
          <w:highlight w:val="none"/>
        </w:rPr>
      </w:pPr>
    </w:p>
    <w:p w14:paraId="1BFC7788">
      <w:pPr>
        <w:rPr>
          <w:rFonts w:hint="eastAsia" w:hAnsi="宋体"/>
          <w:b/>
          <w:sz w:val="24"/>
          <w:szCs w:val="24"/>
          <w:highlight w:val="none"/>
        </w:rPr>
      </w:pPr>
    </w:p>
    <w:p w14:paraId="4D86F8F5">
      <w:pPr>
        <w:pStyle w:val="13"/>
        <w:spacing w:line="360" w:lineRule="exact"/>
        <w:jc w:val="center"/>
        <w:rPr>
          <w:rFonts w:hAnsi="宋体"/>
          <w:b/>
          <w:sz w:val="24"/>
          <w:szCs w:val="24"/>
          <w:highlight w:val="none"/>
        </w:rPr>
      </w:pPr>
      <w:r>
        <w:rPr>
          <w:rFonts w:hint="eastAsia" w:hAnsi="宋体"/>
          <w:b/>
          <w:sz w:val="24"/>
          <w:szCs w:val="24"/>
          <w:highlight w:val="none"/>
        </w:rPr>
        <w:t>（此页无正文，为合同签署页）</w:t>
      </w:r>
    </w:p>
    <w:p w14:paraId="61A8A274">
      <w:pPr>
        <w:pStyle w:val="13"/>
        <w:jc w:val="left"/>
        <w:rPr>
          <w:rFonts w:hAnsi="宋体"/>
          <w:b/>
          <w:sz w:val="24"/>
          <w:szCs w:val="24"/>
          <w:highlight w:val="none"/>
        </w:rPr>
      </w:pPr>
    </w:p>
    <w:p w14:paraId="382424A2">
      <w:pPr>
        <w:pStyle w:val="13"/>
        <w:jc w:val="left"/>
        <w:rPr>
          <w:rFonts w:hAnsi="宋体"/>
          <w:b/>
          <w:sz w:val="24"/>
          <w:szCs w:val="24"/>
          <w:highlight w:val="none"/>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8" name="文本框 8"/>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lCNMpckBAACGAwAADgAAAGRycy9lMm9Eb2MueG1srVPN&#10;jtMwEL4j8Q6W7zTdFKoSNV0JqnJBgLTwAK7jJJb8pxm3TV8A3oATF+48V5+DsZMty3LZAzk445nx&#10;N/N9Y69vB2vYUQFq72p+M5tzppz0jXZdzb983r1YcYZRuEYY71TNzwr57eb5s/UpVKr0vTeNAkYg&#10;DqtTqHkfY6iKAmWvrMCZD8pRsPVgRaQtdEUD4kTo1hTlfL4sTh6aAF4qRPJuxyCfEOEpgL5ttVRb&#10;Lw9WuTiigjIiEiXsdUC+yd22rZLxY9uiiszUnJjGvFIRsvdpLTZrUXUgQq/l1IJ4SguPOFmhHRW9&#10;Qm1FFOwA+h8oqyV49G2cSW+LkUhWhFjczB9pc9eLoDIXkhrDVXT8f7Dyw/ETMN3UnMbuhKWBX75/&#10;u/z4dfn5la2SPKeAFWXdBcqLwxs/0KW59yM5E+uhBZv+xIdRnMQ9X8VVQ2SSnOWqXL0uX3EmKbZY&#10;vlwsF1n+4s/xABjfKW9ZMmoONL0sqji+x0itUOp9SqqG3uhmp43JG+j2bw2wo6BJ7/KXuqQjf6UZ&#10;l5KdT8fG8OhR+a5MZRLlkVqy4rAfJh32vjmTDIcAuuupwyxEkZJoPLnYdJXS/B/uyX74f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UI0ylyQEAAIYDAAAOAAAAAAAAAAEAIAAAACcBAABk&#10;cnMvZTJvRG9jLnhtbFBLBQYAAAAABgAGAFkBAABiBQAAAAA=&#10;">
                <v:fill on="t" focussize="0,0"/>
                <v:stroke on="f"/>
                <v:imagedata o:title=""/>
                <o:lock v:ext="edit" aspectratio="f"/>
                <v:textbo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5" name="文本框 5"/>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A854F5A"/>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C5UmkvFAQAAhgMAAA4AAABkcnMvZTJvRG9jLnhtbK1TTY7TMBTe&#10;I3EHy3uatCjMEDUdaajKBgHSwAFcx04s+U9+bpNeAG7Aig17ztVz8OxkyjBsZjFZJO/P33vf95z1&#10;zWg0OYoAytmGLhclJcJy1yrbNfTrl92ra0ogMtsy7axo6EkAvdm8fLEefC1Wrne6FYEgiIV68A3t&#10;Y/R1UQDvhWGwcF5YTEoXDIvohq5oAxsQ3ehiVZZvisGF1gfHBQBGt1OSzojhKYBOSsXF1vGDETZO&#10;qEFoFpES9MoD3eRppRQ8fpISRCS6ocg05jc2QXuf3sVmzeouMN8rPo/AnjLCI06GKYtNL1BbFhk5&#10;BPUflFE8OHAyLrgzxUQkK4IsluUjbe565kXmglKDv4gOzwfLPx4/B6LahlaUWGZw4ecf388/f59/&#10;fSNVkmfwUGPVnce6ON66ES/NfRwwmFiPMpj0RT4E8yju6SKuGCPhGFxdV1dViSmOuddvr6olOohf&#10;/D3uA8T3whmSjIYG3F4WlR0/QJxK70tSN3BatTuldXZCt3+nAzky3PQuPzP6P2XapmLr0rEJcYqI&#10;fFfmNonyRC1ZcdyPsw57155QhoMPqutxwixEkYpwPZnKfJXS/h/6aD/8fT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AuVJpLxQEAAIYDAAAOAAAAAAAAAAEAIAAAACIBAABkcnMvZTJvRG9j&#10;LnhtbFBLBQYAAAAABgAGAFkBAABZBQAAAAA=&#10;">
                <v:fill on="t" focussize="0,0"/>
                <v:stroke on="f"/>
                <v:imagedata o:title=""/>
                <o:lock v:ext="edit" aspectratio="f"/>
                <v:textbox>
                  <w:txbxContent>
                    <w:p w14:paraId="0A854F5A"/>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12" name="文本框 12"/>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aBeKz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YsOH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VoF4rMYBAACIAwAADgAAAAAAAAABACAAAAAiAQAAZHJzL2Uyb0Rv&#10;Yy54bWxQSwUGAAAAAAYABgBZAQAAWgUAAAAA&#10;">
                <v:fill on="t" focussize="0,0"/>
                <v:stroke on="f"/>
                <v:imagedata o:title=""/>
                <o:lock v:ext="edit" aspectratio="f"/>
                <v:textbo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1DC2D81A">
      <w:pPr>
        <w:pStyle w:val="13"/>
        <w:jc w:val="left"/>
        <w:rPr>
          <w:rFonts w:hAnsi="宋体"/>
          <w:b/>
          <w:sz w:val="24"/>
          <w:szCs w:val="24"/>
          <w:highlight w:val="none"/>
        </w:rPr>
      </w:pPr>
    </w:p>
    <w:p w14:paraId="5A774302">
      <w:pPr>
        <w:pStyle w:val="13"/>
        <w:jc w:val="left"/>
        <w:rPr>
          <w:rFonts w:hAnsi="宋体"/>
          <w:b/>
          <w:sz w:val="24"/>
          <w:szCs w:val="24"/>
          <w:highlight w:val="none"/>
        </w:rPr>
      </w:pPr>
    </w:p>
    <w:p w14:paraId="7A1E1CCA">
      <w:pPr>
        <w:pStyle w:val="13"/>
        <w:spacing w:line="360" w:lineRule="auto"/>
        <w:jc w:val="left"/>
        <w:rPr>
          <w:rFonts w:hAnsi="宋体"/>
          <w:b/>
          <w:sz w:val="24"/>
          <w:szCs w:val="24"/>
          <w:highlight w:val="none"/>
        </w:rPr>
      </w:pPr>
    </w:p>
    <w:p w14:paraId="7B1903DC">
      <w:pPr>
        <w:pStyle w:val="13"/>
        <w:spacing w:line="360" w:lineRule="auto"/>
        <w:jc w:val="left"/>
        <w:rPr>
          <w:rFonts w:hAnsi="宋体"/>
          <w:b/>
          <w:sz w:val="24"/>
          <w:szCs w:val="24"/>
          <w:highlight w:val="none"/>
        </w:rPr>
      </w:pPr>
    </w:p>
    <w:p w14:paraId="30F2110F">
      <w:pPr>
        <w:pStyle w:val="13"/>
        <w:spacing w:line="360" w:lineRule="auto"/>
        <w:rPr>
          <w:rFonts w:hAnsi="宋体" w:cs="Arial"/>
          <w:sz w:val="24"/>
          <w:highlight w:val="none"/>
        </w:rPr>
      </w:pPr>
    </w:p>
    <w:p w14:paraId="04C0108E">
      <w:pPr>
        <w:pStyle w:val="13"/>
        <w:spacing w:line="360" w:lineRule="auto"/>
        <w:rPr>
          <w:highlight w:val="none"/>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3EA9E6F0">
      <w:pPr>
        <w:rPr>
          <w:rFonts w:hint="eastAsia" w:ascii="宋体" w:hAnsi="宋体" w:eastAsia="宋体" w:cs="宋体"/>
          <w:color w:val="auto"/>
          <w:kern w:val="2"/>
          <w:sz w:val="28"/>
          <w:szCs w:val="28"/>
          <w:highlight w:val="none"/>
          <w:u w:color="auto"/>
          <w:lang w:val="en-US" w:eastAsia="zh-CN" w:bidi="ar"/>
        </w:rPr>
      </w:pPr>
    </w:p>
    <w:p w14:paraId="6DBDE40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559917C0">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37C94678">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14:paraId="4BA9F3DE">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354" w:name="_Toc21573"/>
      <w:bookmarkEnd w:id="354"/>
    </w:p>
    <w:p w14:paraId="246666FC">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355"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355"/>
    </w:p>
    <w:p w14:paraId="6EECEAA5">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356" w:name="_Toc19336_WPSOffice_Level2"/>
      <w:bookmarkEnd w:id="356"/>
      <w:r>
        <w:rPr>
          <w:rFonts w:hint="eastAsia" w:ascii="黑体" w:hAnsi="宋体" w:eastAsia="黑体" w:cs="黑体"/>
          <w:color w:val="000000"/>
          <w:kern w:val="0"/>
          <w:sz w:val="44"/>
          <w:szCs w:val="44"/>
          <w:highlight w:val="none"/>
          <w:u w:color="000000"/>
          <w:lang w:val="en-US" w:eastAsia="zh-CN" w:bidi="ar"/>
        </w:rPr>
        <w:t xml:space="preserve"> </w:t>
      </w:r>
    </w:p>
    <w:p w14:paraId="0E77BCFD">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357" w:name="_Toc7180_WPSOffice_Level3"/>
      <w:bookmarkEnd w:id="357"/>
      <w:r>
        <w:rPr>
          <w:rFonts w:hint="eastAsia" w:ascii="宋体" w:hAnsi="宋体" w:eastAsia="宋体" w:cs="宋体"/>
          <w:color w:val="000000"/>
          <w:kern w:val="0"/>
          <w:sz w:val="30"/>
          <w:szCs w:val="30"/>
          <w:highlight w:val="none"/>
          <w:u w:color="000000"/>
          <w:lang w:val="en-US" w:eastAsia="zh-CN" w:bidi="ar"/>
        </w:rPr>
        <w:t>项目名称：</w:t>
      </w:r>
    </w:p>
    <w:p w14:paraId="62BD026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EB12C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9E1BC79">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68E6B8DF">
      <w:pPr>
        <w:rPr>
          <w:sz w:val="28"/>
          <w:szCs w:val="28"/>
          <w:highlight w:val="none"/>
          <w:lang w:val="en-US"/>
        </w:rPr>
      </w:pPr>
    </w:p>
    <w:p w14:paraId="477EA443">
      <w:pPr>
        <w:rPr>
          <w:sz w:val="28"/>
          <w:szCs w:val="28"/>
          <w:highlight w:val="none"/>
          <w:lang w:val="en-US"/>
        </w:rPr>
      </w:pPr>
    </w:p>
    <w:p w14:paraId="76134514">
      <w:pPr>
        <w:pStyle w:val="18"/>
        <w:widowControl/>
        <w:rPr>
          <w:highlight w:val="none"/>
          <w:lang w:val="en-US"/>
        </w:rPr>
      </w:pPr>
      <w:r>
        <w:rPr>
          <w:highlight w:val="none"/>
          <w:lang w:val="en-US"/>
        </w:rPr>
        <w:t xml:space="preserve"> </w:t>
      </w:r>
    </w:p>
    <w:p w14:paraId="5477395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0770C05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1D8010E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705AFAD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6D24C94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6EC873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2511EEA3">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358" w:name="_Toc14710_WPSOffice_Level1"/>
      <w:bookmarkEnd w:id="358"/>
      <w:r>
        <w:rPr>
          <w:rFonts w:hint="eastAsia" w:ascii="宋体" w:hAnsi="宋体" w:eastAsia="宋体" w:cs="宋体"/>
          <w:b/>
          <w:bCs w:val="0"/>
          <w:color w:val="000000"/>
          <w:kern w:val="0"/>
          <w:sz w:val="44"/>
          <w:szCs w:val="44"/>
          <w:highlight w:val="none"/>
          <w:u w:color="000000"/>
          <w:lang w:val="en-US" w:eastAsia="zh-CN" w:bidi="ar"/>
        </w:rPr>
        <w:t>目   录</w:t>
      </w:r>
    </w:p>
    <w:p w14:paraId="161FF9A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32B2548">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66AE26F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29AADE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73951022">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B87188B">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1D3EAF7">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（5）开标一览表（格式见附件）；</w:t>
      </w:r>
    </w:p>
    <w:p w14:paraId="3EAF57FF">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（6）投标函（格式见附件）；</w:t>
      </w:r>
    </w:p>
    <w:p w14:paraId="42951A5B">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投标人认为需要提供的其他证明材料。</w:t>
      </w:r>
    </w:p>
    <w:p w14:paraId="02B3DBDA">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5762840B">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65587F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3E809E94">
      <w:pPr>
        <w:pStyle w:val="38"/>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67B2947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69A2B6F7">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6DB79AD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0022CFF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A8A98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23BBAC49">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4AD26A3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1E5E1AB8">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6F039E07">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10A76931">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0F754A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3FB938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3B2CF9">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7F9062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0A935B70">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F6CD56">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7667E0E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7E111A4B">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7FBC2353">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57F72B99">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6015DCCD">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785505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71D349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6E3B59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170C226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3496123B">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4ACABA9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359" w:name="_Toc451384148"/>
      <w:bookmarkStart w:id="360" w:name="_Toc425084385"/>
      <w:r>
        <w:rPr>
          <w:rFonts w:hint="eastAsia" w:ascii="宋体" w:hAnsi="宋体"/>
          <w:color w:val="000000"/>
          <w:szCs w:val="21"/>
          <w:highlight w:val="none"/>
        </w:rPr>
        <w:t>一、将遵循公</w:t>
      </w:r>
      <w:bookmarkStart w:id="361" w:name="_Toc503196197"/>
      <w:bookmarkStart w:id="362" w:name="_Toc506107356"/>
      <w:bookmarkStart w:id="363" w:name="_Toc26598"/>
      <w:r>
        <w:rPr>
          <w:rFonts w:hint="eastAsia" w:ascii="宋体" w:hAnsi="宋体"/>
          <w:color w:val="000000"/>
          <w:szCs w:val="21"/>
          <w:highlight w:val="none"/>
        </w:rPr>
        <w:t>开、公正和诚实信用</w:t>
      </w:r>
      <w:bookmarkEnd w:id="361"/>
      <w:bookmarkEnd w:id="362"/>
      <w:r>
        <w:rPr>
          <w:rFonts w:hint="eastAsia" w:ascii="宋体" w:hAnsi="宋体"/>
          <w:color w:val="000000"/>
          <w:szCs w:val="21"/>
          <w:highlight w:val="none"/>
        </w:rPr>
        <w:t>的</w:t>
      </w:r>
      <w:bookmarkEnd w:id="363"/>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09C0E71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04D2923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591DA1B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0D29816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364" w:name="OLE_LINK133"/>
      <w:bookmarkStart w:id="365" w:name="OLE_LINK134"/>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364"/>
      <w:bookmarkEnd w:id="365"/>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121038A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71751A0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3D57FD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EA53B6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654BAEA8">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760D4728">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5F7E9732">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3B262F83">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02E3582A">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43CC5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729E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本承诺声明：（投标人名称）对本招标文件所有要求完全响应，若有幸中标将严格按照以上承诺进行服务且提供不少于1年的质保期。若发现有偏离且不能按招标人要求调整的，招标人有权终止合同重新招标，我方承担因此产生的所有经济及工期责任。</w:t>
      </w:r>
    </w:p>
    <w:p w14:paraId="5692EB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特此声明。</w:t>
      </w:r>
    </w:p>
    <w:p w14:paraId="7E75DDF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101BEA8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33F52DD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3BAF7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22D42F3A">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180FA262">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3AFB0F11">
      <w:pPr>
        <w:spacing w:line="400" w:lineRule="exact"/>
        <w:ind w:firstLine="482" w:firstLineChars="200"/>
        <w:rPr>
          <w:rFonts w:ascii="宋体" w:hAnsi="宋体"/>
          <w:b/>
          <w:color w:val="000000"/>
          <w:sz w:val="24"/>
          <w:highlight w:val="none"/>
        </w:rPr>
      </w:pPr>
    </w:p>
    <w:bookmarkEnd w:id="359"/>
    <w:bookmarkEnd w:id="360"/>
    <w:p w14:paraId="45610A89">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宋体" w:hAnsi="宋体"/>
          <w:b/>
          <w:color w:val="auto"/>
          <w:sz w:val="30"/>
          <w:szCs w:val="30"/>
          <w:highlight w:val="none"/>
          <w:lang w:val="en-US" w:eastAsia="zh-CN"/>
        </w:rPr>
        <w:br w:type="page"/>
      </w:r>
    </w:p>
    <w:p w14:paraId="5F9AA834">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附件4</w:t>
      </w:r>
    </w:p>
    <w:p w14:paraId="28C025C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5151B3D5">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0FFEF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796D442E">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9110E2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4CC74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0FA3D83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4EE28A0B">
            <w:pPr>
              <w:pStyle w:val="14"/>
              <w:widowControl/>
              <w:spacing w:line="460" w:lineRule="exact"/>
              <w:ind w:left="86" w:leftChars="41"/>
              <w:rPr>
                <w:rFonts w:hint="eastAsia" w:ascii="宋体" w:hAnsi="Arial" w:eastAsia="宋体" w:cs="宋体"/>
                <w:sz w:val="24"/>
                <w:szCs w:val="24"/>
                <w:highlight w:val="none"/>
                <w:lang w:val="en-US"/>
              </w:rPr>
            </w:pPr>
          </w:p>
        </w:tc>
      </w:tr>
      <w:tr w14:paraId="09FCE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3F3B7CB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投标报价\工期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1B821B93">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5839094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0B593EEB">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4FD08F45">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5B37C1D">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5B39EB2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06282E5B">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6E01043F">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54424D4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7B1CD580">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28FD246F">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59E66C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6F6C2D0D">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0B76E31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55DFB67B">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5FD9C97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1B49AAA5">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58C6553C">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720350C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09180F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6939C05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6F5AE68F">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309EB380">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1AC0D13B">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56E27A99">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23E2A5ED">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75E35018">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F891CCD">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14:paraId="13E76AE2">
      <w:pPr>
        <w:pStyle w:val="21"/>
        <w:widowControl/>
        <w:spacing w:before="0" w:beforeAutospacing="0" w:after="0" w:afterAutospacing="0" w:line="375" w:lineRule="atLeast"/>
        <w:ind w:left="0" w:right="0"/>
        <w:jc w:val="center"/>
        <w:outlineLvl w:val="0"/>
        <w:rPr>
          <w:b/>
          <w:bCs w:val="0"/>
          <w:sz w:val="32"/>
          <w:szCs w:val="32"/>
          <w:highlight w:val="none"/>
          <w:lang w:val="en-US"/>
        </w:rPr>
      </w:pPr>
      <w:bookmarkStart w:id="366" w:name="_Toc6275_WPSOffice_Level1"/>
      <w:bookmarkEnd w:id="366"/>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3"/>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1A3B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71D4B23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2D21BB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滁州至南京城际铁路（滁州段）一期生活用水改造及车辆段加装过滤装置项目</w:t>
            </w:r>
            <w:r>
              <w:rPr>
                <w:rFonts w:hint="eastAsia" w:ascii="宋体" w:hAnsi="宋体" w:eastAsia="宋体" w:cs="宋体"/>
                <w:color w:val="000000"/>
                <w:kern w:val="2"/>
                <w:sz w:val="28"/>
                <w:szCs w:val="28"/>
                <w:highlight w:val="none"/>
                <w:u w:color="000000"/>
                <w:lang w:val="en-US" w:eastAsia="zh-CN" w:bidi="ar"/>
              </w:rPr>
              <w:t>招标文件进行确认。</w:t>
            </w:r>
          </w:p>
          <w:p w14:paraId="06DCC0E1">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14:paraId="422F30B2">
            <w:pPr>
              <w:keepNext w:val="0"/>
              <w:keepLines w:val="0"/>
              <w:widowControl/>
              <w:suppressLineNumbers w:val="0"/>
              <w:spacing w:before="0" w:beforeAutospacing="0" w:after="0" w:afterAutospacing="0" w:line="720" w:lineRule="exact"/>
              <w:ind w:left="0" w:right="0" w:firstLine="560" w:firstLineChars="200"/>
              <w:jc w:val="both"/>
              <w:rPr>
                <w:rFonts w:hint="default"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联系人：杨雅辰</w:t>
            </w:r>
          </w:p>
          <w:p w14:paraId="58B0E9E2">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联系电话：13339207910</w:t>
            </w:r>
          </w:p>
          <w:p w14:paraId="113352A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30212E6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FEF71AD">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5EC6C013">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52F681E5">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2026年5月</w:t>
            </w:r>
          </w:p>
          <w:p w14:paraId="56DEE5B6">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4A4A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23BB393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5FFB4BD4">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65F08E38">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57C79F2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4C067E4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45B7223">
            <w:pPr>
              <w:pStyle w:val="6"/>
              <w:widowControl/>
              <w:spacing w:before="0" w:beforeAutospacing="0" w:after="120" w:afterAutospacing="0"/>
              <w:ind w:leftChars="200" w:right="0" w:firstLine="560"/>
              <w:rPr>
                <w:kern w:val="2"/>
                <w:sz w:val="28"/>
                <w:szCs w:val="28"/>
                <w:highlight w:val="none"/>
                <w:lang w:val="en-US"/>
              </w:rPr>
            </w:pPr>
          </w:p>
          <w:p w14:paraId="1F2F0E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72BE766B">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6828CB58">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0C15B413">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2026年5月</w:t>
            </w:r>
          </w:p>
        </w:tc>
      </w:tr>
    </w:tbl>
    <w:p w14:paraId="7C616BD9">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Times New Roman (正文 CS 字体)">
    <w:altName w:val="宋体"/>
    <w:panose1 w:val="00000000000000000000"/>
    <w:charset w:val="86"/>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ED0A">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21BD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2B21BD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AC41">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53ECB">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7D53ECB">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4F3AC"/>
    <w:multiLevelType w:val="singleLevel"/>
    <w:tmpl w:val="8F54F3AC"/>
    <w:lvl w:ilvl="0" w:tentative="0">
      <w:start w:val="2"/>
      <w:numFmt w:val="chineseCounting"/>
      <w:suff w:val="space"/>
      <w:lvlText w:val="第%1章"/>
      <w:lvlJc w:val="left"/>
      <w:rPr>
        <w:rFonts w:hint="eastAsia"/>
      </w:rPr>
    </w:lvl>
  </w:abstractNum>
  <w:abstractNum w:abstractNumId="1">
    <w:nsid w:val="C46C6862"/>
    <w:multiLevelType w:val="singleLevel"/>
    <w:tmpl w:val="C46C6862"/>
    <w:lvl w:ilvl="0" w:tentative="0">
      <w:start w:val="5"/>
      <w:numFmt w:val="chineseCounting"/>
      <w:suff w:val="space"/>
      <w:lvlText w:val="第%1章"/>
      <w:lvlJc w:val="left"/>
      <w:rPr>
        <w:rFonts w:hint="eastAsia"/>
      </w:rPr>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4E8B8FD"/>
    <w:multiLevelType w:val="singleLevel"/>
    <w:tmpl w:val="44E8B8FD"/>
    <w:lvl w:ilvl="0" w:tentative="0">
      <w:start w:val="6"/>
      <w:numFmt w:val="chineseCounting"/>
      <w:suff w:val="space"/>
      <w:lvlText w:val="第%1章"/>
      <w:lvlJc w:val="left"/>
      <w:rPr>
        <w:rFonts w:hint="eastAsia"/>
      </w:rPr>
    </w:lvl>
  </w:abstractNum>
  <w:abstractNum w:abstractNumId="5">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950983"/>
    <w:rsid w:val="01D118B5"/>
    <w:rsid w:val="01E872A1"/>
    <w:rsid w:val="032031D0"/>
    <w:rsid w:val="03471A81"/>
    <w:rsid w:val="06D54ED0"/>
    <w:rsid w:val="07C425FF"/>
    <w:rsid w:val="0A300BE8"/>
    <w:rsid w:val="0AFF501E"/>
    <w:rsid w:val="0B8C2605"/>
    <w:rsid w:val="0CEF01A1"/>
    <w:rsid w:val="0D4228C9"/>
    <w:rsid w:val="0EBB3464"/>
    <w:rsid w:val="0F5A3543"/>
    <w:rsid w:val="0FC82D5D"/>
    <w:rsid w:val="101C4945"/>
    <w:rsid w:val="11273F56"/>
    <w:rsid w:val="12431559"/>
    <w:rsid w:val="14334ED5"/>
    <w:rsid w:val="147673EE"/>
    <w:rsid w:val="162403C8"/>
    <w:rsid w:val="1A2C0203"/>
    <w:rsid w:val="1B0B6A26"/>
    <w:rsid w:val="1CF617FA"/>
    <w:rsid w:val="1DD7722D"/>
    <w:rsid w:val="1E474369"/>
    <w:rsid w:val="1FBE5586"/>
    <w:rsid w:val="200765EA"/>
    <w:rsid w:val="2035457B"/>
    <w:rsid w:val="204506D8"/>
    <w:rsid w:val="20F63292"/>
    <w:rsid w:val="21391D2B"/>
    <w:rsid w:val="21643B57"/>
    <w:rsid w:val="21FC6157"/>
    <w:rsid w:val="222D5B93"/>
    <w:rsid w:val="239955A4"/>
    <w:rsid w:val="271F6EDF"/>
    <w:rsid w:val="27427F5F"/>
    <w:rsid w:val="287E4991"/>
    <w:rsid w:val="28FD1B10"/>
    <w:rsid w:val="30F76170"/>
    <w:rsid w:val="32013042"/>
    <w:rsid w:val="323852C9"/>
    <w:rsid w:val="32812567"/>
    <w:rsid w:val="32AB6635"/>
    <w:rsid w:val="3871553E"/>
    <w:rsid w:val="39196E3A"/>
    <w:rsid w:val="3D7F110E"/>
    <w:rsid w:val="3D8B68BD"/>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F522371"/>
    <w:rsid w:val="4FA1515E"/>
    <w:rsid w:val="510E11AC"/>
    <w:rsid w:val="5523352E"/>
    <w:rsid w:val="57D3727A"/>
    <w:rsid w:val="5AB972A9"/>
    <w:rsid w:val="5AC41FE9"/>
    <w:rsid w:val="5D2B5019"/>
    <w:rsid w:val="5D322B2E"/>
    <w:rsid w:val="5D7002D3"/>
    <w:rsid w:val="604D11B9"/>
    <w:rsid w:val="62C47C43"/>
    <w:rsid w:val="6509245E"/>
    <w:rsid w:val="666F6CC6"/>
    <w:rsid w:val="668A652A"/>
    <w:rsid w:val="6EA934B6"/>
    <w:rsid w:val="706E041E"/>
    <w:rsid w:val="72A03324"/>
    <w:rsid w:val="746B63CF"/>
    <w:rsid w:val="746C0AE0"/>
    <w:rsid w:val="74C85615"/>
    <w:rsid w:val="75843174"/>
    <w:rsid w:val="760F0C92"/>
    <w:rsid w:val="76B7003F"/>
    <w:rsid w:val="79757E4E"/>
    <w:rsid w:val="7A2A6204"/>
    <w:rsid w:val="7AF5326F"/>
    <w:rsid w:val="7B58397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0"/>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4"/>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0"/>
    <w:pPr>
      <w:keepNext/>
      <w:keepLines/>
      <w:outlineLvl w:val="2"/>
    </w:pPr>
    <w:rPr>
      <w:kern w:val="0"/>
      <w:sz w:val="28"/>
      <w:szCs w:val="20"/>
    </w:rPr>
  </w:style>
  <w:style w:type="character" w:default="1" w:styleId="25">
    <w:name w:val="Default Paragraph Font"/>
    <w:semiHidden/>
    <w:qFormat/>
    <w:uiPriority w:val="0"/>
  </w:style>
  <w:style w:type="table" w:default="1" w:styleId="2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1"/>
    <w:link w:val="32"/>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31"/>
    <w:qFormat/>
    <w:uiPriority w:val="0"/>
    <w:pPr>
      <w:spacing w:after="120" w:afterLines="0" w:afterAutospacing="0"/>
      <w:ind w:left="420" w:leftChars="200"/>
    </w:pPr>
  </w:style>
  <w:style w:type="paragraph" w:styleId="8">
    <w:name w:val="envelope return"/>
    <w:basedOn w:val="1"/>
    <w:next w:val="4"/>
    <w:qFormat/>
    <w:uiPriority w:val="0"/>
    <w:pPr>
      <w:snapToGrid w:val="0"/>
    </w:pPr>
    <w:rPr>
      <w:rFonts w:ascii="Arial" w:hAnsi="Arial"/>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qFormat/>
    <w:uiPriority w:val="0"/>
    <w:pPr>
      <w:widowControl w:val="0"/>
      <w:snapToGrid w:val="0"/>
      <w:spacing w:line="360" w:lineRule="auto"/>
    </w:pPr>
    <w:rPr>
      <w:rFonts w:ascii="Arial" w:hAnsi="Arial" w:eastAsia="仿宋_GB2312"/>
      <w:sz w:val="31"/>
    </w:rPr>
  </w:style>
  <w:style w:type="paragraph" w:styleId="12">
    <w:name w:val="toc 3"/>
    <w:basedOn w:val="1"/>
    <w:next w:val="1"/>
    <w:qFormat/>
    <w:uiPriority w:val="39"/>
    <w:pPr>
      <w:jc w:val="left"/>
    </w:pPr>
    <w:rPr>
      <w:rFonts w:ascii="Calibri" w:hAnsi="Calibri"/>
      <w:smallCaps/>
      <w:sz w:val="22"/>
      <w:szCs w:val="22"/>
    </w:rPr>
  </w:style>
  <w:style w:type="paragraph" w:styleId="13">
    <w:name w:val="Plain Text"/>
    <w:basedOn w:val="1"/>
    <w:link w:val="36"/>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33"/>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7"/>
    <w:qFormat/>
    <w:uiPriority w:val="0"/>
    <w:pPr>
      <w:tabs>
        <w:tab w:val="center" w:pos="4153"/>
        <w:tab w:val="right" w:pos="8306"/>
      </w:tabs>
      <w:snapToGrid w:val="0"/>
      <w:jc w:val="left"/>
    </w:pPr>
    <w:rPr>
      <w:sz w:val="18"/>
    </w:rPr>
  </w:style>
  <w:style w:type="paragraph" w:styleId="16">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39"/>
    <w:pPr>
      <w:spacing w:before="120" w:after="120"/>
      <w:jc w:val="left"/>
    </w:pPr>
    <w:rPr>
      <w:b/>
      <w:bCs/>
      <w:caps/>
      <w:sz w:val="20"/>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footnote text"/>
    <w:basedOn w:val="1"/>
    <w:semiHidden/>
    <w:unhideWhenUsed/>
    <w:qFormat/>
    <w:uiPriority w:val="99"/>
    <w:pPr>
      <w:snapToGrid w:val="0"/>
      <w:jc w:val="left"/>
    </w:pPr>
    <w:rPr>
      <w:sz w:val="18"/>
    </w:rPr>
  </w:style>
  <w:style w:type="paragraph" w:styleId="20">
    <w:name w:val="Body Text 2"/>
    <w:basedOn w:val="1"/>
    <w:qFormat/>
    <w:uiPriority w:val="0"/>
    <w:rPr>
      <w:kern w:val="0"/>
      <w:sz w:val="24"/>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2">
    <w:name w:val="Body Text First Indent"/>
    <w:basedOn w:val="11"/>
    <w:qFormat/>
    <w:uiPriority w:val="0"/>
    <w:pPr>
      <w:adjustRightInd/>
      <w:spacing w:after="120" w:line="240" w:lineRule="auto"/>
      <w:ind w:firstLine="420" w:firstLineChars="100"/>
      <w:jc w:val="both"/>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99"/>
  </w:style>
  <w:style w:type="character" w:styleId="27">
    <w:name w:val="Hyperlink"/>
    <w:qFormat/>
    <w:uiPriority w:val="99"/>
    <w:rPr>
      <w:color w:val="0000FF"/>
      <w:u w:val="single"/>
    </w:rPr>
  </w:style>
  <w:style w:type="character" w:styleId="28">
    <w:name w:val="footnote reference"/>
    <w:basedOn w:val="25"/>
    <w:semiHidden/>
    <w:unhideWhenUsed/>
    <w:qFormat/>
    <w:uiPriority w:val="99"/>
    <w:rPr>
      <w:vertAlign w:val="superscript"/>
    </w:rPr>
  </w:style>
  <w:style w:type="paragraph" w:customStyle="1" w:styleId="29">
    <w:name w:val="正文文字 8"/>
    <w:basedOn w:val="1"/>
    <w:next w:val="1"/>
    <w:qFormat/>
    <w:uiPriority w:val="0"/>
    <w:pPr>
      <w:ind w:left="240"/>
    </w:pPr>
    <w:rPr>
      <w:sz w:val="16"/>
    </w:rPr>
  </w:style>
  <w:style w:type="paragraph" w:customStyle="1" w:styleId="3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1">
    <w:name w:val="正文文本缩进 Char"/>
    <w:basedOn w:val="25"/>
    <w:link w:val="7"/>
    <w:qFormat/>
    <w:uiPriority w:val="0"/>
    <w:rPr>
      <w:rFonts w:hint="default" w:ascii="Times New Roman" w:hAnsi="Times New Roman" w:eastAsia="宋体" w:cs="Times New Roman"/>
      <w:color w:val="000000"/>
      <w:kern w:val="0"/>
      <w:szCs w:val="21"/>
      <w:u w:color="000000"/>
    </w:rPr>
  </w:style>
  <w:style w:type="character" w:customStyle="1" w:styleId="32">
    <w:name w:val="正文首行缩进 2 Char"/>
    <w:basedOn w:val="31"/>
    <w:link w:val="6"/>
    <w:qFormat/>
    <w:uiPriority w:val="0"/>
    <w:rPr>
      <w:rFonts w:hint="default" w:ascii="Times New Roman" w:hAnsi="Times New Roman" w:eastAsia="宋体" w:cs="Times New Roman"/>
      <w:color w:val="000000"/>
      <w:kern w:val="0"/>
      <w:szCs w:val="21"/>
      <w:u w:color="000000"/>
    </w:rPr>
  </w:style>
  <w:style w:type="character" w:customStyle="1" w:styleId="33">
    <w:name w:val="日期 Char"/>
    <w:basedOn w:val="25"/>
    <w:link w:val="14"/>
    <w:qFormat/>
    <w:uiPriority w:val="0"/>
    <w:rPr>
      <w:rFonts w:ascii="Arial" w:hAnsi="Arial" w:eastAsia="仿宋_GB2312" w:cs="Arial"/>
      <w:color w:val="000000"/>
      <w:sz w:val="32"/>
      <w:szCs w:val="32"/>
      <w:u w:color="000000"/>
    </w:rPr>
  </w:style>
  <w:style w:type="character" w:customStyle="1" w:styleId="34">
    <w:name w:val="标题 2 Char"/>
    <w:basedOn w:val="25"/>
    <w:link w:val="2"/>
    <w:qFormat/>
    <w:uiPriority w:val="0"/>
    <w:rPr>
      <w:rFonts w:hint="default" w:ascii="Times New Roman" w:hAnsi="Times New Roman" w:eastAsia="宋体" w:cs="Times New Roman"/>
      <w:kern w:val="0"/>
      <w:sz w:val="24"/>
      <w:szCs w:val="24"/>
    </w:rPr>
  </w:style>
  <w:style w:type="character" w:customStyle="1" w:styleId="35">
    <w:name w:val="页眉 Char"/>
    <w:basedOn w:val="25"/>
    <w:link w:val="16"/>
    <w:qFormat/>
    <w:uiPriority w:val="0"/>
    <w:rPr>
      <w:rFonts w:hint="default" w:ascii="Times New Roman" w:hAnsi="Times New Roman" w:eastAsia="宋体" w:cs="Times New Roman"/>
      <w:color w:val="000000"/>
      <w:kern w:val="0"/>
      <w:sz w:val="18"/>
      <w:szCs w:val="18"/>
      <w:u w:color="000000"/>
    </w:rPr>
  </w:style>
  <w:style w:type="character" w:customStyle="1" w:styleId="36">
    <w:name w:val="纯文本 Char"/>
    <w:basedOn w:val="25"/>
    <w:link w:val="13"/>
    <w:qFormat/>
    <w:uiPriority w:val="0"/>
    <w:rPr>
      <w:rFonts w:hint="eastAsia" w:ascii="宋体" w:hAnsi="宋体" w:eastAsia="宋体" w:cs="宋体"/>
      <w:szCs w:val="21"/>
    </w:rPr>
  </w:style>
  <w:style w:type="character" w:customStyle="1" w:styleId="37">
    <w:name w:val="页脚 Char"/>
    <w:basedOn w:val="25"/>
    <w:link w:val="15"/>
    <w:qFormat/>
    <w:uiPriority w:val="0"/>
    <w:rPr>
      <w:rFonts w:hint="default" w:ascii="Times New Roman" w:hAnsi="Times New Roman" w:eastAsia="宋体" w:cs="Times New Roman"/>
      <w:color w:val="000000"/>
      <w:kern w:val="0"/>
      <w:sz w:val="18"/>
      <w:szCs w:val="18"/>
      <w:u w:color="000000"/>
    </w:rPr>
  </w:style>
  <w:style w:type="paragraph" w:customStyle="1" w:styleId="38">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9">
    <w:name w:val="List Paragraph"/>
    <w:basedOn w:val="1"/>
    <w:qFormat/>
    <w:uiPriority w:val="0"/>
    <w:pPr>
      <w:widowControl w:val="0"/>
      <w:spacing w:line="240" w:lineRule="auto"/>
      <w:ind w:firstLine="200" w:firstLineChars="200"/>
      <w:textAlignment w:val="auto"/>
    </w:pPr>
    <w:rPr>
      <w:u w:val="none" w:color="000000"/>
    </w:rPr>
  </w:style>
  <w:style w:type="character" w:customStyle="1" w:styleId="40">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2">
    <w:name w:val="font51"/>
    <w:basedOn w:val="25"/>
    <w:qFormat/>
    <w:uiPriority w:val="0"/>
    <w:rPr>
      <w:rFonts w:hint="eastAsia" w:ascii="宋体" w:hAnsi="宋体" w:eastAsia="宋体" w:cs="宋体"/>
      <w:color w:val="000000"/>
      <w:sz w:val="22"/>
      <w:szCs w:val="22"/>
      <w:u w:val="none"/>
    </w:rPr>
  </w:style>
  <w:style w:type="character" w:customStyle="1" w:styleId="43">
    <w:name w:val="font31"/>
    <w:basedOn w:val="25"/>
    <w:qFormat/>
    <w:uiPriority w:val="0"/>
    <w:rPr>
      <w:rFonts w:hint="default" w:ascii="Times New Roman" w:hAnsi="Times New Roman" w:cs="Times New Roman"/>
      <w:color w:val="000000"/>
      <w:sz w:val="22"/>
      <w:szCs w:val="22"/>
      <w:u w:val="none"/>
    </w:rPr>
  </w:style>
  <w:style w:type="character" w:customStyle="1" w:styleId="44">
    <w:name w:val="font61"/>
    <w:basedOn w:val="25"/>
    <w:qFormat/>
    <w:uiPriority w:val="0"/>
    <w:rPr>
      <w:rFonts w:hint="default" w:ascii="Times New Roman" w:hAnsi="Times New Roman" w:cs="Times New Roman"/>
      <w:color w:val="000000"/>
      <w:sz w:val="21"/>
      <w:szCs w:val="21"/>
      <w:u w:val="none"/>
    </w:rPr>
  </w:style>
  <w:style w:type="character" w:customStyle="1" w:styleId="45">
    <w:name w:val="font71"/>
    <w:basedOn w:val="25"/>
    <w:qFormat/>
    <w:uiPriority w:val="0"/>
    <w:rPr>
      <w:rFonts w:hint="eastAsia" w:ascii="宋体" w:hAnsi="宋体" w:eastAsia="宋体" w:cs="宋体"/>
      <w:color w:val="000000"/>
      <w:sz w:val="21"/>
      <w:szCs w:val="21"/>
      <w:u w:val="none"/>
    </w:rPr>
  </w:style>
  <w:style w:type="character" w:customStyle="1" w:styleId="46">
    <w:name w:val="font01"/>
    <w:basedOn w:val="25"/>
    <w:qFormat/>
    <w:uiPriority w:val="0"/>
    <w:rPr>
      <w:rFonts w:hint="eastAsia" w:ascii="宋体" w:hAnsi="宋体" w:eastAsia="宋体" w:cs="宋体"/>
      <w:color w:val="000000"/>
      <w:sz w:val="22"/>
      <w:szCs w:val="22"/>
      <w:u w:val="none"/>
    </w:rPr>
  </w:style>
  <w:style w:type="character" w:customStyle="1" w:styleId="47">
    <w:name w:val="font11"/>
    <w:basedOn w:val="25"/>
    <w:qFormat/>
    <w:uiPriority w:val="0"/>
    <w:rPr>
      <w:rFonts w:hint="eastAsia" w:ascii="宋体" w:hAnsi="宋体" w:eastAsia="宋体" w:cs="宋体"/>
      <w:color w:val="000000"/>
      <w:sz w:val="21"/>
      <w:szCs w:val="21"/>
      <w:u w:val="none"/>
    </w:rPr>
  </w:style>
  <w:style w:type="character" w:customStyle="1" w:styleId="48">
    <w:name w:val="font41"/>
    <w:basedOn w:val="25"/>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qFormat/>
    <w:uiPriority w:val="0"/>
    <w:rPr>
      <w:rFonts w:hint="eastAsia" w:eastAsia="楷体"/>
    </w:rPr>
  </w:style>
  <w:style w:type="paragraph" w:customStyle="1" w:styleId="50">
    <w:name w:val="首行缩进"/>
    <w:basedOn w:val="1"/>
    <w:qFormat/>
    <w:uiPriority w:val="0"/>
    <w:pPr>
      <w:ind w:firstLine="480" w:firstLineChars="200"/>
    </w:pPr>
    <w:rPr>
      <w:rFonts w:eastAsia="楷体_GB2312"/>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18042</Words>
  <Characters>20042</Characters>
  <Lines>0</Lines>
  <Paragraphs>0</Paragraphs>
  <TotalTime>11</TotalTime>
  <ScaleCrop>false</ScaleCrop>
  <LinksUpToDate>false</LinksUpToDate>
  <CharactersWithSpaces>20508</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Administrator</cp:lastModifiedBy>
  <cp:lastPrinted>2023-11-23T14:11:00Z</cp:lastPrinted>
  <dcterms:modified xsi:type="dcterms:W3CDTF">2026-05-22T07:16:28Z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C38943BEB9FC44A4AC5C300AE0448F15_13</vt:lpwstr>
  </property>
  <property fmtid="{D5CDD505-2E9C-101B-9397-08002B2CF9AE}" pid="4" name="KSOTemplateDocerSaveRecord">
    <vt:lpwstr>eyJoZGlkIjoiMTljMDcwYWJmYjExZWQzNTVmZDAzZTYwM2JlMzJmZDYiLCJ1c2VySWQiOiIzODU2Mzk2OTQifQ==</vt:lpwstr>
  </property>
</Properties>
</file>