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1D1EE">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1701FE8">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41A1BFF4">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bookmarkStart w:id="110" w:name="_GoBack"/>
      <w:r>
        <w:rPr>
          <w:rFonts w:hint="eastAsia" w:ascii="Times New Roman" w:hAnsi="Times New Roman" w:eastAsia="宋体" w:cs="宋体"/>
          <w:b/>
          <w:bCs w:val="0"/>
          <w:color w:val="000000"/>
          <w:kern w:val="0"/>
          <w:sz w:val="48"/>
          <w:szCs w:val="28"/>
          <w:highlight w:val="none"/>
          <w:u w:color="000000"/>
          <w:lang w:val="en-US" w:eastAsia="zh-CN" w:bidi="ar"/>
        </w:rPr>
        <w:t xml:space="preserve"> 滁州至南京城际铁路（滁州段）一期车辆段北门门岗安全改造项目</w:t>
      </w:r>
    </w:p>
    <w:bookmarkEnd w:id="110"/>
    <w:p w14:paraId="61A754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2E1271B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D3A62A7">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6551BB04">
      <w:pPr>
        <w:pStyle w:val="20"/>
        <w:widowControl/>
        <w:rPr>
          <w:highlight w:val="none"/>
          <w:lang w:val="en-US"/>
        </w:rPr>
      </w:pPr>
      <w:r>
        <w:rPr>
          <w:highlight w:val="none"/>
          <w:lang w:val="en-US"/>
        </w:rPr>
        <w:t xml:space="preserve"> </w:t>
      </w:r>
    </w:p>
    <w:p w14:paraId="2265E232">
      <w:pPr>
        <w:pStyle w:val="20"/>
        <w:widowControl/>
        <w:rPr>
          <w:highlight w:val="none"/>
          <w:lang w:val="en-US"/>
        </w:rPr>
      </w:pPr>
      <w:r>
        <w:rPr>
          <w:highlight w:val="none"/>
          <w:lang w:val="en-US"/>
        </w:rPr>
        <w:t xml:space="preserve"> </w:t>
      </w:r>
    </w:p>
    <w:p w14:paraId="313CB13E">
      <w:pPr>
        <w:pStyle w:val="20"/>
        <w:widowControl/>
        <w:rPr>
          <w:highlight w:val="none"/>
          <w:lang w:val="en-US"/>
        </w:rPr>
      </w:pPr>
      <w:r>
        <w:rPr>
          <w:highlight w:val="none"/>
          <w:lang w:val="en-US"/>
        </w:rPr>
        <w:t xml:space="preserve"> </w:t>
      </w:r>
    </w:p>
    <w:p w14:paraId="1B59EE29">
      <w:pPr>
        <w:pStyle w:val="20"/>
        <w:widowControl/>
        <w:rPr>
          <w:highlight w:val="none"/>
          <w:lang w:val="en-US"/>
        </w:rPr>
      </w:pPr>
      <w:r>
        <w:rPr>
          <w:highlight w:val="none"/>
          <w:lang w:val="en-US"/>
        </w:rPr>
        <w:t xml:space="preserve"> </w:t>
      </w:r>
    </w:p>
    <w:p w14:paraId="13060FF7">
      <w:pPr>
        <w:pStyle w:val="20"/>
        <w:widowControl/>
        <w:rPr>
          <w:rFonts w:eastAsia="宋体"/>
          <w:highlight w:val="none"/>
          <w:lang w:val="en-US"/>
        </w:rPr>
      </w:pPr>
      <w:r>
        <w:rPr>
          <w:highlight w:val="none"/>
          <w:lang w:val="en-US"/>
        </w:rPr>
        <w:t xml:space="preserve"> </w:t>
      </w:r>
    </w:p>
    <w:p w14:paraId="72405FB7">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14:paraId="3A101657">
      <w:pPr>
        <w:adjustRightInd w:val="0"/>
        <w:snapToGrid w:val="0"/>
        <w:ind w:firstLine="302" w:firstLineChars="94"/>
        <w:rPr>
          <w:rFonts w:hint="eastAsia" w:ascii="宋体" w:hAnsi="宋体"/>
          <w:b/>
          <w:sz w:val="32"/>
          <w:highlight w:val="none"/>
          <w:u w:val="thick"/>
        </w:rPr>
      </w:pPr>
    </w:p>
    <w:p w14:paraId="2E9A6BF1">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085CEEDC">
      <w:pPr>
        <w:adjustRightInd w:val="0"/>
        <w:snapToGrid w:val="0"/>
        <w:rPr>
          <w:rFonts w:hint="eastAsia" w:ascii="宋体" w:hAnsi="宋体"/>
          <w:spacing w:val="20"/>
          <w:sz w:val="32"/>
          <w:highlight w:val="none"/>
          <w:u w:val="single"/>
        </w:rPr>
      </w:pPr>
    </w:p>
    <w:p w14:paraId="4B01FC1A">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5</w:t>
      </w:r>
      <w:r>
        <w:rPr>
          <w:rFonts w:hint="eastAsia" w:ascii="宋体" w:hAnsi="宋体"/>
          <w:b/>
          <w:sz w:val="32"/>
          <w:highlight w:val="none"/>
          <w:u w:val="thick"/>
        </w:rPr>
        <w:t xml:space="preserve">月            </w:t>
      </w:r>
    </w:p>
    <w:p w14:paraId="57DADD6F">
      <w:pPr>
        <w:pStyle w:val="9"/>
        <w:widowControl/>
        <w:spacing w:before="0" w:beforeAutospacing="0" w:after="120" w:afterAutospacing="0"/>
        <w:ind w:leftChars="200" w:right="0"/>
        <w:rPr>
          <w:highlight w:val="none"/>
          <w:lang w:val="en-US"/>
        </w:rPr>
      </w:pPr>
      <w:r>
        <w:rPr>
          <w:highlight w:val="none"/>
          <w:lang w:val="en-US"/>
        </w:rPr>
        <w:t xml:space="preserve"> </w:t>
      </w:r>
    </w:p>
    <w:p w14:paraId="64F2DFD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49D5674">
      <w:pPr>
        <w:jc w:val="center"/>
        <w:rPr>
          <w:rFonts w:hint="eastAsia" w:ascii="宋体" w:hAnsi="宋体" w:eastAsia="宋体" w:cs="宋体"/>
          <w:b/>
          <w:bCs w:val="0"/>
          <w:color w:val="000000"/>
          <w:kern w:val="0"/>
          <w:sz w:val="36"/>
          <w:szCs w:val="36"/>
          <w:highlight w:val="none"/>
          <w:u w:color="000000"/>
          <w:lang w:val="en-US" w:eastAsia="zh-CN" w:bidi="ar"/>
        </w:rPr>
      </w:pPr>
    </w:p>
    <w:p w14:paraId="68C9FD0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0BBA8ED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502395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648B403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6AE266BC">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评标办法…………………………………………………………………15</w:t>
      </w:r>
    </w:p>
    <w:p w14:paraId="5A66841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用户需求书………………………………………………………………19</w:t>
      </w:r>
    </w:p>
    <w:p w14:paraId="1436ADDF">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合同条款及格式…………………………………………………………39</w:t>
      </w:r>
    </w:p>
    <w:p w14:paraId="36DFDF3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投标文件格式……………………………………………………………49</w:t>
      </w:r>
    </w:p>
    <w:p w14:paraId="7B3A915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招标人、招标代理机构对本招标文件的确认…………………………56</w:t>
      </w:r>
    </w:p>
    <w:p w14:paraId="7C586AB0">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69713157">
      <w:pPr>
        <w:pStyle w:val="20"/>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14:paraId="48014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28359002"/>
      <w:bookmarkEnd w:id="6"/>
      <w:bookmarkStart w:id="7" w:name="_Toc35393621"/>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53112DB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 滁州至南京城际铁路（滁州段）一期车辆段北门门岗安全改造项目的潜在投标人应在滁州市滁宁城际铁路开发建设有限公司网站（http://czctgs.cn/）获取招标文件，并于2026年5月28日9时00分（北京时间）前递交投标文件。</w:t>
      </w:r>
    </w:p>
    <w:p w14:paraId="03D1232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004375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项目名称：滁州至南京城际铁路（滁州段）一期车辆段北门门岗安全改造项目</w:t>
      </w:r>
    </w:p>
    <w:p w14:paraId="552C87C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w:t>
      </w:r>
      <w:r>
        <w:rPr>
          <w:rFonts w:hint="eastAsia" w:ascii="宋体" w:hAnsi="宋体" w:eastAsia="宋体" w:cs="宋体"/>
          <w:b w:val="0"/>
          <w:bCs w:val="0"/>
          <w:color w:val="000000"/>
          <w:kern w:val="0"/>
          <w:sz w:val="24"/>
          <w:szCs w:val="24"/>
          <w:highlight w:val="none"/>
          <w:u w:color="000000"/>
          <w:lang w:val="en-US" w:eastAsia="zh-CN" w:bidi="ar"/>
        </w:rPr>
        <w:t>12.5万元</w:t>
      </w:r>
    </w:p>
    <w:p w14:paraId="4AF8BD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最高限价：本项目最高限价为（人民币）125000.00元，投标报价不得超过最高限价，否则按无效投标处理。</w:t>
      </w:r>
    </w:p>
    <w:p w14:paraId="7F87A8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用户需求书：滁宁城际铁路相官车辆段北门门岗在机动车道道闸与围墙空隙处安装栅栏门；于非机动车通道区域新增4扇行人道闸，形成三通道，并配套安装行人道闸管理系统和人脸识别设备；同时，在行人道闸的前后方各安装两道减速带。详见用户需求书。 </w:t>
      </w:r>
    </w:p>
    <w:p w14:paraId="7C85A1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供货期：自签订合同之日起30个日历天内按招标人管理制度完成开工报审；60个日历天内完成全部设备安装、调试及验收工作。</w:t>
      </w:r>
    </w:p>
    <w:p w14:paraId="18D3B2AC">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58C6F4C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6E28913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Times New Roman"/>
          <w:b w:val="0"/>
          <w:bCs w:val="0"/>
          <w:kern w:val="0"/>
          <w:sz w:val="24"/>
          <w:szCs w:val="24"/>
          <w:highlight w:val="none"/>
          <w:lang w:val="en-US" w:eastAsia="zh-CN" w:bidi="ar-SA"/>
        </w:rPr>
        <w:t>投标人须在中华人民共和国境内注册（不含港澳台）并取得营业执照且具有相应供货服务能力。</w:t>
      </w:r>
    </w:p>
    <w:p w14:paraId="72B177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13F522E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2026年5月22日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2026年5月28日</w:t>
      </w:r>
    </w:p>
    <w:p w14:paraId="4C8A0E62">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343A6E1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341CE36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35393793"/>
      <w:bookmarkEnd w:id="11"/>
      <w:bookmarkStart w:id="12" w:name="_Toc28359082"/>
      <w:bookmarkEnd w:id="12"/>
      <w:bookmarkStart w:id="13" w:name="_Toc58430308"/>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2026年5月28日9时00分</w:t>
      </w:r>
      <w:r>
        <w:rPr>
          <w:rFonts w:hint="eastAsia" w:ascii="宋体" w:hAnsi="宋体" w:eastAsia="宋体" w:cs="宋体"/>
          <w:bCs/>
          <w:color w:val="000000"/>
          <w:kern w:val="0"/>
          <w:sz w:val="24"/>
          <w:szCs w:val="24"/>
          <w:highlight w:val="none"/>
          <w:u w:color="000000"/>
          <w:lang w:val="en-US" w:eastAsia="zh-CN" w:bidi="ar"/>
        </w:rPr>
        <w:t>（北京时间）</w:t>
      </w:r>
    </w:p>
    <w:p w14:paraId="5C5872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val="en-US" w:eastAsia="zh-CN"/>
        </w:rPr>
        <w:t>滁州市龙蟠大道109号（房产商务大厦）6楼622会议室</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000000"/>
          <w:kern w:val="0"/>
          <w:sz w:val="24"/>
          <w:szCs w:val="24"/>
          <w:highlight w:val="none"/>
          <w:u w:color="000000"/>
          <w:lang w:val="en-US" w:eastAsia="zh-CN" w:bidi="ar"/>
        </w:rPr>
        <w:fldChar w:fldCharType="begin"/>
      </w:r>
      <w:r>
        <w:rPr>
          <w:rFonts w:hint="eastAsia" w:ascii="宋体" w:hAnsi="宋体" w:eastAsia="宋体" w:cs="宋体"/>
          <w:color w:val="000000"/>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000000"/>
          <w:kern w:val="0"/>
          <w:sz w:val="24"/>
          <w:szCs w:val="24"/>
          <w:highlight w:val="none"/>
          <w:u w:color="000000"/>
          <w:lang w:val="en-US" w:eastAsia="zh-CN" w:bidi="ar"/>
        </w:rPr>
        <w:fldChar w:fldCharType="separate"/>
      </w:r>
      <w:r>
        <w:rPr>
          <w:rFonts w:hint="eastAsia" w:ascii="宋体" w:hAnsi="宋体" w:eastAsia="宋体" w:cs="宋体"/>
          <w:color w:val="000000"/>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000000"/>
          <w:kern w:val="0"/>
          <w:sz w:val="24"/>
          <w:szCs w:val="24"/>
          <w:highlight w:val="none"/>
          <w:u w:color="000000"/>
          <w:lang w:val="en-US" w:eastAsia="zh-CN" w:bidi="ar"/>
        </w:rPr>
        <w:fldChar w:fldCharType="end"/>
      </w:r>
      <w:r>
        <w:rPr>
          <w:rFonts w:hint="eastAsia" w:ascii="宋体" w:hAnsi="宋体" w:eastAsia="宋体" w:cs="宋体"/>
          <w:color w:val="000000"/>
          <w:kern w:val="0"/>
          <w:sz w:val="24"/>
          <w:szCs w:val="24"/>
          <w:highlight w:val="none"/>
          <w:u w:color="000000"/>
          <w:lang w:val="en-US" w:eastAsia="zh-CN" w:bidi="ar"/>
        </w:rPr>
        <w:t>，未在规定时间内发送密码或发送的密码无法正确打开投标文件的，投标文件将被拒绝。</w:t>
      </w:r>
    </w:p>
    <w:p w14:paraId="186381E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w:t>
      </w:r>
      <w:r>
        <w:rPr>
          <w:rFonts w:hint="eastAsia" w:ascii="宋体" w:hAnsi="宋体" w:eastAsia="宋体" w:cs="宋体"/>
          <w:bCs/>
          <w:color w:val="auto"/>
          <w:kern w:val="0"/>
          <w:sz w:val="24"/>
          <w:highlight w:val="none"/>
          <w:u w:color="000000"/>
          <w:lang w:val="en-US" w:eastAsia="zh-CN" w:bidi="ar"/>
        </w:rPr>
        <w:t>不</w:t>
      </w:r>
      <w:r>
        <w:rPr>
          <w:rFonts w:hint="eastAsia" w:ascii="宋体" w:hAnsi="宋体" w:eastAsia="宋体" w:cs="宋体"/>
          <w:bCs/>
          <w:color w:val="auto"/>
          <w:kern w:val="0"/>
          <w:sz w:val="24"/>
          <w:highlight w:val="none"/>
          <w:u w:color="000000"/>
          <w:lang w:bidi="ar"/>
        </w:rPr>
        <w:t>要求。</w:t>
      </w:r>
    </w:p>
    <w:p w14:paraId="0AEACD3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77349B1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14:paraId="195CA3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14:paraId="582FFFE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14:paraId="47F8466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highlight w:val="none"/>
          <w:lang w:eastAsia="zh-CN" w:bidi="ar"/>
        </w:rPr>
        <w:t>13339207910</w:t>
      </w:r>
    </w:p>
    <w:p w14:paraId="41CD5F1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14:paraId="082FEFF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4DD7911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2BF4BF6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1C43192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3.项目联系方式</w:t>
      </w:r>
    </w:p>
    <w:p w14:paraId="2F73EC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项目联系人：杨雅辰、周蓓蕾    </w:t>
      </w:r>
    </w:p>
    <w:p w14:paraId="1D30312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电话：13339207910、18005505728</w:t>
      </w:r>
    </w:p>
    <w:p w14:paraId="15B7BEBE">
      <w:pPr>
        <w:keepNext w:val="0"/>
        <w:keepLines w:val="0"/>
        <w:pageBreakBefore w:val="0"/>
        <w:widowControl/>
        <w:numPr>
          <w:ilvl w:val="0"/>
          <w:numId w:val="1"/>
        </w:numPr>
        <w:suppressLineNumbers w:val="0"/>
        <w:kinsoku/>
        <w:overflowPunct/>
        <w:topLinePunct w:val="0"/>
        <w:autoSpaceDE w:val="0"/>
        <w:autoSpaceDN/>
        <w:bidi w:val="0"/>
        <w:adjustRightInd/>
        <w:snapToGrid/>
        <w:spacing w:before="0" w:beforeAutospacing="0" w:after="0" w:afterAutospacing="0" w:line="480" w:lineRule="exact"/>
        <w:ind w:right="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投标人须知</w:t>
      </w:r>
      <w:bookmarkStart w:id="16" w:name="_Toc9559"/>
      <w:bookmarkEnd w:id="16"/>
      <w:bookmarkStart w:id="17" w:name="_Toc28003_WPSOffice_Level2"/>
    </w:p>
    <w:p w14:paraId="46AA4A47">
      <w:pPr>
        <w:keepNext w:val="0"/>
        <w:keepLines w:val="0"/>
        <w:pageBreakBefore w:val="0"/>
        <w:widowControl/>
        <w:numPr>
          <w:ilvl w:val="0"/>
          <w:numId w:val="0"/>
        </w:numPr>
        <w:suppressLineNumbers w:val="0"/>
        <w:kinsoku/>
        <w:overflowPunct/>
        <w:topLinePunct w:val="0"/>
        <w:autoSpaceDE w:val="0"/>
        <w:autoSpaceDN/>
        <w:bidi w:val="0"/>
        <w:adjustRightInd/>
        <w:snapToGrid/>
        <w:spacing w:before="0" w:beforeAutospacing="0" w:after="0" w:afterAutospacing="0" w:line="480" w:lineRule="exact"/>
        <w:ind w:right="0" w:rightChars="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5"/>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014B12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79D18432">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AD19423">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46C92CB0">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3DEDF6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E3D36">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F79B70">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B5F2B4">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滁州至南京城际铁路（滁州段）一期车辆段北门门岗安全改造项目</w:t>
            </w:r>
          </w:p>
        </w:tc>
      </w:tr>
      <w:tr w14:paraId="41AC80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9888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FDF3EC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DE0AD4">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343A2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B1A8B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06D41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7DD6A9">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14:paraId="61021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DF2975">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F17EF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44EE84">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杨雅</w:t>
            </w:r>
            <w:r>
              <w:rPr>
                <w:rFonts w:hint="eastAsia" w:ascii="宋体" w:hAnsi="宋体" w:eastAsia="宋体" w:cs="宋体-18030"/>
                <w:color w:val="auto"/>
                <w:sz w:val="21"/>
                <w:szCs w:val="21"/>
                <w:highlight w:val="none"/>
                <w:lang w:val="en-US" w:eastAsia="zh-CN"/>
              </w:rPr>
              <w:t>辰  13339207910</w:t>
            </w:r>
          </w:p>
        </w:tc>
      </w:tr>
      <w:tr w14:paraId="635594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41DC7C">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B5C71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66BD4B">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14:paraId="10225E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B4C7FA">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12C85">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E7429AC">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14:paraId="0634E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2FB25F5">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18DD82">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0BD7EE">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12.5万元</w:t>
            </w:r>
          </w:p>
        </w:tc>
      </w:tr>
      <w:tr w14:paraId="722D8D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E83B9C">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2E656D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647838">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125</w:t>
            </w:r>
            <w:r>
              <w:rPr>
                <w:rFonts w:hint="eastAsia" w:ascii="宋体" w:hAnsi="宋体" w:eastAsia="宋体" w:cs="宋体"/>
                <w:bCs/>
                <w:color w:val="000000"/>
                <w:szCs w:val="21"/>
                <w:highlight w:val="none"/>
                <w:lang w:val="en-US" w:eastAsia="zh-CN"/>
              </w:rPr>
              <w:t>000.00元，投标报价不得超过最高限价，否则按无效投标处理。</w:t>
            </w:r>
          </w:p>
        </w:tc>
      </w:tr>
      <w:tr w14:paraId="1EB403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0106EA">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51771F">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8EC8EA">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6156BB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E1CB8B">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A74711">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18EA6DE">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3E7C5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C2D4DD">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5F999B">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0A01E">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2046F9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61F256">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F75E6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CB31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C30D0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FC1684">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36297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D11FD">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0EE711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DEB2CC">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23901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06243">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C407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0CDB3D">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63C30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30C485">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6</w:t>
            </w:r>
            <w:r>
              <w:rPr>
                <w:rFonts w:cs="Times New Roman"/>
                <w:b w:val="0"/>
                <w:bCs w:val="0"/>
                <w:highlight w:val="none"/>
              </w:rPr>
              <w:t>年</w:t>
            </w:r>
            <w:r>
              <w:rPr>
                <w:rFonts w:hint="eastAsia" w:cs="Times New Roman"/>
                <w:b w:val="0"/>
                <w:bCs w:val="0"/>
                <w:highlight w:val="none"/>
                <w:lang w:val="en-US" w:eastAsia="zh-CN"/>
              </w:rPr>
              <w:t>5</w:t>
            </w:r>
            <w:r>
              <w:rPr>
                <w:rFonts w:cs="Times New Roman"/>
                <w:b w:val="0"/>
                <w:bCs w:val="0"/>
                <w:highlight w:val="none"/>
              </w:rPr>
              <w:t>月</w:t>
            </w:r>
            <w:r>
              <w:rPr>
                <w:rFonts w:hint="eastAsia" w:cs="Times New Roman"/>
                <w:b w:val="0"/>
                <w:bCs w:val="0"/>
                <w:highlight w:val="none"/>
                <w:lang w:val="en-US" w:eastAsia="zh-CN"/>
              </w:rPr>
              <w:t>25</w:t>
            </w:r>
            <w:r>
              <w:rPr>
                <w:rFonts w:cs="Times New Roman"/>
                <w:b w:val="0"/>
                <w:bCs w:val="0"/>
                <w:highlight w:val="none"/>
              </w:rPr>
              <w:t>日</w:t>
            </w:r>
            <w:r>
              <w:rPr>
                <w:rFonts w:hAnsi="Times New Roman" w:cs="Times New Roman"/>
                <w:b w:val="0"/>
                <w:bCs w:val="0"/>
                <w:highlight w:val="none"/>
                <w:lang w:val="en-US"/>
              </w:rPr>
              <w:t>1</w:t>
            </w:r>
            <w:r>
              <w:rPr>
                <w:rFonts w:hint="eastAsia" w:hAnsi="Times New Roman" w:cs="Times New Roman"/>
                <w:b w:val="0"/>
                <w:bCs w:val="0"/>
                <w:highlight w:val="none"/>
                <w:lang w:val="en-US" w:eastAsia="zh-CN"/>
              </w:rPr>
              <w:t>2</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5E7EE6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35E22">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98D3735">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EA56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2026年5月25日17时后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14:paraId="5F8061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652E4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9B8081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DE0FF9">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542CEA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4FE3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AFBE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5F3F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代理服务费金额：招标代理费2000元，不含专家评审费（专家评审费用以实际支付为准，预计2000元整）。</w:t>
            </w:r>
          </w:p>
          <w:p w14:paraId="0A2D303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528EA8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7D35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8F7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5F90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6BE6D8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F0CA0EA">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A2366D">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31B796">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5BC99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AD8C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AD5D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905A8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6917C9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8E01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87C1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7F5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89D9D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89E7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51ACA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F37A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28</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9</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C1E36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042F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7B0B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D43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7E305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0D0D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A102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1B60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开标时间：2026年5月28日9时00分（北京时间）</w:t>
            </w:r>
          </w:p>
          <w:p w14:paraId="2BC2FCB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开标地点：滁州市龙蟠大道109号（房产商务大厦）6楼622会议室。</w:t>
            </w:r>
          </w:p>
        </w:tc>
      </w:tr>
      <w:tr w14:paraId="285E65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306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457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05D76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4C55DB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1E24F8A">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53964E">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B1AE7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7E0F93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6F7DE7">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4C3F13">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492EDB">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73FDF5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DEA56A">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D1504E">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129759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33FE59A3">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351B8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68D5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F614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0F31E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2E0631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2753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A39A2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DB985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要求中标人提交履约</w:t>
            </w:r>
            <w:r>
              <w:rPr>
                <w:rFonts w:hint="eastAsia" w:ascii="宋体" w:hAnsi="宋体" w:eastAsia="宋体" w:cs="宋体"/>
                <w:highlight w:val="none"/>
                <w:lang w:val="en-US" w:eastAsia="zh-CN"/>
              </w:rPr>
              <w:t>担保</w:t>
            </w:r>
            <w:r>
              <w:rPr>
                <w:rFonts w:hint="eastAsia" w:ascii="宋体" w:hAnsi="宋体" w:eastAsia="宋体" w:cs="宋体"/>
                <w:highlight w:val="none"/>
              </w:rPr>
              <w:t>。</w:t>
            </w:r>
          </w:p>
          <w:p w14:paraId="7C405F0F">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形式：支持银行转账、银行电汇、银行保函、担保机构担保、保证保险使用。</w:t>
            </w:r>
          </w:p>
          <w:p w14:paraId="508727D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金额：中标合同金额×</w:t>
            </w:r>
            <w:r>
              <w:rPr>
                <w:rFonts w:hint="eastAsia" w:ascii="宋体" w:hAnsi="宋体" w:eastAsia="宋体" w:cs="宋体"/>
                <w:highlight w:val="none"/>
                <w:lang w:val="en-US" w:eastAsia="zh-CN"/>
              </w:rPr>
              <w:t>10</w:t>
            </w:r>
            <w:r>
              <w:rPr>
                <w:rFonts w:hint="eastAsia" w:ascii="宋体" w:hAnsi="宋体" w:eastAsia="宋体" w:cs="宋体"/>
                <w:highlight w:val="none"/>
              </w:rPr>
              <w:t>%；</w:t>
            </w:r>
          </w:p>
          <w:p w14:paraId="4F60F3B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收款单位：另行通知                  </w:t>
            </w:r>
          </w:p>
          <w:p w14:paraId="2A2EDA0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开户银行：另行通知                 </w:t>
            </w:r>
          </w:p>
          <w:p w14:paraId="77733A7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银行账号：另行通知  </w:t>
            </w:r>
          </w:p>
          <w:p w14:paraId="1BD8D68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缴纳时限：中标人须在中标通知书发出后30日内完成履约</w:t>
            </w:r>
            <w:r>
              <w:rPr>
                <w:rFonts w:hint="eastAsia" w:ascii="宋体" w:hAnsi="宋体" w:eastAsia="宋体" w:cs="宋体"/>
                <w:highlight w:val="none"/>
                <w:lang w:val="en-US" w:eastAsia="zh-CN"/>
              </w:rPr>
              <w:t>担保</w:t>
            </w:r>
            <w:r>
              <w:rPr>
                <w:rFonts w:hint="eastAsia" w:ascii="宋体" w:hAnsi="宋体" w:eastAsia="宋体" w:cs="宋体"/>
                <w:highlight w:val="none"/>
              </w:rPr>
              <w:t xml:space="preserve">缴纳及合同签订，如未按期交齐履约保证金或未按期签订合同的，视同放弃中标资格。 </w:t>
            </w:r>
          </w:p>
          <w:p w14:paraId="0A21DEE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退还时限</w:t>
            </w:r>
            <w:r>
              <w:rPr>
                <w:rFonts w:hint="eastAsia" w:ascii="宋体" w:hAnsi="宋体" w:eastAsia="宋体" w:cs="宋体"/>
                <w:highlight w:val="none"/>
                <w:lang w:eastAsia="zh-CN"/>
              </w:rPr>
              <w:t>：</w:t>
            </w:r>
            <w:r>
              <w:rPr>
                <w:rFonts w:hint="eastAsia" w:ascii="宋体" w:hAnsi="宋体" w:eastAsia="宋体" w:cs="宋体"/>
                <w:highlight w:val="none"/>
                <w:lang w:val="en-US" w:eastAsia="zh-CN"/>
              </w:rPr>
              <w:t xml:space="preserve">中标人在本合同约定的服务期限届满并经招标人验收合格后30日内办理履约保证金（或履约保函）退还手续。 </w:t>
            </w:r>
          </w:p>
          <w:p w14:paraId="7081EBD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其他相关要求：</w:t>
            </w:r>
          </w:p>
          <w:p w14:paraId="6BC5B0D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1、采用银行保函的具体要求</w:t>
            </w:r>
          </w:p>
          <w:p w14:paraId="1942E47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①保函形式须为见索即付型（无条件保函）；</w:t>
            </w:r>
          </w:p>
          <w:p w14:paraId="64B0E31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②须经招标人认可。</w:t>
            </w:r>
          </w:p>
          <w:p w14:paraId="61B7210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2、采用担保保函的具体要求：须经招标人认可。</w:t>
            </w:r>
          </w:p>
          <w:p w14:paraId="5EDB8D0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3、采用商业保险的具体要求：须经招标人认可。</w:t>
            </w:r>
          </w:p>
          <w:p w14:paraId="2227030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highlight w:val="none"/>
              </w:rPr>
              <w:t>4、采用第三方担保的具体要求：须经招标人认可。</w:t>
            </w:r>
          </w:p>
        </w:tc>
      </w:tr>
      <w:tr w14:paraId="7B33C6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0687B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7E03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 xml:space="preserve">全部设备安装完成并验收合格后，中标人提交请款资料及增值税专用发票，招标人完成审核后，付款至合同价款的97%，剩余3%在待质保期（自项目验收合格之日起算1年）满且无任何质量问题一次性付清。 </w:t>
            </w:r>
          </w:p>
        </w:tc>
      </w:tr>
      <w:tr w14:paraId="1E3718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36417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96049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F77B2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485741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9501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21E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5D22E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3194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094D8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766F1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498C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E309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4FF1DE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68E2A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A0D4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0AC4F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6F63E2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14:paraId="059027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24D7D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4FA8B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w:t>
            </w:r>
            <w:r>
              <w:rPr>
                <w:rFonts w:hint="eastAsia" w:ascii="Times New Roman" w:hAnsi="Times New Roman" w:eastAsia="宋体" w:cs="Times New Roman"/>
                <w:highlight w:val="none"/>
                <w:lang w:val="en-US" w:eastAsia="zh-CN"/>
              </w:rPr>
              <w:t>招标人保留变更合同签订主体或增加第三方参与合同签订的权利。</w:t>
            </w:r>
          </w:p>
          <w:p w14:paraId="41EFA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7、招标人对本项目执行过程中的所有争议拥有最终的裁决权，投标人应无条件地服从招标人的裁决，不得以任何理由提出增加本项目合同费用和延误本项目工期。</w:t>
            </w:r>
          </w:p>
          <w:p w14:paraId="51826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8、本项目严禁非法转包，一经发现，招标人依法处理。</w:t>
            </w:r>
          </w:p>
        </w:tc>
      </w:tr>
    </w:tbl>
    <w:p w14:paraId="66FE8003">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14:paraId="17C9A56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449D382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14:paraId="0E3FDF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7415B0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09AD4A6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3187F3C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14:paraId="695365B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14:paraId="3EE3943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4A85545F">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44564A7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662DED8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656B64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59761A1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11E88C3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769EAC6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2501DB1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705978E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746F3D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4AAAB3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1D8BE48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5D0E8E5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07A887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610F4AD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（详见第四章评标办法）</w:t>
      </w:r>
    </w:p>
    <w:p w14:paraId="5742EA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4BEDCB41">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2CEA47E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438450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3C9E41F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1" w:name="_Toc247527563"/>
      <w:bookmarkEnd w:id="21"/>
      <w:bookmarkStart w:id="22" w:name="_Toc296602429"/>
      <w:bookmarkEnd w:id="22"/>
      <w:bookmarkStart w:id="23" w:name="_Toc247513962"/>
      <w:bookmarkEnd w:id="23"/>
      <w:bookmarkStart w:id="24" w:name="_Toc152045539"/>
      <w:bookmarkEnd w:id="24"/>
      <w:bookmarkStart w:id="25" w:name="_Toc144974507"/>
      <w:bookmarkEnd w:id="25"/>
      <w:bookmarkStart w:id="26" w:name="_Toc152042315"/>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14:paraId="6ED8425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D5AD10E">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1943CDED">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49CC04F0">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664EDE5">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5A9CC7D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2D87B0E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667991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 联合投标</w:t>
      </w:r>
    </w:p>
    <w:p w14:paraId="16C8EE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08F70E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0B5D753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3FFA7F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23AD1BFF">
      <w:pPr>
        <w:spacing w:line="360" w:lineRule="auto"/>
        <w:ind w:firstLine="420" w:firstLineChars="200"/>
        <w:rPr>
          <w:rFonts w:hint="eastAsia" w:ascii="宋体"/>
          <w:szCs w:val="21"/>
          <w:highlight w:val="none"/>
        </w:rPr>
      </w:pPr>
      <w:bookmarkStart w:id="28" w:name="_Toc24655"/>
      <w:bookmarkEnd w:id="28"/>
      <w:bookmarkStart w:id="29" w:name="_Toc10668_WPSOffice_Level3"/>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54387F7">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02E25687">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17E2E871">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50B1BB6">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5EA21800">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0E199FBD">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1B2FBB4A">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421FD49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3890C355">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1E7702F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14:paraId="5620FC83">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61211EC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 招标文件的编制依据</w:t>
      </w:r>
    </w:p>
    <w:p w14:paraId="5FF3DC6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1A948F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 招标文件的组成</w:t>
      </w:r>
    </w:p>
    <w:p w14:paraId="4B475B0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57A355B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第一章  招标公告</w:t>
      </w:r>
    </w:p>
    <w:p w14:paraId="10B2E01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第二章  投标须知</w:t>
      </w:r>
    </w:p>
    <w:p w14:paraId="1752288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14:paraId="6D10238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第四章  评标办法</w:t>
      </w:r>
    </w:p>
    <w:p w14:paraId="2398EDE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第五章  用户需求书</w:t>
      </w:r>
    </w:p>
    <w:p w14:paraId="37B88F6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第六章  合同条款及格式</w:t>
      </w:r>
    </w:p>
    <w:p w14:paraId="187886B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第七章  投标文件格式</w:t>
      </w:r>
    </w:p>
    <w:p w14:paraId="38CC658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14:paraId="311A98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3F40563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67D7E6D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6B2BF85">
      <w:pPr>
        <w:spacing w:line="440" w:lineRule="exact"/>
        <w:ind w:firstLine="420"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2AE75A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 招标文件的发出</w:t>
      </w:r>
    </w:p>
    <w:p w14:paraId="2672C1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77D851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19.样品</w:t>
      </w:r>
      <w:bookmarkEnd w:id="31"/>
    </w:p>
    <w:p w14:paraId="20DA793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1E81783C">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1F40CE47">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14:paraId="4E43174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14:paraId="538CB80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14:paraId="040871EC">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14:paraId="2A83C705">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14:paraId="34D8DBB4">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14:paraId="3ED9BAEF">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14:paraId="3AF4E612">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53765A0D">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14:paraId="108D831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14:paraId="12D0DBD9">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包括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w:t>
      </w:r>
    </w:p>
    <w:p w14:paraId="337A745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14:paraId="67A2F6E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14:paraId="57A545A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14:paraId="225928F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24B7352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8E2BB90">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54BEF1E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除投标人须知前附表另有规定外，投标有效期为60天。</w:t>
      </w:r>
    </w:p>
    <w:p w14:paraId="1BF5286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7F018D6A">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6AE99086">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08E9E09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7749EDA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14:paraId="1B1DB80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b/>
          <w:bCs w:val="0"/>
          <w:highlight w:val="none"/>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0157167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14:paraId="286B56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7DA5DF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14:paraId="4AF9824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0F241F9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14:paraId="34E8312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7B884CA0">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18CA468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14:paraId="1E5A5BF2">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2283822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722E3AA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203BC21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14:paraId="0FCD1FA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99F5213">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13DBB84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6981901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409899A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BCB440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6923436">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14:paraId="6B92F22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0157C60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14:paraId="3985D34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14:paraId="0B01EBC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53FA51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5E5AF56">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4C97829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2C98505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73B4E9C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2B1A972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5094578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1D37B2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2BB48C23">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14:paraId="750F17A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章“评标办法”没有规定的方法、评审因素和标准，不作为评标依据。</w:t>
      </w:r>
    </w:p>
    <w:p w14:paraId="2EF7E83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17190F33">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757B694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7E58080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F6C751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BD445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491C263">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5D85599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684098F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6928153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41827E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54DD55B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279DE8E6">
      <w:pPr>
        <w:tabs>
          <w:tab w:val="left" w:pos="720"/>
        </w:tabs>
        <w:spacing w:line="420" w:lineRule="exact"/>
        <w:ind w:firstLine="420" w:firstLineChars="200"/>
        <w:jc w:val="left"/>
        <w:rPr>
          <w:rFonts w:hint="eastAsia" w:ascii="宋体" w:hAnsi="宋体" w:eastAsia="宋体" w:cs="宋体"/>
          <w:highlight w:val="none"/>
          <w:lang w:val="en-US"/>
        </w:rPr>
      </w:pPr>
      <w:r>
        <w:rPr>
          <w:rFonts w:hint="eastAsia" w:ascii="宋体" w:hAnsi="Times New Roman" w:eastAsia="宋体" w:cs="Times New Roman"/>
          <w:szCs w:val="21"/>
          <w:highlight w:val="none"/>
        </w:rPr>
        <w:t>（4）法律、法规规定的其他情形。</w:t>
      </w:r>
    </w:p>
    <w:p w14:paraId="01E638B2">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14:paraId="416185CB">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33.中标公示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34.评标结果异议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35.定标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36.中标通知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6EE24B61">
      <w:pPr>
        <w:keepNext w:val="0"/>
        <w:keepLines w:val="0"/>
        <w:widowControl w:val="0"/>
        <w:suppressLineNumbers w:val="0"/>
        <w:autoSpaceDE w:val="0"/>
        <w:autoSpaceDN/>
        <w:spacing w:before="0" w:beforeAutospacing="0" w:after="0" w:afterAutospacing="0" w:line="400" w:lineRule="exact"/>
        <w:ind w:left="0" w:right="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黑体" w:hAnsi="宋体" w:eastAsia="黑体" w:cs="宋体"/>
          <w:b/>
          <w:bCs w:val="0"/>
          <w:color w:val="000000"/>
          <w:kern w:val="0"/>
          <w:sz w:val="21"/>
          <w:szCs w:val="21"/>
          <w:highlight w:val="none"/>
          <w:u w:color="000000"/>
          <w:lang w:val="en-US" w:eastAsia="zh-CN" w:bidi="ar"/>
        </w:rPr>
        <w:t xml:space="preserve"> </w:t>
      </w:r>
      <w:bookmarkStart w:id="40" w:name="_Toc7247"/>
      <w:bookmarkEnd w:id="40"/>
      <w:r>
        <w:rPr>
          <w:rFonts w:hint="eastAsia" w:ascii="黑体" w:hAnsi="宋体" w:eastAsia="黑体" w:cs="宋体"/>
          <w:b/>
          <w:bCs w:val="0"/>
          <w:color w:val="000000"/>
          <w:kern w:val="0"/>
          <w:sz w:val="21"/>
          <w:szCs w:val="21"/>
          <w:highlight w:val="none"/>
          <w:u w:color="000000"/>
          <w:lang w:val="en-US" w:eastAsia="zh-CN" w:bidi="ar"/>
        </w:rPr>
        <w:t xml:space="preserve"> 37.</w:t>
      </w:r>
      <w:bookmarkStart w:id="41" w:name="_Toc217446068"/>
      <w:r>
        <w:rPr>
          <w:rFonts w:hint="eastAsia" w:ascii="黑体" w:hAnsi="宋体" w:eastAsia="黑体" w:cs="宋体"/>
          <w:b/>
          <w:bCs w:val="0"/>
          <w:color w:val="000000"/>
          <w:kern w:val="0"/>
          <w:sz w:val="21"/>
          <w:szCs w:val="21"/>
          <w:highlight w:val="none"/>
          <w:u w:color="000000"/>
          <w:lang w:val="en-US" w:eastAsia="zh-CN" w:bidi="ar"/>
        </w:rPr>
        <w:t>履约保证金</w:t>
      </w:r>
      <w:bookmarkEnd w:id="41"/>
    </w:p>
    <w:p w14:paraId="1331EEB6">
      <w:pPr>
        <w:spacing w:line="420" w:lineRule="exact"/>
        <w:ind w:firstLine="420" w:firstLineChars="200"/>
        <w:jc w:val="left"/>
        <w:rPr>
          <w:rFonts w:ascii="宋体" w:hAnsi="Times New Roman" w:eastAsia="宋体" w:cs="Times New Roman"/>
          <w:szCs w:val="21"/>
          <w:highlight w:val="none"/>
        </w:rPr>
      </w:pPr>
      <w:bookmarkStart w:id="42" w:name="_Toc316_WPSOffice_Level3"/>
      <w:bookmarkEnd w:id="42"/>
      <w:bookmarkStart w:id="43"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3"/>
      <w:r>
        <w:rPr>
          <w:rFonts w:hint="eastAsia" w:ascii="宋体" w:hAnsi="Times New Roman" w:eastAsia="宋体" w:cs="Times New Roman"/>
          <w:szCs w:val="21"/>
          <w:highlight w:val="none"/>
        </w:rPr>
        <w:t>在签订合同前，中标人应按投标人须知前附表规定的担保形式和招标文件第</w:t>
      </w:r>
      <w:r>
        <w:rPr>
          <w:rFonts w:hint="eastAsia" w:ascii="宋体" w:hAnsi="Times New Roman" w:eastAsia="宋体" w:cs="Times New Roman"/>
          <w:szCs w:val="21"/>
          <w:highlight w:val="none"/>
          <w:lang w:val="en-US" w:eastAsia="zh-CN"/>
        </w:rPr>
        <w:t>六</w:t>
      </w:r>
      <w:r>
        <w:rPr>
          <w:rFonts w:hint="eastAsia" w:ascii="宋体" w:hAnsi="Times New Roman" w:eastAsia="宋体" w:cs="Times New Roman"/>
          <w:szCs w:val="21"/>
          <w:highlight w:val="none"/>
        </w:rPr>
        <w:t>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.1项要求提交履约担保的，视为放弃中标，给招标人造成的损失，中标人还应当予以赔偿。</w:t>
      </w:r>
    </w:p>
    <w:p w14:paraId="458C332C">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5CF1532">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3315D15F">
      <w:pPr>
        <w:spacing w:line="420" w:lineRule="exact"/>
        <w:ind w:firstLine="420" w:firstLineChars="200"/>
        <w:jc w:val="left"/>
        <w:rPr>
          <w:rFonts w:hint="eastAsia" w:ascii="宋体"/>
          <w:b/>
          <w:color w:val="auto"/>
          <w:sz w:val="32"/>
          <w:szCs w:val="32"/>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48771897">
      <w:pPr>
        <w:rPr>
          <w:rFonts w:hint="eastAsia" w:ascii="宋体"/>
          <w:b/>
          <w:color w:val="auto"/>
          <w:sz w:val="32"/>
          <w:szCs w:val="32"/>
          <w:highlight w:val="none"/>
        </w:rPr>
      </w:pPr>
      <w:r>
        <w:rPr>
          <w:rFonts w:hint="eastAsia" w:ascii="宋体"/>
          <w:b/>
          <w:color w:val="auto"/>
          <w:sz w:val="32"/>
          <w:szCs w:val="32"/>
          <w:highlight w:val="none"/>
        </w:rPr>
        <w:br w:type="page"/>
      </w:r>
    </w:p>
    <w:p w14:paraId="168B1AB6">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4FF62F0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1E00ACD9">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5"/>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52F4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0CC19D4A">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142266E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7C34AD6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070F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70356464">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23A24DE5">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7CE7F292">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14:paraId="76734E10">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7B0A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29DBC90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1673CA47">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546F0711">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（2）具有独立承担民事责任的能力</w:t>
            </w:r>
          </w:p>
        </w:tc>
        <w:tc>
          <w:tcPr>
            <w:tcW w:w="3929" w:type="dxa"/>
            <w:noWrap w:val="0"/>
            <w:vAlign w:val="center"/>
          </w:tcPr>
          <w:p w14:paraId="7168B65D">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27D073C5">
            <w:pPr>
              <w:keepNext w:val="0"/>
              <w:keepLines w:val="0"/>
              <w:suppressLineNumbers w:val="0"/>
              <w:spacing w:before="0" w:beforeAutospacing="0" w:after="0" w:afterAutospacing="0" w:line="320" w:lineRule="exact"/>
              <w:ind w:left="0" w:right="0"/>
              <w:jc w:val="left"/>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1752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7D4EA2C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222B604D">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58C12D70">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center"/>
          </w:tcPr>
          <w:p w14:paraId="75423EB2">
            <w:pPr>
              <w:keepNext w:val="0"/>
              <w:keepLines w:val="0"/>
              <w:suppressLineNumbers w:val="0"/>
              <w:spacing w:before="0" w:beforeAutospacing="0" w:after="0" w:afterAutospacing="0" w:line="360" w:lineRule="exact"/>
              <w:ind w:left="0" w:right="0"/>
              <w:jc w:val="left"/>
              <w:rPr>
                <w:rFonts w:hint="eastAsia" w:ascii="宋体"/>
                <w:b/>
                <w:color w:val="000000"/>
                <w:szCs w:val="21"/>
                <w:highlight w:val="none"/>
              </w:rPr>
            </w:pPr>
            <w:r>
              <w:rPr>
                <w:rFonts w:hint="eastAsia"/>
                <w:color w:val="000000"/>
                <w:highlight w:val="none"/>
              </w:rPr>
              <w:t>格式见附件，检验电子标书</w:t>
            </w:r>
          </w:p>
        </w:tc>
      </w:tr>
      <w:tr w14:paraId="710F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619BDE9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BF990DE">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7063ABCB">
            <w:pPr>
              <w:keepNext w:val="0"/>
              <w:keepLines w:val="0"/>
              <w:suppressLineNumbers w:val="0"/>
              <w:spacing w:before="0" w:beforeAutospacing="0" w:after="0" w:afterAutospacing="0" w:line="320" w:lineRule="exact"/>
              <w:ind w:left="0" w:right="0"/>
              <w:jc w:val="lef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14:paraId="63E978CD">
            <w:pPr>
              <w:keepNext w:val="0"/>
              <w:keepLines w:val="0"/>
              <w:suppressLineNumbers w:val="0"/>
              <w:spacing w:before="0" w:beforeAutospacing="0" w:after="0" w:afterAutospacing="0" w:line="360" w:lineRule="exact"/>
              <w:ind w:left="0" w:right="0"/>
              <w:jc w:val="left"/>
              <w:rPr>
                <w:rFonts w:hint="eastAsia" w:ascii="宋体"/>
                <w:color w:val="000000"/>
                <w:szCs w:val="21"/>
                <w:highlight w:val="none"/>
              </w:rPr>
            </w:pPr>
            <w:r>
              <w:rPr>
                <w:rFonts w:hint="eastAsia"/>
                <w:color w:val="000000"/>
                <w:highlight w:val="none"/>
              </w:rPr>
              <w:t>格式见附件，检验电子标书</w:t>
            </w:r>
          </w:p>
        </w:tc>
      </w:tr>
    </w:tbl>
    <w:p w14:paraId="415B14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rPr>
      </w:pPr>
      <w:bookmarkStart w:id="44" w:name="_Toc15058909"/>
      <w:bookmarkStart w:id="45" w:name="_Toc95223395"/>
      <w:bookmarkStart w:id="46" w:name="_Toc506107320"/>
      <w:bookmarkStart w:id="47" w:name="_Toc60061492"/>
      <w:r>
        <w:rPr>
          <w:rFonts w:hint="eastAsia" w:ascii="Times New Roman" w:hAnsi="Times New Roman" w:eastAsia="宋体" w:cs="Times New Roman"/>
          <w:color w:val="000000"/>
        </w:rPr>
        <w:t>重要提示：</w:t>
      </w:r>
    </w:p>
    <w:p w14:paraId="6E3ED63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t>（</w:t>
      </w:r>
      <w:r>
        <w:rPr>
          <w:rFonts w:hint="eastAsia" w:ascii="Times New Roman" w:hAnsi="Times New Roman" w:eastAsia="宋体" w:cs="Times New Roman"/>
          <w:color w:val="000000"/>
          <w:lang w:val="en-US" w:eastAsia="zh-CN"/>
        </w:rPr>
        <w:t>1）</w:t>
      </w:r>
      <w:r>
        <w:rPr>
          <w:rFonts w:hint="eastAsia" w:ascii="Times New Roman" w:hAnsi="Times New Roman" w:eastAsia="宋体" w:cs="Times New Roman"/>
          <w:color w:val="000000"/>
        </w:rPr>
        <w:t>评标专家在检验投标文件过程中，如果由于投标人自身原因导致评标专家无法查看并检验投标文件中相关资料的，视为无效标处理。即使投标人将原件携带至现场的，同样按无效标处理</w:t>
      </w:r>
      <w:r>
        <w:rPr>
          <w:rFonts w:hint="eastAsia" w:ascii="Times New Roman" w:hAnsi="Times New Roman" w:eastAsia="宋体" w:cs="Times New Roman"/>
          <w:color w:val="000000"/>
          <w:lang w:eastAsia="zh-CN"/>
        </w:rPr>
        <w:t>。</w:t>
      </w:r>
    </w:p>
    <w:p w14:paraId="1780212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2.审查办法</w:t>
      </w:r>
      <w:bookmarkEnd w:id="44"/>
      <w:bookmarkEnd w:id="45"/>
      <w:bookmarkEnd w:id="46"/>
      <w:bookmarkEnd w:id="47"/>
    </w:p>
    <w:p w14:paraId="77A0F09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48" w:name="_Toc324404868"/>
      <w:bookmarkStart w:id="49" w:name="_Toc15058910"/>
      <w:bookmarkStart w:id="50" w:name="_Toc60061493"/>
      <w:bookmarkStart w:id="51" w:name="_Toc506107321"/>
      <w:r>
        <w:rPr>
          <w:rFonts w:hint="eastAsia" w:ascii="Times New Roman" w:hAnsi="Times New Roman" w:eastAsia="宋体" w:cs="Times New Roman"/>
          <w:color w:val="000000"/>
        </w:rPr>
        <w:t>由资格审查委员会（评标委员会）按资格审查办法前附表中资格审查必要合格条件评审表要求对投标人审查资料进行核验。</w:t>
      </w:r>
    </w:p>
    <w:p w14:paraId="3AACF25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52" w:name="_Toc95223396"/>
      <w:r>
        <w:rPr>
          <w:rFonts w:hint="eastAsia" w:ascii="Times New Roman" w:hAnsi="Times New Roman" w:eastAsia="宋体" w:cs="Times New Roman"/>
          <w:color w:val="000000"/>
        </w:rPr>
        <w:t>3.资格审查委员会和审查标准</w:t>
      </w:r>
      <w:bookmarkEnd w:id="48"/>
      <w:bookmarkEnd w:id="49"/>
      <w:bookmarkEnd w:id="50"/>
      <w:bookmarkEnd w:id="51"/>
      <w:bookmarkEnd w:id="52"/>
    </w:p>
    <w:p w14:paraId="7D0D4B1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3.1资格审查由招标人依法组建的资格审查委员会（或评标委员会）负责。审查标准见资格审查办法前附表。</w:t>
      </w:r>
    </w:p>
    <w:p w14:paraId="0346726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 xml:space="preserve">3.2由资格审查委员会（评标委员会）按资格审查办法前附表要求对投标人的审查资料进行核验。投标申请人有下列情形之一的，其资格审查为不合格： </w:t>
      </w:r>
    </w:p>
    <w:p w14:paraId="7E25EDD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（1）未</w:t>
      </w:r>
      <w:r>
        <w:rPr>
          <w:rFonts w:hint="eastAsia" w:ascii="Times New Roman" w:hAnsi="Times New Roman" w:eastAsia="宋体" w:cs="Times New Roman"/>
          <w:color w:val="000000"/>
          <w:lang w:val="en-US" w:eastAsia="zh-CN"/>
        </w:rPr>
        <w:t>发送</w:t>
      </w:r>
      <w:r>
        <w:rPr>
          <w:rFonts w:hint="eastAsia" w:ascii="Times New Roman" w:hAnsi="Times New Roman" w:eastAsia="宋体" w:cs="Times New Roman"/>
          <w:color w:val="000000"/>
        </w:rPr>
        <w:t>标书或电子标书经审查不合格；</w:t>
      </w:r>
    </w:p>
    <w:p w14:paraId="16E65FD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rPr>
        <w:t>（2）电子标书</w:t>
      </w:r>
      <w:r>
        <w:rPr>
          <w:rFonts w:hint="eastAsia" w:ascii="Times New Roman" w:hAnsi="Times New Roman" w:eastAsia="宋体" w:cs="Times New Roman"/>
          <w:color w:val="000000"/>
          <w:lang w:val="en-US" w:eastAsia="zh-CN"/>
        </w:rPr>
        <w:t>无法打开。</w:t>
      </w:r>
    </w:p>
    <w:p w14:paraId="1FC23E8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53" w:name="_Toc324404869"/>
      <w:bookmarkStart w:id="54" w:name="_Toc95223397"/>
      <w:bookmarkStart w:id="55" w:name="_Toc15058911"/>
      <w:bookmarkStart w:id="56" w:name="_Toc60061494"/>
      <w:bookmarkStart w:id="57" w:name="_Toc506107322"/>
      <w:r>
        <w:rPr>
          <w:rFonts w:hint="eastAsia" w:ascii="Times New Roman" w:hAnsi="Times New Roman" w:eastAsia="宋体" w:cs="Times New Roman"/>
          <w:color w:val="000000"/>
        </w:rPr>
        <w:t>4.审查结果</w:t>
      </w:r>
      <w:bookmarkEnd w:id="53"/>
      <w:bookmarkEnd w:id="54"/>
      <w:bookmarkEnd w:id="55"/>
      <w:bookmarkEnd w:id="56"/>
      <w:bookmarkEnd w:id="57"/>
    </w:p>
    <w:p w14:paraId="243344E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只有通过资格审查的投标人才能进入下一步的评标程序。</w:t>
      </w:r>
    </w:p>
    <w:p w14:paraId="0E854C51">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719145FC">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80B5C20">
      <w:pPr>
        <w:pStyle w:val="9"/>
        <w:numPr>
          <w:ilvl w:val="0"/>
          <w:numId w:val="0"/>
        </w:numPr>
        <w:jc w:val="left"/>
        <w:rPr>
          <w:rFonts w:hint="default" w:eastAsia="宋体"/>
          <w:lang w:val="en-US" w:eastAsia="zh-CN"/>
        </w:rPr>
      </w:pPr>
      <w:bookmarkStart w:id="58" w:name="_Toc23254"/>
      <w:bookmarkEnd w:id="58"/>
      <w:r>
        <w:rPr>
          <w:rFonts w:hint="eastAsia"/>
          <w:lang w:val="en-US" w:eastAsia="zh-CN"/>
        </w:rPr>
        <w:t>报价评审：</w:t>
      </w:r>
    </w:p>
    <w:tbl>
      <w:tblPr>
        <w:tblStyle w:val="2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0F50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5EBEB62">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59" w:name="_Toc363135205"/>
            <w:bookmarkStart w:id="60" w:name="_Toc267320058"/>
            <w:bookmarkStart w:id="61" w:name="_Toc362983802"/>
            <w:bookmarkStart w:id="62" w:name="_Toc449028878"/>
            <w:bookmarkStart w:id="63" w:name="_Toc58430318"/>
            <w:r>
              <w:rPr>
                <w:rFonts w:hint="eastAsia" w:ascii="黑体" w:eastAsia="黑体" w:cs="黑体"/>
                <w:b/>
                <w:bCs/>
                <w:color w:val="000000"/>
                <w:szCs w:val="21"/>
                <w:highlight w:val="none"/>
              </w:rPr>
              <w:t>序号</w:t>
            </w:r>
          </w:p>
        </w:tc>
        <w:tc>
          <w:tcPr>
            <w:tcW w:w="4135" w:type="dxa"/>
            <w:gridSpan w:val="2"/>
            <w:noWrap w:val="0"/>
            <w:vAlign w:val="center"/>
          </w:tcPr>
          <w:p w14:paraId="05C60607">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006823B2">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4D23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08F49C0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195C2974">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rPr>
              <w:t>形式评审标准</w:t>
            </w:r>
          </w:p>
        </w:tc>
        <w:tc>
          <w:tcPr>
            <w:tcW w:w="2931" w:type="dxa"/>
            <w:noWrap w:val="0"/>
            <w:vAlign w:val="center"/>
          </w:tcPr>
          <w:p w14:paraId="7E8DDCE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投标函签字盖章</w:t>
            </w:r>
          </w:p>
        </w:tc>
        <w:tc>
          <w:tcPr>
            <w:tcW w:w="4173" w:type="dxa"/>
            <w:noWrap w:val="0"/>
            <w:vAlign w:val="center"/>
          </w:tcPr>
          <w:p w14:paraId="7E589D88">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有投标人及其法定代表人签章。</w:t>
            </w:r>
          </w:p>
        </w:tc>
      </w:tr>
      <w:tr w14:paraId="12F0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5C4E6142">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2150379">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13BE1781">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投标文件格式</w:t>
            </w:r>
          </w:p>
        </w:tc>
        <w:tc>
          <w:tcPr>
            <w:tcW w:w="4173" w:type="dxa"/>
            <w:noWrap w:val="0"/>
            <w:vAlign w:val="center"/>
          </w:tcPr>
          <w:p w14:paraId="233B2D47">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符合第</w:t>
            </w:r>
            <w:r>
              <w:rPr>
                <w:rFonts w:hint="eastAsia" w:ascii="宋体" w:hAnsi="宋体" w:cs="宋体"/>
                <w:color w:val="000000"/>
                <w:szCs w:val="21"/>
                <w:lang w:val="en-US" w:eastAsia="zh-CN"/>
              </w:rPr>
              <w:t>七</w:t>
            </w:r>
            <w:r>
              <w:rPr>
                <w:rFonts w:hint="eastAsia" w:ascii="宋体" w:hAnsi="宋体" w:cs="宋体"/>
                <w:color w:val="000000"/>
                <w:szCs w:val="21"/>
              </w:rPr>
              <w:t>章“投标文件格式”的要求。</w:t>
            </w:r>
          </w:p>
        </w:tc>
      </w:tr>
      <w:tr w14:paraId="2F1C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4096C403">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7B56C4A4">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B6E3BBA">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投标文件签字盖章</w:t>
            </w:r>
          </w:p>
        </w:tc>
        <w:tc>
          <w:tcPr>
            <w:tcW w:w="4173" w:type="dxa"/>
            <w:noWrap w:val="0"/>
            <w:vAlign w:val="center"/>
          </w:tcPr>
          <w:p w14:paraId="2E55EAD9">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按投标文件格式要求签章。</w:t>
            </w:r>
          </w:p>
        </w:tc>
      </w:tr>
      <w:tr w14:paraId="2129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43B19BAC">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F6C308B">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2D61CD2D">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rPr>
              <w:t>报价唯一</w:t>
            </w:r>
          </w:p>
        </w:tc>
        <w:tc>
          <w:tcPr>
            <w:tcW w:w="4173" w:type="dxa"/>
            <w:noWrap w:val="0"/>
            <w:vAlign w:val="center"/>
          </w:tcPr>
          <w:p w14:paraId="389AC5F7">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只能有一个报价。</w:t>
            </w:r>
          </w:p>
        </w:tc>
      </w:tr>
      <w:tr w14:paraId="09B5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72FD1F77">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79010F83">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响应性评审标准</w:t>
            </w:r>
          </w:p>
        </w:tc>
        <w:tc>
          <w:tcPr>
            <w:tcW w:w="2931" w:type="dxa"/>
            <w:noWrap w:val="0"/>
            <w:vAlign w:val="center"/>
          </w:tcPr>
          <w:p w14:paraId="7D7CF90D">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lang w:val="en-US" w:eastAsia="zh-CN"/>
              </w:rPr>
              <w:t>供货</w:t>
            </w:r>
            <w:r>
              <w:rPr>
                <w:rFonts w:hint="eastAsia" w:ascii="宋体" w:hAnsi="宋体" w:cs="宋体"/>
                <w:color w:val="000000"/>
                <w:szCs w:val="21"/>
              </w:rPr>
              <w:t>期</w:t>
            </w:r>
          </w:p>
        </w:tc>
        <w:tc>
          <w:tcPr>
            <w:tcW w:w="4173" w:type="dxa"/>
            <w:noWrap w:val="0"/>
            <w:vAlign w:val="center"/>
          </w:tcPr>
          <w:p w14:paraId="121FBD3C">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rPr>
              <w:t>符合投标须知前附表规定。</w:t>
            </w:r>
          </w:p>
        </w:tc>
      </w:tr>
      <w:tr w14:paraId="4D86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53CDD4A7">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6F5F6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E846037">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投标有效期</w:t>
            </w:r>
          </w:p>
        </w:tc>
        <w:tc>
          <w:tcPr>
            <w:tcW w:w="4173" w:type="dxa"/>
            <w:noWrap w:val="0"/>
            <w:vAlign w:val="center"/>
          </w:tcPr>
          <w:p w14:paraId="2377BB2F">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符合投标须知前附表规定。</w:t>
            </w:r>
          </w:p>
        </w:tc>
      </w:tr>
      <w:tr w14:paraId="7C68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8B16003">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40519968">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24465EF8">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rPr>
            </w:pPr>
            <w:r>
              <w:rPr>
                <w:rFonts w:hint="eastAsia" w:ascii="宋体" w:hAnsi="宋体" w:cs="宋体"/>
                <w:color w:val="000000"/>
                <w:szCs w:val="21"/>
              </w:rPr>
              <w:t>投标</w:t>
            </w:r>
            <w:r>
              <w:rPr>
                <w:rFonts w:hint="eastAsia" w:ascii="宋体" w:hAnsi="宋体" w:cs="宋体"/>
                <w:color w:val="000000"/>
                <w:szCs w:val="21"/>
                <w:lang w:val="en-US" w:eastAsia="zh-CN"/>
              </w:rPr>
              <w:t>报</w:t>
            </w:r>
            <w:r>
              <w:rPr>
                <w:rFonts w:hint="eastAsia" w:ascii="宋体" w:hAnsi="宋体" w:cs="宋体"/>
                <w:color w:val="000000"/>
                <w:szCs w:val="21"/>
              </w:rPr>
              <w:t>价评审</w:t>
            </w:r>
          </w:p>
        </w:tc>
        <w:tc>
          <w:tcPr>
            <w:tcW w:w="4173" w:type="dxa"/>
            <w:noWrap w:val="0"/>
            <w:vAlign w:val="center"/>
          </w:tcPr>
          <w:p w14:paraId="72B7C3D4">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lang w:eastAsia="zh-CN"/>
              </w:rPr>
            </w:pPr>
            <w:r>
              <w:rPr>
                <w:rFonts w:hint="eastAsia" w:ascii="宋体" w:hAnsi="宋体" w:cs="宋体"/>
                <w:color w:val="000000"/>
                <w:spacing w:val="-6"/>
                <w:szCs w:val="21"/>
              </w:rPr>
              <w:t>不得高于最高投标限价</w:t>
            </w:r>
            <w:r>
              <w:rPr>
                <w:rFonts w:hint="eastAsia" w:ascii="宋体" w:hAnsi="宋体" w:cs="宋体"/>
                <w:color w:val="000000"/>
                <w:spacing w:val="-6"/>
                <w:szCs w:val="21"/>
                <w:lang w:eastAsia="zh-CN"/>
              </w:rPr>
              <w:t>。</w:t>
            </w:r>
          </w:p>
        </w:tc>
      </w:tr>
      <w:tr w14:paraId="170B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AED6217">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CB4DFA2">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rPr>
            </w:pPr>
            <w:r>
              <w:rPr>
                <w:rFonts w:hint="eastAsia" w:ascii="宋体" w:hAnsi="宋体" w:cs="宋体"/>
                <w:color w:val="000000"/>
                <w:szCs w:val="21"/>
              </w:rPr>
              <w:t>详细评审标准</w:t>
            </w:r>
          </w:p>
          <w:p w14:paraId="3D4314DF">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2FDB4EA5">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21D182A">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56C9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6727D85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3C5EBBF">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150A99D">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商务条款响应程度（包括供货期、售后服务、技术培训等）</w:t>
            </w:r>
          </w:p>
        </w:tc>
        <w:tc>
          <w:tcPr>
            <w:tcW w:w="4173" w:type="dxa"/>
            <w:noWrap w:val="0"/>
            <w:vAlign w:val="center"/>
          </w:tcPr>
          <w:p w14:paraId="44800BB4">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完全响应或优于招标文件要求。</w:t>
            </w:r>
          </w:p>
        </w:tc>
      </w:tr>
      <w:bookmarkEnd w:id="59"/>
      <w:bookmarkEnd w:id="60"/>
      <w:bookmarkEnd w:id="61"/>
      <w:bookmarkEnd w:id="62"/>
      <w:bookmarkEnd w:id="63"/>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4"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4"/>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5" w:name="_Toc15058916"/>
      <w:bookmarkStart w:id="66" w:name="_Toc60061499"/>
      <w:r>
        <w:rPr>
          <w:rFonts w:hint="eastAsia" w:ascii="宋体" w:hAnsi="宋体" w:eastAsia="宋体" w:cs="宋体"/>
          <w:color w:val="000000"/>
          <w:highlight w:val="none"/>
        </w:rPr>
        <w:t>托的代理机构编</w:t>
      </w:r>
      <w:bookmarkEnd w:id="65"/>
      <w:bookmarkEnd w:id="66"/>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7" w:name="_Toc60061500"/>
      <w:bookmarkStart w:id="68"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7"/>
      <w:bookmarkEnd w:id="68"/>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69" w:name="_Toc60061501"/>
      <w:bookmarkStart w:id="70"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69"/>
      <w:bookmarkEnd w:id="70"/>
      <w:r>
        <w:rPr>
          <w:rFonts w:hint="eastAsia" w:ascii="宋体" w:hAnsi="宋体" w:cs="宋体"/>
          <w:color w:val="000000"/>
          <w:szCs w:val="21"/>
          <w:highlight w:val="none"/>
        </w:rPr>
        <w:t>后，推荐中标候选人，并标明排序。</w:t>
      </w:r>
    </w:p>
    <w:p w14:paraId="7143A2D1">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1" w:name="_Toc95223405"/>
      <w:r>
        <w:rPr>
          <w:rFonts w:hint="eastAsia" w:ascii="宋体" w:hAnsi="Times New Roman" w:eastAsia="宋体" w:cs="Times New Roman"/>
          <w:b/>
          <w:color w:val="000000"/>
          <w:szCs w:val="21"/>
          <w:highlight w:val="none"/>
          <w:lang w:val="en-US" w:eastAsia="zh-CN"/>
        </w:rPr>
        <w:t>评审内容</w:t>
      </w:r>
      <w:bookmarkEnd w:id="71"/>
    </w:p>
    <w:p w14:paraId="260B4007">
      <w:pPr>
        <w:spacing w:line="440" w:lineRule="exact"/>
        <w:ind w:firstLine="315" w:firstLineChars="150"/>
        <w:jc w:val="left"/>
        <w:rPr>
          <w:rFonts w:hint="eastAsia" w:ascii="宋体" w:hAnsi="宋体" w:eastAsia="宋体" w:cs="宋体"/>
          <w:color w:val="000000"/>
          <w:szCs w:val="21"/>
          <w:highlight w:val="none"/>
        </w:rPr>
      </w:pPr>
      <w:bookmarkStart w:id="72"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2"/>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3" w:name="_Toc60061504"/>
      <w:bookmarkStart w:id="74" w:name="_Toc15058921"/>
      <w:r>
        <w:rPr>
          <w:rFonts w:hint="eastAsia" w:ascii="宋体" w:hAnsi="宋体" w:eastAsia="宋体" w:cs="宋体"/>
          <w:color w:val="000000"/>
          <w:szCs w:val="21"/>
          <w:highlight w:val="none"/>
        </w:rPr>
        <w:t>形式性评审标准：</w:t>
      </w:r>
      <w:bookmarkEnd w:id="73"/>
      <w:bookmarkEnd w:id="74"/>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E7F582F">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5"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75"/>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6" w:name="_Toc95223439"/>
      <w:r>
        <w:rPr>
          <w:rFonts w:hint="eastAsia" w:ascii="宋体" w:hAnsi="Times New Roman" w:eastAsia="宋体" w:cs="Times New Roman"/>
          <w:b/>
          <w:color w:val="000000"/>
          <w:szCs w:val="21"/>
          <w:highlight w:val="none"/>
          <w:lang w:val="en-US" w:eastAsia="zh-CN"/>
        </w:rPr>
        <w:t>6.投标文件的澄清和补正</w:t>
      </w:r>
      <w:bookmarkEnd w:id="76"/>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7" w:name="_Toc95223441"/>
      <w:r>
        <w:rPr>
          <w:rFonts w:hint="eastAsia" w:ascii="宋体" w:hAnsi="Times New Roman" w:eastAsia="宋体" w:cs="Times New Roman"/>
          <w:b/>
          <w:color w:val="000000"/>
          <w:szCs w:val="21"/>
          <w:highlight w:val="none"/>
          <w:lang w:val="en-US" w:eastAsia="zh-CN"/>
        </w:rPr>
        <w:t>7.评审结果</w:t>
      </w:r>
      <w:bookmarkEnd w:id="77"/>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8" w:name="_Toc95223442"/>
      <w:r>
        <w:rPr>
          <w:rFonts w:hint="eastAsia" w:ascii="宋体" w:hAnsi="Times New Roman" w:eastAsia="宋体" w:cs="Times New Roman"/>
          <w:b/>
          <w:color w:val="000000"/>
          <w:szCs w:val="21"/>
          <w:highlight w:val="none"/>
          <w:lang w:val="en-US" w:eastAsia="zh-CN"/>
        </w:rPr>
        <w:t>8.其他</w:t>
      </w:r>
      <w:bookmarkEnd w:id="78"/>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6F860D82">
      <w:pPr>
        <w:keepNext w:val="0"/>
        <w:keepLines w:val="0"/>
        <w:pageBreakBefore w:val="0"/>
        <w:widowControl w:val="0"/>
        <w:kinsoku/>
        <w:wordWrap/>
        <w:overflowPunct/>
        <w:topLinePunct w:val="0"/>
        <w:autoSpaceDE/>
        <w:autoSpaceDN/>
        <w:bidi w:val="0"/>
        <w:adjustRightInd/>
        <w:snapToGrid w:val="0"/>
        <w:spacing w:before="156" w:beforeLines="50" w:after="156" w:afterLines="50" w:line="52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15E380E8">
      <w:pPr>
        <w:pStyle w:val="41"/>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一、工程</w:t>
      </w:r>
      <w:r>
        <w:rPr>
          <w:rFonts w:hint="eastAsia" w:ascii="宋体" w:hAnsi="宋体" w:eastAsia="宋体" w:cs="宋体"/>
          <w:b/>
          <w:color w:val="auto"/>
          <w:sz w:val="21"/>
          <w:szCs w:val="21"/>
          <w:highlight w:val="none"/>
        </w:rPr>
        <w:t>概况</w:t>
      </w:r>
    </w:p>
    <w:p w14:paraId="7BA7BA0A">
      <w:pPr>
        <w:pStyle w:val="3"/>
        <w:keepNext/>
        <w:keepLines/>
        <w:pageBreakBefore w:val="0"/>
        <w:widowControl w:val="0"/>
        <w:kinsoku/>
        <w:wordWrap/>
        <w:overflowPunct/>
        <w:topLinePunct w:val="0"/>
        <w:autoSpaceDE/>
        <w:autoSpaceDN/>
        <w:bidi w:val="0"/>
        <w:adjustRightInd w:val="0"/>
        <w:snapToGrid w:val="0"/>
        <w:spacing w:before="0" w:after="0" w:afterLines="0" w:line="56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 xml:space="preserve">目前，相官车辆段北门门岗处的非机动车道未配备进出管理设备，机动车道采用抬杠式道闸，两处通道均无法有效阻挡外来人员及流浪动物进入车辆段，易发因人员闯入导致的安全事故、流浪动物破坏设备设施等安全隐患。为解决上述问题，同时提升北门门岗安全防护等级与人员出入管理质效，特启动本次门岗改造项目。  </w:t>
      </w:r>
      <w:r>
        <w:rPr>
          <w:rFonts w:hint="eastAsia" w:ascii="宋体" w:hAnsi="宋体" w:eastAsia="宋体" w:cs="宋体"/>
          <w:color w:val="auto"/>
          <w:szCs w:val="21"/>
          <w:highlight w:val="none"/>
          <w:lang w:val="en-US" w:eastAsia="zh-CN"/>
        </w:rPr>
        <w:t xml:space="preserve"> </w:t>
      </w:r>
    </w:p>
    <w:p w14:paraId="312EF8C7">
      <w:pPr>
        <w:pStyle w:val="41"/>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 xml:space="preserve"> 二、招标范围</w:t>
      </w:r>
    </w:p>
    <w:p w14:paraId="204E5C1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2.1工作范围为：</w:t>
      </w:r>
    </w:p>
    <w:p w14:paraId="0CAF73A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相官车辆段</w:t>
      </w:r>
      <w:r>
        <w:rPr>
          <w:rFonts w:hint="eastAsia" w:ascii="宋体" w:hAnsi="宋体" w:cs="宋体"/>
          <w:color w:val="auto"/>
          <w:kern w:val="0"/>
          <w:szCs w:val="21"/>
          <w:highlight w:val="none"/>
          <w:lang w:val="en-US" w:eastAsia="zh-CN"/>
        </w:rPr>
        <w:t>北门</w:t>
      </w:r>
      <w:r>
        <w:rPr>
          <w:rFonts w:hint="eastAsia" w:ascii="宋体" w:hAnsi="宋体" w:cs="宋体"/>
          <w:color w:val="auto"/>
          <w:kern w:val="0"/>
          <w:szCs w:val="21"/>
          <w:highlight w:val="none"/>
        </w:rPr>
        <w:t>门岗。</w:t>
      </w:r>
    </w:p>
    <w:p w14:paraId="7F78D25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2.2工作内容如下：</w:t>
      </w:r>
      <w:bookmarkStart w:id="79" w:name="_Toc22084"/>
      <w:bookmarkStart w:id="80" w:name="_Toc5976"/>
    </w:p>
    <w:p w14:paraId="06EA9023">
      <w:pPr>
        <w:tabs>
          <w:tab w:val="left" w:pos="420"/>
        </w:tabs>
        <w:adjustRightInd w:val="0"/>
        <w:snapToGrid w:val="0"/>
        <w:spacing w:line="440" w:lineRule="exact"/>
        <w:ind w:firstLine="420" w:firstLineChars="200"/>
        <w:jc w:val="left"/>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2.2.1机动车</w:t>
      </w:r>
      <w:r>
        <w:rPr>
          <w:rFonts w:hint="default" w:ascii="宋体" w:hAnsi="宋体" w:eastAsia="宋体" w:cs="宋体"/>
          <w:b w:val="0"/>
          <w:bCs w:val="0"/>
          <w:color w:val="auto"/>
          <w:kern w:val="0"/>
          <w:sz w:val="21"/>
          <w:szCs w:val="21"/>
          <w:highlight w:val="none"/>
          <w:lang w:val="en-US" w:eastAsia="zh-CN" w:bidi="ar-SA"/>
        </w:rPr>
        <w:t>道：</w:t>
      </w:r>
      <w:bookmarkEnd w:id="79"/>
      <w:bookmarkEnd w:id="80"/>
      <w:r>
        <w:rPr>
          <w:rFonts w:hint="eastAsia" w:ascii="宋体" w:hAnsi="宋体" w:cs="宋体"/>
          <w:b w:val="0"/>
          <w:bCs w:val="0"/>
          <w:color w:val="auto"/>
          <w:kern w:val="0"/>
          <w:sz w:val="21"/>
          <w:szCs w:val="21"/>
          <w:highlight w:val="none"/>
          <w:lang w:val="en-US" w:eastAsia="zh-CN" w:bidi="ar-SA"/>
        </w:rPr>
        <w:t>在抬杆式道闸与伸缩门</w:t>
      </w:r>
      <w:r>
        <w:rPr>
          <w:rFonts w:hint="eastAsia" w:ascii="宋体" w:hAnsi="宋体" w:eastAsia="宋体" w:cs="宋体"/>
          <w:b w:val="0"/>
          <w:bCs w:val="0"/>
          <w:color w:val="auto"/>
          <w:kern w:val="0"/>
          <w:sz w:val="21"/>
          <w:szCs w:val="21"/>
          <w:highlight w:val="none"/>
          <w:lang w:val="en-US" w:eastAsia="zh-CN" w:bidi="ar-SA"/>
        </w:rPr>
        <w:t>围墙</w:t>
      </w:r>
      <w:r>
        <w:rPr>
          <w:rFonts w:hint="eastAsia" w:ascii="宋体" w:hAnsi="宋体" w:cs="宋体"/>
          <w:b w:val="0"/>
          <w:bCs w:val="0"/>
          <w:color w:val="auto"/>
          <w:kern w:val="0"/>
          <w:sz w:val="21"/>
          <w:szCs w:val="21"/>
          <w:highlight w:val="none"/>
          <w:lang w:val="en-US" w:eastAsia="zh-CN" w:bidi="ar-SA"/>
        </w:rPr>
        <w:t>之间的</w:t>
      </w:r>
      <w:r>
        <w:rPr>
          <w:rFonts w:hint="eastAsia" w:ascii="宋体" w:hAnsi="宋体" w:eastAsia="宋体" w:cs="宋体"/>
          <w:b w:val="0"/>
          <w:bCs w:val="0"/>
          <w:color w:val="auto"/>
          <w:kern w:val="0"/>
          <w:sz w:val="21"/>
          <w:szCs w:val="21"/>
          <w:highlight w:val="none"/>
          <w:lang w:val="en-US" w:eastAsia="zh-CN" w:bidi="ar-SA"/>
        </w:rPr>
        <w:t>空隙处安装</w:t>
      </w:r>
      <w:r>
        <w:rPr>
          <w:rFonts w:hint="eastAsia" w:ascii="宋体" w:hAnsi="宋体" w:cs="宋体"/>
          <w:b w:val="0"/>
          <w:bCs w:val="0"/>
          <w:color w:val="auto"/>
          <w:kern w:val="0"/>
          <w:sz w:val="21"/>
          <w:szCs w:val="21"/>
          <w:highlight w:val="none"/>
          <w:lang w:val="en-US" w:eastAsia="zh-CN" w:bidi="ar-SA"/>
        </w:rPr>
        <w:t>栅栏门</w:t>
      </w:r>
      <w:r>
        <w:rPr>
          <w:rFonts w:hint="eastAsia" w:ascii="宋体" w:hAnsi="宋体" w:eastAsia="宋体" w:cs="宋体"/>
          <w:b w:val="0"/>
          <w:bCs w:val="0"/>
          <w:color w:val="auto"/>
          <w:kern w:val="0"/>
          <w:sz w:val="21"/>
          <w:szCs w:val="21"/>
          <w:highlight w:val="none"/>
          <w:lang w:val="en-US" w:eastAsia="zh-CN" w:bidi="ar-SA"/>
        </w:rPr>
        <w:t>。（详情见图1）</w:t>
      </w:r>
    </w:p>
    <w:p w14:paraId="41941AD5">
      <w:pPr>
        <w:jc w:val="center"/>
        <w:rPr>
          <w:rFonts w:hint="eastAsia"/>
          <w:color w:val="auto"/>
          <w:highlight w:val="none"/>
          <w:lang w:val="en-US" w:eastAsia="zh-CN"/>
        </w:rPr>
      </w:pPr>
      <w:r>
        <w:rPr>
          <w:rFonts w:hint="default"/>
          <w:color w:val="auto"/>
          <w:highlight w:val="none"/>
          <w:lang w:val="en-US" w:eastAsia="zh-CN"/>
        </w:rPr>
        <w:drawing>
          <wp:inline distT="0" distB="0" distL="114300" distR="114300">
            <wp:extent cx="5268595" cy="3949700"/>
            <wp:effectExtent l="0" t="0" r="8255" b="12700"/>
            <wp:docPr id="2" name="图片 2" descr="3bd2112204456334726e03d057fe9c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bd2112204456334726e03d057fe9c9e"/>
                    <pic:cNvPicPr>
                      <a:picLocks noChangeAspect="1"/>
                    </pic:cNvPicPr>
                  </pic:nvPicPr>
                  <pic:blipFill>
                    <a:blip r:embed="rId6"/>
                    <a:stretch>
                      <a:fillRect/>
                    </a:stretch>
                  </pic:blipFill>
                  <pic:spPr>
                    <a:xfrm>
                      <a:off x="0" y="0"/>
                      <a:ext cx="5268595" cy="3949700"/>
                    </a:xfrm>
                    <a:prstGeom prst="rect">
                      <a:avLst/>
                    </a:prstGeom>
                  </pic:spPr>
                </pic:pic>
              </a:graphicData>
            </a:graphic>
          </wp:inline>
        </w:drawing>
      </w:r>
    </w:p>
    <w:p w14:paraId="4FD8EA01">
      <w:pPr>
        <w:jc w:val="center"/>
        <w:rPr>
          <w:rFonts w:hint="default"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图一：现机动车</w:t>
      </w:r>
      <w:r>
        <w:rPr>
          <w:rFonts w:hint="eastAsia" w:ascii="宋体" w:hAnsi="宋体" w:cs="宋体"/>
          <w:b w:val="0"/>
          <w:bCs w:val="0"/>
          <w:color w:val="auto"/>
          <w:kern w:val="0"/>
          <w:sz w:val="21"/>
          <w:szCs w:val="21"/>
          <w:highlight w:val="none"/>
          <w:lang w:val="en-US" w:eastAsia="zh-CN" w:bidi="ar-SA"/>
        </w:rPr>
        <w:t>道</w:t>
      </w:r>
    </w:p>
    <w:p w14:paraId="08D96E51">
      <w:pPr>
        <w:keepNext w:val="0"/>
        <w:keepLines w:val="0"/>
        <w:pageBreakBefore w:val="0"/>
        <w:widowControl w:val="0"/>
        <w:tabs>
          <w:tab w:val="left" w:pos="42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val="0"/>
          <w:color w:val="auto"/>
          <w:kern w:val="2"/>
          <w:sz w:val="21"/>
          <w:szCs w:val="21"/>
          <w:highlight w:val="none"/>
          <w:lang w:val="en-US" w:eastAsia="zh-CN" w:bidi="ar-SA"/>
        </w:rPr>
      </w:pPr>
    </w:p>
    <w:p w14:paraId="7CAB1811">
      <w:pPr>
        <w:keepNext w:val="0"/>
        <w:keepLines w:val="0"/>
        <w:pageBreakBefore w:val="0"/>
        <w:widowControl w:val="0"/>
        <w:tabs>
          <w:tab w:val="left" w:pos="42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2.2.2</w:t>
      </w:r>
      <w:r>
        <w:rPr>
          <w:rFonts w:hint="default" w:ascii="宋体" w:hAnsi="宋体" w:eastAsia="宋体" w:cs="宋体"/>
          <w:b w:val="0"/>
          <w:bCs w:val="0"/>
          <w:color w:val="auto"/>
          <w:kern w:val="2"/>
          <w:sz w:val="21"/>
          <w:szCs w:val="21"/>
          <w:highlight w:val="none"/>
          <w:lang w:val="en-US" w:eastAsia="zh-CN" w:bidi="ar-SA"/>
        </w:rPr>
        <w:t>非机动车通道：在现有非机动车通道区域，新增</w:t>
      </w:r>
      <w:r>
        <w:rPr>
          <w:rFonts w:hint="eastAsia" w:ascii="宋体" w:hAnsi="宋体" w:eastAsia="宋体" w:cs="宋体"/>
          <w:b w:val="0"/>
          <w:bCs w:val="0"/>
          <w:color w:val="auto"/>
          <w:kern w:val="2"/>
          <w:sz w:val="21"/>
          <w:szCs w:val="21"/>
          <w:highlight w:val="none"/>
          <w:lang w:val="en-US" w:eastAsia="zh-CN" w:bidi="ar-SA"/>
        </w:rPr>
        <w:t>4扇行人道闸组成三通道，其中两侧安装标准双向通道，中间安装加宽双向通道，现场总宽度为3.7米（详情见图2）</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同时</w:t>
      </w:r>
      <w:r>
        <w:rPr>
          <w:rFonts w:hint="default" w:ascii="宋体" w:hAnsi="宋体" w:eastAsia="宋体" w:cs="宋体"/>
          <w:b w:val="0"/>
          <w:bCs w:val="0"/>
          <w:color w:val="auto"/>
          <w:kern w:val="2"/>
          <w:sz w:val="21"/>
          <w:szCs w:val="21"/>
          <w:highlight w:val="none"/>
          <w:lang w:val="en-US" w:eastAsia="zh-CN" w:bidi="ar-SA"/>
        </w:rPr>
        <w:t>配套安装</w:t>
      </w:r>
      <w:r>
        <w:rPr>
          <w:rFonts w:hint="eastAsia" w:ascii="宋体" w:hAnsi="宋体" w:eastAsia="宋体" w:cs="宋体"/>
          <w:b w:val="0"/>
          <w:bCs w:val="0"/>
          <w:color w:val="auto"/>
          <w:kern w:val="2"/>
          <w:sz w:val="21"/>
          <w:szCs w:val="21"/>
          <w:highlight w:val="none"/>
          <w:lang w:val="en-US" w:eastAsia="zh-CN" w:bidi="ar-SA"/>
        </w:rPr>
        <w:t>行人道闸管理系统,并在行人道闸前后方各安装两道减速带（效果图见图3）。</w:t>
      </w:r>
    </w:p>
    <w:p w14:paraId="501E5C4B">
      <w:pPr>
        <w:keepNext w:val="0"/>
        <w:keepLines w:val="0"/>
        <w:pageBreakBefore w:val="0"/>
        <w:widowControl w:val="0"/>
        <w:tabs>
          <w:tab w:val="left" w:pos="42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宋体"/>
          <w:b w:val="0"/>
          <w:bCs w:val="0"/>
          <w:color w:val="auto"/>
          <w:kern w:val="0"/>
          <w:sz w:val="21"/>
          <w:szCs w:val="21"/>
          <w:highlight w:val="none"/>
          <w:lang w:val="en-US" w:eastAsia="zh-CN" w:bidi="ar-SA"/>
        </w:rPr>
      </w:pPr>
    </w:p>
    <w:p w14:paraId="601BF55D">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20" w:firstLineChars="200"/>
        <w:jc w:val="center"/>
        <w:textAlignment w:val="auto"/>
        <w:rPr>
          <w:rFonts w:hint="default"/>
          <w:color w:val="auto"/>
          <w:highlight w:val="none"/>
          <w:lang w:val="en-US" w:eastAsia="zh-CN"/>
        </w:rPr>
      </w:pPr>
      <w:r>
        <w:rPr>
          <w:rFonts w:hint="default"/>
          <w:color w:val="auto"/>
          <w:highlight w:val="none"/>
          <w:lang w:val="en-US" w:eastAsia="zh-CN"/>
        </w:rPr>
        <w:drawing>
          <wp:inline distT="0" distB="0" distL="114300" distR="114300">
            <wp:extent cx="5035550" cy="3774440"/>
            <wp:effectExtent l="0" t="0" r="8890" b="5080"/>
            <wp:docPr id="3" name="图片 3" descr="3bc79d97505bb750808698eaa4829a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bc79d97505bb750808698eaa4829a86"/>
                    <pic:cNvPicPr>
                      <a:picLocks noChangeAspect="1"/>
                    </pic:cNvPicPr>
                  </pic:nvPicPr>
                  <pic:blipFill>
                    <a:blip r:embed="rId7"/>
                    <a:stretch>
                      <a:fillRect/>
                    </a:stretch>
                  </pic:blipFill>
                  <pic:spPr>
                    <a:xfrm>
                      <a:off x="0" y="0"/>
                      <a:ext cx="5035550" cy="3774440"/>
                    </a:xfrm>
                    <a:prstGeom prst="rect">
                      <a:avLst/>
                    </a:prstGeom>
                  </pic:spPr>
                </pic:pic>
              </a:graphicData>
            </a:graphic>
          </wp:inline>
        </w:drawing>
      </w:r>
    </w:p>
    <w:p w14:paraId="5884AB91">
      <w:pPr>
        <w:tabs>
          <w:tab w:val="left" w:pos="420"/>
        </w:tabs>
        <w:adjustRightInd w:val="0"/>
        <w:snapToGrid w:val="0"/>
        <w:spacing w:line="440" w:lineRule="exact"/>
        <w:ind w:firstLine="420" w:firstLineChars="20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图2：现非机动车通道</w:t>
      </w:r>
    </w:p>
    <w:p w14:paraId="58C23248">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20" w:firstLineChars="200"/>
        <w:jc w:val="center"/>
        <w:textAlignment w:val="auto"/>
        <w:rPr>
          <w:rFonts w:hint="eastAsia" w:ascii="宋体" w:hAnsi="宋体" w:cs="宋体"/>
          <w:color w:val="auto"/>
          <w:szCs w:val="21"/>
          <w:highlight w:val="none"/>
          <w:lang w:val="en-US" w:eastAsia="zh-CN"/>
        </w:rPr>
      </w:pPr>
    </w:p>
    <w:p w14:paraId="411F7259">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20" w:firstLineChars="200"/>
        <w:jc w:val="center"/>
        <w:textAlignment w:val="auto"/>
        <w:rPr>
          <w:rFonts w:hint="eastAsia" w:ascii="宋体" w:hAnsi="宋体" w:cs="宋体"/>
          <w:color w:val="auto"/>
          <w:szCs w:val="21"/>
          <w:highlight w:val="none"/>
          <w:lang w:val="en-US" w:eastAsia="zh-CN"/>
        </w:rPr>
      </w:pPr>
      <w:r>
        <w:drawing>
          <wp:inline distT="0" distB="0" distL="114300" distR="114300">
            <wp:extent cx="5095875" cy="3810000"/>
            <wp:effectExtent l="0" t="0" r="9525"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8"/>
                    <a:stretch>
                      <a:fillRect/>
                    </a:stretch>
                  </pic:blipFill>
                  <pic:spPr>
                    <a:xfrm>
                      <a:off x="0" y="0"/>
                      <a:ext cx="5095875" cy="3810000"/>
                    </a:xfrm>
                    <a:prstGeom prst="rect">
                      <a:avLst/>
                    </a:prstGeom>
                    <a:noFill/>
                    <a:ln>
                      <a:noFill/>
                    </a:ln>
                  </pic:spPr>
                </pic:pic>
              </a:graphicData>
            </a:graphic>
          </wp:inline>
        </w:drawing>
      </w:r>
    </w:p>
    <w:p w14:paraId="1348CFE9">
      <w:pPr>
        <w:tabs>
          <w:tab w:val="left" w:pos="420"/>
        </w:tabs>
        <w:adjustRightInd w:val="0"/>
        <w:snapToGrid w:val="0"/>
        <w:spacing w:line="440" w:lineRule="exact"/>
        <w:ind w:firstLine="420" w:firstLineChars="20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图3：现场安装效果图</w:t>
      </w:r>
    </w:p>
    <w:p w14:paraId="4CFA8C5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合同期限</w:t>
      </w:r>
    </w:p>
    <w:p w14:paraId="68AF336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自</w:t>
      </w:r>
      <w:r>
        <w:rPr>
          <w:rFonts w:hint="eastAsia" w:ascii="宋体" w:hAnsi="宋体" w:cs="宋体"/>
          <w:color w:val="auto"/>
          <w:kern w:val="0"/>
          <w:szCs w:val="21"/>
          <w:highlight w:val="none"/>
          <w:lang w:val="en-US" w:eastAsia="zh-CN"/>
        </w:rPr>
        <w:t>签订合同</w:t>
      </w:r>
      <w:r>
        <w:rPr>
          <w:rFonts w:hint="eastAsia" w:ascii="宋体" w:hAnsi="宋体" w:cs="宋体"/>
          <w:color w:val="auto"/>
          <w:kern w:val="0"/>
          <w:szCs w:val="21"/>
          <w:highlight w:val="none"/>
        </w:rPr>
        <w:t>之日起</w:t>
      </w:r>
      <w:r>
        <w:rPr>
          <w:rFonts w:hint="eastAsia" w:ascii="宋体" w:hAnsi="宋体" w:cs="宋体"/>
          <w:color w:val="auto"/>
          <w:kern w:val="0"/>
          <w:szCs w:val="21"/>
          <w:highlight w:val="none"/>
          <w:lang w:val="en-US" w:eastAsia="zh-CN"/>
        </w:rPr>
        <w:t>30个日历天内按招标人管理制度完成开工报审；60个日历天内</w:t>
      </w:r>
      <w:r>
        <w:rPr>
          <w:rFonts w:hint="eastAsia" w:ascii="宋体" w:hAnsi="宋体" w:cs="宋体"/>
          <w:color w:val="auto"/>
          <w:kern w:val="0"/>
          <w:szCs w:val="21"/>
          <w:highlight w:val="none"/>
        </w:rPr>
        <w:t>完成</w:t>
      </w:r>
      <w:r>
        <w:rPr>
          <w:rFonts w:hint="eastAsia" w:ascii="宋体" w:hAnsi="宋体" w:cs="宋体"/>
          <w:color w:val="auto"/>
          <w:kern w:val="0"/>
          <w:szCs w:val="21"/>
          <w:highlight w:val="none"/>
          <w:lang w:val="en-US" w:eastAsia="zh-CN"/>
        </w:rPr>
        <w:t>全部设备安装、调试及验收工作</w:t>
      </w:r>
      <w:r>
        <w:rPr>
          <w:rFonts w:hint="eastAsia" w:ascii="宋体" w:hAnsi="宋体" w:cs="宋体"/>
          <w:color w:val="auto"/>
          <w:kern w:val="0"/>
          <w:szCs w:val="21"/>
          <w:highlight w:val="none"/>
        </w:rPr>
        <w:t>。</w:t>
      </w:r>
    </w:p>
    <w:p w14:paraId="56FD564A">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三、标准技术规范</w:t>
      </w:r>
    </w:p>
    <w:p w14:paraId="77C8C99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3.1技术标准</w:t>
      </w:r>
    </w:p>
    <w:p w14:paraId="508FFF1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本项工程的设计、制造、安装、测试以及使用的材料，均将遵守如下标准：</w:t>
      </w:r>
    </w:p>
    <w:p w14:paraId="38C82AC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●《地铁设计规范》 （GB50157）</w:t>
      </w:r>
    </w:p>
    <w:p w14:paraId="5CE2FBFF">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●《城市轨道交通技术规范》（GB50490）</w:t>
      </w:r>
    </w:p>
    <w:p w14:paraId="33DF3EA8">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●质量安全体系应符合ISO9001标准；</w:t>
      </w:r>
    </w:p>
    <w:p w14:paraId="08C14336">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●环境管理体系应符合ISO14000标准；</w:t>
      </w:r>
    </w:p>
    <w:p w14:paraId="3BC97742">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●《地下铁道设计规范》（GB50157－2003）；</w:t>
      </w:r>
    </w:p>
    <w:p w14:paraId="76D419C5">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出入门控制系统工程设计规范》</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GB 50396</w:t>
      </w:r>
      <w:r>
        <w:rPr>
          <w:rFonts w:hint="eastAsia" w:ascii="宋体" w:hAnsi="宋体" w:eastAsia="宋体" w:cs="宋体"/>
          <w:color w:val="auto"/>
          <w:kern w:val="0"/>
          <w:szCs w:val="21"/>
          <w:highlight w:val="none"/>
          <w:lang w:val="en-US" w:eastAsia="zh-CN"/>
        </w:rPr>
        <w:t>-2007）；</w:t>
      </w:r>
    </w:p>
    <w:p w14:paraId="073B3182">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民用建筑电气设计标准</w:t>
      </w:r>
      <w:r>
        <w:rPr>
          <w:rFonts w:hint="eastAsia" w:ascii="宋体" w:hAnsi="宋体" w:eastAsia="宋体" w:cs="宋体"/>
          <w:color w:val="auto"/>
          <w:kern w:val="0"/>
          <w:szCs w:val="21"/>
          <w:highlight w:val="none"/>
          <w:lang w:val="en-US" w:eastAsia="zh-CN"/>
        </w:rPr>
        <w:t>》（GB51348-2019）；</w:t>
      </w:r>
    </w:p>
    <w:p w14:paraId="281756D1">
      <w:pPr>
        <w:tabs>
          <w:tab w:val="left" w:pos="420"/>
        </w:tabs>
        <w:adjustRightInd w:val="0"/>
        <w:snapToGrid w:val="0"/>
        <w:spacing w:line="44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综合布线系统工程设计规范》(GB 50311-2016)</w:t>
      </w:r>
    </w:p>
    <w:p w14:paraId="14D6A7E9">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w:t>
      </w:r>
      <w:r>
        <w:rPr>
          <w:rFonts w:hint="default" w:ascii="宋体" w:hAnsi="宋体" w:eastAsia="宋体" w:cs="宋体"/>
          <w:color w:val="auto"/>
          <w:kern w:val="0"/>
          <w:szCs w:val="21"/>
          <w:highlight w:val="none"/>
          <w:lang w:val="en-US" w:eastAsia="zh-CN"/>
        </w:rPr>
        <w:t>地下铁道工程施工质量验收标准</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GB/T 50299-2018</w:t>
      </w:r>
      <w:r>
        <w:rPr>
          <w:rFonts w:hint="eastAsia" w:ascii="宋体" w:hAnsi="宋体" w:eastAsia="宋体" w:cs="宋体"/>
          <w:color w:val="auto"/>
          <w:kern w:val="0"/>
          <w:szCs w:val="21"/>
          <w:highlight w:val="none"/>
          <w:lang w:val="en-US" w:eastAsia="zh-CN"/>
        </w:rPr>
        <w:t>)</w:t>
      </w:r>
    </w:p>
    <w:p w14:paraId="5379BE2A">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eastAsia="zh-CN"/>
        </w:rPr>
        <w:t>《</w:t>
      </w:r>
      <w:r>
        <w:rPr>
          <w:rFonts w:hint="default" w:ascii="宋体" w:hAnsi="宋体" w:eastAsia="宋体" w:cs="宋体"/>
          <w:color w:val="auto"/>
          <w:kern w:val="0"/>
          <w:szCs w:val="21"/>
          <w:highlight w:val="none"/>
        </w:rPr>
        <w:t>路面</w:t>
      </w:r>
      <w:r>
        <w:rPr>
          <w:rFonts w:hint="default" w:ascii="宋体" w:hAnsi="宋体" w:eastAsia="宋体" w:cs="宋体"/>
          <w:color w:val="auto"/>
          <w:kern w:val="0"/>
          <w:szCs w:val="21"/>
          <w:highlight w:val="none"/>
          <w:lang w:val="en-US" w:eastAsia="zh-CN"/>
        </w:rPr>
        <w:t>橡胶减速带</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JT</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T</w:t>
      </w:r>
      <w:r>
        <w:rPr>
          <w:rFonts w:hint="eastAsia" w:ascii="宋体" w:hAnsi="宋体" w:eastAsia="宋体" w:cs="宋体"/>
          <w:color w:val="auto"/>
          <w:kern w:val="0"/>
          <w:szCs w:val="21"/>
          <w:highlight w:val="none"/>
          <w:lang w:val="en-US" w:eastAsia="zh-CN"/>
        </w:rPr>
        <w:t xml:space="preserve"> </w:t>
      </w:r>
      <w:r>
        <w:rPr>
          <w:rFonts w:hint="default" w:ascii="宋体" w:hAnsi="宋体" w:eastAsia="宋体" w:cs="宋体"/>
          <w:color w:val="auto"/>
          <w:kern w:val="0"/>
          <w:szCs w:val="21"/>
          <w:highlight w:val="none"/>
          <w:lang w:val="en-US" w:eastAsia="zh-CN"/>
        </w:rPr>
        <w:t>713-2008</w:t>
      </w:r>
      <w:r>
        <w:rPr>
          <w:rFonts w:hint="eastAsia" w:ascii="宋体" w:hAnsi="宋体" w:eastAsia="宋体" w:cs="宋体"/>
          <w:color w:val="auto"/>
          <w:kern w:val="0"/>
          <w:szCs w:val="21"/>
          <w:highlight w:val="none"/>
          <w:lang w:val="en-US" w:eastAsia="zh-CN"/>
        </w:rPr>
        <w:t>）</w:t>
      </w:r>
    </w:p>
    <w:p w14:paraId="265AB704">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●国家最新有关标准；</w:t>
      </w:r>
    </w:p>
    <w:p w14:paraId="05FB85D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●本要求中特别指定和制定的标准及技术要求</w:t>
      </w:r>
    </w:p>
    <w:p w14:paraId="3A007E5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公认的中华人民共和国行业标准（同项规定的，按标准内最高要求执行或按双方商定的标准执行）上述技术标准和规范如有不涉及之处或未能达到国际和国家最新标准时，投标人应使系统符合最新版本的国际和国家标准、规范，并提供所采用的国际和国家标准、规范以及所采用版本的有关技术资料。</w:t>
      </w:r>
    </w:p>
    <w:p w14:paraId="0CC47E6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3.2 技术要求</w:t>
      </w:r>
    </w:p>
    <w:p w14:paraId="30069413">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rPr>
      </w:pPr>
      <w:r>
        <w:rPr>
          <w:rFonts w:hint="eastAsia" w:ascii="宋体" w:hAnsi="宋体" w:cs="宋体"/>
          <w:color w:val="auto"/>
          <w:kern w:val="0"/>
          <w:szCs w:val="21"/>
          <w:highlight w:val="none"/>
          <w:lang w:val="en-US" w:eastAsia="zh-CN"/>
        </w:rPr>
        <w:t>设备所使用的软件可安装于既有门岗保安室的工作站中，若既有工作站不满足匹配条件的，中标人需额外提供相应的工作站配套设备。</w:t>
      </w:r>
    </w:p>
    <w:p w14:paraId="7D4E14FE">
      <w:pPr>
        <w:tabs>
          <w:tab w:val="left" w:pos="420"/>
        </w:tabs>
        <w:adjustRightInd w:val="0"/>
        <w:snapToGrid w:val="0"/>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3.3 新增设备要求</w:t>
      </w:r>
    </w:p>
    <w:p w14:paraId="562DA34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3.3.1 环境要求</w:t>
      </w:r>
    </w:p>
    <w:p w14:paraId="17263F8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3.3.1.1 本项工程新增设备必须可靠地工作在以下环境条件中：</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3"/>
        <w:gridCol w:w="5231"/>
      </w:tblGrid>
      <w:tr w14:paraId="1FE2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2" w:type="pct"/>
            <w:tcBorders>
              <w:top w:val="single" w:color="auto" w:sz="4" w:space="0"/>
              <w:left w:val="single" w:color="auto" w:sz="4" w:space="0"/>
              <w:bottom w:val="single" w:color="auto" w:sz="4" w:space="0"/>
              <w:right w:val="single" w:color="auto" w:sz="4" w:space="0"/>
            </w:tcBorders>
          </w:tcPr>
          <w:p w14:paraId="380C8DBF">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项目</w:t>
            </w:r>
          </w:p>
        </w:tc>
        <w:tc>
          <w:tcPr>
            <w:tcW w:w="2717" w:type="pct"/>
            <w:tcBorders>
              <w:top w:val="single" w:color="auto" w:sz="4" w:space="0"/>
              <w:left w:val="single" w:color="auto" w:sz="4" w:space="0"/>
              <w:bottom w:val="single" w:color="auto" w:sz="4" w:space="0"/>
              <w:right w:val="single" w:color="auto" w:sz="4" w:space="0"/>
            </w:tcBorders>
          </w:tcPr>
          <w:p w14:paraId="4768C7F4">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车辆段</w:t>
            </w:r>
          </w:p>
        </w:tc>
      </w:tr>
      <w:tr w14:paraId="0BB2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2282" w:type="pct"/>
            <w:tcBorders>
              <w:top w:val="nil"/>
              <w:left w:val="single" w:color="auto" w:sz="4" w:space="0"/>
              <w:bottom w:val="single" w:color="auto" w:sz="4" w:space="0"/>
              <w:right w:val="single" w:color="auto" w:sz="4" w:space="0"/>
            </w:tcBorders>
            <w:vAlign w:val="center"/>
          </w:tcPr>
          <w:p w14:paraId="6323477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温</w:t>
            </w:r>
            <w:r>
              <w:rPr>
                <w:rFonts w:hint="eastAsia" w:ascii="宋体" w:hAnsi="宋体" w:cs="宋体"/>
                <w:color w:val="auto"/>
                <w:kern w:val="0"/>
                <w:szCs w:val="21"/>
                <w:highlight w:val="none"/>
              </w:rPr>
              <w:t>度</w:t>
            </w:r>
          </w:p>
        </w:tc>
        <w:tc>
          <w:tcPr>
            <w:tcW w:w="2717" w:type="pct"/>
            <w:tcBorders>
              <w:top w:val="single" w:color="auto" w:sz="4" w:space="0"/>
              <w:left w:val="single" w:color="auto" w:sz="4" w:space="0"/>
              <w:bottom w:val="single" w:color="auto" w:sz="4" w:space="0"/>
              <w:right w:val="single" w:color="auto" w:sz="4" w:space="0"/>
            </w:tcBorders>
            <w:vAlign w:val="center"/>
          </w:tcPr>
          <w:p w14:paraId="52FDA773">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℃～+45℃</w:t>
            </w:r>
          </w:p>
        </w:tc>
      </w:tr>
      <w:tr w14:paraId="55F0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2" w:type="pct"/>
            <w:tcBorders>
              <w:top w:val="nil"/>
              <w:left w:val="single" w:color="auto" w:sz="4" w:space="0"/>
              <w:bottom w:val="single" w:color="auto" w:sz="4" w:space="0"/>
              <w:right w:val="single" w:color="auto" w:sz="4" w:space="0"/>
            </w:tcBorders>
            <w:vAlign w:val="center"/>
          </w:tcPr>
          <w:p w14:paraId="63F8720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湿度</w:t>
            </w:r>
          </w:p>
        </w:tc>
        <w:tc>
          <w:tcPr>
            <w:tcW w:w="2717" w:type="pct"/>
            <w:tcBorders>
              <w:top w:val="single" w:color="auto" w:sz="4" w:space="0"/>
              <w:left w:val="single" w:color="auto" w:sz="4" w:space="0"/>
              <w:bottom w:val="single" w:color="auto" w:sz="4" w:space="0"/>
              <w:right w:val="single" w:color="auto" w:sz="4" w:space="0"/>
            </w:tcBorders>
            <w:vAlign w:val="center"/>
          </w:tcPr>
          <w:p w14:paraId="2B4656D2">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5～90%</w:t>
            </w:r>
          </w:p>
        </w:tc>
      </w:tr>
      <w:tr w14:paraId="64FE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2" w:type="pct"/>
            <w:tcBorders>
              <w:top w:val="single" w:color="auto" w:sz="4" w:space="0"/>
              <w:left w:val="single" w:color="auto" w:sz="4" w:space="0"/>
              <w:bottom w:val="single" w:color="auto" w:sz="4" w:space="0"/>
              <w:right w:val="single" w:color="auto" w:sz="4" w:space="0"/>
            </w:tcBorders>
            <w:vAlign w:val="center"/>
          </w:tcPr>
          <w:p w14:paraId="18AB080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其他要求</w:t>
            </w:r>
          </w:p>
        </w:tc>
        <w:tc>
          <w:tcPr>
            <w:tcW w:w="2717" w:type="pct"/>
            <w:tcBorders>
              <w:top w:val="single" w:color="auto" w:sz="4" w:space="0"/>
              <w:left w:val="single" w:color="auto" w:sz="4" w:space="0"/>
              <w:bottom w:val="single" w:color="auto" w:sz="4" w:space="0"/>
              <w:right w:val="single" w:color="auto" w:sz="4" w:space="0"/>
            </w:tcBorders>
            <w:vAlign w:val="center"/>
          </w:tcPr>
          <w:p w14:paraId="4D3AA0D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rPr>
              <w:t>防护等级达到IP66</w:t>
            </w:r>
          </w:p>
        </w:tc>
      </w:tr>
    </w:tbl>
    <w:p w14:paraId="253F394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3.3.1.</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 本工程的设备是灵活的，</w:t>
      </w:r>
      <w:r>
        <w:rPr>
          <w:rFonts w:hint="eastAsia" w:ascii="宋体" w:hAnsi="宋体" w:cs="宋体"/>
          <w:color w:val="auto"/>
          <w:kern w:val="0"/>
          <w:szCs w:val="21"/>
          <w:highlight w:val="none"/>
          <w:lang w:val="en-US" w:eastAsia="zh-CN"/>
        </w:rPr>
        <w:t>既要</w:t>
      </w:r>
      <w:r>
        <w:rPr>
          <w:rFonts w:hint="eastAsia" w:ascii="宋体" w:hAnsi="宋体" w:cs="宋体"/>
          <w:color w:val="auto"/>
          <w:kern w:val="0"/>
          <w:szCs w:val="21"/>
          <w:highlight w:val="none"/>
        </w:rPr>
        <w:t>满足</w:t>
      </w:r>
      <w:r>
        <w:rPr>
          <w:rFonts w:hint="eastAsia" w:ascii="宋体" w:hAnsi="宋体" w:cs="宋体"/>
          <w:color w:val="auto"/>
          <w:kern w:val="0"/>
          <w:szCs w:val="21"/>
          <w:highlight w:val="none"/>
          <w:lang w:val="en-US" w:eastAsia="zh-CN"/>
        </w:rPr>
        <w:t>滁宁城际线</w:t>
      </w:r>
      <w:r>
        <w:rPr>
          <w:rFonts w:hint="eastAsia" w:ascii="宋体" w:hAnsi="宋体" w:cs="宋体"/>
          <w:color w:val="auto"/>
          <w:kern w:val="0"/>
          <w:szCs w:val="21"/>
          <w:highlight w:val="none"/>
        </w:rPr>
        <w:t>本项工程需要，又</w:t>
      </w:r>
      <w:r>
        <w:rPr>
          <w:rFonts w:hint="eastAsia" w:ascii="宋体" w:hAnsi="宋体" w:cs="宋体"/>
          <w:color w:val="auto"/>
          <w:kern w:val="0"/>
          <w:szCs w:val="21"/>
          <w:highlight w:val="none"/>
          <w:lang w:val="en-US" w:eastAsia="zh-CN"/>
        </w:rPr>
        <w:t>能</w:t>
      </w:r>
      <w:r>
        <w:rPr>
          <w:rFonts w:hint="eastAsia" w:ascii="宋体" w:hAnsi="宋体" w:cs="宋体"/>
          <w:color w:val="auto"/>
          <w:kern w:val="0"/>
          <w:szCs w:val="21"/>
          <w:highlight w:val="none"/>
        </w:rPr>
        <w:t>适应其它引入或扩展的需要。</w:t>
      </w:r>
    </w:p>
    <w:p w14:paraId="2608351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3.3.1.</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 本工程的设备是便于安装和操作的。</w:t>
      </w:r>
    </w:p>
    <w:p w14:paraId="7746E6F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3.3.2 技术要求</w:t>
      </w:r>
    </w:p>
    <w:p w14:paraId="757C9E1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3.3.2.1 可靠性要求</w:t>
      </w:r>
    </w:p>
    <w:p w14:paraId="68F15EE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3.3.2.1.1 系统是安全、可靠的，并能适应连续24小时不间断地运行。</w:t>
      </w:r>
    </w:p>
    <w:p w14:paraId="60845FB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3.3.2.2 可维护性要求</w:t>
      </w:r>
    </w:p>
    <w:p w14:paraId="26003BA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3.3.2.2.1 模块化设计，方便维修、替换。</w:t>
      </w:r>
    </w:p>
    <w:p w14:paraId="09CC77D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3.3.2.2.2 </w:t>
      </w:r>
      <w:r>
        <w:rPr>
          <w:rFonts w:hint="eastAsia" w:ascii="宋体" w:hAnsi="宋体" w:cs="宋体"/>
          <w:color w:val="auto"/>
          <w:kern w:val="0"/>
          <w:szCs w:val="21"/>
          <w:highlight w:val="none"/>
          <w:lang w:val="en-US" w:eastAsia="zh-CN"/>
        </w:rPr>
        <w:t>设备</w:t>
      </w:r>
      <w:r>
        <w:rPr>
          <w:rFonts w:hint="eastAsia" w:ascii="宋体" w:hAnsi="宋体" w:cs="宋体"/>
          <w:color w:val="auto"/>
          <w:kern w:val="0"/>
          <w:szCs w:val="21"/>
          <w:highlight w:val="none"/>
        </w:rPr>
        <w:t>部分应具备自诊断和检测功能。</w:t>
      </w:r>
    </w:p>
    <w:p w14:paraId="1D7BE4A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 制造工艺要求</w:t>
      </w:r>
    </w:p>
    <w:p w14:paraId="01BE922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3.3.3.1 印刷电路板采用波峰焊以上技术。</w:t>
      </w:r>
    </w:p>
    <w:p w14:paraId="3972E9E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3.3.3.2 大电流插件采用镀银或镀金技术。</w:t>
      </w:r>
    </w:p>
    <w:p w14:paraId="64DD361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3.3.3.3 每块印刷电路板都具有防护涂层，以防止因潮气/盐气或其他腐蚀环境引起的开裂、生锈、变质。</w:t>
      </w:r>
    </w:p>
    <w:p w14:paraId="440CF1C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3.3.3.4 零部件的布置、固定和排列应使检查、拆除和更换时不影响或损坏连线上的其他零部件。</w:t>
      </w:r>
    </w:p>
    <w:p w14:paraId="25E2C34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3.3.3.5 所有批量生产的设备、零部件、元器件都是标准产品，相同规格的设备、卡、盘、零件是可互换的。</w:t>
      </w:r>
    </w:p>
    <w:p w14:paraId="5361BC6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3.3.3.6 所选设备实现组成模块化、标准化、维护管理自动化。</w:t>
      </w:r>
    </w:p>
    <w:p w14:paraId="133AD02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3.3.3.7 设备和仪器的金属构件表面除了加工装配面和电镀表面以外，都进行防锈或喷涂处理。在装配前，对封闭结构的内表面也有必要喷涂或进行防锈处理，处理质量符合SSPC标准。</w:t>
      </w:r>
    </w:p>
    <w:p w14:paraId="54BBEB7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3.3.4 电磁兼容要求</w:t>
      </w:r>
    </w:p>
    <w:p w14:paraId="7895526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3.3.4.1 电磁兼容，是指设备或系统在其电磁环境中能正常工作，且不对该环境中任何事物及设施构成不能承受的电磁干扰的能力。</w:t>
      </w:r>
    </w:p>
    <w:p w14:paraId="501CB3A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3.3.4.2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充分</w:t>
      </w:r>
      <w:r>
        <w:rPr>
          <w:rFonts w:hint="eastAsia" w:ascii="宋体" w:hAnsi="宋体" w:cs="宋体"/>
          <w:color w:val="auto"/>
          <w:kern w:val="0"/>
          <w:szCs w:val="21"/>
          <w:highlight w:val="none"/>
          <w:lang w:val="en-US" w:eastAsia="zh-CN"/>
        </w:rPr>
        <w:t>了解</w:t>
      </w:r>
      <w:r>
        <w:rPr>
          <w:rFonts w:hint="eastAsia" w:ascii="宋体" w:hAnsi="宋体" w:cs="宋体"/>
          <w:color w:val="auto"/>
          <w:kern w:val="0"/>
          <w:szCs w:val="21"/>
          <w:highlight w:val="none"/>
        </w:rPr>
        <w:t>系统设备的使用环境，系统设备应不受地铁其他系统的电磁干扰，也不对其他系统产生电磁干扰。</w:t>
      </w:r>
    </w:p>
    <w:p w14:paraId="5415BF2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3.3.4.3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提供的所有设备满足相关国际及国内电磁兼容标准，并提供</w:t>
      </w:r>
      <w:r>
        <w:rPr>
          <w:rFonts w:hint="eastAsia"/>
          <w:color w:val="auto"/>
          <w:highlight w:val="none"/>
          <w:lang w:val="en-US" w:eastAsia="zh-CN"/>
        </w:rPr>
        <w:t>设备产品</w:t>
      </w:r>
      <w:r>
        <w:rPr>
          <w:rFonts w:hint="eastAsia"/>
          <w:color w:val="auto"/>
          <w:highlight w:val="none"/>
        </w:rPr>
        <w:t>合格证</w:t>
      </w:r>
      <w:r>
        <w:rPr>
          <w:rFonts w:hint="eastAsia" w:ascii="宋体" w:hAnsi="宋体" w:cs="宋体"/>
          <w:color w:val="auto"/>
          <w:kern w:val="0"/>
          <w:szCs w:val="21"/>
          <w:highlight w:val="none"/>
        </w:rPr>
        <w:t>。</w:t>
      </w:r>
    </w:p>
    <w:p w14:paraId="6B4485F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3.3.4.4 系统接地考虑避免电线/电缆受到周围的电磁干扰而影响连接的设备。</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同时考虑设备的安全及信号接地方法，以维护系统整体的安全和电磁兼容性。</w:t>
      </w:r>
    </w:p>
    <w:p w14:paraId="73E3613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3.3.4.5 所有强弱电缆/电线分开布置。在设计电缆/电线布置时，</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lang w:val="en-US" w:eastAsia="zh-CN"/>
        </w:rPr>
        <w:t>应</w:t>
      </w:r>
      <w:r>
        <w:rPr>
          <w:rFonts w:hint="eastAsia" w:ascii="宋体" w:hAnsi="宋体" w:cs="宋体"/>
          <w:color w:val="auto"/>
          <w:kern w:val="0"/>
          <w:szCs w:val="21"/>
          <w:highlight w:val="none"/>
        </w:rPr>
        <w:t>考虑强电对弱电的电磁干扰，制定适当的分隔距离或电磁保护措施。</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lang w:val="en-US" w:eastAsia="zh-CN"/>
        </w:rPr>
        <w:t>需</w:t>
      </w:r>
      <w:r>
        <w:rPr>
          <w:rFonts w:hint="eastAsia" w:ascii="宋体" w:hAnsi="宋体" w:cs="宋体"/>
          <w:color w:val="auto"/>
          <w:kern w:val="0"/>
          <w:szCs w:val="21"/>
          <w:highlight w:val="none"/>
        </w:rPr>
        <w:t>考虑附近的电磁环境而选取适当的电缆/电线。</w:t>
      </w:r>
    </w:p>
    <w:p w14:paraId="49BCE25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 xml:space="preserve"> 设备安装技术要求</w:t>
      </w:r>
    </w:p>
    <w:p w14:paraId="1666BA7D">
      <w:pPr>
        <w:numPr>
          <w:ilvl w:val="0"/>
          <w:numId w:val="0"/>
        </w:num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eastAsia="宋体" w:cs="宋体"/>
          <w:color w:val="auto"/>
          <w:kern w:val="0"/>
          <w:szCs w:val="21"/>
          <w:highlight w:val="none"/>
          <w:lang w:val="en-US" w:eastAsia="zh-CN"/>
        </w:rPr>
        <w:t>3.3.5.1出入口道闸设备由门卫建筑动力照明专业提供单相交流220V电源</w:t>
      </w:r>
      <w:r>
        <w:rPr>
          <w:rFonts w:hint="eastAsia" w:ascii="宋体" w:hAnsi="宋体" w:cs="宋体"/>
          <w:color w:val="auto"/>
          <w:kern w:val="0"/>
          <w:szCs w:val="21"/>
          <w:highlight w:val="none"/>
          <w:lang w:val="en-US" w:eastAsia="zh-CN"/>
        </w:rPr>
        <w:t>。</w:t>
      </w:r>
    </w:p>
    <w:p w14:paraId="76E0585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 电源设备类型容量和安装位置符合设计规定，设备附件齐全、完整，设备安装平稳、固定牢靠。</w:t>
      </w:r>
    </w:p>
    <w:p w14:paraId="248EA23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 接地装置的种类、接地电阻阻值、用材规格、引入方式符合设计规定。</w:t>
      </w:r>
    </w:p>
    <w:p w14:paraId="79811E2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 各种线缆规格、敷设路径和走线固定方法符合设计规定及安装手册要求，配线用吊架、支架加工、安装符合安装手册规定。</w:t>
      </w:r>
    </w:p>
    <w:p w14:paraId="7F62CB7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 xml:space="preserve"> 露天电缆需要穿管防护。</w:t>
      </w:r>
    </w:p>
    <w:p w14:paraId="6806540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 线缆经过道床或马路时，线管需放入电缆槽道或按规范进入地下（挖电缆沟或修建电缆井）。</w:t>
      </w:r>
    </w:p>
    <w:p w14:paraId="3A7B60F2">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四、服务要求与条件</w:t>
      </w:r>
    </w:p>
    <w:p w14:paraId="50E0AC29">
      <w:pPr>
        <w:tabs>
          <w:tab w:val="left" w:pos="420"/>
        </w:tabs>
        <w:adjustRightInd w:val="0"/>
        <w:snapToGrid w:val="0"/>
        <w:spacing w:line="440" w:lineRule="exact"/>
        <w:jc w:val="left"/>
        <w:rPr>
          <w:rFonts w:hint="eastAsia" w:ascii="宋体" w:hAnsi="宋体" w:cs="宋体"/>
          <w:color w:val="auto"/>
          <w:kern w:val="0"/>
          <w:szCs w:val="21"/>
          <w:highlight w:val="none"/>
        </w:rPr>
      </w:pPr>
      <w:r>
        <w:rPr>
          <w:rFonts w:ascii="宋体" w:hAnsi="宋体" w:cs="宋体"/>
          <w:color w:val="auto"/>
          <w:kern w:val="0"/>
          <w:szCs w:val="21"/>
          <w:highlight w:val="none"/>
        </w:rPr>
        <w:tab/>
      </w:r>
      <w:r>
        <w:rPr>
          <w:rFonts w:hint="eastAsia" w:ascii="宋体" w:hAnsi="宋体" w:cs="宋体"/>
          <w:color w:val="auto"/>
          <w:kern w:val="0"/>
          <w:szCs w:val="21"/>
          <w:highlight w:val="none"/>
        </w:rPr>
        <w:t>4.1 项目人员要求</w:t>
      </w:r>
    </w:p>
    <w:p w14:paraId="41E8C6B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项目负责人1名：大专以上学历，</w:t>
      </w:r>
      <w:r>
        <w:rPr>
          <w:rFonts w:hint="eastAsia" w:ascii="宋体" w:hAnsi="宋体" w:cs="宋体"/>
          <w:color w:val="auto"/>
          <w:kern w:val="0"/>
          <w:szCs w:val="21"/>
          <w:highlight w:val="none"/>
          <w:lang w:val="en-US" w:eastAsia="zh-CN"/>
        </w:rPr>
        <w:t>机电</w:t>
      </w:r>
      <w:r>
        <w:rPr>
          <w:rFonts w:hint="eastAsia" w:ascii="宋体" w:hAnsi="宋体" w:cs="宋体"/>
          <w:color w:val="auto"/>
          <w:kern w:val="0"/>
          <w:szCs w:val="21"/>
          <w:highlight w:val="none"/>
        </w:rPr>
        <w:t>、自动化等相关专业，具备</w:t>
      </w:r>
      <w:r>
        <w:rPr>
          <w:rFonts w:hint="eastAsia" w:ascii="宋体" w:hAnsi="宋体" w:cs="宋体"/>
          <w:color w:val="auto"/>
          <w:kern w:val="0"/>
          <w:szCs w:val="21"/>
          <w:highlight w:val="none"/>
          <w:lang w:val="en-US" w:eastAsia="zh-CN"/>
        </w:rPr>
        <w:t>机电</w:t>
      </w:r>
      <w:r>
        <w:rPr>
          <w:rFonts w:hint="eastAsia" w:ascii="宋体" w:hAnsi="宋体" w:cs="宋体"/>
          <w:color w:val="auto"/>
          <w:kern w:val="0"/>
          <w:szCs w:val="21"/>
          <w:highlight w:val="none"/>
        </w:rPr>
        <w:t>工程项目施工工作经验。</w:t>
      </w:r>
    </w:p>
    <w:p w14:paraId="3F5AD1C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安全负责人1名：大专以上学历，持有安全员C证</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可兼任</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p w14:paraId="07D87CF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一般作业人员：</w:t>
      </w:r>
      <w:r>
        <w:rPr>
          <w:rFonts w:hint="eastAsia" w:ascii="宋体" w:hAnsi="宋体" w:cs="宋体"/>
          <w:color w:val="auto"/>
          <w:kern w:val="0"/>
          <w:szCs w:val="21"/>
          <w:highlight w:val="none"/>
          <w:lang w:val="en-US" w:eastAsia="zh-CN"/>
        </w:rPr>
        <w:t>不少于3人，</w:t>
      </w:r>
      <w:r>
        <w:rPr>
          <w:rFonts w:hint="eastAsia" w:ascii="宋体" w:hAnsi="宋体" w:cs="宋体"/>
          <w:color w:val="auto"/>
          <w:kern w:val="0"/>
          <w:szCs w:val="21"/>
          <w:highlight w:val="none"/>
        </w:rPr>
        <w:t>全员持有低压电工证</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具备</w:t>
      </w:r>
      <w:r>
        <w:rPr>
          <w:rFonts w:hint="eastAsia" w:ascii="宋体" w:hAnsi="宋体" w:cs="宋体"/>
          <w:color w:val="auto"/>
          <w:kern w:val="0"/>
          <w:szCs w:val="21"/>
          <w:highlight w:val="none"/>
          <w:lang w:val="en-US" w:eastAsia="zh-CN"/>
        </w:rPr>
        <w:t>机电</w:t>
      </w:r>
      <w:r>
        <w:rPr>
          <w:rFonts w:hint="eastAsia" w:ascii="宋体" w:hAnsi="宋体" w:cs="宋体"/>
          <w:color w:val="auto"/>
          <w:kern w:val="0"/>
          <w:szCs w:val="21"/>
          <w:highlight w:val="none"/>
        </w:rPr>
        <w:t>工程项目施工工作经验。</w:t>
      </w:r>
    </w:p>
    <w:p w14:paraId="23396B0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注：合同签订后项目实施前提交</w:t>
      </w:r>
      <w:r>
        <w:rPr>
          <w:rFonts w:hint="eastAsia" w:ascii="宋体" w:hAnsi="宋体" w:cs="宋体"/>
          <w:color w:val="auto"/>
          <w:kern w:val="0"/>
          <w:szCs w:val="21"/>
          <w:highlight w:val="none"/>
          <w:lang w:val="en-US" w:eastAsia="zh-CN"/>
        </w:rPr>
        <w:t>上述</w:t>
      </w:r>
      <w:r>
        <w:rPr>
          <w:rFonts w:hint="eastAsia" w:ascii="宋体" w:hAnsi="宋体" w:cs="宋体"/>
          <w:color w:val="auto"/>
          <w:kern w:val="0"/>
          <w:szCs w:val="21"/>
          <w:highlight w:val="none"/>
        </w:rPr>
        <w:t>人员资料报招标人核查。中标人须按照上述要求配置人员，否则招标人报监督管理部门依法处理。</w:t>
      </w:r>
    </w:p>
    <w:p w14:paraId="06A23F2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4.2中标人施工过程所发生的一切交通（含地铁卡）</w:t>
      </w:r>
      <w:r>
        <w:rPr>
          <w:rFonts w:hint="eastAsia" w:ascii="宋体" w:hAnsi="宋体" w:cs="宋体"/>
          <w:color w:val="auto"/>
          <w:kern w:val="0"/>
          <w:szCs w:val="21"/>
          <w:highlight w:val="none"/>
          <w:lang w:val="en-US" w:eastAsia="zh-CN"/>
        </w:rPr>
        <w:t>费用</w:t>
      </w:r>
      <w:r>
        <w:rPr>
          <w:rFonts w:hint="eastAsia" w:ascii="宋体" w:hAnsi="宋体" w:cs="宋体"/>
          <w:color w:val="auto"/>
          <w:kern w:val="0"/>
          <w:szCs w:val="21"/>
          <w:highlight w:val="none"/>
        </w:rPr>
        <w:t>、通信费用由中标人承担，项目所需的工器具、办公用品、管理用具、劳保用品、安全防护用具、工作服（工作服的式样、标识需征得招标人同意）等均由中标人自行解决。</w:t>
      </w:r>
    </w:p>
    <w:p w14:paraId="66F3C8F2">
      <w:pPr>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4.3 实施人员要求具备</w:t>
      </w:r>
      <w:r>
        <w:rPr>
          <w:rFonts w:hint="eastAsia" w:ascii="宋体" w:hAnsi="宋体" w:cs="宋体"/>
          <w:color w:val="auto"/>
          <w:kern w:val="0"/>
          <w:szCs w:val="21"/>
          <w:highlight w:val="none"/>
          <w:lang w:val="en-US" w:eastAsia="zh-CN"/>
        </w:rPr>
        <w:t>机电施工</w:t>
      </w:r>
      <w:r>
        <w:rPr>
          <w:rFonts w:hint="eastAsia" w:ascii="宋体" w:hAnsi="宋体" w:cs="宋体"/>
          <w:color w:val="auto"/>
          <w:kern w:val="0"/>
          <w:szCs w:val="21"/>
          <w:highlight w:val="none"/>
        </w:rPr>
        <w:t>经验，作业前要了解工程项目的内容和性质、服务对象及安装位置，实施人员要熟悉技术、质量要求，强化技术管理及安全保护措施。</w:t>
      </w:r>
    </w:p>
    <w:p w14:paraId="4258DAD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4.4必须无条件遵守运营公司所有的制度及相关管理规定。所有作业时间、作业人员资质要求、作业人员进场安全培训要求均按招标人有关规定。</w:t>
      </w:r>
    </w:p>
    <w:p w14:paraId="22F70522">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五、工作内容（工程量）</w:t>
      </w:r>
    </w:p>
    <w:p w14:paraId="65B44064">
      <w:pPr>
        <w:tabs>
          <w:tab w:val="left" w:pos="420"/>
        </w:tabs>
        <w:adjustRightInd w:val="0"/>
        <w:snapToGrid w:val="0"/>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5.1 工作量总清单</w:t>
      </w:r>
    </w:p>
    <w:tbl>
      <w:tblPr>
        <w:tblStyle w:val="25"/>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8"/>
        <w:gridCol w:w="1477"/>
        <w:gridCol w:w="668"/>
        <w:gridCol w:w="668"/>
        <w:gridCol w:w="2279"/>
        <w:gridCol w:w="3548"/>
      </w:tblGrid>
      <w:tr w14:paraId="45B3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668" w:type="dxa"/>
            <w:tcBorders>
              <w:top w:val="single" w:color="auto" w:sz="4" w:space="0"/>
              <w:left w:val="single" w:color="auto" w:sz="4" w:space="0"/>
              <w:bottom w:val="single" w:color="auto" w:sz="4" w:space="0"/>
              <w:right w:val="single" w:color="auto" w:sz="4" w:space="0"/>
            </w:tcBorders>
            <w:vAlign w:val="center"/>
          </w:tcPr>
          <w:p w14:paraId="1A3BDFC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序号</w:t>
            </w:r>
          </w:p>
        </w:tc>
        <w:tc>
          <w:tcPr>
            <w:tcW w:w="1477" w:type="dxa"/>
            <w:tcBorders>
              <w:top w:val="single" w:color="auto" w:sz="4" w:space="0"/>
              <w:left w:val="single" w:color="auto" w:sz="4" w:space="0"/>
              <w:bottom w:val="single" w:color="auto" w:sz="4" w:space="0"/>
              <w:right w:val="single" w:color="auto" w:sz="4" w:space="0"/>
            </w:tcBorders>
            <w:vAlign w:val="center"/>
          </w:tcPr>
          <w:p w14:paraId="74D184D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名称</w:t>
            </w:r>
          </w:p>
        </w:tc>
        <w:tc>
          <w:tcPr>
            <w:tcW w:w="668" w:type="dxa"/>
            <w:tcBorders>
              <w:top w:val="single" w:color="auto" w:sz="4" w:space="0"/>
              <w:left w:val="single" w:color="auto" w:sz="4" w:space="0"/>
              <w:bottom w:val="single" w:color="auto" w:sz="4" w:space="0"/>
              <w:right w:val="single" w:color="auto" w:sz="4" w:space="0"/>
            </w:tcBorders>
            <w:vAlign w:val="center"/>
          </w:tcPr>
          <w:p w14:paraId="112D6C1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数量</w:t>
            </w:r>
          </w:p>
        </w:tc>
        <w:tc>
          <w:tcPr>
            <w:tcW w:w="668" w:type="dxa"/>
            <w:tcBorders>
              <w:top w:val="single" w:color="auto" w:sz="4" w:space="0"/>
              <w:left w:val="single" w:color="auto" w:sz="4" w:space="0"/>
              <w:bottom w:val="single" w:color="auto" w:sz="4" w:space="0"/>
              <w:right w:val="single" w:color="auto" w:sz="4" w:space="0"/>
            </w:tcBorders>
            <w:vAlign w:val="center"/>
          </w:tcPr>
          <w:p w14:paraId="717992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单位</w:t>
            </w:r>
          </w:p>
        </w:tc>
        <w:tc>
          <w:tcPr>
            <w:tcW w:w="2279" w:type="dxa"/>
            <w:tcBorders>
              <w:top w:val="single" w:color="auto" w:sz="4" w:space="0"/>
              <w:left w:val="single" w:color="auto" w:sz="4" w:space="0"/>
              <w:bottom w:val="single" w:color="auto" w:sz="4" w:space="0"/>
              <w:right w:val="single" w:color="auto" w:sz="4" w:space="0"/>
            </w:tcBorders>
            <w:vAlign w:val="center"/>
          </w:tcPr>
          <w:p w14:paraId="7B5EE8D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技术规格或工程特性</w:t>
            </w:r>
          </w:p>
        </w:tc>
        <w:tc>
          <w:tcPr>
            <w:tcW w:w="3548" w:type="dxa"/>
            <w:tcBorders>
              <w:top w:val="single" w:color="auto" w:sz="4" w:space="0"/>
              <w:left w:val="single" w:color="auto" w:sz="4" w:space="0"/>
              <w:bottom w:val="single" w:color="auto" w:sz="4" w:space="0"/>
              <w:right w:val="single" w:color="auto" w:sz="4" w:space="0"/>
            </w:tcBorders>
            <w:vAlign w:val="center"/>
          </w:tcPr>
          <w:p w14:paraId="1194532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备注</w:t>
            </w:r>
          </w:p>
        </w:tc>
      </w:tr>
      <w:tr w14:paraId="0D9D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E5924C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1477" w:type="dxa"/>
            <w:tcBorders>
              <w:top w:val="single" w:color="auto" w:sz="4" w:space="0"/>
              <w:left w:val="single" w:color="auto" w:sz="4" w:space="0"/>
              <w:bottom w:val="single" w:color="auto" w:sz="4" w:space="0"/>
              <w:right w:val="single" w:color="auto" w:sz="4" w:space="0"/>
            </w:tcBorders>
            <w:vAlign w:val="center"/>
          </w:tcPr>
          <w:p w14:paraId="446A325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栅栏门</w:t>
            </w:r>
          </w:p>
        </w:tc>
        <w:tc>
          <w:tcPr>
            <w:tcW w:w="668" w:type="dxa"/>
            <w:tcBorders>
              <w:top w:val="single" w:color="auto" w:sz="4" w:space="0"/>
              <w:left w:val="single" w:color="auto" w:sz="4" w:space="0"/>
              <w:bottom w:val="single" w:color="auto" w:sz="4" w:space="0"/>
              <w:right w:val="single" w:color="auto" w:sz="4" w:space="0"/>
            </w:tcBorders>
            <w:vAlign w:val="center"/>
          </w:tcPr>
          <w:p w14:paraId="47EE8F5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668" w:type="dxa"/>
            <w:tcBorders>
              <w:top w:val="single" w:color="auto" w:sz="4" w:space="0"/>
              <w:left w:val="single" w:color="auto" w:sz="4" w:space="0"/>
              <w:bottom w:val="single" w:color="auto" w:sz="4" w:space="0"/>
              <w:right w:val="single" w:color="auto" w:sz="4" w:space="0"/>
            </w:tcBorders>
            <w:vAlign w:val="center"/>
          </w:tcPr>
          <w:p w14:paraId="4446A50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樘</w:t>
            </w:r>
          </w:p>
        </w:tc>
        <w:tc>
          <w:tcPr>
            <w:tcW w:w="2279" w:type="dxa"/>
            <w:tcBorders>
              <w:top w:val="single" w:color="auto" w:sz="4" w:space="0"/>
              <w:left w:val="single" w:color="auto" w:sz="4" w:space="0"/>
              <w:bottom w:val="single" w:color="auto" w:sz="4" w:space="0"/>
              <w:right w:val="single" w:color="auto" w:sz="4" w:space="0"/>
            </w:tcBorders>
            <w:vAlign w:val="center"/>
          </w:tcPr>
          <w:p w14:paraId="33BBA63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参考5.3.</w:t>
            </w:r>
            <w:r>
              <w:rPr>
                <w:rFonts w:hint="eastAsia" w:ascii="宋体" w:hAnsi="宋体" w:cs="宋体"/>
                <w:color w:val="auto"/>
                <w:kern w:val="0"/>
                <w:szCs w:val="21"/>
                <w:highlight w:val="none"/>
                <w:lang w:val="en-US" w:eastAsia="zh-CN"/>
              </w:rPr>
              <w:t>1</w:t>
            </w:r>
          </w:p>
        </w:tc>
        <w:tc>
          <w:tcPr>
            <w:tcW w:w="3548" w:type="dxa"/>
            <w:tcBorders>
              <w:top w:val="single" w:color="auto" w:sz="4" w:space="0"/>
              <w:left w:val="single" w:color="auto" w:sz="4" w:space="0"/>
              <w:bottom w:val="single" w:color="auto" w:sz="4" w:space="0"/>
              <w:right w:val="single" w:color="auto" w:sz="4" w:space="0"/>
            </w:tcBorders>
            <w:vAlign w:val="center"/>
          </w:tcPr>
          <w:p w14:paraId="7419FA2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eastAsia="宋体" w:cs="宋体"/>
                <w:color w:val="auto"/>
                <w:kern w:val="0"/>
                <w:szCs w:val="21"/>
                <w:highlight w:val="none"/>
                <w:lang w:val="en-US" w:eastAsia="zh-CN"/>
              </w:rPr>
            </w:pPr>
          </w:p>
        </w:tc>
      </w:tr>
      <w:tr w14:paraId="3D72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3525CC6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1477" w:type="dxa"/>
            <w:tcBorders>
              <w:top w:val="single" w:color="auto" w:sz="4" w:space="0"/>
              <w:left w:val="single" w:color="auto" w:sz="4" w:space="0"/>
              <w:bottom w:val="single" w:color="auto" w:sz="4" w:space="0"/>
              <w:right w:val="single" w:color="auto" w:sz="4" w:space="0"/>
            </w:tcBorders>
            <w:vAlign w:val="center"/>
          </w:tcPr>
          <w:p w14:paraId="0DA2B96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行人道闸</w:t>
            </w:r>
          </w:p>
        </w:tc>
        <w:tc>
          <w:tcPr>
            <w:tcW w:w="668" w:type="dxa"/>
            <w:tcBorders>
              <w:top w:val="single" w:color="auto" w:sz="4" w:space="0"/>
              <w:left w:val="single" w:color="auto" w:sz="4" w:space="0"/>
              <w:bottom w:val="single" w:color="auto" w:sz="4" w:space="0"/>
              <w:right w:val="single" w:color="auto" w:sz="4" w:space="0"/>
            </w:tcBorders>
            <w:vAlign w:val="center"/>
          </w:tcPr>
          <w:p w14:paraId="57476D7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p>
        </w:tc>
        <w:tc>
          <w:tcPr>
            <w:tcW w:w="668" w:type="dxa"/>
            <w:tcBorders>
              <w:top w:val="single" w:color="auto" w:sz="4" w:space="0"/>
              <w:left w:val="single" w:color="auto" w:sz="4" w:space="0"/>
              <w:bottom w:val="single" w:color="auto" w:sz="4" w:space="0"/>
              <w:right w:val="single" w:color="auto" w:sz="4" w:space="0"/>
            </w:tcBorders>
            <w:vAlign w:val="center"/>
          </w:tcPr>
          <w:p w14:paraId="6F155A9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台</w:t>
            </w:r>
          </w:p>
        </w:tc>
        <w:tc>
          <w:tcPr>
            <w:tcW w:w="2279" w:type="dxa"/>
            <w:tcBorders>
              <w:top w:val="single" w:color="auto" w:sz="4" w:space="0"/>
              <w:left w:val="single" w:color="auto" w:sz="4" w:space="0"/>
              <w:bottom w:val="single" w:color="auto" w:sz="4" w:space="0"/>
              <w:right w:val="single" w:color="auto" w:sz="4" w:space="0"/>
            </w:tcBorders>
            <w:vAlign w:val="center"/>
          </w:tcPr>
          <w:p w14:paraId="494C742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参考5.3.</w:t>
            </w:r>
            <w:r>
              <w:rPr>
                <w:rFonts w:hint="eastAsia" w:ascii="宋体" w:hAnsi="宋体" w:cs="宋体"/>
                <w:color w:val="auto"/>
                <w:kern w:val="0"/>
                <w:szCs w:val="21"/>
                <w:highlight w:val="none"/>
                <w:lang w:val="en-US" w:eastAsia="zh-CN"/>
              </w:rPr>
              <w:t>2</w:t>
            </w:r>
          </w:p>
        </w:tc>
        <w:tc>
          <w:tcPr>
            <w:tcW w:w="3548" w:type="dxa"/>
            <w:tcBorders>
              <w:top w:val="single" w:color="auto" w:sz="4" w:space="0"/>
              <w:left w:val="single" w:color="auto" w:sz="4" w:space="0"/>
              <w:bottom w:val="single" w:color="auto" w:sz="4" w:space="0"/>
              <w:right w:val="single" w:color="auto" w:sz="4" w:space="0"/>
            </w:tcBorders>
            <w:vAlign w:val="center"/>
          </w:tcPr>
          <w:p w14:paraId="427C544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color w:val="auto"/>
                <w:kern w:val="0"/>
                <w:szCs w:val="21"/>
                <w:highlight w:val="none"/>
                <w:lang w:val="en-US" w:eastAsia="zh-CN"/>
              </w:rPr>
            </w:pPr>
            <w:r>
              <w:rPr>
                <w:rFonts w:hint="eastAsia" w:ascii="宋体" w:hAnsi="宋体" w:cs="宋体"/>
                <w:b w:val="0"/>
                <w:bCs w:val="0"/>
                <w:color w:val="auto"/>
                <w:kern w:val="0"/>
                <w:sz w:val="21"/>
                <w:szCs w:val="21"/>
                <w:highlight w:val="none"/>
                <w:lang w:val="en-US" w:eastAsia="zh-CN" w:bidi="ar-SA"/>
              </w:rPr>
              <w:t>组成</w:t>
            </w:r>
            <w:r>
              <w:rPr>
                <w:rFonts w:hint="eastAsia" w:ascii="宋体" w:hAnsi="宋体" w:eastAsia="宋体" w:cs="宋体"/>
                <w:b w:val="0"/>
                <w:bCs w:val="0"/>
                <w:color w:val="auto"/>
                <w:kern w:val="0"/>
                <w:sz w:val="21"/>
                <w:szCs w:val="21"/>
                <w:highlight w:val="none"/>
                <w:lang w:val="en-US" w:eastAsia="zh-CN" w:bidi="ar-SA"/>
              </w:rPr>
              <w:t>2</w:t>
            </w:r>
            <w:r>
              <w:rPr>
                <w:rFonts w:hint="eastAsia" w:ascii="宋体" w:hAnsi="宋体" w:cs="宋体"/>
                <w:b w:val="0"/>
                <w:bCs w:val="0"/>
                <w:color w:val="auto"/>
                <w:kern w:val="0"/>
                <w:sz w:val="21"/>
                <w:szCs w:val="21"/>
                <w:highlight w:val="none"/>
                <w:lang w:val="en-US" w:eastAsia="zh-CN" w:bidi="ar-SA"/>
              </w:rPr>
              <w:t>道</w:t>
            </w:r>
            <w:r>
              <w:rPr>
                <w:rFonts w:hint="eastAsia" w:ascii="宋体" w:hAnsi="宋体" w:eastAsia="宋体" w:cs="宋体"/>
                <w:b w:val="0"/>
                <w:bCs w:val="0"/>
                <w:color w:val="auto"/>
                <w:kern w:val="0"/>
                <w:sz w:val="21"/>
                <w:szCs w:val="21"/>
                <w:highlight w:val="none"/>
                <w:lang w:val="en-US" w:eastAsia="zh-CN" w:bidi="ar-SA"/>
              </w:rPr>
              <w:t>标准</w:t>
            </w:r>
            <w:r>
              <w:rPr>
                <w:rFonts w:hint="eastAsia" w:ascii="宋体" w:hAnsi="宋体" w:cs="宋体"/>
                <w:b w:val="0"/>
                <w:bCs w:val="0"/>
                <w:color w:val="auto"/>
                <w:kern w:val="0"/>
                <w:sz w:val="21"/>
                <w:szCs w:val="21"/>
                <w:highlight w:val="none"/>
                <w:lang w:val="en-US" w:eastAsia="zh-CN" w:bidi="ar-SA"/>
              </w:rPr>
              <w:t>双向</w:t>
            </w:r>
            <w:r>
              <w:rPr>
                <w:rFonts w:hint="eastAsia" w:ascii="宋体" w:hAnsi="宋体" w:eastAsia="宋体" w:cs="宋体"/>
                <w:b w:val="0"/>
                <w:bCs w:val="0"/>
                <w:color w:val="auto"/>
                <w:kern w:val="0"/>
                <w:sz w:val="21"/>
                <w:szCs w:val="21"/>
                <w:highlight w:val="none"/>
                <w:lang w:val="en-US" w:eastAsia="zh-CN" w:bidi="ar-SA"/>
              </w:rPr>
              <w:t>通道，1</w:t>
            </w:r>
            <w:r>
              <w:rPr>
                <w:rFonts w:hint="eastAsia" w:ascii="宋体" w:hAnsi="宋体" w:cs="宋体"/>
                <w:b w:val="0"/>
                <w:bCs w:val="0"/>
                <w:color w:val="auto"/>
                <w:kern w:val="0"/>
                <w:sz w:val="21"/>
                <w:szCs w:val="21"/>
                <w:highlight w:val="none"/>
                <w:lang w:val="en-US" w:eastAsia="zh-CN" w:bidi="ar-SA"/>
              </w:rPr>
              <w:t>道加</w:t>
            </w:r>
            <w:r>
              <w:rPr>
                <w:rFonts w:hint="eastAsia" w:ascii="宋体" w:hAnsi="宋体" w:eastAsia="宋体" w:cs="宋体"/>
                <w:b w:val="0"/>
                <w:bCs w:val="0"/>
                <w:color w:val="auto"/>
                <w:kern w:val="0"/>
                <w:sz w:val="21"/>
                <w:szCs w:val="21"/>
                <w:highlight w:val="none"/>
                <w:lang w:val="en-US" w:eastAsia="zh-CN" w:bidi="ar-SA"/>
              </w:rPr>
              <w:t>宽</w:t>
            </w:r>
            <w:r>
              <w:rPr>
                <w:rFonts w:hint="eastAsia" w:ascii="宋体" w:hAnsi="宋体" w:cs="宋体"/>
                <w:b w:val="0"/>
                <w:bCs w:val="0"/>
                <w:color w:val="auto"/>
                <w:kern w:val="0"/>
                <w:sz w:val="21"/>
                <w:szCs w:val="21"/>
                <w:highlight w:val="none"/>
                <w:lang w:val="en-US" w:eastAsia="zh-CN" w:bidi="ar-SA"/>
              </w:rPr>
              <w:t>双向</w:t>
            </w:r>
            <w:r>
              <w:rPr>
                <w:rFonts w:hint="eastAsia" w:ascii="宋体" w:hAnsi="宋体" w:eastAsia="宋体" w:cs="宋体"/>
                <w:b w:val="0"/>
                <w:bCs w:val="0"/>
                <w:color w:val="auto"/>
                <w:kern w:val="0"/>
                <w:sz w:val="21"/>
                <w:szCs w:val="21"/>
                <w:highlight w:val="none"/>
                <w:lang w:val="en-US" w:eastAsia="zh-CN" w:bidi="ar-SA"/>
              </w:rPr>
              <w:t>通道（两樘双机芯，两樘单机芯）</w:t>
            </w:r>
            <w:r>
              <w:rPr>
                <w:rFonts w:hint="eastAsia" w:ascii="宋体" w:hAnsi="宋体" w:cs="宋体"/>
                <w:b w:val="0"/>
                <w:bCs w:val="0"/>
                <w:color w:val="auto"/>
                <w:kern w:val="0"/>
                <w:sz w:val="21"/>
                <w:szCs w:val="21"/>
                <w:highlight w:val="none"/>
                <w:lang w:val="en-US" w:eastAsia="zh-CN" w:bidi="ar-SA"/>
              </w:rPr>
              <w:t>，含刷卡器，同时提供一套宽通道亚克力扇门的备品备件。</w:t>
            </w:r>
          </w:p>
        </w:tc>
      </w:tr>
      <w:tr w14:paraId="7691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6644480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p>
        </w:tc>
        <w:tc>
          <w:tcPr>
            <w:tcW w:w="1477" w:type="dxa"/>
            <w:tcBorders>
              <w:top w:val="single" w:color="auto" w:sz="4" w:space="0"/>
              <w:left w:val="single" w:color="auto" w:sz="4" w:space="0"/>
              <w:bottom w:val="single" w:color="auto" w:sz="4" w:space="0"/>
              <w:right w:val="single" w:color="auto" w:sz="4" w:space="0"/>
            </w:tcBorders>
            <w:vAlign w:val="center"/>
          </w:tcPr>
          <w:p w14:paraId="0F65E35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人脸识别</w:t>
            </w:r>
          </w:p>
        </w:tc>
        <w:tc>
          <w:tcPr>
            <w:tcW w:w="668" w:type="dxa"/>
            <w:tcBorders>
              <w:top w:val="single" w:color="auto" w:sz="4" w:space="0"/>
              <w:left w:val="single" w:color="auto" w:sz="4" w:space="0"/>
              <w:bottom w:val="single" w:color="auto" w:sz="4" w:space="0"/>
              <w:right w:val="single" w:color="auto" w:sz="4" w:space="0"/>
            </w:tcBorders>
            <w:vAlign w:val="center"/>
          </w:tcPr>
          <w:p w14:paraId="44B0909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w:t>
            </w:r>
          </w:p>
        </w:tc>
        <w:tc>
          <w:tcPr>
            <w:tcW w:w="668" w:type="dxa"/>
            <w:tcBorders>
              <w:top w:val="single" w:color="auto" w:sz="4" w:space="0"/>
              <w:left w:val="single" w:color="auto" w:sz="4" w:space="0"/>
              <w:bottom w:val="single" w:color="auto" w:sz="4" w:space="0"/>
              <w:right w:val="single" w:color="auto" w:sz="4" w:space="0"/>
            </w:tcBorders>
            <w:vAlign w:val="center"/>
          </w:tcPr>
          <w:p w14:paraId="5402B9D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台</w:t>
            </w:r>
          </w:p>
        </w:tc>
        <w:tc>
          <w:tcPr>
            <w:tcW w:w="2279" w:type="dxa"/>
            <w:tcBorders>
              <w:top w:val="single" w:color="auto" w:sz="4" w:space="0"/>
              <w:left w:val="single" w:color="auto" w:sz="4" w:space="0"/>
              <w:bottom w:val="single" w:color="auto" w:sz="4" w:space="0"/>
              <w:right w:val="single" w:color="auto" w:sz="4" w:space="0"/>
            </w:tcBorders>
            <w:vAlign w:val="center"/>
          </w:tcPr>
          <w:p w14:paraId="016278B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参考5.3.3</w:t>
            </w:r>
          </w:p>
        </w:tc>
        <w:tc>
          <w:tcPr>
            <w:tcW w:w="3548" w:type="dxa"/>
            <w:tcBorders>
              <w:top w:val="single" w:color="auto" w:sz="4" w:space="0"/>
              <w:left w:val="single" w:color="auto" w:sz="4" w:space="0"/>
              <w:bottom w:val="single" w:color="auto" w:sz="4" w:space="0"/>
              <w:right w:val="single" w:color="auto" w:sz="4" w:space="0"/>
            </w:tcBorders>
            <w:vAlign w:val="center"/>
          </w:tcPr>
          <w:p w14:paraId="7952AFB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bidi="ar-SA"/>
              </w:rPr>
              <w:t>通道均采用人脸识别或刷卡进出</w:t>
            </w:r>
          </w:p>
        </w:tc>
      </w:tr>
      <w:tr w14:paraId="601F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0B9A526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p>
        </w:tc>
        <w:tc>
          <w:tcPr>
            <w:tcW w:w="1477" w:type="dxa"/>
            <w:tcBorders>
              <w:top w:val="single" w:color="auto" w:sz="4" w:space="0"/>
              <w:left w:val="single" w:color="auto" w:sz="4" w:space="0"/>
              <w:bottom w:val="single" w:color="auto" w:sz="4" w:space="0"/>
              <w:right w:val="single" w:color="auto" w:sz="4" w:space="0"/>
            </w:tcBorders>
            <w:vAlign w:val="center"/>
          </w:tcPr>
          <w:p w14:paraId="4B451CC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行人道闸管理系统</w:t>
            </w:r>
          </w:p>
        </w:tc>
        <w:tc>
          <w:tcPr>
            <w:tcW w:w="668" w:type="dxa"/>
            <w:tcBorders>
              <w:top w:val="single" w:color="auto" w:sz="4" w:space="0"/>
              <w:left w:val="single" w:color="auto" w:sz="4" w:space="0"/>
              <w:bottom w:val="single" w:color="auto" w:sz="4" w:space="0"/>
              <w:right w:val="single" w:color="auto" w:sz="4" w:space="0"/>
            </w:tcBorders>
            <w:vAlign w:val="center"/>
          </w:tcPr>
          <w:p w14:paraId="1FC66A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668" w:type="dxa"/>
            <w:tcBorders>
              <w:top w:val="single" w:color="auto" w:sz="4" w:space="0"/>
              <w:left w:val="single" w:color="auto" w:sz="4" w:space="0"/>
              <w:bottom w:val="single" w:color="auto" w:sz="4" w:space="0"/>
              <w:right w:val="single" w:color="auto" w:sz="4" w:space="0"/>
            </w:tcBorders>
            <w:vAlign w:val="center"/>
          </w:tcPr>
          <w:p w14:paraId="65D7253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项</w:t>
            </w:r>
          </w:p>
        </w:tc>
        <w:tc>
          <w:tcPr>
            <w:tcW w:w="2279" w:type="dxa"/>
            <w:tcBorders>
              <w:top w:val="single" w:color="auto" w:sz="4" w:space="0"/>
              <w:left w:val="single" w:color="auto" w:sz="4" w:space="0"/>
              <w:bottom w:val="single" w:color="auto" w:sz="4" w:space="0"/>
              <w:right w:val="single" w:color="auto" w:sz="4" w:space="0"/>
            </w:tcBorders>
            <w:vAlign w:val="center"/>
          </w:tcPr>
          <w:p w14:paraId="083B437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参考5.3.4</w:t>
            </w:r>
          </w:p>
        </w:tc>
        <w:tc>
          <w:tcPr>
            <w:tcW w:w="3548" w:type="dxa"/>
            <w:tcBorders>
              <w:top w:val="single" w:color="auto" w:sz="4" w:space="0"/>
              <w:left w:val="single" w:color="auto" w:sz="4" w:space="0"/>
              <w:bottom w:val="single" w:color="auto" w:sz="4" w:space="0"/>
              <w:right w:val="single" w:color="auto" w:sz="4" w:space="0"/>
            </w:tcBorders>
            <w:vAlign w:val="center"/>
          </w:tcPr>
          <w:p w14:paraId="27286BA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bidi="ar-SA"/>
              </w:rPr>
              <w:t>含发卡器等辅材</w:t>
            </w:r>
          </w:p>
        </w:tc>
      </w:tr>
      <w:tr w14:paraId="3416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138C692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p>
        </w:tc>
        <w:tc>
          <w:tcPr>
            <w:tcW w:w="1477" w:type="dxa"/>
            <w:tcBorders>
              <w:top w:val="single" w:color="auto" w:sz="4" w:space="0"/>
              <w:left w:val="single" w:color="auto" w:sz="4" w:space="0"/>
              <w:bottom w:val="single" w:color="auto" w:sz="4" w:space="0"/>
              <w:right w:val="single" w:color="auto" w:sz="4" w:space="0"/>
            </w:tcBorders>
            <w:vAlign w:val="center"/>
          </w:tcPr>
          <w:p w14:paraId="3E1E14F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减速带</w:t>
            </w:r>
          </w:p>
        </w:tc>
        <w:tc>
          <w:tcPr>
            <w:tcW w:w="668" w:type="dxa"/>
            <w:tcBorders>
              <w:top w:val="single" w:color="auto" w:sz="4" w:space="0"/>
              <w:left w:val="single" w:color="auto" w:sz="4" w:space="0"/>
              <w:bottom w:val="single" w:color="auto" w:sz="4" w:space="0"/>
              <w:right w:val="single" w:color="auto" w:sz="4" w:space="0"/>
            </w:tcBorders>
            <w:vAlign w:val="center"/>
          </w:tcPr>
          <w:p w14:paraId="37DEA2B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15</w:t>
            </w:r>
          </w:p>
        </w:tc>
        <w:tc>
          <w:tcPr>
            <w:tcW w:w="668" w:type="dxa"/>
            <w:tcBorders>
              <w:top w:val="single" w:color="auto" w:sz="4" w:space="0"/>
              <w:left w:val="single" w:color="auto" w:sz="4" w:space="0"/>
              <w:bottom w:val="single" w:color="auto" w:sz="4" w:space="0"/>
              <w:right w:val="single" w:color="auto" w:sz="4" w:space="0"/>
            </w:tcBorders>
            <w:vAlign w:val="center"/>
          </w:tcPr>
          <w:p w14:paraId="4C210D1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米</w:t>
            </w:r>
          </w:p>
        </w:tc>
        <w:tc>
          <w:tcPr>
            <w:tcW w:w="2279" w:type="dxa"/>
            <w:tcBorders>
              <w:top w:val="single" w:color="auto" w:sz="4" w:space="0"/>
              <w:left w:val="single" w:color="auto" w:sz="4" w:space="0"/>
              <w:bottom w:val="single" w:color="auto" w:sz="4" w:space="0"/>
              <w:right w:val="single" w:color="auto" w:sz="4" w:space="0"/>
            </w:tcBorders>
            <w:vAlign w:val="center"/>
          </w:tcPr>
          <w:p w14:paraId="493DF31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参考5.3.5</w:t>
            </w:r>
          </w:p>
        </w:tc>
        <w:tc>
          <w:tcPr>
            <w:tcW w:w="3548" w:type="dxa"/>
            <w:tcBorders>
              <w:top w:val="single" w:color="auto" w:sz="4" w:space="0"/>
              <w:left w:val="single" w:color="auto" w:sz="4" w:space="0"/>
              <w:bottom w:val="single" w:color="auto" w:sz="4" w:space="0"/>
              <w:right w:val="single" w:color="auto" w:sz="4" w:space="0"/>
            </w:tcBorders>
            <w:vAlign w:val="center"/>
          </w:tcPr>
          <w:p w14:paraId="1E8CE5DB">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bidi="ar-SA"/>
              </w:rPr>
              <w:t>前后各安装两道减速带</w:t>
            </w:r>
          </w:p>
        </w:tc>
      </w:tr>
      <w:tr w14:paraId="6464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69FE689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p>
        </w:tc>
        <w:tc>
          <w:tcPr>
            <w:tcW w:w="1477" w:type="dxa"/>
            <w:tcBorders>
              <w:top w:val="single" w:color="auto" w:sz="4" w:space="0"/>
              <w:left w:val="single" w:color="auto" w:sz="4" w:space="0"/>
              <w:bottom w:val="single" w:color="auto" w:sz="4" w:space="0"/>
              <w:right w:val="single" w:color="auto" w:sz="4" w:space="0"/>
            </w:tcBorders>
            <w:vAlign w:val="center"/>
          </w:tcPr>
          <w:p w14:paraId="644D8C7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辅材</w:t>
            </w:r>
          </w:p>
        </w:tc>
        <w:tc>
          <w:tcPr>
            <w:tcW w:w="668" w:type="dxa"/>
            <w:tcBorders>
              <w:top w:val="single" w:color="auto" w:sz="4" w:space="0"/>
              <w:left w:val="single" w:color="auto" w:sz="4" w:space="0"/>
              <w:bottom w:val="single" w:color="auto" w:sz="4" w:space="0"/>
              <w:right w:val="single" w:color="auto" w:sz="4" w:space="0"/>
            </w:tcBorders>
            <w:vAlign w:val="center"/>
          </w:tcPr>
          <w:p w14:paraId="3F913B4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vAlign w:val="center"/>
          </w:tcPr>
          <w:p w14:paraId="346A83D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vAlign w:val="center"/>
          </w:tcPr>
          <w:p w14:paraId="4FAFAD6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vAlign w:val="center"/>
          </w:tcPr>
          <w:p w14:paraId="6D23A50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含</w:t>
            </w:r>
            <w:r>
              <w:rPr>
                <w:rFonts w:hint="eastAsia" w:ascii="宋体" w:hAnsi="宋体" w:cs="宋体"/>
                <w:color w:val="auto"/>
                <w:kern w:val="0"/>
                <w:szCs w:val="21"/>
                <w:highlight w:val="none"/>
                <w:lang w:val="en-US" w:eastAsia="zh-CN"/>
              </w:rPr>
              <w:t>钢管、</w:t>
            </w:r>
            <w:r>
              <w:rPr>
                <w:rFonts w:hint="eastAsia" w:ascii="宋体" w:hAnsi="宋体" w:cs="宋体"/>
                <w:color w:val="auto"/>
                <w:kern w:val="0"/>
                <w:szCs w:val="21"/>
                <w:highlight w:val="none"/>
              </w:rPr>
              <w:t>波纹管、接插件、扎带等</w:t>
            </w:r>
          </w:p>
        </w:tc>
      </w:tr>
      <w:tr w14:paraId="1290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6305E87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7</w:t>
            </w:r>
          </w:p>
        </w:tc>
        <w:tc>
          <w:tcPr>
            <w:tcW w:w="1477" w:type="dxa"/>
            <w:tcBorders>
              <w:top w:val="single" w:color="auto" w:sz="4" w:space="0"/>
              <w:left w:val="single" w:color="auto" w:sz="4" w:space="0"/>
              <w:bottom w:val="single" w:color="auto" w:sz="4" w:space="0"/>
              <w:right w:val="single" w:color="auto" w:sz="4" w:space="0"/>
            </w:tcBorders>
            <w:vAlign w:val="center"/>
          </w:tcPr>
          <w:p w14:paraId="4FD2EB7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设备调试费</w:t>
            </w:r>
          </w:p>
        </w:tc>
        <w:tc>
          <w:tcPr>
            <w:tcW w:w="668" w:type="dxa"/>
            <w:tcBorders>
              <w:top w:val="single" w:color="auto" w:sz="4" w:space="0"/>
              <w:left w:val="single" w:color="auto" w:sz="4" w:space="0"/>
              <w:bottom w:val="single" w:color="auto" w:sz="4" w:space="0"/>
              <w:right w:val="single" w:color="auto" w:sz="4" w:space="0"/>
            </w:tcBorders>
            <w:vAlign w:val="center"/>
          </w:tcPr>
          <w:p w14:paraId="077B57D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vAlign w:val="center"/>
          </w:tcPr>
          <w:p w14:paraId="3DE4FBB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vAlign w:val="center"/>
          </w:tcPr>
          <w:p w14:paraId="54F8C84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vAlign w:val="center"/>
          </w:tcPr>
          <w:p w14:paraId="4EFF858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滁宁城际线现用员工卡可用于行人道闸授权管理软件。</w:t>
            </w:r>
          </w:p>
        </w:tc>
      </w:tr>
      <w:tr w14:paraId="4AB3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0DD500B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8</w:t>
            </w:r>
          </w:p>
        </w:tc>
        <w:tc>
          <w:tcPr>
            <w:tcW w:w="1477" w:type="dxa"/>
            <w:tcBorders>
              <w:top w:val="single" w:color="auto" w:sz="4" w:space="0"/>
              <w:left w:val="single" w:color="auto" w:sz="4" w:space="0"/>
              <w:bottom w:val="single" w:color="auto" w:sz="4" w:space="0"/>
              <w:right w:val="single" w:color="auto" w:sz="4" w:space="0"/>
            </w:tcBorders>
            <w:vAlign w:val="center"/>
          </w:tcPr>
          <w:p w14:paraId="7828C5B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路面、绿化开挖及恢复</w:t>
            </w:r>
          </w:p>
        </w:tc>
        <w:tc>
          <w:tcPr>
            <w:tcW w:w="668" w:type="dxa"/>
            <w:tcBorders>
              <w:top w:val="single" w:color="auto" w:sz="4" w:space="0"/>
              <w:left w:val="single" w:color="auto" w:sz="4" w:space="0"/>
              <w:bottom w:val="single" w:color="auto" w:sz="4" w:space="0"/>
              <w:right w:val="single" w:color="auto" w:sz="4" w:space="0"/>
            </w:tcBorders>
            <w:vAlign w:val="center"/>
          </w:tcPr>
          <w:p w14:paraId="6399A1B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vAlign w:val="center"/>
          </w:tcPr>
          <w:p w14:paraId="2469064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vAlign w:val="center"/>
          </w:tcPr>
          <w:p w14:paraId="5F15680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vAlign w:val="center"/>
          </w:tcPr>
          <w:p w14:paraId="59AF3D8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color w:val="auto"/>
                <w:kern w:val="0"/>
                <w:szCs w:val="21"/>
                <w:highlight w:val="none"/>
                <w:lang w:val="en-US" w:eastAsia="zh-CN"/>
              </w:rPr>
            </w:pPr>
          </w:p>
        </w:tc>
      </w:tr>
    </w:tbl>
    <w:p w14:paraId="12D67512">
      <w:pPr>
        <w:tabs>
          <w:tab w:val="left" w:pos="420"/>
        </w:tabs>
        <w:adjustRightInd w:val="0"/>
        <w:snapToGrid w:val="0"/>
        <w:spacing w:line="440" w:lineRule="exact"/>
        <w:jc w:val="left"/>
        <w:rPr>
          <w:rFonts w:ascii="宋体" w:hAnsi="宋体" w:cs="宋体"/>
          <w:b/>
          <w:color w:val="auto"/>
          <w:kern w:val="0"/>
          <w:szCs w:val="21"/>
          <w:highlight w:val="none"/>
        </w:rPr>
      </w:pPr>
      <w:r>
        <w:rPr>
          <w:rFonts w:ascii="宋体" w:hAnsi="宋体" w:cs="宋体"/>
          <w:b/>
          <w:color w:val="auto"/>
          <w:kern w:val="0"/>
          <w:szCs w:val="21"/>
          <w:highlight w:val="none"/>
        </w:rPr>
        <w:tab/>
      </w:r>
      <w:r>
        <w:rPr>
          <w:rFonts w:hint="eastAsia" w:ascii="宋体" w:hAnsi="宋体" w:cs="宋体"/>
          <w:b/>
          <w:color w:val="auto"/>
          <w:kern w:val="0"/>
          <w:szCs w:val="21"/>
          <w:highlight w:val="none"/>
        </w:rPr>
        <w:t>注：以上工作量清单表为需求参考工作量，投标人投标前应组织现场勘查，实际情况以现场勘查为准。如投标人未进行现场勘查，招标人则认为，投标人已完成掌握了解现场设备实际情况。</w:t>
      </w:r>
    </w:p>
    <w:p w14:paraId="6326D74D">
      <w:pPr>
        <w:tabs>
          <w:tab w:val="left" w:pos="420"/>
        </w:tabs>
        <w:adjustRightInd w:val="0"/>
        <w:snapToGrid w:val="0"/>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中标</w:t>
      </w:r>
      <w:r>
        <w:rPr>
          <w:rFonts w:hint="eastAsia" w:ascii="宋体" w:hAnsi="宋体" w:cs="宋体"/>
          <w:color w:val="auto"/>
          <w:kern w:val="0"/>
          <w:szCs w:val="21"/>
          <w:highlight w:val="none"/>
        </w:rPr>
        <w:t>人应根据本项目实际需求提供设备明细清单。</w:t>
      </w:r>
    </w:p>
    <w:p w14:paraId="0BDFA175">
      <w:pPr>
        <w:tabs>
          <w:tab w:val="left" w:pos="420"/>
        </w:tabs>
        <w:adjustRightInd w:val="0"/>
        <w:snapToGrid w:val="0"/>
        <w:spacing w:line="440" w:lineRule="exact"/>
        <w:jc w:val="left"/>
        <w:rPr>
          <w:rFonts w:ascii="宋体" w:hAnsi="宋体" w:cs="宋体"/>
          <w:color w:val="auto"/>
          <w:kern w:val="0"/>
          <w:szCs w:val="21"/>
          <w:highlight w:val="none"/>
        </w:rPr>
      </w:pPr>
      <w:r>
        <w:rPr>
          <w:rFonts w:ascii="宋体" w:hAnsi="宋体" w:cs="宋体"/>
          <w:color w:val="auto"/>
          <w:kern w:val="0"/>
          <w:szCs w:val="21"/>
          <w:highlight w:val="none"/>
        </w:rPr>
        <w:tab/>
      </w:r>
      <w:r>
        <w:rPr>
          <w:rFonts w:hint="eastAsia" w:ascii="宋体" w:hAnsi="宋体" w:cs="宋体"/>
          <w:color w:val="auto"/>
          <w:kern w:val="0"/>
          <w:szCs w:val="21"/>
          <w:highlight w:val="none"/>
        </w:rPr>
        <w:t>5.3 设备技术规格</w:t>
      </w:r>
    </w:p>
    <w:p w14:paraId="1BD34C80">
      <w:pPr>
        <w:numPr>
          <w:ilvl w:val="0"/>
          <w:numId w:val="0"/>
        </w:numPr>
        <w:tabs>
          <w:tab w:val="left" w:pos="420"/>
        </w:tabs>
        <w:adjustRightInd w:val="0"/>
        <w:snapToGrid w:val="0"/>
        <w:spacing w:line="440" w:lineRule="exact"/>
        <w:ind w:firstLine="42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.1栅栏门</w:t>
      </w:r>
    </w:p>
    <w:p w14:paraId="79B0366A">
      <w:pPr>
        <w:numPr>
          <w:ilvl w:val="0"/>
          <w:numId w:val="0"/>
        </w:numPr>
        <w:tabs>
          <w:tab w:val="left" w:pos="420"/>
        </w:tabs>
        <w:adjustRightInd w:val="0"/>
        <w:snapToGrid w:val="0"/>
        <w:spacing w:line="440" w:lineRule="exact"/>
        <w:ind w:firstLine="42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lang w:val="en-US" w:eastAsia="zh-CN"/>
        </w:rPr>
        <w:t>.1采用304不锈钢材质，</w:t>
      </w:r>
      <w:r>
        <w:rPr>
          <w:rFonts w:hint="eastAsia" w:ascii="宋体" w:hAnsi="宋体" w:cs="宋体"/>
          <w:color w:val="auto"/>
          <w:kern w:val="0"/>
          <w:szCs w:val="21"/>
          <w:highlight w:val="none"/>
          <w:lang w:val="en-US" w:eastAsia="zh-CN"/>
        </w:rPr>
        <w:t>栏杆</w:t>
      </w:r>
      <w:r>
        <w:rPr>
          <w:rFonts w:hint="eastAsia" w:ascii="宋体" w:hAnsi="宋体" w:eastAsia="宋体" w:cs="宋体"/>
          <w:color w:val="auto"/>
          <w:kern w:val="0"/>
          <w:szCs w:val="21"/>
          <w:highlight w:val="none"/>
          <w:lang w:val="en-US" w:eastAsia="zh-CN"/>
        </w:rPr>
        <w:t>每处缝隙不超过10cm</w:t>
      </w:r>
      <w:r>
        <w:rPr>
          <w:rFonts w:hint="eastAsia" w:ascii="宋体" w:hAnsi="宋体" w:cs="宋体"/>
          <w:color w:val="auto"/>
          <w:kern w:val="0"/>
          <w:szCs w:val="21"/>
          <w:highlight w:val="none"/>
          <w:lang w:val="en-US" w:eastAsia="zh-CN"/>
        </w:rPr>
        <w:t>，高度不得低于120cm；</w:t>
      </w:r>
    </w:p>
    <w:p w14:paraId="531439DC">
      <w:pPr>
        <w:numPr>
          <w:ilvl w:val="0"/>
          <w:numId w:val="0"/>
        </w:numPr>
        <w:tabs>
          <w:tab w:val="left" w:pos="420"/>
        </w:tabs>
        <w:adjustRightInd w:val="0"/>
        <w:snapToGrid w:val="0"/>
        <w:spacing w:line="440" w:lineRule="exact"/>
        <w:ind w:firstLine="42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lang w:val="en-US" w:eastAsia="zh-CN"/>
        </w:rPr>
        <w:t>.2不锈钢主要受力杆件的壁厚</w:t>
      </w:r>
      <w:r>
        <w:rPr>
          <w:rFonts w:hint="default" w:ascii="宋体" w:hAnsi="宋体" w:eastAsia="宋体" w:cs="宋体"/>
          <w:color w:val="auto"/>
          <w:kern w:val="0"/>
          <w:szCs w:val="21"/>
          <w:highlight w:val="none"/>
          <w:lang w:val="en-US" w:eastAsia="zh-CN"/>
        </w:rPr>
        <w:t>不应小于1.5毫米</w:t>
      </w:r>
      <w:r>
        <w:rPr>
          <w:rFonts w:hint="eastAsia" w:ascii="宋体" w:hAnsi="宋体" w:cs="宋体"/>
          <w:color w:val="auto"/>
          <w:kern w:val="0"/>
          <w:szCs w:val="21"/>
          <w:highlight w:val="none"/>
          <w:lang w:val="en-US" w:eastAsia="zh-CN"/>
        </w:rPr>
        <w:t>，管径不小于40毫米</w:t>
      </w:r>
      <w:r>
        <w:rPr>
          <w:rFonts w:hint="default" w:ascii="宋体" w:hAnsi="宋体" w:eastAsia="宋体" w:cs="宋体"/>
          <w:color w:val="auto"/>
          <w:kern w:val="0"/>
          <w:szCs w:val="21"/>
          <w:highlight w:val="none"/>
          <w:lang w:val="en-US" w:eastAsia="zh-CN"/>
        </w:rPr>
        <w:t>，一般杆件</w:t>
      </w:r>
      <w:r>
        <w:rPr>
          <w:rFonts w:hint="eastAsia" w:ascii="宋体" w:hAnsi="宋体" w:cs="宋体"/>
          <w:color w:val="auto"/>
          <w:kern w:val="0"/>
          <w:szCs w:val="21"/>
          <w:highlight w:val="none"/>
          <w:lang w:val="en-US" w:eastAsia="zh-CN"/>
        </w:rPr>
        <w:t>壁厚</w:t>
      </w:r>
      <w:r>
        <w:rPr>
          <w:rFonts w:hint="default" w:ascii="宋体" w:hAnsi="宋体" w:eastAsia="宋体" w:cs="宋体"/>
          <w:color w:val="auto"/>
          <w:kern w:val="0"/>
          <w:szCs w:val="21"/>
          <w:highlight w:val="none"/>
          <w:lang w:val="en-US" w:eastAsia="zh-CN"/>
        </w:rPr>
        <w:t>不宜小于1.2毫米</w:t>
      </w:r>
      <w:r>
        <w:rPr>
          <w:rFonts w:hint="eastAsia" w:ascii="宋体" w:hAnsi="宋体" w:cs="宋体"/>
          <w:color w:val="auto"/>
          <w:kern w:val="0"/>
          <w:szCs w:val="21"/>
          <w:highlight w:val="none"/>
          <w:lang w:val="en-US" w:eastAsia="zh-CN"/>
        </w:rPr>
        <w:t>，管径不小于20毫米；</w:t>
      </w:r>
    </w:p>
    <w:p w14:paraId="5A75560E">
      <w:pPr>
        <w:numPr>
          <w:ilvl w:val="0"/>
          <w:numId w:val="0"/>
        </w:numPr>
        <w:tabs>
          <w:tab w:val="left" w:pos="420"/>
        </w:tabs>
        <w:adjustRightInd w:val="0"/>
        <w:snapToGrid w:val="0"/>
        <w:spacing w:line="440" w:lineRule="exact"/>
        <w:ind w:firstLine="42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5.3.1.3栅栏门总长约为2.1米，高为1.2米，采用向内开门方式，且开向围墙一侧。</w:t>
      </w:r>
    </w:p>
    <w:p w14:paraId="592AF710">
      <w:pPr>
        <w:tabs>
          <w:tab w:val="left" w:pos="420"/>
        </w:tabs>
        <w:adjustRightInd w:val="0"/>
        <w:snapToGrid w:val="0"/>
        <w:spacing w:line="44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2行人</w:t>
      </w:r>
      <w:r>
        <w:rPr>
          <w:rFonts w:hint="eastAsia" w:ascii="宋体" w:hAnsi="宋体" w:eastAsia="宋体" w:cs="宋体"/>
          <w:color w:val="auto"/>
          <w:kern w:val="0"/>
          <w:szCs w:val="21"/>
          <w:highlight w:val="none"/>
          <w:lang w:val="en-US" w:eastAsia="zh-CN"/>
        </w:rPr>
        <w:t>道闸</w:t>
      </w:r>
    </w:p>
    <w:p w14:paraId="5E909E59">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.1</w:t>
      </w:r>
      <w:r>
        <w:rPr>
          <w:rFonts w:hint="eastAsia" w:ascii="宋体" w:hAnsi="宋体" w:cs="宋体"/>
          <w:color w:val="auto"/>
          <w:kern w:val="0"/>
          <w:szCs w:val="21"/>
          <w:highlight w:val="none"/>
          <w:lang w:val="en-US" w:eastAsia="zh-CN"/>
        </w:rPr>
        <w:t>通道宽度：</w:t>
      </w:r>
      <w:r>
        <w:rPr>
          <w:rFonts w:hint="eastAsia" w:ascii="宋体" w:hAnsi="宋体" w:eastAsia="宋体" w:cs="宋体"/>
          <w:color w:val="auto"/>
          <w:kern w:val="0"/>
          <w:szCs w:val="21"/>
          <w:highlight w:val="none"/>
          <w:lang w:val="en-US" w:eastAsia="zh-CN"/>
        </w:rPr>
        <w:t>标准</w:t>
      </w:r>
      <w:r>
        <w:rPr>
          <w:rFonts w:hint="eastAsia" w:ascii="宋体" w:hAnsi="宋体" w:cs="宋体"/>
          <w:color w:val="auto"/>
          <w:kern w:val="0"/>
          <w:szCs w:val="21"/>
          <w:highlight w:val="none"/>
          <w:lang w:val="en-US" w:eastAsia="zh-CN"/>
        </w:rPr>
        <w:t>双向</w:t>
      </w:r>
      <w:r>
        <w:rPr>
          <w:rFonts w:hint="eastAsia" w:ascii="宋体" w:hAnsi="宋体" w:eastAsia="宋体" w:cs="宋体"/>
          <w:color w:val="auto"/>
          <w:kern w:val="0"/>
          <w:szCs w:val="21"/>
          <w:highlight w:val="none"/>
          <w:lang w:val="en-US" w:eastAsia="zh-CN"/>
        </w:rPr>
        <w:t>通道（</w:t>
      </w:r>
      <w:r>
        <w:rPr>
          <w:rFonts w:hint="eastAsia" w:ascii="宋体" w:hAnsi="宋体" w:cs="宋体"/>
          <w:color w:val="auto"/>
          <w:kern w:val="0"/>
          <w:szCs w:val="21"/>
          <w:highlight w:val="none"/>
          <w:lang w:val="en-US" w:eastAsia="zh-CN"/>
        </w:rPr>
        <w:t>80CM</w:t>
      </w:r>
      <w:r>
        <w:rPr>
          <w:rFonts w:hint="eastAsia" w:ascii="宋体" w:hAnsi="宋体" w:eastAsia="宋体" w:cs="宋体"/>
          <w:color w:val="auto"/>
          <w:kern w:val="0"/>
          <w:szCs w:val="21"/>
          <w:highlight w:val="none"/>
          <w:lang w:val="en-US" w:eastAsia="zh-CN"/>
        </w:rPr>
        <w:t>）、宽</w:t>
      </w:r>
      <w:r>
        <w:rPr>
          <w:rFonts w:hint="eastAsia" w:ascii="宋体" w:hAnsi="宋体" w:cs="宋体"/>
          <w:color w:val="auto"/>
          <w:kern w:val="0"/>
          <w:szCs w:val="21"/>
          <w:highlight w:val="none"/>
          <w:lang w:val="en-US" w:eastAsia="zh-CN"/>
        </w:rPr>
        <w:t>双向</w:t>
      </w:r>
      <w:r>
        <w:rPr>
          <w:rFonts w:hint="eastAsia" w:ascii="宋体" w:hAnsi="宋体" w:eastAsia="宋体" w:cs="宋体"/>
          <w:color w:val="auto"/>
          <w:kern w:val="0"/>
          <w:szCs w:val="21"/>
          <w:highlight w:val="none"/>
          <w:lang w:val="en-US" w:eastAsia="zh-CN"/>
        </w:rPr>
        <w:t>通道（</w:t>
      </w:r>
      <w:r>
        <w:rPr>
          <w:rFonts w:hint="eastAsia" w:ascii="宋体" w:hAnsi="宋体" w:cs="宋体"/>
          <w:color w:val="auto"/>
          <w:kern w:val="0"/>
          <w:szCs w:val="21"/>
          <w:highlight w:val="none"/>
          <w:lang w:val="en-US" w:eastAsia="zh-CN"/>
        </w:rPr>
        <w:t>130CM</w:t>
      </w:r>
      <w:r>
        <w:rPr>
          <w:rFonts w:hint="eastAsia" w:ascii="宋体" w:hAnsi="宋体" w:eastAsia="宋体" w:cs="宋体"/>
          <w:color w:val="auto"/>
          <w:kern w:val="0"/>
          <w:szCs w:val="21"/>
          <w:highlight w:val="none"/>
          <w:lang w:val="en-US" w:eastAsia="zh-CN"/>
        </w:rPr>
        <w:t>）；</w:t>
      </w:r>
    </w:p>
    <w:p w14:paraId="66118554">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.2机箱</w:t>
      </w:r>
      <w:r>
        <w:rPr>
          <w:rFonts w:hint="eastAsia" w:ascii="宋体" w:hAnsi="宋体" w:cs="宋体"/>
          <w:color w:val="auto"/>
          <w:kern w:val="0"/>
          <w:szCs w:val="21"/>
          <w:highlight w:val="none"/>
          <w:lang w:val="en-US" w:eastAsia="zh-CN"/>
        </w:rPr>
        <w:t>尺寸</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建议尺寸高120CM，长140CM，宽</w:t>
      </w:r>
      <w:r>
        <w:rPr>
          <w:rFonts w:hint="eastAsia" w:ascii="宋体" w:hAnsi="宋体" w:eastAsia="宋体" w:cs="宋体"/>
          <w:color w:val="auto"/>
          <w:kern w:val="0"/>
          <w:szCs w:val="21"/>
          <w:highlight w:val="none"/>
          <w:lang w:val="en-US" w:eastAsia="zh-CN"/>
        </w:rPr>
        <w:t>20CM</w:t>
      </w:r>
      <w:r>
        <w:rPr>
          <w:rFonts w:hint="eastAsia" w:ascii="宋体" w:hAnsi="宋体" w:cs="宋体"/>
          <w:color w:val="auto"/>
          <w:kern w:val="0"/>
          <w:szCs w:val="21"/>
          <w:highlight w:val="none"/>
          <w:lang w:val="en-US" w:eastAsia="zh-CN"/>
        </w:rPr>
        <w:t>；</w:t>
      </w:r>
    </w:p>
    <w:p w14:paraId="54A51F96">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.3驱动元件:</w:t>
      </w:r>
      <w:r>
        <w:rPr>
          <w:rFonts w:hint="eastAsia" w:ascii="宋体" w:hAnsi="宋体" w:cs="宋体"/>
          <w:color w:val="auto"/>
          <w:kern w:val="0"/>
          <w:szCs w:val="21"/>
          <w:highlight w:val="none"/>
          <w:lang w:val="en-US" w:eastAsia="zh-CN"/>
        </w:rPr>
        <w:t>永磁同步</w:t>
      </w:r>
      <w:r>
        <w:rPr>
          <w:rFonts w:hint="eastAsia" w:ascii="宋体" w:hAnsi="宋体" w:eastAsia="宋体" w:cs="宋体"/>
          <w:color w:val="auto"/>
          <w:kern w:val="0"/>
          <w:szCs w:val="21"/>
          <w:highlight w:val="none"/>
          <w:lang w:val="en-US" w:eastAsia="zh-CN"/>
        </w:rPr>
        <w:t>电机</w:t>
      </w:r>
      <w:r>
        <w:rPr>
          <w:rFonts w:hint="eastAsia" w:ascii="宋体" w:hAnsi="宋体" w:cs="宋体"/>
          <w:color w:val="auto"/>
          <w:kern w:val="0"/>
          <w:szCs w:val="21"/>
          <w:highlight w:val="none"/>
          <w:lang w:val="en-US" w:eastAsia="zh-CN"/>
        </w:rPr>
        <w:t>；</w:t>
      </w:r>
    </w:p>
    <w:p w14:paraId="4DA02F09">
      <w:pPr>
        <w:tabs>
          <w:tab w:val="left" w:pos="420"/>
        </w:tabs>
        <w:adjustRightInd w:val="0"/>
        <w:snapToGrid w:val="0"/>
        <w:spacing w:line="44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.4开关门时间：0.</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s-1s(可调</w:t>
      </w:r>
      <w:r>
        <w:rPr>
          <w:rFonts w:hint="default"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w:t>
      </w:r>
    </w:p>
    <w:p w14:paraId="4019C06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5.3.2.5通行速度：≥40人/min；</w:t>
      </w:r>
    </w:p>
    <w:p w14:paraId="5AE73EF8">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5.3.2.6感应方式：红外对射；</w:t>
      </w:r>
    </w:p>
    <w:p w14:paraId="1B75E05B">
      <w:pPr>
        <w:tabs>
          <w:tab w:val="left" w:pos="420"/>
        </w:tabs>
        <w:adjustRightInd w:val="0"/>
        <w:snapToGrid w:val="0"/>
        <w:spacing w:line="44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7机箱</w:t>
      </w:r>
      <w:r>
        <w:rPr>
          <w:rFonts w:hint="eastAsia" w:ascii="宋体" w:hAnsi="宋体" w:eastAsia="宋体" w:cs="宋体"/>
          <w:color w:val="auto"/>
          <w:kern w:val="0"/>
          <w:szCs w:val="21"/>
          <w:highlight w:val="none"/>
          <w:lang w:val="en-US" w:eastAsia="zh-CN"/>
        </w:rPr>
        <w:t>材质：304不锈钢</w:t>
      </w:r>
      <w:r>
        <w:rPr>
          <w:rFonts w:hint="eastAsia" w:ascii="宋体" w:hAnsi="宋体" w:cs="宋体"/>
          <w:color w:val="auto"/>
          <w:kern w:val="0"/>
          <w:szCs w:val="21"/>
          <w:highlight w:val="none"/>
          <w:lang w:val="en-US" w:eastAsia="zh-CN"/>
        </w:rPr>
        <w:t>；</w:t>
      </w:r>
    </w:p>
    <w:p w14:paraId="15F8CFD8">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8</w:t>
      </w:r>
      <w:r>
        <w:rPr>
          <w:rFonts w:hint="eastAsia" w:ascii="宋体" w:hAnsi="宋体" w:eastAsia="宋体" w:cs="宋体"/>
          <w:color w:val="auto"/>
          <w:kern w:val="0"/>
          <w:szCs w:val="21"/>
          <w:highlight w:val="none"/>
          <w:lang w:val="en-US" w:eastAsia="zh-CN"/>
        </w:rPr>
        <w:t>关门冲击力：&lt;150N</w:t>
      </w:r>
      <w:r>
        <w:rPr>
          <w:rFonts w:hint="eastAsia" w:ascii="宋体" w:hAnsi="宋体" w:cs="宋体"/>
          <w:color w:val="auto"/>
          <w:kern w:val="0"/>
          <w:szCs w:val="21"/>
          <w:highlight w:val="none"/>
          <w:lang w:val="en-US" w:eastAsia="zh-CN"/>
        </w:rPr>
        <w:t>；</w:t>
      </w:r>
    </w:p>
    <w:p w14:paraId="0E1CAA49">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5.3.2.9</w:t>
      </w:r>
      <w:r>
        <w:rPr>
          <w:rFonts w:hint="eastAsia" w:ascii="宋体" w:hAnsi="宋体" w:eastAsia="宋体" w:cs="宋体"/>
          <w:color w:val="auto"/>
          <w:kern w:val="0"/>
          <w:szCs w:val="21"/>
          <w:highlight w:val="none"/>
          <w:lang w:val="en-US" w:eastAsia="zh-CN"/>
        </w:rPr>
        <w:t>结构强度:可承受1000N撞击</w:t>
      </w:r>
      <w:r>
        <w:rPr>
          <w:rFonts w:hint="eastAsia" w:ascii="宋体" w:hAnsi="宋体" w:cs="宋体"/>
          <w:color w:val="auto"/>
          <w:kern w:val="0"/>
          <w:szCs w:val="21"/>
          <w:highlight w:val="none"/>
          <w:lang w:val="en-US" w:eastAsia="zh-CN"/>
        </w:rPr>
        <w:t>；</w:t>
      </w:r>
    </w:p>
    <w:p w14:paraId="6B009204">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5.3.2.10</w:t>
      </w:r>
      <w:r>
        <w:rPr>
          <w:rFonts w:hint="eastAsia" w:ascii="宋体" w:hAnsi="宋体" w:eastAsia="宋体" w:cs="宋体"/>
          <w:color w:val="auto"/>
          <w:kern w:val="0"/>
          <w:szCs w:val="21"/>
          <w:highlight w:val="none"/>
          <w:lang w:val="en-US" w:eastAsia="zh-CN"/>
        </w:rPr>
        <w:t>工作噪声:≤45db</w:t>
      </w:r>
      <w:r>
        <w:rPr>
          <w:rFonts w:hint="eastAsia" w:ascii="宋体" w:hAnsi="宋体" w:cs="宋体"/>
          <w:color w:val="auto"/>
          <w:kern w:val="0"/>
          <w:szCs w:val="21"/>
          <w:highlight w:val="none"/>
          <w:lang w:val="en-US" w:eastAsia="zh-CN"/>
        </w:rPr>
        <w:t>；</w:t>
      </w:r>
    </w:p>
    <w:p w14:paraId="366D3121">
      <w:pPr>
        <w:tabs>
          <w:tab w:val="left" w:pos="420"/>
        </w:tabs>
        <w:adjustRightInd w:val="0"/>
        <w:snapToGrid w:val="0"/>
        <w:spacing w:line="44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5.3.2.11</w:t>
      </w:r>
      <w:r>
        <w:rPr>
          <w:rFonts w:hint="eastAsia" w:ascii="宋体" w:hAnsi="宋体" w:eastAsia="宋体" w:cs="宋体"/>
          <w:color w:val="auto"/>
          <w:kern w:val="0"/>
          <w:szCs w:val="21"/>
          <w:highlight w:val="none"/>
          <w:lang w:val="en-US" w:eastAsia="zh-CN"/>
        </w:rPr>
        <w:t>使用寿命：≥</w:t>
      </w:r>
      <w:r>
        <w:rPr>
          <w:rFonts w:hint="eastAsia" w:ascii="宋体" w:hAnsi="宋体" w:cs="宋体"/>
          <w:color w:val="auto"/>
          <w:kern w:val="0"/>
          <w:szCs w:val="21"/>
          <w:highlight w:val="none"/>
          <w:lang w:val="en-US" w:eastAsia="zh-CN"/>
        </w:rPr>
        <w:t>500</w:t>
      </w:r>
      <w:r>
        <w:rPr>
          <w:rFonts w:hint="eastAsia" w:ascii="宋体" w:hAnsi="宋体" w:eastAsia="宋体" w:cs="宋体"/>
          <w:color w:val="auto"/>
          <w:kern w:val="0"/>
          <w:szCs w:val="21"/>
          <w:highlight w:val="none"/>
          <w:lang w:val="en-US" w:eastAsia="zh-CN"/>
        </w:rPr>
        <w:t>万次开关门</w:t>
      </w:r>
      <w:r>
        <w:rPr>
          <w:rFonts w:hint="eastAsia" w:ascii="宋体" w:hAnsi="宋体" w:cs="宋体"/>
          <w:color w:val="auto"/>
          <w:kern w:val="0"/>
          <w:szCs w:val="21"/>
          <w:highlight w:val="none"/>
          <w:lang w:val="en-US" w:eastAsia="zh-CN"/>
        </w:rPr>
        <w:t>；</w:t>
      </w:r>
    </w:p>
    <w:p w14:paraId="0AB0F58A">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.12平均故障间隔周期数：≥10万次开关门；</w:t>
      </w:r>
    </w:p>
    <w:p w14:paraId="706A7F8B">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5.3.2.13开门方式：刷卡（兼容在用员工卡）和刷脸开门；</w:t>
      </w:r>
    </w:p>
    <w:p w14:paraId="4072CFC6">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5.3.2.14扇门材质：采用亚克力材质拍打式扇门，扇门壁厚≥4mm,离地缝隙≤100mm，离机箱顶端≤100mm；</w:t>
      </w:r>
    </w:p>
    <w:p w14:paraId="23EA8B56">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5.3.2.15</w:t>
      </w:r>
      <w:r>
        <w:rPr>
          <w:rFonts w:hint="eastAsia" w:ascii="宋体" w:hAnsi="宋体" w:eastAsia="宋体" w:cs="宋体"/>
          <w:color w:val="auto"/>
          <w:kern w:val="0"/>
          <w:szCs w:val="21"/>
          <w:highlight w:val="none"/>
          <w:lang w:val="en-US" w:eastAsia="zh-CN"/>
        </w:rPr>
        <w:t>失电保护：一旦电源失效，扇门立即自动打开（通过机械复位装置，无需外部电源）</w:t>
      </w:r>
      <w:r>
        <w:rPr>
          <w:rFonts w:hint="eastAsia" w:ascii="宋体" w:hAnsi="宋体" w:cs="宋体"/>
          <w:color w:val="auto"/>
          <w:kern w:val="0"/>
          <w:szCs w:val="21"/>
          <w:highlight w:val="none"/>
          <w:lang w:val="en-US" w:eastAsia="zh-CN"/>
        </w:rPr>
        <w:t>；</w:t>
      </w:r>
    </w:p>
    <w:p w14:paraId="727AA206">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5.3.2.16</w:t>
      </w:r>
      <w:r>
        <w:rPr>
          <w:rFonts w:hint="eastAsia" w:ascii="宋体" w:hAnsi="宋体" w:eastAsia="宋体" w:cs="宋体"/>
          <w:color w:val="auto"/>
          <w:kern w:val="0"/>
          <w:szCs w:val="21"/>
          <w:highlight w:val="none"/>
          <w:lang w:val="en-US" w:eastAsia="zh-CN"/>
        </w:rPr>
        <w:t>安全保护：具备安全行人</w:t>
      </w:r>
      <w:r>
        <w:rPr>
          <w:rFonts w:hint="eastAsia" w:ascii="宋体" w:hAnsi="宋体" w:cs="宋体"/>
          <w:color w:val="auto"/>
          <w:kern w:val="0"/>
          <w:szCs w:val="21"/>
          <w:highlight w:val="none"/>
          <w:lang w:val="en-US" w:eastAsia="zh-CN"/>
        </w:rPr>
        <w:t>保护</w:t>
      </w:r>
      <w:r>
        <w:rPr>
          <w:rFonts w:hint="eastAsia" w:ascii="宋体" w:hAnsi="宋体" w:eastAsia="宋体" w:cs="宋体"/>
          <w:color w:val="auto"/>
          <w:kern w:val="0"/>
          <w:szCs w:val="21"/>
          <w:highlight w:val="none"/>
          <w:lang w:val="en-US" w:eastAsia="zh-CN"/>
        </w:rPr>
        <w:t>功能，当有行人在安全区或者检测到扇门碰撞到物体时立即触发保护机制</w:t>
      </w:r>
      <w:r>
        <w:rPr>
          <w:rFonts w:hint="eastAsia" w:ascii="宋体" w:hAnsi="宋体" w:cs="宋体"/>
          <w:color w:val="auto"/>
          <w:kern w:val="0"/>
          <w:szCs w:val="21"/>
          <w:highlight w:val="none"/>
          <w:lang w:val="en-US" w:eastAsia="zh-CN"/>
        </w:rPr>
        <w:t>；</w:t>
      </w:r>
    </w:p>
    <w:p w14:paraId="094B95E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17</w:t>
      </w:r>
      <w:r>
        <w:rPr>
          <w:rFonts w:hint="eastAsia" w:ascii="宋体" w:hAnsi="宋体" w:eastAsia="宋体" w:cs="宋体"/>
          <w:color w:val="auto"/>
          <w:kern w:val="0"/>
          <w:szCs w:val="21"/>
          <w:highlight w:val="none"/>
          <w:lang w:val="en-US" w:eastAsia="zh-CN"/>
        </w:rPr>
        <w:t>具备通行指示灯</w:t>
      </w:r>
      <w:r>
        <w:rPr>
          <w:rFonts w:hint="eastAsia" w:ascii="宋体" w:hAnsi="宋体" w:cs="宋体"/>
          <w:color w:val="auto"/>
          <w:kern w:val="0"/>
          <w:szCs w:val="21"/>
          <w:highlight w:val="none"/>
          <w:lang w:val="en-US" w:eastAsia="zh-CN"/>
        </w:rPr>
        <w:t>（通行指示灯采用LED）</w:t>
      </w:r>
      <w:r>
        <w:rPr>
          <w:rFonts w:hint="eastAsia" w:ascii="宋体" w:hAnsi="宋体" w:eastAsia="宋体" w:cs="宋体"/>
          <w:color w:val="auto"/>
          <w:kern w:val="0"/>
          <w:szCs w:val="21"/>
          <w:highlight w:val="none"/>
          <w:lang w:val="en-US" w:eastAsia="zh-CN"/>
        </w:rPr>
        <w:t>、延时自动复位、防夹防碰撞、防尾随</w:t>
      </w:r>
      <w:r>
        <w:rPr>
          <w:rFonts w:hint="eastAsia" w:ascii="宋体" w:hAnsi="宋体" w:cs="宋体"/>
          <w:color w:val="auto"/>
          <w:kern w:val="0"/>
          <w:szCs w:val="21"/>
          <w:highlight w:val="none"/>
          <w:lang w:val="en-US" w:eastAsia="zh-CN"/>
        </w:rPr>
        <w:t>。</w:t>
      </w:r>
    </w:p>
    <w:p w14:paraId="18440FD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5.3.3人脸识别器</w:t>
      </w:r>
    </w:p>
    <w:p w14:paraId="3B3AD42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5.3.3.1人脸容量：≥30000张；</w:t>
      </w:r>
    </w:p>
    <w:p w14:paraId="513FD2D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5.3.3.2识别准确率：≥99.9%；</w:t>
      </w:r>
    </w:p>
    <w:p w14:paraId="0EA272A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5.3.3.3识别时间：&lt;0.6秒；</w:t>
      </w:r>
    </w:p>
    <w:p w14:paraId="69A3204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5.3.3.4识别距离：0.2米～2米；</w:t>
      </w:r>
    </w:p>
    <w:p w14:paraId="7158E29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5.3.3.5像素：高清200万像素；</w:t>
      </w:r>
    </w:p>
    <w:p w14:paraId="4D9C2165">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5.3.3.6其他：支持活体检测，支持简易安装拆卸。</w:t>
      </w:r>
    </w:p>
    <w:p w14:paraId="2A6117E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5.3.4行人道闸管理系统</w:t>
      </w:r>
    </w:p>
    <w:p w14:paraId="7E8CF6AE">
      <w:pPr>
        <w:tabs>
          <w:tab w:val="left" w:pos="420"/>
        </w:tabs>
        <w:adjustRightInd w:val="0"/>
        <w:snapToGrid w:val="0"/>
        <w:spacing w:line="440" w:lineRule="exact"/>
        <w:ind w:firstLine="420" w:firstLineChars="200"/>
        <w:jc w:val="left"/>
        <w:rPr>
          <w:rFonts w:hint="eastAsia" w:ascii="宋体" w:hAnsi="宋体" w:cs="宋体"/>
          <w:b w:val="0"/>
          <w:color w:val="auto"/>
          <w:kern w:val="0"/>
          <w:sz w:val="21"/>
          <w:szCs w:val="21"/>
          <w:highlight w:val="none"/>
          <w:lang w:val="en-US" w:eastAsia="zh-CN"/>
        </w:rPr>
      </w:pPr>
      <w:r>
        <w:rPr>
          <w:rFonts w:hint="eastAsia" w:ascii="宋体" w:hAnsi="宋体" w:cs="宋体"/>
          <w:b w:val="0"/>
          <w:color w:val="auto"/>
          <w:kern w:val="0"/>
          <w:sz w:val="21"/>
          <w:szCs w:val="21"/>
          <w:highlight w:val="none"/>
          <w:lang w:val="en-US" w:eastAsia="zh-CN"/>
        </w:rPr>
        <w:t>5.3.4.1行人道闸工作站</w:t>
      </w:r>
    </w:p>
    <w:p w14:paraId="34F82DB6">
      <w:pPr>
        <w:tabs>
          <w:tab w:val="left" w:pos="420"/>
        </w:tabs>
        <w:adjustRightInd w:val="0"/>
        <w:snapToGrid w:val="0"/>
        <w:spacing w:line="440" w:lineRule="exact"/>
        <w:ind w:firstLine="420" w:firstLineChars="200"/>
        <w:jc w:val="left"/>
        <w:rPr>
          <w:rFonts w:hint="eastAsia" w:ascii="宋体" w:hAnsi="宋体" w:cs="宋体"/>
          <w:b w:val="0"/>
          <w:color w:val="auto"/>
          <w:kern w:val="0"/>
          <w:sz w:val="21"/>
          <w:szCs w:val="21"/>
          <w:highlight w:val="none"/>
        </w:rPr>
      </w:pPr>
      <w:r>
        <w:rPr>
          <w:rFonts w:hint="eastAsia" w:ascii="宋体" w:hAnsi="宋体" w:cs="宋体"/>
          <w:b w:val="0"/>
          <w:color w:val="auto"/>
          <w:kern w:val="0"/>
          <w:sz w:val="21"/>
          <w:szCs w:val="21"/>
          <w:highlight w:val="none"/>
          <w:lang w:val="en-US" w:eastAsia="zh-CN"/>
        </w:rPr>
        <w:t>5.3.4.1.1</w:t>
      </w:r>
      <w:r>
        <w:rPr>
          <w:rFonts w:hint="eastAsia" w:ascii="宋体" w:hAnsi="宋体" w:cs="宋体"/>
          <w:b w:val="0"/>
          <w:color w:val="auto"/>
          <w:kern w:val="0"/>
          <w:sz w:val="21"/>
          <w:szCs w:val="21"/>
          <w:highlight w:val="none"/>
        </w:rPr>
        <w:t>基本要求</w:t>
      </w:r>
    </w:p>
    <w:p w14:paraId="6D5FDC9A">
      <w:pPr>
        <w:tabs>
          <w:tab w:val="left" w:pos="420"/>
        </w:tabs>
        <w:adjustRightInd w:val="0"/>
        <w:snapToGrid w:val="0"/>
        <w:spacing w:line="440" w:lineRule="exact"/>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（1）工作站应配置Windows操作系统。</w:t>
      </w:r>
    </w:p>
    <w:p w14:paraId="4980BE15">
      <w:pPr>
        <w:tabs>
          <w:tab w:val="left" w:pos="420"/>
        </w:tabs>
        <w:adjustRightInd w:val="0"/>
        <w:snapToGrid w:val="0"/>
        <w:spacing w:line="440" w:lineRule="exact"/>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（2）工作站应支持GB18030-2005字符集，操作界面为简体中文界面。</w:t>
      </w:r>
    </w:p>
    <w:p w14:paraId="5F894493">
      <w:pPr>
        <w:tabs>
          <w:tab w:val="left" w:pos="420"/>
        </w:tabs>
        <w:adjustRightInd w:val="0"/>
        <w:snapToGrid w:val="0"/>
        <w:spacing w:line="440" w:lineRule="exact"/>
        <w:ind w:firstLine="420" w:firstLineChars="200"/>
        <w:jc w:val="left"/>
        <w:rPr>
          <w:rFonts w:hint="eastAsia" w:ascii="宋体" w:hAnsi="宋体" w:cs="宋体"/>
          <w:b w:val="0"/>
          <w:color w:val="auto"/>
          <w:kern w:val="0"/>
          <w:sz w:val="21"/>
          <w:szCs w:val="21"/>
          <w:highlight w:val="none"/>
        </w:rPr>
      </w:pPr>
      <w:r>
        <w:rPr>
          <w:rFonts w:hint="eastAsia" w:ascii="宋体" w:hAnsi="宋体" w:cs="宋体"/>
          <w:b w:val="0"/>
          <w:color w:val="auto"/>
          <w:kern w:val="0"/>
          <w:sz w:val="21"/>
          <w:szCs w:val="21"/>
          <w:highlight w:val="none"/>
          <w:lang w:eastAsia="zh-CN"/>
        </w:rPr>
        <w:t>5</w:t>
      </w:r>
      <w:r>
        <w:rPr>
          <w:rFonts w:hint="eastAsia" w:ascii="宋体" w:hAnsi="宋体" w:cs="宋体"/>
          <w:b w:val="0"/>
          <w:color w:val="auto"/>
          <w:kern w:val="0"/>
          <w:sz w:val="21"/>
          <w:szCs w:val="21"/>
          <w:highlight w:val="none"/>
          <w:lang w:val="en-US" w:eastAsia="zh-CN"/>
        </w:rPr>
        <w:t>.3.4.1.2</w:t>
      </w:r>
      <w:r>
        <w:rPr>
          <w:rFonts w:hint="eastAsia" w:ascii="宋体" w:hAnsi="宋体" w:cs="宋体"/>
          <w:b w:val="0"/>
          <w:color w:val="auto"/>
          <w:kern w:val="0"/>
          <w:sz w:val="21"/>
          <w:szCs w:val="21"/>
          <w:highlight w:val="none"/>
        </w:rPr>
        <w:t>配置要求</w:t>
      </w:r>
    </w:p>
    <w:tbl>
      <w:tblPr>
        <w:tblStyle w:val="25"/>
        <w:tblW w:w="89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5"/>
        <w:gridCol w:w="2101"/>
        <w:gridCol w:w="5503"/>
      </w:tblGrid>
      <w:tr w14:paraId="02DEE9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85" w:type="dxa"/>
            <w:noWrap w:val="0"/>
            <w:vAlign w:val="center"/>
          </w:tcPr>
          <w:p w14:paraId="48F9888B">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bookmarkStart w:id="81" w:name="_Toc9156"/>
            <w:bookmarkStart w:id="82" w:name="_Toc362016510"/>
            <w:bookmarkStart w:id="83" w:name="_Toc29751"/>
            <w:bookmarkStart w:id="84" w:name="_Toc446404469"/>
            <w:r>
              <w:rPr>
                <w:rFonts w:hint="eastAsia" w:ascii="宋体" w:hAnsi="宋体" w:eastAsia="宋体" w:cs="宋体"/>
                <w:b/>
                <w:color w:val="auto"/>
                <w:sz w:val="22"/>
                <w:szCs w:val="22"/>
                <w:highlight w:val="none"/>
                <w:lang w:val="zh-CN"/>
              </w:rPr>
              <w:t>指标</w:t>
            </w:r>
          </w:p>
        </w:tc>
        <w:tc>
          <w:tcPr>
            <w:tcW w:w="2101" w:type="dxa"/>
            <w:noWrap w:val="0"/>
            <w:vAlign w:val="center"/>
          </w:tcPr>
          <w:p w14:paraId="40EBA43F">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指标项</w:t>
            </w:r>
          </w:p>
        </w:tc>
        <w:tc>
          <w:tcPr>
            <w:tcW w:w="5503" w:type="dxa"/>
            <w:noWrap w:val="0"/>
            <w:vAlign w:val="center"/>
          </w:tcPr>
          <w:p w14:paraId="7EC83ED7">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指标要求</w:t>
            </w:r>
          </w:p>
        </w:tc>
      </w:tr>
      <w:tr w14:paraId="3F2BB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1385" w:type="dxa"/>
            <w:noWrap w:val="0"/>
            <w:vAlign w:val="center"/>
          </w:tcPr>
          <w:p w14:paraId="1CD26B7D">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处理器</w:t>
            </w:r>
          </w:p>
        </w:tc>
        <w:tc>
          <w:tcPr>
            <w:tcW w:w="2101" w:type="dxa"/>
            <w:noWrap w:val="0"/>
            <w:vAlign w:val="center"/>
          </w:tcPr>
          <w:p w14:paraId="7D204A66">
            <w:pPr>
              <w:pStyle w:val="10"/>
              <w:keepNext w:val="0"/>
              <w:keepLines w:val="0"/>
              <w:suppressLineNumbers w:val="0"/>
              <w:spacing w:before="0" w:beforeAutospacing="0" w:line="240" w:lineRule="auto"/>
              <w:ind w:right="0" w:firstLine="0" w:firstLineChars="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类型</w:t>
            </w:r>
          </w:p>
        </w:tc>
        <w:tc>
          <w:tcPr>
            <w:tcW w:w="5503" w:type="dxa"/>
            <w:noWrap w:val="0"/>
            <w:vAlign w:val="center"/>
          </w:tcPr>
          <w:p w14:paraId="61FBBB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架构：≥8 核心，支持多线程处理技术</w:t>
            </w:r>
          </w:p>
          <w:p w14:paraId="5F0BC8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制程工艺：≤14nm</w:t>
            </w:r>
          </w:p>
          <w:p w14:paraId="218858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基础频率：≥3.0GHz</w:t>
            </w:r>
          </w:p>
          <w:p w14:paraId="17F359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最大加速频率：≥4.2GHz</w:t>
            </w:r>
          </w:p>
          <w:p w14:paraId="20270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缓存：三级缓存≥12MB</w:t>
            </w:r>
          </w:p>
          <w:p w14:paraId="764874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sz w:val="22"/>
                <w:szCs w:val="22"/>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支持 64 位计算，兼容 64 位操作系统</w:t>
            </w:r>
          </w:p>
        </w:tc>
      </w:tr>
      <w:tr w14:paraId="2F9FD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85" w:type="dxa"/>
            <w:noWrap w:val="0"/>
            <w:vAlign w:val="center"/>
          </w:tcPr>
          <w:p w14:paraId="2DCAA400">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内存</w:t>
            </w:r>
          </w:p>
        </w:tc>
        <w:tc>
          <w:tcPr>
            <w:tcW w:w="2101" w:type="dxa"/>
            <w:noWrap w:val="0"/>
            <w:vAlign w:val="center"/>
          </w:tcPr>
          <w:p w14:paraId="4D081640">
            <w:pPr>
              <w:pStyle w:val="10"/>
              <w:keepNext w:val="0"/>
              <w:keepLines w:val="0"/>
              <w:suppressLineNumbers w:val="0"/>
              <w:spacing w:before="0" w:beforeAutospacing="0" w:line="240" w:lineRule="auto"/>
              <w:ind w:right="0" w:firstLine="0" w:firstLineChars="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内存类型</w:t>
            </w:r>
          </w:p>
        </w:tc>
        <w:tc>
          <w:tcPr>
            <w:tcW w:w="5503" w:type="dxa"/>
            <w:noWrap w:val="0"/>
            <w:vAlign w:val="center"/>
          </w:tcPr>
          <w:p w14:paraId="2216B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容量：≥16GB</w:t>
            </w:r>
          </w:p>
          <w:p w14:paraId="68C10C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类型：DDR4 及以上</w:t>
            </w:r>
          </w:p>
          <w:p w14:paraId="502E0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sz w:val="22"/>
                <w:szCs w:val="22"/>
                <w:highlight w:val="none"/>
                <w:lang w:val="zh-CN"/>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支持双通道内存架构</w:t>
            </w:r>
          </w:p>
        </w:tc>
      </w:tr>
      <w:tr w14:paraId="66EB65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85" w:type="dxa"/>
            <w:noWrap w:val="0"/>
            <w:vAlign w:val="center"/>
          </w:tcPr>
          <w:p w14:paraId="32162F66">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存储规格</w:t>
            </w:r>
          </w:p>
        </w:tc>
        <w:tc>
          <w:tcPr>
            <w:tcW w:w="2101" w:type="dxa"/>
            <w:noWrap w:val="0"/>
            <w:vAlign w:val="center"/>
          </w:tcPr>
          <w:p w14:paraId="7946DC93">
            <w:pPr>
              <w:pStyle w:val="10"/>
              <w:keepNext w:val="0"/>
              <w:keepLines w:val="0"/>
              <w:suppressLineNumbers w:val="0"/>
              <w:spacing w:before="0" w:beforeAutospacing="0" w:line="240" w:lineRule="auto"/>
              <w:ind w:right="0" w:firstLine="0" w:firstLineChars="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硬盘容量、类型</w:t>
            </w:r>
          </w:p>
        </w:tc>
        <w:tc>
          <w:tcPr>
            <w:tcW w:w="5503" w:type="dxa"/>
            <w:noWrap w:val="0"/>
            <w:vAlign w:val="center"/>
          </w:tcPr>
          <w:p w14:paraId="1ED5C968">
            <w:pPr>
              <w:pStyle w:val="10"/>
              <w:keepNext w:val="0"/>
              <w:keepLines w:val="0"/>
              <w:suppressLineNumbers w:val="0"/>
              <w:spacing w:before="0" w:beforeAutospacing="0" w:line="240" w:lineRule="auto"/>
              <w:ind w:left="0" w:leftChars="0" w:right="0" w:firstLine="0" w:firstLineChars="0"/>
              <w:rPr>
                <w:rFonts w:hint="eastAsia" w:ascii="宋体" w:hAnsi="宋体" w:eastAsia="宋体" w:cs="宋体"/>
                <w:color w:val="auto"/>
                <w:sz w:val="22"/>
                <w:szCs w:val="22"/>
                <w:highlight w:val="none"/>
                <w:lang w:eastAsia="zh-CN"/>
              </w:rPr>
            </w:pPr>
            <w:r>
              <w:rPr>
                <w:rFonts w:hint="eastAsia" w:ascii="宋体" w:hAnsi="宋体" w:eastAsia="宋体" w:cs="宋体"/>
                <w:i w:val="0"/>
                <w:iCs w:val="0"/>
                <w:caps w:val="0"/>
                <w:color w:val="auto"/>
                <w:spacing w:val="0"/>
                <w:sz w:val="22"/>
                <w:szCs w:val="22"/>
                <w:highlight w:val="none"/>
                <w:shd w:val="clear" w:fill="FFFFFF"/>
              </w:rPr>
              <w:t>硬盘采用NVMe协议M.2接口固态硬盘（SSD），容量≥512GB，读取速度≥2500MB/s，写入速度≥1500MB/s</w:t>
            </w:r>
            <w:r>
              <w:rPr>
                <w:rFonts w:hint="eastAsia" w:ascii="宋体" w:hAnsi="宋体" w:eastAsia="宋体" w:cs="宋体"/>
                <w:i w:val="0"/>
                <w:iCs w:val="0"/>
                <w:caps w:val="0"/>
                <w:color w:val="auto"/>
                <w:spacing w:val="0"/>
                <w:sz w:val="22"/>
                <w:szCs w:val="22"/>
                <w:highlight w:val="none"/>
                <w:shd w:val="clear" w:fill="FFFFFF"/>
                <w:lang w:eastAsia="zh-CN"/>
              </w:rPr>
              <w:t>。</w:t>
            </w:r>
          </w:p>
        </w:tc>
      </w:tr>
      <w:tr w14:paraId="57BA6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85" w:type="dxa"/>
            <w:noWrap w:val="0"/>
            <w:vAlign w:val="center"/>
          </w:tcPr>
          <w:p w14:paraId="74E08830">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eastAsia="zh-CN"/>
              </w:rPr>
            </w:pPr>
            <w:r>
              <w:rPr>
                <w:rFonts w:hint="eastAsia" w:ascii="宋体" w:hAnsi="宋体" w:eastAsia="宋体" w:cs="宋体"/>
                <w:b/>
                <w:color w:val="auto"/>
                <w:sz w:val="22"/>
                <w:szCs w:val="22"/>
                <w:highlight w:val="none"/>
                <w:lang w:val="en-US" w:eastAsia="zh-CN"/>
              </w:rPr>
              <w:t>显卡</w:t>
            </w:r>
          </w:p>
        </w:tc>
        <w:tc>
          <w:tcPr>
            <w:tcW w:w="2101" w:type="dxa"/>
            <w:noWrap w:val="0"/>
            <w:vAlign w:val="center"/>
          </w:tcPr>
          <w:p w14:paraId="0B280450">
            <w:pPr>
              <w:pStyle w:val="10"/>
              <w:keepNext w:val="0"/>
              <w:keepLines w:val="0"/>
              <w:suppressLineNumbers w:val="0"/>
              <w:spacing w:before="0" w:beforeAutospacing="0" w:line="240" w:lineRule="auto"/>
              <w:ind w:right="0" w:firstLine="0"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zh-CN"/>
              </w:rPr>
              <w:t>显卡</w:t>
            </w:r>
            <w:r>
              <w:rPr>
                <w:rFonts w:hint="eastAsia" w:ascii="宋体" w:hAnsi="宋体" w:eastAsia="宋体" w:cs="宋体"/>
                <w:color w:val="auto"/>
                <w:sz w:val="22"/>
                <w:szCs w:val="22"/>
                <w:highlight w:val="none"/>
                <w:lang w:val="en-US" w:eastAsia="zh-CN"/>
              </w:rPr>
              <w:t>类型</w:t>
            </w:r>
          </w:p>
        </w:tc>
        <w:tc>
          <w:tcPr>
            <w:tcW w:w="5503" w:type="dxa"/>
            <w:noWrap w:val="0"/>
            <w:vAlign w:val="center"/>
          </w:tcPr>
          <w:p w14:paraId="4C5EBF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显存容量：≥6GB及以上</w:t>
            </w:r>
          </w:p>
          <w:p w14:paraId="2793B9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支持 DirectX 12及以上版本</w:t>
            </w:r>
          </w:p>
          <w:p w14:paraId="044314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sz w:val="22"/>
                <w:szCs w:val="22"/>
                <w:highlight w:val="none"/>
                <w:lang w:val="zh-CN"/>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支持 PCIe 3.0 及以上接口</w:t>
            </w:r>
          </w:p>
        </w:tc>
      </w:tr>
      <w:tr w14:paraId="4FC1B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3" w:hRule="atLeast"/>
          <w:jc w:val="center"/>
        </w:trPr>
        <w:tc>
          <w:tcPr>
            <w:tcW w:w="1385" w:type="dxa"/>
            <w:noWrap w:val="0"/>
            <w:vAlign w:val="center"/>
          </w:tcPr>
          <w:p w14:paraId="2083F5DD">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机箱类型</w:t>
            </w:r>
          </w:p>
        </w:tc>
        <w:tc>
          <w:tcPr>
            <w:tcW w:w="7604" w:type="dxa"/>
            <w:gridSpan w:val="2"/>
            <w:noWrap w:val="0"/>
            <w:vAlign w:val="center"/>
          </w:tcPr>
          <w:tbl>
            <w:tblPr>
              <w:tblStyle w:val="25"/>
              <w:tblW w:w="0" w:type="auto"/>
              <w:tblInd w:w="0" w:type="dxa"/>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640"/>
            </w:tblGrid>
            <w:tr w14:paraId="2FBE773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0" w:type="dxa"/>
                  <w:left w:w="0" w:type="dxa"/>
                  <w:bottom w:w="0" w:type="dxa"/>
                  <w:right w:w="0" w:type="dxa"/>
                </w:tblCellMar>
              </w:tblPrEx>
              <w:tc>
                <w:tcPr>
                  <w:tcW w:w="8640" w:type="dxa"/>
                  <w:tcBorders>
                    <w:top w:val="nil"/>
                    <w:left w:val="nil"/>
                    <w:bottom w:val="nil"/>
                  </w:tcBorders>
                  <w:shd w:val="clear" w:color="auto" w:fill="FFFFFF"/>
                  <w:vAlign w:val="center"/>
                </w:tcPr>
                <w:p w14:paraId="2F92C6A3">
                  <w:pPr>
                    <w:keepNext w:val="0"/>
                    <w:keepLines w:val="0"/>
                    <w:widowControl/>
                    <w:suppressLineNumbers w:val="0"/>
                    <w:spacing w:before="0" w:beforeAutospacing="0" w:after="0" w:afterAutospacing="0"/>
                    <w:ind w:left="0" w:right="0" w:firstLine="0"/>
                    <w:jc w:val="left"/>
                    <w:rPr>
                      <w:rFonts w:hint="eastAsia" w:ascii="宋体" w:hAnsi="宋体" w:eastAsia="宋体" w:cs="宋体"/>
                      <w:i w:val="0"/>
                      <w:iCs w:val="0"/>
                      <w:caps w:val="0"/>
                      <w:color w:val="auto"/>
                      <w:spacing w:val="0"/>
                      <w:sz w:val="22"/>
                      <w:szCs w:val="22"/>
                      <w:highlight w:val="none"/>
                    </w:rPr>
                  </w:pPr>
                  <w:r>
                    <w:rPr>
                      <w:rFonts w:hint="eastAsia" w:ascii="宋体" w:hAnsi="宋体" w:eastAsia="宋体" w:cs="宋体"/>
                      <w:i w:val="0"/>
                      <w:iCs w:val="0"/>
                      <w:caps w:val="0"/>
                      <w:color w:val="auto"/>
                      <w:spacing w:val="0"/>
                      <w:kern w:val="0"/>
                      <w:sz w:val="22"/>
                      <w:szCs w:val="22"/>
                      <w:highlight w:val="none"/>
                      <w:lang w:val="en-US" w:eastAsia="zh-CN" w:bidi="ar"/>
                    </w:rPr>
                    <w:t>采用小型 ATX 或 MATX 商务机箱，材质为优质 SECC 钢材 + ABS 面板，前置面板简洁，配备 USB 接口与音频接口，方便日常设备连接；符合国家 3C 认证与电磁兼容标准，防辐射、防干扰</w:t>
                  </w:r>
                </w:p>
              </w:tc>
            </w:tr>
          </w:tbl>
          <w:p w14:paraId="7C28510B">
            <w:pPr>
              <w:pStyle w:val="10"/>
              <w:keepNext w:val="0"/>
              <w:keepLines w:val="0"/>
              <w:suppressLineNumbers w:val="0"/>
              <w:spacing w:before="0" w:beforeAutospacing="0" w:line="240" w:lineRule="auto"/>
              <w:ind w:right="0" w:firstLine="0" w:firstLineChars="0"/>
              <w:rPr>
                <w:rFonts w:hint="eastAsia" w:ascii="宋体" w:hAnsi="宋体" w:eastAsia="宋体" w:cs="宋体"/>
                <w:color w:val="auto"/>
                <w:kern w:val="0"/>
                <w:sz w:val="22"/>
                <w:szCs w:val="22"/>
                <w:highlight w:val="none"/>
              </w:rPr>
            </w:pPr>
          </w:p>
        </w:tc>
      </w:tr>
      <w:tr w14:paraId="349E34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3" w:hRule="atLeast"/>
          <w:jc w:val="center"/>
        </w:trPr>
        <w:tc>
          <w:tcPr>
            <w:tcW w:w="1385" w:type="dxa"/>
            <w:noWrap w:val="0"/>
            <w:vAlign w:val="center"/>
          </w:tcPr>
          <w:p w14:paraId="5343BF31">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MTBF</w:t>
            </w:r>
          </w:p>
        </w:tc>
        <w:tc>
          <w:tcPr>
            <w:tcW w:w="7604" w:type="dxa"/>
            <w:gridSpan w:val="2"/>
            <w:noWrap w:val="0"/>
            <w:vAlign w:val="center"/>
          </w:tcPr>
          <w:p w14:paraId="2EBFBDEB">
            <w:pPr>
              <w:pStyle w:val="10"/>
              <w:keepNext w:val="0"/>
              <w:keepLines w:val="0"/>
              <w:suppressLineNumbers w:val="0"/>
              <w:spacing w:before="0" w:beforeAutospacing="0" w:line="240" w:lineRule="auto"/>
              <w:ind w:left="0" w:leftChars="0" w:right="0" w:firstLine="0" w:firstLineChars="0"/>
              <w:rPr>
                <w:rFonts w:hint="eastAsia" w:ascii="宋体" w:hAnsi="宋体" w:eastAsia="宋体" w:cs="宋体"/>
                <w:color w:val="auto"/>
                <w:kern w:val="0"/>
                <w:sz w:val="22"/>
                <w:szCs w:val="22"/>
                <w:highlight w:val="none"/>
              </w:rPr>
            </w:pPr>
            <w:r>
              <w:rPr>
                <w:rFonts w:hint="eastAsia" w:ascii="宋体" w:hAnsi="宋体" w:eastAsia="宋体" w:cs="宋体"/>
                <w:i w:val="0"/>
                <w:iCs w:val="0"/>
                <w:caps w:val="0"/>
                <w:color w:val="auto"/>
                <w:spacing w:val="0"/>
                <w:sz w:val="22"/>
                <w:szCs w:val="22"/>
                <w:highlight w:val="none"/>
                <w:shd w:val="clear" w:fill="FFFFFF"/>
              </w:rPr>
              <w:t>平均无故障工作时间（MTBF）≥10000</w:t>
            </w:r>
            <w:r>
              <w:rPr>
                <w:rFonts w:hint="eastAsia" w:ascii="宋体" w:hAnsi="宋体" w:eastAsia="宋体" w:cs="宋体"/>
                <w:i w:val="0"/>
                <w:iCs w:val="0"/>
                <w:caps w:val="0"/>
                <w:color w:val="auto"/>
                <w:spacing w:val="0"/>
                <w:sz w:val="22"/>
                <w:szCs w:val="22"/>
                <w:highlight w:val="none"/>
                <w:shd w:val="clear" w:fill="FFFFFF"/>
                <w:lang w:val="en-US" w:eastAsia="zh-CN"/>
              </w:rPr>
              <w:t>0</w:t>
            </w:r>
            <w:r>
              <w:rPr>
                <w:rFonts w:hint="eastAsia" w:ascii="宋体" w:hAnsi="宋体" w:eastAsia="宋体" w:cs="宋体"/>
                <w:i w:val="0"/>
                <w:iCs w:val="0"/>
                <w:caps w:val="0"/>
                <w:color w:val="auto"/>
                <w:spacing w:val="0"/>
                <w:sz w:val="22"/>
                <w:szCs w:val="22"/>
                <w:highlight w:val="none"/>
                <w:shd w:val="clear" w:fill="FFFFFF"/>
              </w:rPr>
              <w:t>小时，产品通过 ISO 9001 质量认证、能效认证，核心硬件（CPU、主板、内存、硬盘）经过严格兼容性测试，保障长期稳定办公，减少故障停机时间</w:t>
            </w:r>
          </w:p>
        </w:tc>
      </w:tr>
      <w:tr w14:paraId="1BC43B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85" w:type="dxa"/>
            <w:noWrap w:val="0"/>
            <w:vAlign w:val="center"/>
          </w:tcPr>
          <w:p w14:paraId="1097BCF1">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其他</w:t>
            </w:r>
          </w:p>
        </w:tc>
        <w:tc>
          <w:tcPr>
            <w:tcW w:w="7604" w:type="dxa"/>
            <w:gridSpan w:val="2"/>
            <w:noWrap w:val="0"/>
            <w:vAlign w:val="center"/>
          </w:tcPr>
          <w:p w14:paraId="53E58572">
            <w:pPr>
              <w:pStyle w:val="10"/>
              <w:keepNext w:val="0"/>
              <w:keepLines w:val="0"/>
              <w:suppressLineNumbers w:val="0"/>
              <w:spacing w:before="0" w:beforeAutospacing="0" w:line="240" w:lineRule="auto"/>
              <w:ind w:left="0" w:leftChars="0" w:right="0"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工作站操作系统、系统软件、数据库及工具软件应已包含在报价中。</w:t>
            </w:r>
          </w:p>
        </w:tc>
      </w:tr>
      <w:tr w14:paraId="5A4732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1385" w:type="dxa"/>
            <w:noWrap w:val="0"/>
            <w:vAlign w:val="center"/>
          </w:tcPr>
          <w:p w14:paraId="0B877060">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服务</w:t>
            </w:r>
          </w:p>
        </w:tc>
        <w:tc>
          <w:tcPr>
            <w:tcW w:w="7604" w:type="dxa"/>
            <w:gridSpan w:val="2"/>
            <w:noWrap w:val="0"/>
            <w:vAlign w:val="center"/>
          </w:tcPr>
          <w:p w14:paraId="72233B73">
            <w:pPr>
              <w:pStyle w:val="10"/>
              <w:keepNext w:val="0"/>
              <w:keepLines w:val="0"/>
              <w:suppressLineNumbers w:val="0"/>
              <w:spacing w:before="0" w:beforeAutospacing="0" w:line="240" w:lineRule="auto"/>
              <w:ind w:left="0" w:leftChars="0" w:right="0"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要求提供原厂商3年质保服务（3年部件免费，3年人工免费），整机工程期间及质保期内7×24小时原厂商全免费上门维修。</w:t>
            </w:r>
          </w:p>
        </w:tc>
      </w:tr>
    </w:tbl>
    <w:p w14:paraId="6584C32E">
      <w:pPr>
        <w:tabs>
          <w:tab w:val="left" w:pos="420"/>
        </w:tabs>
        <w:adjustRightInd w:val="0"/>
        <w:snapToGrid w:val="0"/>
        <w:spacing w:line="440" w:lineRule="exact"/>
        <w:ind w:firstLine="420" w:firstLineChars="200"/>
        <w:jc w:val="left"/>
        <w:rPr>
          <w:rFonts w:hint="default" w:ascii="宋体" w:hAnsi="宋体" w:cs="宋体"/>
          <w:b w:val="0"/>
          <w:color w:val="auto"/>
          <w:kern w:val="0"/>
          <w:sz w:val="21"/>
          <w:szCs w:val="21"/>
          <w:highlight w:val="none"/>
          <w:lang w:val="en-US" w:eastAsia="zh-CN"/>
        </w:rPr>
      </w:pPr>
      <w:r>
        <w:rPr>
          <w:rFonts w:hint="eastAsia" w:ascii="宋体" w:hAnsi="宋体" w:cs="宋体"/>
          <w:b w:val="0"/>
          <w:color w:val="auto"/>
          <w:kern w:val="0"/>
          <w:sz w:val="21"/>
          <w:szCs w:val="21"/>
          <w:highlight w:val="none"/>
          <w:lang w:val="en-US" w:eastAsia="zh-CN"/>
        </w:rPr>
        <w:t>5.3.4.1行人道闸工作站显示器</w:t>
      </w:r>
    </w:p>
    <w:bookmarkEnd w:id="81"/>
    <w:bookmarkEnd w:id="82"/>
    <w:bookmarkEnd w:id="83"/>
    <w:bookmarkEnd w:id="84"/>
    <w:p w14:paraId="186DD14E">
      <w:pPr>
        <w:spacing w:line="300" w:lineRule="auto"/>
        <w:ind w:firstLine="420" w:firstLineChars="200"/>
        <w:rPr>
          <w:rFonts w:ascii="Times New Roman" w:hAnsi="Times New Roman"/>
          <w:color w:val="auto"/>
          <w:highlight w:val="none"/>
        </w:rPr>
      </w:pPr>
      <w:r>
        <w:rPr>
          <w:rFonts w:ascii="Times New Roman" w:hAnsi="Times New Roman"/>
          <w:b/>
          <w:color w:val="auto"/>
          <w:highlight w:val="none"/>
        </w:rPr>
        <w:t>招标人有权在合同执行时期对全线显示器提出不同型号及规格要求及对相关显示器型号调整的权力。</w:t>
      </w:r>
    </w:p>
    <w:tbl>
      <w:tblPr>
        <w:tblStyle w:val="25"/>
        <w:tblW w:w="917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401"/>
        <w:gridCol w:w="2448"/>
        <w:gridCol w:w="5325"/>
      </w:tblGrid>
      <w:tr w14:paraId="0CE33C5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67" w:hRule="atLeast"/>
          <w:jc w:val="center"/>
        </w:trPr>
        <w:tc>
          <w:tcPr>
            <w:tcW w:w="1401" w:type="dxa"/>
            <w:noWrap w:val="0"/>
            <w:vAlign w:val="center"/>
          </w:tcPr>
          <w:p w14:paraId="4F9C062B">
            <w:pPr>
              <w:pStyle w:val="6"/>
              <w:keepNext w:val="0"/>
              <w:keepLines w:val="0"/>
              <w:suppressLineNumbers w:val="0"/>
              <w:snapToGrid/>
              <w:spacing w:before="0" w:beforeAutospacing="0" w:after="0" w:afterAutospacing="0" w:line="300" w:lineRule="auto"/>
              <w:ind w:left="0" w:right="0" w:firstLine="0"/>
              <w:jc w:val="center"/>
              <w:rPr>
                <w:rFonts w:hint="default" w:ascii="Times New Roman" w:hAnsi="Times New Roman" w:eastAsia="宋体"/>
                <w:b/>
                <w:color w:val="auto"/>
                <w:highlight w:val="none"/>
              </w:rPr>
            </w:pPr>
            <w:r>
              <w:rPr>
                <w:rFonts w:hint="default" w:ascii="Times New Roman" w:hAnsi="Times New Roman" w:eastAsia="宋体"/>
                <w:b/>
                <w:color w:val="auto"/>
                <w:highlight w:val="none"/>
              </w:rPr>
              <w:t>指标</w:t>
            </w:r>
          </w:p>
        </w:tc>
        <w:tc>
          <w:tcPr>
            <w:tcW w:w="2448" w:type="dxa"/>
            <w:noWrap w:val="0"/>
            <w:vAlign w:val="center"/>
          </w:tcPr>
          <w:p w14:paraId="2146525F">
            <w:pPr>
              <w:pStyle w:val="6"/>
              <w:keepNext w:val="0"/>
              <w:keepLines w:val="0"/>
              <w:suppressLineNumbers w:val="0"/>
              <w:snapToGrid/>
              <w:spacing w:before="0" w:beforeAutospacing="0" w:after="0" w:afterAutospacing="0" w:line="300" w:lineRule="auto"/>
              <w:ind w:left="0" w:right="0" w:firstLine="0"/>
              <w:jc w:val="center"/>
              <w:rPr>
                <w:rFonts w:hint="default" w:ascii="Times New Roman" w:hAnsi="Times New Roman" w:eastAsia="宋体"/>
                <w:b/>
                <w:color w:val="auto"/>
                <w:highlight w:val="none"/>
              </w:rPr>
            </w:pPr>
            <w:r>
              <w:rPr>
                <w:rFonts w:hint="default" w:ascii="Times New Roman" w:hAnsi="Times New Roman" w:eastAsia="宋体"/>
                <w:b/>
                <w:color w:val="auto"/>
                <w:highlight w:val="none"/>
              </w:rPr>
              <w:t>指标项</w:t>
            </w:r>
          </w:p>
        </w:tc>
        <w:tc>
          <w:tcPr>
            <w:tcW w:w="5325" w:type="dxa"/>
            <w:noWrap w:val="0"/>
            <w:vAlign w:val="center"/>
          </w:tcPr>
          <w:p w14:paraId="76F14F84">
            <w:pPr>
              <w:pStyle w:val="6"/>
              <w:keepNext w:val="0"/>
              <w:keepLines w:val="0"/>
              <w:suppressLineNumbers w:val="0"/>
              <w:snapToGrid/>
              <w:spacing w:before="0" w:beforeAutospacing="0" w:after="0" w:afterAutospacing="0" w:line="300" w:lineRule="auto"/>
              <w:ind w:left="0" w:right="0" w:firstLine="0"/>
              <w:jc w:val="center"/>
              <w:rPr>
                <w:rFonts w:hint="default" w:ascii="Times New Roman" w:hAnsi="Times New Roman" w:eastAsia="宋体"/>
                <w:b/>
                <w:color w:val="auto"/>
                <w:highlight w:val="none"/>
              </w:rPr>
            </w:pPr>
            <w:r>
              <w:rPr>
                <w:rFonts w:hint="default" w:ascii="Times New Roman" w:hAnsi="Times New Roman" w:eastAsia="宋体"/>
                <w:b/>
                <w:color w:val="auto"/>
                <w:highlight w:val="none"/>
              </w:rPr>
              <w:t>指标要求</w:t>
            </w:r>
          </w:p>
        </w:tc>
      </w:tr>
      <w:tr w14:paraId="676508B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noWrap w:val="0"/>
            <w:vAlign w:val="center"/>
          </w:tcPr>
          <w:p w14:paraId="6C2EBCC3">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品牌型号</w:t>
            </w:r>
          </w:p>
        </w:tc>
        <w:tc>
          <w:tcPr>
            <w:tcW w:w="7773" w:type="dxa"/>
            <w:gridSpan w:val="2"/>
            <w:noWrap w:val="0"/>
            <w:vAlign w:val="center"/>
          </w:tcPr>
          <w:p w14:paraId="53EE294F">
            <w:pPr>
              <w:keepNext w:val="0"/>
              <w:keepLines w:val="0"/>
              <w:widowControl/>
              <w:suppressLineNumbers w:val="0"/>
              <w:spacing w:before="0" w:beforeAutospacing="0" w:after="0" w:afterAutospacing="0"/>
              <w:ind w:left="0" w:right="0"/>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投标人提供具体品牌</w:t>
            </w:r>
            <w:r>
              <w:rPr>
                <w:rFonts w:hint="eastAsia" w:ascii="Times New Roman" w:hAnsi="Times New Roman"/>
                <w:color w:val="auto"/>
                <w:kern w:val="0"/>
                <w:szCs w:val="21"/>
                <w:highlight w:val="none"/>
              </w:rPr>
              <w:t>；具体规格型号在设计联络时确定。</w:t>
            </w:r>
          </w:p>
        </w:tc>
      </w:tr>
      <w:tr w14:paraId="14A405F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restart"/>
            <w:noWrap w:val="0"/>
            <w:vAlign w:val="center"/>
          </w:tcPr>
          <w:p w14:paraId="1D2EB7D6">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基本参数</w:t>
            </w:r>
          </w:p>
        </w:tc>
        <w:tc>
          <w:tcPr>
            <w:tcW w:w="2448" w:type="dxa"/>
            <w:noWrap w:val="0"/>
            <w:vAlign w:val="center"/>
          </w:tcPr>
          <w:p w14:paraId="6F96D589">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产品定位</w:t>
            </w:r>
          </w:p>
        </w:tc>
        <w:tc>
          <w:tcPr>
            <w:tcW w:w="5325" w:type="dxa"/>
            <w:noWrap w:val="0"/>
            <w:vAlign w:val="center"/>
          </w:tcPr>
          <w:p w14:paraId="344258D0">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行业应用</w:t>
            </w:r>
          </w:p>
        </w:tc>
      </w:tr>
      <w:tr w14:paraId="55A5BC9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73FADCA6">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59D88779">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屏幕尺寸</w:t>
            </w:r>
          </w:p>
        </w:tc>
        <w:tc>
          <w:tcPr>
            <w:tcW w:w="5325" w:type="dxa"/>
            <w:noWrap w:val="0"/>
            <w:vAlign w:val="center"/>
          </w:tcPr>
          <w:p w14:paraId="077049CC">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19～23英寸，具体设计联络时确定尺寸。</w:t>
            </w:r>
          </w:p>
        </w:tc>
      </w:tr>
      <w:tr w14:paraId="1C087C3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742A9054">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69D248DF">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屏幕比例</w:t>
            </w:r>
          </w:p>
        </w:tc>
        <w:tc>
          <w:tcPr>
            <w:tcW w:w="5325" w:type="dxa"/>
            <w:noWrap w:val="0"/>
            <w:vAlign w:val="center"/>
          </w:tcPr>
          <w:p w14:paraId="740EA61A">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普屏或宽屏</w:t>
            </w:r>
          </w:p>
        </w:tc>
      </w:tr>
      <w:tr w14:paraId="482F96E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22924825">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61536417">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最佳分辨率</w:t>
            </w:r>
          </w:p>
        </w:tc>
        <w:tc>
          <w:tcPr>
            <w:tcW w:w="5325" w:type="dxa"/>
            <w:noWrap w:val="0"/>
            <w:vAlign w:val="center"/>
          </w:tcPr>
          <w:p w14:paraId="2248F4F1">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不低于1600×1200</w:t>
            </w:r>
          </w:p>
        </w:tc>
      </w:tr>
      <w:tr w14:paraId="7BC76D4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4EA5663A">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246A460B">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背光类型</w:t>
            </w:r>
          </w:p>
        </w:tc>
        <w:tc>
          <w:tcPr>
            <w:tcW w:w="5325" w:type="dxa"/>
            <w:noWrap w:val="0"/>
            <w:vAlign w:val="center"/>
          </w:tcPr>
          <w:p w14:paraId="667A1CF1">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LED背光</w:t>
            </w:r>
          </w:p>
        </w:tc>
      </w:tr>
      <w:tr w14:paraId="393CD2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2896DC3A">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6CDFF8CC">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动态对比度</w:t>
            </w:r>
          </w:p>
        </w:tc>
        <w:tc>
          <w:tcPr>
            <w:tcW w:w="5325" w:type="dxa"/>
            <w:noWrap w:val="0"/>
            <w:vAlign w:val="center"/>
          </w:tcPr>
          <w:p w14:paraId="7280BCD7">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800:1</w:t>
            </w:r>
          </w:p>
        </w:tc>
      </w:tr>
      <w:tr w14:paraId="6E2451B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3F8905AE">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4EF6BD24">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黑白响应时间</w:t>
            </w:r>
          </w:p>
        </w:tc>
        <w:tc>
          <w:tcPr>
            <w:tcW w:w="5325" w:type="dxa"/>
            <w:noWrap w:val="0"/>
            <w:vAlign w:val="center"/>
          </w:tcPr>
          <w:p w14:paraId="6932EB2D">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16ms</w:t>
            </w:r>
          </w:p>
        </w:tc>
      </w:tr>
      <w:tr w14:paraId="11D5DF9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restart"/>
            <w:noWrap w:val="0"/>
            <w:vAlign w:val="center"/>
          </w:tcPr>
          <w:p w14:paraId="791AD830">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显示参数</w:t>
            </w:r>
          </w:p>
        </w:tc>
        <w:tc>
          <w:tcPr>
            <w:tcW w:w="2448" w:type="dxa"/>
            <w:noWrap w:val="0"/>
            <w:vAlign w:val="center"/>
          </w:tcPr>
          <w:p w14:paraId="00EC94E9">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点距</w:t>
            </w:r>
          </w:p>
        </w:tc>
        <w:tc>
          <w:tcPr>
            <w:tcW w:w="5325" w:type="dxa"/>
            <w:noWrap w:val="0"/>
            <w:vAlign w:val="center"/>
          </w:tcPr>
          <w:p w14:paraId="7B65EE8D">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0.255mm</w:t>
            </w:r>
          </w:p>
        </w:tc>
      </w:tr>
      <w:tr w14:paraId="6A919BE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03004E68">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3D2E3FA2">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亮度</w:t>
            </w:r>
          </w:p>
        </w:tc>
        <w:tc>
          <w:tcPr>
            <w:tcW w:w="5325" w:type="dxa"/>
            <w:noWrap w:val="0"/>
            <w:vAlign w:val="center"/>
          </w:tcPr>
          <w:p w14:paraId="169CF21F">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不小于250cd/㎡</w:t>
            </w:r>
          </w:p>
        </w:tc>
      </w:tr>
      <w:tr w14:paraId="0744A5A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7122DFB0">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1C215325">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可视角度</w:t>
            </w:r>
          </w:p>
        </w:tc>
        <w:tc>
          <w:tcPr>
            <w:tcW w:w="5325" w:type="dxa"/>
            <w:noWrap w:val="0"/>
            <w:vAlign w:val="center"/>
          </w:tcPr>
          <w:p w14:paraId="68EB6D2A">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178°</w:t>
            </w:r>
          </w:p>
        </w:tc>
      </w:tr>
      <w:tr w14:paraId="03C459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noWrap w:val="0"/>
            <w:vAlign w:val="center"/>
          </w:tcPr>
          <w:p w14:paraId="66F156C2">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音频</w:t>
            </w:r>
          </w:p>
        </w:tc>
        <w:tc>
          <w:tcPr>
            <w:tcW w:w="2448" w:type="dxa"/>
            <w:noWrap w:val="0"/>
            <w:vAlign w:val="center"/>
          </w:tcPr>
          <w:p w14:paraId="2E7DE5F2">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音频系统</w:t>
            </w:r>
          </w:p>
        </w:tc>
        <w:tc>
          <w:tcPr>
            <w:tcW w:w="5325" w:type="dxa"/>
            <w:noWrap w:val="0"/>
            <w:vAlign w:val="center"/>
          </w:tcPr>
          <w:p w14:paraId="559FB6CB">
            <w:pPr>
              <w:keepNext w:val="0"/>
              <w:keepLines w:val="0"/>
              <w:widowControl/>
              <w:suppressLineNumbers w:val="0"/>
              <w:spacing w:before="0" w:beforeAutospacing="0" w:after="0" w:afterAutospacing="0"/>
              <w:ind w:left="0" w:right="0"/>
              <w:jc w:val="left"/>
              <w:rPr>
                <w:rFonts w:hint="default" w:ascii="Times New Roman" w:hAnsi="Times New Roman" w:eastAsiaTheme="minorEastAsia"/>
                <w:color w:val="auto"/>
                <w:kern w:val="0"/>
                <w:szCs w:val="21"/>
                <w:highlight w:val="none"/>
                <w:lang w:val="en-US" w:eastAsia="zh-CN"/>
              </w:rPr>
            </w:pPr>
            <w:r>
              <w:rPr>
                <w:rFonts w:hint="default" w:ascii="Times New Roman" w:hAnsi="Times New Roman"/>
                <w:color w:val="auto"/>
                <w:kern w:val="0"/>
                <w:szCs w:val="21"/>
                <w:highlight w:val="none"/>
              </w:rPr>
              <w:t>内置扬声器</w:t>
            </w:r>
            <w:r>
              <w:rPr>
                <w:rFonts w:hint="eastAsia" w:ascii="Times New Roman" w:hAnsi="Times New Roman"/>
                <w:color w:val="auto"/>
                <w:kern w:val="0"/>
                <w:szCs w:val="21"/>
                <w:highlight w:val="none"/>
                <w:lang w:val="en-US" w:eastAsia="zh-CN"/>
              </w:rPr>
              <w:t>或另外提供音响</w:t>
            </w:r>
          </w:p>
        </w:tc>
      </w:tr>
      <w:tr w14:paraId="5DF22F1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noWrap w:val="0"/>
            <w:vAlign w:val="center"/>
          </w:tcPr>
          <w:p w14:paraId="49CECE1F">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其他</w:t>
            </w:r>
          </w:p>
        </w:tc>
        <w:tc>
          <w:tcPr>
            <w:tcW w:w="2448" w:type="dxa"/>
            <w:noWrap w:val="0"/>
            <w:vAlign w:val="center"/>
          </w:tcPr>
          <w:p w14:paraId="6670E7FE">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机身颜色</w:t>
            </w:r>
          </w:p>
        </w:tc>
        <w:tc>
          <w:tcPr>
            <w:tcW w:w="5325" w:type="dxa"/>
            <w:noWrap w:val="0"/>
            <w:vAlign w:val="center"/>
          </w:tcPr>
          <w:p w14:paraId="2851191B">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由招标人最终确定</w:t>
            </w:r>
          </w:p>
        </w:tc>
      </w:tr>
      <w:tr w14:paraId="4D3FB86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40" w:hRule="atLeast"/>
          <w:jc w:val="center"/>
        </w:trPr>
        <w:tc>
          <w:tcPr>
            <w:tcW w:w="1401" w:type="dxa"/>
            <w:noWrap w:val="0"/>
            <w:vAlign w:val="center"/>
          </w:tcPr>
          <w:p w14:paraId="39CE044E">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质保服务</w:t>
            </w:r>
          </w:p>
        </w:tc>
        <w:tc>
          <w:tcPr>
            <w:tcW w:w="7773" w:type="dxa"/>
            <w:gridSpan w:val="2"/>
            <w:noWrap w:val="0"/>
            <w:vAlign w:val="center"/>
          </w:tcPr>
          <w:p w14:paraId="1D185B3B">
            <w:pPr>
              <w:keepNext w:val="0"/>
              <w:keepLines w:val="0"/>
              <w:widowControl/>
              <w:suppressLineNumbers w:val="0"/>
              <w:spacing w:before="0" w:beforeAutospacing="0" w:after="0" w:afterAutospacing="0"/>
              <w:ind w:left="0" w:right="0"/>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全国联保，享受三包服务；质保期：整机1年、屏幕3年</w:t>
            </w:r>
          </w:p>
        </w:tc>
      </w:tr>
    </w:tbl>
    <w:p w14:paraId="76DAD6C6">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5.3.4.3行人道闸管理软件</w:t>
      </w:r>
    </w:p>
    <w:p w14:paraId="67286B80">
      <w:pPr>
        <w:tabs>
          <w:tab w:val="left" w:pos="840"/>
        </w:tabs>
        <w:spacing w:line="360" w:lineRule="auto"/>
        <w:ind w:firstLine="420" w:firstLineChars="200"/>
        <w:rPr>
          <w:rFonts w:hint="eastAsia" w:ascii="宋体" w:eastAsia="宋体"/>
          <w:color w:val="auto"/>
          <w:highlight w:val="none"/>
          <w:lang w:eastAsia="zh-CN"/>
        </w:rPr>
      </w:pPr>
      <w:r>
        <w:rPr>
          <w:rFonts w:hint="eastAsia" w:ascii="宋体"/>
          <w:color w:val="auto"/>
          <w:highlight w:val="none"/>
          <w:lang w:val="en-US" w:eastAsia="zh-CN"/>
        </w:rPr>
        <w:t>5.3.4.3.1软件</w:t>
      </w:r>
      <w:r>
        <w:rPr>
          <w:rFonts w:hint="eastAsia" w:ascii="宋体"/>
          <w:color w:val="auto"/>
          <w:highlight w:val="none"/>
        </w:rPr>
        <w:t>具有完备的运作模式，满足消防、安全等需要</w:t>
      </w:r>
      <w:r>
        <w:rPr>
          <w:rFonts w:hint="eastAsia" w:ascii="宋体"/>
          <w:color w:val="auto"/>
          <w:highlight w:val="none"/>
          <w:lang w:eastAsia="zh-CN"/>
        </w:rPr>
        <w:t>；</w:t>
      </w:r>
    </w:p>
    <w:p w14:paraId="1337F906">
      <w:pPr>
        <w:tabs>
          <w:tab w:val="left" w:pos="840"/>
        </w:tabs>
        <w:spacing w:line="360" w:lineRule="auto"/>
        <w:ind w:firstLine="420" w:firstLineChars="200"/>
        <w:rPr>
          <w:rFonts w:ascii="宋体"/>
          <w:color w:val="auto"/>
          <w:highlight w:val="none"/>
        </w:rPr>
      </w:pPr>
      <w:r>
        <w:rPr>
          <w:rFonts w:hint="eastAsia" w:ascii="宋体"/>
          <w:color w:val="auto"/>
          <w:highlight w:val="none"/>
          <w:lang w:val="en-US" w:eastAsia="zh-CN"/>
        </w:rPr>
        <w:t>5.3.4.3.2系统</w:t>
      </w:r>
      <w:r>
        <w:rPr>
          <w:rFonts w:hint="eastAsia" w:ascii="宋体"/>
          <w:color w:val="auto"/>
          <w:highlight w:val="none"/>
        </w:rPr>
        <w:t>监控</w:t>
      </w:r>
      <w:r>
        <w:rPr>
          <w:rFonts w:hint="eastAsia" w:ascii="宋体"/>
          <w:color w:val="auto"/>
          <w:highlight w:val="none"/>
          <w:lang w:val="en-US" w:eastAsia="zh-CN"/>
        </w:rPr>
        <w:t>行人道闸</w:t>
      </w:r>
      <w:r>
        <w:rPr>
          <w:rFonts w:hint="eastAsia" w:ascii="宋体"/>
          <w:color w:val="auto"/>
          <w:highlight w:val="none"/>
        </w:rPr>
        <w:t>运行状态，收集状态数据；</w:t>
      </w:r>
    </w:p>
    <w:p w14:paraId="62419D4F">
      <w:pPr>
        <w:tabs>
          <w:tab w:val="left" w:pos="840"/>
        </w:tabs>
        <w:spacing w:line="360" w:lineRule="auto"/>
        <w:ind w:firstLine="420" w:firstLineChars="200"/>
        <w:rPr>
          <w:rFonts w:hint="eastAsia" w:ascii="宋体" w:eastAsia="宋体"/>
          <w:color w:val="auto"/>
          <w:highlight w:val="none"/>
          <w:lang w:eastAsia="zh-CN"/>
        </w:rPr>
      </w:pPr>
      <w:r>
        <w:rPr>
          <w:rFonts w:hint="eastAsia" w:ascii="宋体"/>
          <w:color w:val="auto"/>
          <w:highlight w:val="none"/>
          <w:lang w:val="en-US" w:eastAsia="zh-CN"/>
        </w:rPr>
        <w:t>5.3.4.3.3</w:t>
      </w:r>
      <w:r>
        <w:rPr>
          <w:rFonts w:hint="eastAsia" w:ascii="宋体"/>
          <w:color w:val="auto"/>
          <w:highlight w:val="none"/>
        </w:rPr>
        <w:t>能够对系统的数据库进行管理</w:t>
      </w:r>
      <w:r>
        <w:rPr>
          <w:rFonts w:hint="eastAsia" w:ascii="宋体"/>
          <w:color w:val="auto"/>
          <w:highlight w:val="none"/>
          <w:lang w:eastAsia="zh-CN"/>
        </w:rPr>
        <w:t>，</w:t>
      </w:r>
      <w:r>
        <w:rPr>
          <w:rFonts w:hint="eastAsia" w:ascii="宋体"/>
          <w:color w:val="auto"/>
          <w:highlight w:val="none"/>
          <w:lang w:val="en-US" w:eastAsia="zh-CN"/>
        </w:rPr>
        <w:t>并能保存≥1年</w:t>
      </w:r>
      <w:r>
        <w:rPr>
          <w:rFonts w:hint="eastAsia" w:ascii="宋体"/>
          <w:color w:val="auto"/>
          <w:highlight w:val="none"/>
          <w:lang w:eastAsia="zh-CN"/>
        </w:rPr>
        <w:t>；</w:t>
      </w:r>
    </w:p>
    <w:p w14:paraId="006D117D">
      <w:pPr>
        <w:tabs>
          <w:tab w:val="left" w:pos="840"/>
        </w:tabs>
        <w:spacing w:line="360" w:lineRule="auto"/>
        <w:ind w:firstLine="420" w:firstLineChars="200"/>
        <w:rPr>
          <w:rFonts w:hint="eastAsia" w:ascii="宋体" w:eastAsia="宋体"/>
          <w:color w:val="auto"/>
          <w:highlight w:val="none"/>
          <w:lang w:eastAsia="zh-CN"/>
        </w:rPr>
      </w:pPr>
      <w:r>
        <w:rPr>
          <w:rFonts w:hint="eastAsia" w:ascii="宋体"/>
          <w:color w:val="auto"/>
          <w:highlight w:val="none"/>
          <w:lang w:val="en-US" w:eastAsia="zh-CN"/>
        </w:rPr>
        <w:t>5.3.4.3.4</w:t>
      </w:r>
      <w:r>
        <w:rPr>
          <w:rFonts w:hint="eastAsia" w:ascii="宋体"/>
          <w:color w:val="auto"/>
          <w:highlight w:val="none"/>
        </w:rPr>
        <w:t>对不同级别的操作权限，设置不同的操作密码对所有操作进行记录，以备检查，防止无操作权限的人员使用，影响系统的功能</w:t>
      </w:r>
      <w:r>
        <w:rPr>
          <w:rFonts w:hint="eastAsia" w:ascii="宋体"/>
          <w:color w:val="auto"/>
          <w:highlight w:val="none"/>
          <w:lang w:eastAsia="zh-CN"/>
        </w:rPr>
        <w:t>；</w:t>
      </w:r>
    </w:p>
    <w:p w14:paraId="72A986FC">
      <w:pPr>
        <w:tabs>
          <w:tab w:val="left" w:pos="840"/>
        </w:tabs>
        <w:spacing w:line="360" w:lineRule="auto"/>
        <w:ind w:firstLine="420" w:firstLineChars="200"/>
        <w:rPr>
          <w:rFonts w:hint="eastAsia" w:ascii="宋体" w:eastAsia="宋体"/>
          <w:color w:val="auto"/>
          <w:highlight w:val="none"/>
          <w:lang w:eastAsia="zh-CN"/>
        </w:rPr>
      </w:pPr>
      <w:r>
        <w:rPr>
          <w:rFonts w:hint="eastAsia" w:ascii="宋体"/>
          <w:color w:val="auto"/>
          <w:highlight w:val="none"/>
          <w:lang w:val="en-US" w:eastAsia="zh-CN"/>
        </w:rPr>
        <w:t>5.3.4.3.5</w:t>
      </w:r>
      <w:r>
        <w:rPr>
          <w:rFonts w:hint="eastAsia" w:ascii="宋体"/>
          <w:color w:val="auto"/>
          <w:highlight w:val="none"/>
        </w:rPr>
        <w:t>具有批量授权功能</w:t>
      </w:r>
      <w:r>
        <w:rPr>
          <w:rFonts w:hint="eastAsia" w:ascii="宋体"/>
          <w:color w:val="auto"/>
          <w:highlight w:val="none"/>
          <w:lang w:eastAsia="zh-CN"/>
        </w:rPr>
        <w:t>；</w:t>
      </w:r>
    </w:p>
    <w:p w14:paraId="29FD504D">
      <w:pPr>
        <w:tabs>
          <w:tab w:val="left" w:pos="840"/>
        </w:tabs>
        <w:spacing w:line="360" w:lineRule="auto"/>
        <w:ind w:firstLine="420" w:firstLineChars="200"/>
        <w:rPr>
          <w:rFonts w:hint="eastAsia" w:ascii="宋体"/>
          <w:color w:val="auto"/>
          <w:highlight w:val="none"/>
        </w:rPr>
      </w:pPr>
      <w:r>
        <w:rPr>
          <w:rFonts w:hint="eastAsia" w:ascii="宋体"/>
          <w:color w:val="auto"/>
          <w:highlight w:val="none"/>
          <w:lang w:val="en-US" w:eastAsia="zh-CN"/>
        </w:rPr>
        <w:t>5.3.4.3.6</w:t>
      </w:r>
      <w:r>
        <w:rPr>
          <w:rFonts w:hint="eastAsia" w:ascii="宋体"/>
          <w:color w:val="auto"/>
          <w:highlight w:val="none"/>
        </w:rPr>
        <w:t>对操作信息、报警信息进行实时记录</w:t>
      </w:r>
      <w:r>
        <w:rPr>
          <w:rFonts w:hint="eastAsia" w:ascii="宋体"/>
          <w:color w:val="auto"/>
          <w:highlight w:val="none"/>
          <w:lang w:eastAsia="zh-CN"/>
        </w:rPr>
        <w:t>，</w:t>
      </w:r>
      <w:r>
        <w:rPr>
          <w:rFonts w:hint="eastAsia" w:ascii="宋体"/>
          <w:color w:val="auto"/>
          <w:highlight w:val="none"/>
          <w:lang w:val="en-US" w:eastAsia="zh-CN"/>
        </w:rPr>
        <w:t>并能保存≥1年</w:t>
      </w:r>
      <w:r>
        <w:rPr>
          <w:rFonts w:hint="eastAsia" w:ascii="宋体"/>
          <w:color w:val="auto"/>
          <w:highlight w:val="none"/>
        </w:rPr>
        <w:t>；</w:t>
      </w:r>
    </w:p>
    <w:p w14:paraId="3C7E1073">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5.3.4.3.7能对行人道闸设定开门模式，例如常开、常闭、刷卡卡门等；</w:t>
      </w:r>
    </w:p>
    <w:p w14:paraId="3B9B94CE">
      <w:pPr>
        <w:tabs>
          <w:tab w:val="left" w:pos="840"/>
        </w:tabs>
        <w:spacing w:line="360" w:lineRule="auto"/>
        <w:ind w:firstLine="420" w:firstLineChars="200"/>
        <w:rPr>
          <w:rFonts w:hint="default" w:ascii="宋体"/>
          <w:color w:val="auto"/>
          <w:highlight w:val="none"/>
          <w:lang w:val="en-US" w:eastAsia="zh-CN"/>
        </w:rPr>
      </w:pPr>
      <w:r>
        <w:rPr>
          <w:rFonts w:hint="eastAsia" w:ascii="宋体"/>
          <w:color w:val="auto"/>
          <w:highlight w:val="none"/>
          <w:lang w:val="en-US" w:eastAsia="zh-CN"/>
        </w:rPr>
        <w:t>5.3.4.3.8对授权的人员信息可以进行分组管理，并能查询相关人员刷卡记录；</w:t>
      </w:r>
    </w:p>
    <w:p w14:paraId="51E53C4E">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5.3.4.3.9能对员工卡进行发卡，挂失，解挂，回收等操作；</w:t>
      </w:r>
    </w:p>
    <w:p w14:paraId="69C875E3">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5.3.4.3.10能导出相关信息文件。</w:t>
      </w:r>
    </w:p>
    <w:p w14:paraId="62F113D7">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5.3.5减速带</w:t>
      </w:r>
    </w:p>
    <w:p w14:paraId="3CE4EDAC">
      <w:pPr>
        <w:tabs>
          <w:tab w:val="left" w:pos="840"/>
        </w:tabs>
        <w:spacing w:line="360" w:lineRule="auto"/>
        <w:ind w:firstLine="420" w:firstLineChars="200"/>
        <w:rPr>
          <w:rFonts w:hint="default" w:ascii="宋体"/>
          <w:color w:val="auto"/>
          <w:highlight w:val="none"/>
          <w:lang w:val="en-US" w:eastAsia="zh-CN"/>
        </w:rPr>
      </w:pPr>
      <w:r>
        <w:rPr>
          <w:rFonts w:hint="eastAsia" w:ascii="宋体"/>
          <w:color w:val="auto"/>
          <w:highlight w:val="none"/>
          <w:lang w:val="en-US" w:eastAsia="zh-CN"/>
        </w:rPr>
        <w:t>5.3.5.1外观：截面形状应近似梯形,表面应带有增大抗滑力的凹凸结构；</w:t>
      </w:r>
    </w:p>
    <w:p w14:paraId="138FC34F">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5.3.5.2材质：橡胶材质，采用黑黄相间图案；</w:t>
      </w:r>
    </w:p>
    <w:p w14:paraId="734F56EA">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5.3.5.2宽度：300mm～400mm；</w:t>
      </w:r>
    </w:p>
    <w:p w14:paraId="03718186">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5.3.5.3高度：30mm；</w:t>
      </w:r>
    </w:p>
    <w:p w14:paraId="3302269B">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5.3.5.4安装方式：使用螺栓与路面连接，螺栓孔应为沉孔；</w:t>
      </w:r>
    </w:p>
    <w:p w14:paraId="70C2BC82">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现场实际安装方式和设备尺寸一切以现场安装为准。</w:t>
      </w:r>
    </w:p>
    <w:p w14:paraId="6A4930D8">
      <w:pPr>
        <w:tabs>
          <w:tab w:val="left" w:pos="840"/>
        </w:tabs>
        <w:spacing w:line="360" w:lineRule="auto"/>
        <w:ind w:firstLine="420" w:firstLineChars="200"/>
        <w:rPr>
          <w:rFonts w:hint="default" w:ascii="宋体"/>
          <w:color w:val="auto"/>
          <w:highlight w:val="none"/>
          <w:lang w:val="en-US" w:eastAsia="zh-CN"/>
        </w:rPr>
      </w:pPr>
      <w:r>
        <w:rPr>
          <w:rFonts w:hint="eastAsia" w:ascii="宋体"/>
          <w:color w:val="auto"/>
          <w:highlight w:val="none"/>
          <w:lang w:val="en-US" w:eastAsia="zh-CN"/>
        </w:rPr>
        <w:t>中标单位需提供至少两款设备的外观选型，供货时需与招标人沟通设备选型。</w:t>
      </w:r>
    </w:p>
    <w:p w14:paraId="676C6E2A">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六、</w:t>
      </w:r>
      <w:r>
        <w:rPr>
          <w:rFonts w:hint="eastAsia" w:ascii="宋体" w:hAnsi="宋体" w:cs="宋体"/>
          <w:b/>
          <w:bCs/>
          <w:color w:val="auto"/>
          <w:szCs w:val="21"/>
          <w:highlight w:val="none"/>
        </w:rPr>
        <w:t>文件</w:t>
      </w:r>
    </w:p>
    <w:p w14:paraId="4BA1731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6.1 图纸要求</w:t>
      </w:r>
    </w:p>
    <w:p w14:paraId="0E6325C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6.1.1 提供专门为本项工程设计、生产的产品、设备必须的全部图纸；</w:t>
      </w:r>
    </w:p>
    <w:p w14:paraId="419162D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6.1.2 对于从市场上采购的产品，必须提供产品说明书和合格证，说明书应能满足</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的维修和采购的要求；</w:t>
      </w:r>
    </w:p>
    <w:p w14:paraId="1125304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6.1.3 图纸应符合设备制造商的国家标准。</w:t>
      </w:r>
    </w:p>
    <w:p w14:paraId="10BE287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6.1.4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正式提交的图纸和设计文件应有相应的证明，以表明所提供的资料已经过</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审核并对本工程的使用是正确的。仅供参考的图纸必须明确注明，不需确认。</w:t>
      </w:r>
    </w:p>
    <w:p w14:paraId="48B8B1C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6.1.5 </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或系统集成商对</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图纸的确认并不能减少或解除</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对于该图正确性所负的任何一部分责任。</w:t>
      </w:r>
    </w:p>
    <w:p w14:paraId="0600D59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6.1.6 系统集成商和</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只能将</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提供的图纸用于本工程的操作和维护。</w:t>
      </w:r>
    </w:p>
    <w:p w14:paraId="09B8127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  手册要求</w:t>
      </w:r>
    </w:p>
    <w:p w14:paraId="0F31D7A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6.2.1 安装手册：安装手册应由所需之全部图纸和文件组成，应定义：</w:t>
      </w:r>
    </w:p>
    <w:p w14:paraId="727A579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●电源、数据、控制和通信接口的配线规程；</w:t>
      </w:r>
    </w:p>
    <w:p w14:paraId="518DE22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●为设备就位所需之地板、导轨、支架的安装、钻孔和上螺丝的方法；</w:t>
      </w:r>
    </w:p>
    <w:p w14:paraId="1488900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●安全警告或注意事项；</w:t>
      </w:r>
    </w:p>
    <w:p w14:paraId="30E065D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●接地及其连接规程；</w:t>
      </w:r>
    </w:p>
    <w:p w14:paraId="5A1FC33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●通风说明；</w:t>
      </w:r>
    </w:p>
    <w:p w14:paraId="13E8A03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●测试和校准方法；</w:t>
      </w:r>
    </w:p>
    <w:p w14:paraId="5EC5795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●气候防护、灰尘防护和其他的环境防护；</w:t>
      </w:r>
    </w:p>
    <w:p w14:paraId="49F9DA0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●正确安装设备所需要的其他规程；</w:t>
      </w:r>
    </w:p>
    <w:p w14:paraId="49C4C11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●安装所需工具的功能及建议数量。</w:t>
      </w:r>
    </w:p>
    <w:p w14:paraId="704D758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6.2.2 操作手册：操作手册应为运营维护人员在系统操作和检查提供指导。</w:t>
      </w:r>
    </w:p>
    <w:p w14:paraId="6A97478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●系统概述；</w:t>
      </w:r>
    </w:p>
    <w:p w14:paraId="5B63ED2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●主要功能说明；</w:t>
      </w:r>
    </w:p>
    <w:p w14:paraId="79ED295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●操作指南；</w:t>
      </w:r>
    </w:p>
    <w:p w14:paraId="33B3084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●故障状态；</w:t>
      </w:r>
    </w:p>
    <w:p w14:paraId="23F73E8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●供货商提交的说明资料要对所规定的每一种设备及其如何操作予以阐述；</w:t>
      </w:r>
    </w:p>
    <w:p w14:paraId="0E5D952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6.2.3 维修手册：</w:t>
      </w:r>
    </w:p>
    <w:p w14:paraId="5B717D4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●维修手册应为系统维修人员的维护提供指导。</w:t>
      </w:r>
    </w:p>
    <w:p w14:paraId="6F3D03C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●手册应对各系统各级检修的内容、要求、方法、程序、设备、工具、材料等方面做出详细的说明；对主要的故障部件的更换、调整和测试做出详细的说明。</w:t>
      </w:r>
    </w:p>
    <w:p w14:paraId="5A0FB5E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●维修手册应用中文编制；</w:t>
      </w:r>
    </w:p>
    <w:p w14:paraId="06357C4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6.2.4、技术文件要求</w:t>
      </w:r>
    </w:p>
    <w:p w14:paraId="4392693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6.2.4.1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提供的技术文件应包括但不限于：</w:t>
      </w:r>
    </w:p>
    <w:p w14:paraId="0D152A7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●本项工程的最终技术文件；</w:t>
      </w:r>
    </w:p>
    <w:p w14:paraId="1E9000D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●非国标但经双方确认的标准。</w:t>
      </w:r>
    </w:p>
    <w:p w14:paraId="48A42E1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6.2.4.2 最终技术文件</w:t>
      </w:r>
    </w:p>
    <w:p w14:paraId="45B5A10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最终技术文件应包括所供系统的最终技术参数，它应能清晰规定所有实现子系统要求的硬件和软件，并取得系统集成商和</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的确认。</w:t>
      </w:r>
    </w:p>
    <w:p w14:paraId="7237D47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最终技术文件包括但不限于下列内容：</w:t>
      </w:r>
    </w:p>
    <w:p w14:paraId="4880087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●系统总说明；</w:t>
      </w:r>
    </w:p>
    <w:p w14:paraId="49C8B52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●系统构成；</w:t>
      </w:r>
    </w:p>
    <w:p w14:paraId="6510775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●功能详细描述；</w:t>
      </w:r>
    </w:p>
    <w:p w14:paraId="283799A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●技术参数；</w:t>
      </w:r>
    </w:p>
    <w:p w14:paraId="5D7F1D0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●设备布置；</w:t>
      </w:r>
    </w:p>
    <w:p w14:paraId="605921F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6.2.4.3 试验报告</w:t>
      </w:r>
    </w:p>
    <w:p w14:paraId="0145F7C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在工程完成后提交试验报告，试验报告应包括所有测试记录。</w:t>
      </w:r>
    </w:p>
    <w:p w14:paraId="07547F1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该报告应提供以正确的顺序列出所需要的全部检验和测试内容。所有试验结果均应记录在测试报告中，由</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签字后，提交</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进行确认。</w:t>
      </w:r>
    </w:p>
    <w:p w14:paraId="162356AF">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七、</w:t>
      </w:r>
      <w:r>
        <w:rPr>
          <w:rFonts w:hint="eastAsia" w:ascii="宋体" w:hAnsi="宋体" w:cs="宋体"/>
          <w:b/>
          <w:bCs/>
          <w:color w:val="auto"/>
          <w:szCs w:val="21"/>
          <w:highlight w:val="none"/>
        </w:rPr>
        <w:t>培训</w:t>
      </w:r>
    </w:p>
    <w:p w14:paraId="1816AF2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本项目培训为现场培训（免费，人数不限），要求如下：</w:t>
      </w:r>
    </w:p>
    <w:p w14:paraId="3AF9778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7.1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派出经验丰富的技术人员对</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的维修、操作人员进行现场培训。</w:t>
      </w:r>
    </w:p>
    <w:p w14:paraId="2D68768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7.2 现场培训在本项目终验之后进行，该培训在</w:t>
      </w:r>
      <w:r>
        <w:rPr>
          <w:rFonts w:hint="eastAsia" w:ascii="宋体" w:hAnsi="宋体" w:cs="宋体"/>
          <w:color w:val="auto"/>
          <w:kern w:val="0"/>
          <w:szCs w:val="21"/>
          <w:highlight w:val="none"/>
          <w:lang w:val="en-US" w:eastAsia="zh-CN"/>
        </w:rPr>
        <w:t>相官车辆段</w:t>
      </w:r>
      <w:r>
        <w:rPr>
          <w:rFonts w:hint="eastAsia" w:ascii="宋体" w:hAnsi="宋体" w:cs="宋体"/>
          <w:color w:val="auto"/>
          <w:kern w:val="0"/>
          <w:szCs w:val="21"/>
          <w:highlight w:val="none"/>
        </w:rPr>
        <w:t>进行，培训的内容包括正常操作程序和如何处理紧急情况。</w:t>
      </w:r>
    </w:p>
    <w:p w14:paraId="5A7D7E8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7.3 现场培训包括安装、调试、维护等项内容，使维护人员掌握操作维护</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提供的设备、专用仪表的能力。</w:t>
      </w:r>
    </w:p>
    <w:p w14:paraId="1E74CCD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7.4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提供培训人员所需的设备、工具、仪器仪表等。</w:t>
      </w:r>
    </w:p>
    <w:p w14:paraId="359DB4A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7.5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提供培训的相关资料及文本。</w:t>
      </w:r>
    </w:p>
    <w:p w14:paraId="2F69E6ED">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八</w:t>
      </w:r>
      <w:r>
        <w:rPr>
          <w:rFonts w:hint="eastAsia" w:ascii="宋体" w:hAnsi="宋体" w:cs="宋体"/>
          <w:b/>
          <w:bCs/>
          <w:color w:val="auto"/>
          <w:szCs w:val="21"/>
          <w:highlight w:val="none"/>
        </w:rPr>
        <w:t>、试验、检验、验收</w:t>
      </w:r>
    </w:p>
    <w:p w14:paraId="7F375FF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8.1 到货检查</w:t>
      </w:r>
    </w:p>
    <w:p w14:paraId="36C3459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合同项下的设备、材料和技术文件运抵规定的交货地点后，双方人员共同对其进行检查，并认真作好交接记录，各方签字。</w:t>
      </w:r>
    </w:p>
    <w:p w14:paraId="7739CCD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检查的内容主要有：满足合同对包装的要求；外观良好，运输途中未受损；</w:t>
      </w:r>
    </w:p>
    <w:p w14:paraId="26A40FA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编号、数量和名称与合同要求的货物清单核实无误。</w:t>
      </w:r>
    </w:p>
    <w:p w14:paraId="508EFDE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8.2 开箱检验</w:t>
      </w:r>
    </w:p>
    <w:p w14:paraId="647A6C3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在设备运到现场规定时间内，</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与</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到现场进行开箱检查若发现有诸如数量、型号、和外观与合同不符以及存在的质量问题，均由</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负责。开箱检查结果，不免除供应商对产品功能方面的任何责任。</w:t>
      </w:r>
    </w:p>
    <w:p w14:paraId="079366E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8.3 竣工验收</w:t>
      </w:r>
    </w:p>
    <w:p w14:paraId="069FF6E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8.3.1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应提前根据工程进度要求，制定设备安装、验收计划，提交</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审核，由</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审批、确认。</w:t>
      </w:r>
    </w:p>
    <w:p w14:paraId="53D3D5C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8.3.2 安装完成后，</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按照</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制定安装验收计划和行业相关安装验收标准进行竣工验收。</w:t>
      </w:r>
    </w:p>
    <w:p w14:paraId="702011E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竣工验收应包括但不限于以下内容：</w:t>
      </w:r>
    </w:p>
    <w:p w14:paraId="6EB3A3BA">
      <w:pPr>
        <w:tabs>
          <w:tab w:val="left" w:pos="420"/>
          <w:tab w:val="left" w:pos="981"/>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（1）所有设备、电缆布线和配电安全、可靠。</w:t>
      </w:r>
    </w:p>
    <w:p w14:paraId="59689449">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所有电源要加保险或其它保护，使得在故障情况下能安全自动断开。</w:t>
      </w:r>
    </w:p>
    <w:p w14:paraId="35E067FE">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所有保护盖要合适。提示和标签要正确，并安装在适当的位置。</w:t>
      </w:r>
    </w:p>
    <w:p w14:paraId="3DBEFCFF">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电缆和设备的绝缘电阻要大于IEC规定要求。</w:t>
      </w:r>
    </w:p>
    <w:p w14:paraId="071B9667">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所有用于故障指示和报警的电子回路应工作正常。</w:t>
      </w:r>
    </w:p>
    <w:p w14:paraId="0D630FDA">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设备外观检查：（现场检查，据图核对）</w:t>
      </w:r>
    </w:p>
    <w:p w14:paraId="4EAE61C8">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机房内设备整齐，连接可靠，标志、标识齐全清晰，绝缘接地符合要求，</w:t>
      </w:r>
    </w:p>
    <w:p w14:paraId="3C150DC5">
      <w:pPr>
        <w:pStyle w:val="41"/>
        <w:tabs>
          <w:tab w:val="left" w:pos="420"/>
          <w:tab w:val="left" w:pos="981"/>
        </w:tabs>
        <w:adjustRightInd w:val="0"/>
        <w:snapToGrid w:val="0"/>
        <w:spacing w:line="440" w:lineRule="exact"/>
        <w:ind w:left="210"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（8）在检查过程中，如发现</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未能满足施工图和</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需求表的功能要求，</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应无条件的按照要求进行整改，直至达到规定的要求。</w:t>
      </w:r>
    </w:p>
    <w:p w14:paraId="35B4A87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8.3.3 对未通过验收的安装项目，</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向</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发出修改、替换通知，限期修改、替换，由此而发生的费用由</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承担。</w:t>
      </w:r>
    </w:p>
    <w:p w14:paraId="0DFB073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8.3.4 竣工验收设备功能需满足</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要求的所有功能，如果系统功能不满足合同规定的技术要求，</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必须在规定的时间内进行解决，由此引起的一切费用由</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负责。</w:t>
      </w:r>
    </w:p>
    <w:p w14:paraId="323206F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8.4 最终验收</w:t>
      </w:r>
    </w:p>
    <w:p w14:paraId="69BC4D2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质量保证期结束后四十五(45)天内，</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确认设备运行可靠，功能齐全、各项指标及技术参数全部合格，对本工程项目无异议，即可开具最终验收证书。</w:t>
      </w:r>
    </w:p>
    <w:p w14:paraId="46C6E78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若</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认为设备中出现的疏漏和错误不影响最终验收证书的签署，</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应签署最终验收证书并注明存在的疏漏和错误。供应商应采取措施对存在的疏漏和错误(包括潜在的)进行修正，直至使</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满意为止。</w:t>
      </w:r>
    </w:p>
    <w:p w14:paraId="655F30E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在质量保证期内，供应商所供设备和产品出现任何质量问题，供应商将负责对故障设备或模块元件予以免费维修或更换。</w:t>
      </w:r>
    </w:p>
    <w:p w14:paraId="7ECF8579">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九、</w:t>
      </w:r>
      <w:r>
        <w:rPr>
          <w:rFonts w:hint="eastAsia" w:ascii="宋体" w:hAnsi="宋体" w:cs="宋体"/>
          <w:b/>
          <w:bCs/>
          <w:color w:val="auto"/>
          <w:szCs w:val="21"/>
          <w:highlight w:val="none"/>
        </w:rPr>
        <w:t>质保期及后继服务</w:t>
      </w:r>
    </w:p>
    <w:p w14:paraId="523DAF8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 质保期的服务</w:t>
      </w:r>
    </w:p>
    <w:p w14:paraId="691B0ED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9.1.1 质量保证期（以下简称“质保期”）从设备安装调试完毕并通过竣工验收之日开始计算。本项目质保期最少为</w:t>
      </w: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rPr>
        <w:t>年。</w:t>
      </w:r>
    </w:p>
    <w:p w14:paraId="2FBEC8F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9.1.2 在质保期内，</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将做到以下几点：</w:t>
      </w:r>
    </w:p>
    <w:p w14:paraId="3CD8C38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9.1.2.1 继续对所提供的系统和设备负责。</w:t>
      </w:r>
    </w:p>
    <w:p w14:paraId="354D969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9.1.2.2 继续纪录各子系统和设备运行的所有故障。</w:t>
      </w:r>
    </w:p>
    <w:p w14:paraId="56BD3D6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9.1.2.3 对由</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原因引起或造成系统（或设备）故障或板卡等部件损坏，</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将免费修理或更换。修理的时间为：</w:t>
      </w: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rPr>
        <w:t>个月。如在规定时间未能完成，且无任何原因，</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将视情节扣除相应的合同价款。</w:t>
      </w:r>
    </w:p>
    <w:p w14:paraId="38CD3DC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9.1.3.4 对维修（或更换）后的设备，</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同时提供设备维修（或更换）书面报告。书面报告的内容包括但不限于以下内容：</w:t>
      </w:r>
    </w:p>
    <w:p w14:paraId="6DE3394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（1）故障报告人（</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w:t>
      </w:r>
    </w:p>
    <w:p w14:paraId="48BDE86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（2）故障受理人（</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w:t>
      </w:r>
    </w:p>
    <w:p w14:paraId="52D7A78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（3）故障发生时间；</w:t>
      </w:r>
    </w:p>
    <w:p w14:paraId="474A4AE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（4）故障现象；</w:t>
      </w:r>
    </w:p>
    <w:p w14:paraId="49D865C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（5）故障产生的原因；</w:t>
      </w:r>
    </w:p>
    <w:p w14:paraId="7769C13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（6）处理、解决办法；</w:t>
      </w:r>
    </w:p>
    <w:p w14:paraId="16E3C60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（7）故障修复时间；</w:t>
      </w:r>
    </w:p>
    <w:p w14:paraId="230E4E7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（8）处理人签名。</w:t>
      </w:r>
    </w:p>
    <w:p w14:paraId="42324B5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9.1.3.5 对所提供的设备实行“三包”。既包修、包换、包退。</w:t>
      </w:r>
    </w:p>
    <w:p w14:paraId="338A066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9.1.3.6 对所提供的设备免费提供日常维护服务、排除故障及抢修服务、软件升级服务。</w:t>
      </w:r>
    </w:p>
    <w:p w14:paraId="615FF9C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9.1.3.7 如果发生故障的设备或材料需要更换或修理，在修理期间可使用</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的备件，但</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必须购买全新的替换件提供给</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w:t>
      </w:r>
    </w:p>
    <w:p w14:paraId="09EA299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9.1.3.8 如果</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提供的设备出现的故障在质保期内未能解决，</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将不受质保期制约无条件负责直至故障解决。</w:t>
      </w:r>
    </w:p>
    <w:p w14:paraId="08631BF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9.1.3.9 重新计算质保期：对于未能通过最终验收的设备，</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应提供一台新的设备，并重新开始质保期，所产生的费用由</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承担。</w:t>
      </w:r>
    </w:p>
    <w:p w14:paraId="770BCBD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9.2 质保期责任</w:t>
      </w:r>
    </w:p>
    <w:p w14:paraId="654713B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9.2.1 在质保期内，由</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完成任何扫尾工作或履行质保期服务义务所致，或由发生在最终验收日期之前任何</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的风险所致的原因引起的任何损失或损害投保所需的全部保险费均由</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支付。</w:t>
      </w:r>
    </w:p>
    <w:p w14:paraId="7878CB7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9.2.2 在质保期内，</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应在</w:t>
      </w:r>
      <w:r>
        <w:rPr>
          <w:rFonts w:hint="eastAsia" w:ascii="宋体" w:hAnsi="宋体" w:cs="宋体"/>
          <w:color w:val="auto"/>
          <w:kern w:val="0"/>
          <w:szCs w:val="21"/>
          <w:highlight w:val="none"/>
          <w:lang w:val="en-US" w:eastAsia="zh-CN"/>
        </w:rPr>
        <w:t>滁州</w:t>
      </w:r>
      <w:r>
        <w:rPr>
          <w:rFonts w:hint="eastAsia" w:ascii="宋体" w:hAnsi="宋体" w:cs="宋体"/>
          <w:color w:val="auto"/>
          <w:kern w:val="0"/>
          <w:szCs w:val="21"/>
          <w:highlight w:val="none"/>
        </w:rPr>
        <w:t>设置专职售后服务人员</w:t>
      </w:r>
      <w:r>
        <w:rPr>
          <w:rFonts w:hint="eastAsia" w:ascii="宋体" w:hAnsi="宋体" w:cs="宋体"/>
          <w:color w:val="auto"/>
          <w:kern w:val="0"/>
          <w:szCs w:val="21"/>
          <w:highlight w:val="none"/>
          <w:lang w:val="en-US" w:eastAsia="zh-CN"/>
        </w:rPr>
        <w:t>或</w:t>
      </w:r>
      <w:r>
        <w:rPr>
          <w:rFonts w:hint="eastAsia"/>
          <w:color w:val="auto"/>
          <w:highlight w:val="none"/>
        </w:rPr>
        <w:t>提供7*24小时线上远程技术指导服务</w:t>
      </w:r>
      <w:r>
        <w:rPr>
          <w:rFonts w:hint="eastAsia" w:ascii="宋体" w:hAnsi="宋体" w:cs="宋体"/>
          <w:color w:val="auto"/>
          <w:kern w:val="0"/>
          <w:szCs w:val="21"/>
          <w:highlight w:val="none"/>
        </w:rPr>
        <w:t>，对与设备有关的各类问题要及时回复。</w:t>
      </w:r>
    </w:p>
    <w:p w14:paraId="4E93973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9.2.3 在质保期内，</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应现场指导技术人员对设备进行养护与维修。</w:t>
      </w:r>
    </w:p>
    <w:p w14:paraId="270A3F2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9.3 质保期后服务</w:t>
      </w:r>
    </w:p>
    <w:p w14:paraId="0F787E2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9.3.1 质保期过后，</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提供相关的维修服务，并明确维修服务的流程和方法；在收到</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维修服务请求后，供应商必须在24小时内做出响应，</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个工作日内赶到</w:t>
      </w:r>
      <w:r>
        <w:rPr>
          <w:rFonts w:hint="eastAsia" w:ascii="宋体" w:hAnsi="宋体" w:cs="宋体"/>
          <w:color w:val="auto"/>
          <w:kern w:val="0"/>
          <w:szCs w:val="21"/>
          <w:highlight w:val="none"/>
          <w:lang w:val="en-US" w:eastAsia="zh-CN"/>
        </w:rPr>
        <w:t>现场</w:t>
      </w:r>
      <w:r>
        <w:rPr>
          <w:rFonts w:hint="eastAsia" w:ascii="宋体" w:hAnsi="宋体" w:cs="宋体"/>
          <w:color w:val="auto"/>
          <w:kern w:val="0"/>
          <w:szCs w:val="21"/>
          <w:highlight w:val="none"/>
        </w:rPr>
        <w:t>。</w:t>
      </w:r>
    </w:p>
    <w:p w14:paraId="1028DB1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9.3.2 </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应经常性地进行多种方式的巡检（例如电话），随时了解设备运行情况；定期安排专职技术人员对设备进行现场巡检，并根据需要对设备的主要技术指标进行测试，保证设备的固有性能，同时提供设备检查测试报告，签字确认。</w:t>
      </w:r>
    </w:p>
    <w:p w14:paraId="7A0B46AF">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十、</w:t>
      </w:r>
      <w:r>
        <w:rPr>
          <w:rFonts w:hint="eastAsia" w:ascii="宋体" w:hAnsi="宋体" w:cs="宋体"/>
          <w:b/>
          <w:bCs/>
          <w:color w:val="auto"/>
          <w:szCs w:val="21"/>
          <w:highlight w:val="none"/>
        </w:rPr>
        <w:t>施工作业要求</w:t>
      </w:r>
    </w:p>
    <w:p w14:paraId="4D4D7C8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 施工工艺要求</w:t>
      </w:r>
    </w:p>
    <w:p w14:paraId="4B8528A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10.1.1 施工场地与条件</w:t>
      </w:r>
    </w:p>
    <w:p w14:paraId="0788775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全面负责施工范围内的现场施工管理，对施工场地内的用水、用电、施工现场的安全与卫生、场地内的施工协调负有全面的管理责任。</w:t>
      </w:r>
    </w:p>
    <w:p w14:paraId="394A159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10.1.2 施工准备</w:t>
      </w:r>
    </w:p>
    <w:p w14:paraId="10CD91F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10.1.2.1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充分考虑本工程的特点，包括工期要求和施工时的相互干扰等，提出切实可行的施工方法和施工组织方案。</w:t>
      </w:r>
    </w:p>
    <w:p w14:paraId="17CD6A7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10.1.2.2 认真作好施工图交底工作。</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根据</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要求做好施工图设计，负责施工图的细化工作。</w:t>
      </w:r>
    </w:p>
    <w:p w14:paraId="32FD25A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10.1.2.3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在开工前派出技术人员，根据</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的要求进行现场勘测。</w:t>
      </w:r>
    </w:p>
    <w:p w14:paraId="790923E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10.1.2.4 编制施工组织方案，并与其他设备与建筑装修工作相协调。</w:t>
      </w:r>
    </w:p>
    <w:p w14:paraId="63C2824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10.1.2.5 由</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负责所有货物的仓储，工程完毕后向</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进行交接。</w:t>
      </w:r>
    </w:p>
    <w:p w14:paraId="4C03723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10.1.3 开工准备</w:t>
      </w:r>
    </w:p>
    <w:p w14:paraId="0464085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为保证工程顺利实施，正式开工前必须具备下列条件：</w:t>
      </w:r>
    </w:p>
    <w:p w14:paraId="39EE800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10.1.3.1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在开工前应组织施工调查，并根据合同做好施工组织工作，提出施工组织计划以及质量保证措施。</w:t>
      </w:r>
    </w:p>
    <w:p w14:paraId="76506E0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10.1.3.2 安装验收规范书</w:t>
      </w:r>
    </w:p>
    <w:p w14:paraId="125849F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在工程进行安装前2周向</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提供安装工程规范（包括验收工程、标准、方法以及对不合格工程的修理和替换的规定等），经</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批准后，安装验收规范书正式生效。</w:t>
      </w:r>
    </w:p>
    <w:p w14:paraId="5041A80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10.1.3.3 用于安装的设计文件及施工图应满足施工需要，</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应核实</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的需求能否满足，工程能否顺利实施，发现问题应及时通知</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。施工人员应熟悉施工图纸及有关资料，包括工程特点、施工方案、工艺要求、施工质量标准等。</w:t>
      </w:r>
    </w:p>
    <w:p w14:paraId="2FE3584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10.1.3.4 设备、器材供货、货源、规格数量与施工图相吻合，施工机具、仪表（器），劳动力已安排落实，可满足连续施工和阶段施工要求。</w:t>
      </w:r>
    </w:p>
    <w:p w14:paraId="57CFD75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10.1.3.5 乙供的材料型号、规格必须符合设计要求，并有产品合格证书，未经鉴定批准的产品或不合格产品不得在本工程使用，所有乙供材料的试验和检验应执行合同的有关规定。</w:t>
      </w:r>
    </w:p>
    <w:p w14:paraId="060CFC8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 施工技术要求</w:t>
      </w:r>
    </w:p>
    <w:p w14:paraId="752EF32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10.2.1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施工中采用和推广经批准的新技术、新材料、新工艺，应制定不低于现行国家或部及行业规范水平的质量标准和工艺要求，并经</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代表批准。</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在工程中所用设备、材料及其安装必须符合设计要求及国家现行标准。</w:t>
      </w:r>
    </w:p>
    <w:p w14:paraId="40C6883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10.2.2 在工程施工过程中，如果工程的位置、标高尺寸或准线出现错误，</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应修正上述错误并负担修正错误的一切费用。</w:t>
      </w:r>
    </w:p>
    <w:p w14:paraId="23D839B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10.2.3 乙供材料的型号、规格、货源、数量符合设计及合同规定。内部设备接 (插)件 (盘)完整，符合施工图设计。</w:t>
      </w:r>
    </w:p>
    <w:p w14:paraId="5AE0E73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10.2.4 机架 (柜)的安装</w:t>
      </w:r>
    </w:p>
    <w:p w14:paraId="41D115D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10.2.4.1 设备安装位置符合设计要求。机架 (柜)安装与地面垂直、平稳。吊装后机架 (柜)倾斜偏差应小于机架 (柜)身高千分之一。</w:t>
      </w:r>
    </w:p>
    <w:p w14:paraId="18E7D5C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10.2.4.2 机架、机柜固定符合设计规定。固定螺丝、垫片和弹簧圈应按要求紧固，不得漏装。</w:t>
      </w:r>
    </w:p>
    <w:p w14:paraId="7876364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10.2.4.3 机架 (柜)内设备、部件安装应在机架 (柜)定位并加固安装，安装牢固、端正，符合安装手册要求。</w:t>
      </w:r>
    </w:p>
    <w:p w14:paraId="738875B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 室内配线</w:t>
      </w:r>
    </w:p>
    <w:p w14:paraId="324001B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10.2.5.1 配线的规格型号及敷设方式符合设计规定。</w:t>
      </w:r>
    </w:p>
    <w:p w14:paraId="49A627E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10.2.5.2 配线用线、缆应完整，无破损、发霉、受潮现象，芯线应无错线、断线、混线。配线（缆）不扭曲，不褶皱，封头良好，施工前应进行对号、环阻、绝缘测试，测试结果必须满足衰减要求并记录。</w:t>
      </w:r>
    </w:p>
    <w:p w14:paraId="3718264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10.2.5.3配线正确，无错、漏现象。</w:t>
      </w:r>
    </w:p>
    <w:p w14:paraId="46B3F21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10.2.5.4 配线电缆在室内走线架上敷设及编扎执行“TB10205-99”中的有关规定（也可参考安装手册），应按机架、机列顺序平直排列正确，互相靠拢，不得起伏不平，纽绞和交叉，绑扎线扣应正确一致。</w:t>
      </w:r>
    </w:p>
    <w:p w14:paraId="125371B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10.2.5.5 室内电缆走线架的安装、制作应符合有关规定，走线架安装位置与设计规定位置偏差不大于50mm，相邻走线架水平偏差不大于3mm。</w:t>
      </w:r>
    </w:p>
    <w:p w14:paraId="5DDBF6A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10.2.5.6 配线焊接牢固，扭结正确、密实。</w:t>
      </w:r>
    </w:p>
    <w:p w14:paraId="18495C4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10.2.5.7 接地装置的种类、接地电阻阻值、用材规格、引入方式符合设计规定。</w:t>
      </w:r>
    </w:p>
    <w:p w14:paraId="6A944D1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10.2.5.8 所有线路必须走线槽或由钢管/护套管进行防护；</w:t>
      </w:r>
    </w:p>
    <w:p w14:paraId="0626060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  通信线路的敷设</w:t>
      </w:r>
    </w:p>
    <w:p w14:paraId="64B9C2B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工程中通信线路包括同轴电缆、电源电缆、控制电缆及站（段）市话电缆敷设等部分。其中明敷的电缆，应具有抗太阳辐射能力。直埋敷设时应该使用PE子管，做好线缆防护；经过路面敷设时，需使用镀锌钢管对线缆做防护；对于长距离的线缆敷设时，应该在起始端、经过的主要路面两端、穿过的建筑物两端，明确线缆标识。</w:t>
      </w:r>
    </w:p>
    <w:p w14:paraId="60CE334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10.2.6.1 电缆规格、型号、电气特性必须符合设计要求。</w:t>
      </w:r>
    </w:p>
    <w:p w14:paraId="1855C15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10.2.6.2 敷设电缆时电缆变曲半径应大于电缆直径的15倍，电缆余长为1.5米。</w:t>
      </w:r>
    </w:p>
    <w:p w14:paraId="27A4ABB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10.2.6.3 两线对地绝缘电阻不小于2MΩ。</w:t>
      </w:r>
    </w:p>
    <w:p w14:paraId="29B4C7B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10.2.6.4 电缆穿管道直涂抹黄油或滑石粉，以免损伤电缆。</w:t>
      </w:r>
    </w:p>
    <w:p w14:paraId="3865A37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10.2.6.5 视频电缆长度应逐盘核对，适当选配电缆。</w:t>
      </w:r>
    </w:p>
    <w:p w14:paraId="3FF4C0F1">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十一、</w:t>
      </w:r>
      <w:r>
        <w:rPr>
          <w:rFonts w:hint="eastAsia" w:ascii="宋体" w:hAnsi="宋体" w:cs="宋体"/>
          <w:b/>
          <w:bCs/>
          <w:color w:val="auto"/>
          <w:szCs w:val="21"/>
          <w:highlight w:val="none"/>
        </w:rPr>
        <w:t>作业要求</w:t>
      </w:r>
    </w:p>
    <w:p w14:paraId="7050034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11.1 中标人进场前需向招标人缴纳履约保证金及签订安全协议，要通过招标人的安全培训并且合格。</w:t>
      </w:r>
    </w:p>
    <w:p w14:paraId="02CEF07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11.2 中标人自行将每日施工所需材料运至现场，并做好未完品保护。</w:t>
      </w:r>
    </w:p>
    <w:p w14:paraId="52212052">
      <w:pPr>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11.3 中标人每日作业完成后须经双方检查确认合格后方可撤离现场。</w:t>
      </w:r>
    </w:p>
    <w:p w14:paraId="2148613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11.4 中标人应严格遵守</w:t>
      </w:r>
      <w:r>
        <w:rPr>
          <w:rFonts w:ascii="宋体" w:hAnsi="宋体" w:cs="宋体"/>
          <w:color w:val="auto"/>
          <w:kern w:val="0"/>
          <w:szCs w:val="21"/>
          <w:highlight w:val="none"/>
        </w:rPr>
        <w:t>滁宁城铁</w:t>
      </w:r>
      <w:r>
        <w:rPr>
          <w:rFonts w:hint="eastAsia" w:ascii="宋体" w:hAnsi="宋体" w:cs="宋体"/>
          <w:color w:val="auto"/>
          <w:kern w:val="0"/>
          <w:szCs w:val="21"/>
          <w:highlight w:val="none"/>
        </w:rPr>
        <w:t>的安全施工制度要求，做好现场的作业安全防护，文明施工，保证施工现场工完料清。</w:t>
      </w:r>
    </w:p>
    <w:p w14:paraId="0B3D49B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11.5 现场作业人员防护用品必须齐备（反光背心、安全帽、劳保手套、劳保鞋等），否则不予操作，操作时须规范佩戴防护用品。</w:t>
      </w:r>
    </w:p>
    <w:p w14:paraId="4C01257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11.6 施工完成后必须清理现场，做到“三清”，并配合招标人检查完毕后方可撤离现场。</w:t>
      </w:r>
    </w:p>
    <w:p w14:paraId="55A8179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11.7 密切加强与运营部门的协调工作，并按管理规定对人员、物件及时清场，施工场所要做到工完料尽。</w:t>
      </w:r>
    </w:p>
    <w:p w14:paraId="3715E32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11.8 实施人员工作前不许饮酒，进入施工现场不准嬉笑打闹。 实施期间应做好相应的安全保护措施。</w:t>
      </w:r>
    </w:p>
    <w:p w14:paraId="7FBB85D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11.9 实施前须由项目负责人向操作人员进行技术交底和安全交底，并做好记录（签字确认），未经交底者不得进入现场作业。</w:t>
      </w:r>
    </w:p>
    <w:p w14:paraId="0E4D3E5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11.10 对既有设施、设备的操作，中标人需在招标人监督下，由相关专业配合完成。</w:t>
      </w:r>
    </w:p>
    <w:p w14:paraId="2ED3485F">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十二</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保证措施</w:t>
      </w:r>
    </w:p>
    <w:p w14:paraId="53C7B0E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12.1严格遵守和执行国家、地方、行业的相关法律、法规、规范、规程、标准及招标人的各项管理制度及规定。</w:t>
      </w:r>
    </w:p>
    <w:p w14:paraId="21F93EF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12.2遵守合同协议，组织足够力量的技术人员、技术工人，完成合同约定。</w:t>
      </w:r>
    </w:p>
    <w:p w14:paraId="6E2F4C6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12.3对组织机构定岗、定员。队伍人员素质、专业技术结构满足各项要求，并保证人员稳定。</w:t>
      </w:r>
    </w:p>
    <w:p w14:paraId="365CD5C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12.4严格按照招标人管理模式，及招标人审定的工作计划和方案组织实施。</w:t>
      </w:r>
    </w:p>
    <w:p w14:paraId="691FE99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12.5按照合同协议认真执行，及时完成初验、问题反馈以及最终验收。</w:t>
      </w:r>
    </w:p>
    <w:p w14:paraId="52BB42C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12.6同招标人密切配合，有权利也有义务为招标人生产及设备维护提出合理化建议，形成“相溶、相敬、互通、互助”的局面。</w:t>
      </w:r>
    </w:p>
    <w:p w14:paraId="391DE77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12.7强化对工期的检查、监督。</w:t>
      </w:r>
    </w:p>
    <w:p w14:paraId="7338911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12.8严格控制质量。认真做好每一项工作任务，做到工作不留尾项，不留隐患，不出现返工，降低总体成本，提高经济效益。</w:t>
      </w:r>
    </w:p>
    <w:p w14:paraId="020FBC7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12.9加强安全管理力度，杜绝各类事故的发生。</w:t>
      </w:r>
    </w:p>
    <w:p w14:paraId="7FD63CA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12.10团队人员的病假、事假、调休轮休、探亲等各种假期，中标人必须在定编不缺员的情况下合理安排，并经招标人批准。</w:t>
      </w:r>
    </w:p>
    <w:p w14:paraId="45F549F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12.11项目负责人及主要技术骨干休息，离开岗位，必须向招标人办理请假手续。岗位缺员，招标人有权另行临时聘员或工作外协，所发生的费用由中标人承担。</w:t>
      </w:r>
    </w:p>
    <w:p w14:paraId="39C6FD65">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十</w:t>
      </w: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质量管理</w:t>
      </w:r>
    </w:p>
    <w:p w14:paraId="7D248F8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.1中标人必须有明确的项目质量方针、质量目标并按此进行质量管理。</w:t>
      </w:r>
    </w:p>
    <w:p w14:paraId="4D1F835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.2中标人必须认真贯彻执行GB/T19001-ISO9001质量保证标准。以完整的质量管理体系对待每一项检测工作，从准备到交工的各个环节都要做到精心组织，科学管理，对检测质量严格要求。</w:t>
      </w:r>
    </w:p>
    <w:p w14:paraId="7F58BF3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.3质量保证</w:t>
      </w:r>
    </w:p>
    <w:p w14:paraId="6D37902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.3.1认真贯彻执行国家、地方、行业及招标人有关部门对设备质量的有关规范、规定和《质量管理和质量保证》体系等有关规定。</w:t>
      </w:r>
    </w:p>
    <w:p w14:paraId="3C82178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.3.2坚持把“质量第一，用户至上”作为质量控制的基本原则。</w:t>
      </w:r>
    </w:p>
    <w:p w14:paraId="51D08D9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.3.3针对质量目标编制质量检验与管理体制实施细则，编制工作关键项目的施工（检修）作业技术措施或作业指导书，并严格执行，做好预防措施、控制质量通病。</w:t>
      </w:r>
    </w:p>
    <w:p w14:paraId="1181ECE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.3.4选派作业水平较高且有丰富经验的专业人员上岗，并组织学习滁宁城铁设备特性和技术标准以及要求，努力提高人员的业务素质，避免人为失误。以人的工作质量保工序质量、促工程质量，确保作业质量。</w:t>
      </w:r>
    </w:p>
    <w:p w14:paraId="5C100DD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.3.5“以人为核心”，加强对员工的质量意识教育，充分调动所有施工人员的积极性，增强人的责任感，抓好施工过程中的质量控制，加大质量管理和质量检验力度，虚心接受招标人意见。</w:t>
      </w:r>
    </w:p>
    <w:p w14:paraId="65243B8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.3.6项目保证资料真实、完整、规范、及时、满足要求。</w:t>
      </w:r>
    </w:p>
    <w:p w14:paraId="643DD2A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.3.7检测管理标准化，检测操作规范化。</w:t>
      </w:r>
    </w:p>
    <w:p w14:paraId="2AD791E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.3.8强化全过程的质量管理，在工作准备阶段主动与招标人取得联系，确保质量和工期。</w:t>
      </w:r>
    </w:p>
    <w:p w14:paraId="6820FDC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.3.9加强隐蔽工程的质量管理，隐蔽工程施工必须经招标人检查，并办好签字手续后方可隐蔽。</w:t>
      </w:r>
    </w:p>
    <w:p w14:paraId="1E32E9E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.3.10 坚持预防为主，确保工程的内在质量和外观质量均符合要求。</w:t>
      </w:r>
    </w:p>
    <w:p w14:paraId="4470BE7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.3.11对施工（检修）用机具、设备、计量器具严格管理。对施工（检修）用检验、测量和试验设备分类按期进行校验、校准，使用前进行仔细检查，保证使用合格的计量器具。</w:t>
      </w:r>
    </w:p>
    <w:p w14:paraId="3D2FBC3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.3.12认真填写记录，做到不合格工序不转序，不合格项目不移交。尤其是对关键工序和特殊过程严加控制，确保工序质量。</w:t>
      </w:r>
    </w:p>
    <w:p w14:paraId="66496AB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.3.13认真做好每次开工作业前的准备，工作结束的质量总结。</w:t>
      </w:r>
    </w:p>
    <w:p w14:paraId="6AE7F53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过程中发生的质量问题或质量事故要及时报告招标人，中标人必须及时制定处理方案，经招标人和有关部门审批后进行实施。</w:t>
      </w:r>
    </w:p>
    <w:p w14:paraId="0EDA845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中标人应对工作内容认真自检，确认合格后，再报招标人确认。</w:t>
      </w:r>
    </w:p>
    <w:p w14:paraId="78AFD24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中标人必须对现场跟踪检查，发现问题及时组织处理。</w:t>
      </w:r>
    </w:p>
    <w:p w14:paraId="01E5585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.3.17工作完成后，及时整理完工资料，并交付招标人审核、确认。</w:t>
      </w:r>
    </w:p>
    <w:p w14:paraId="4559808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.4 质量管理组织机构及主要职责</w:t>
      </w:r>
    </w:p>
    <w:p w14:paraId="4A305B9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中标人必须提供该项目的质量管理组织架构图及各岗位的主要职责。</w:t>
      </w:r>
    </w:p>
    <w:p w14:paraId="2E33343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.5中标人必须有明确的安全质量检验标准及技术规范并参照执行。</w:t>
      </w:r>
    </w:p>
    <w:p w14:paraId="47CEE0A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.6 除非另有规定，本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中标人提出施工（检修）作业技术要求，中标人提出施工（检修）工艺，经招标人批准后执行。</w:t>
      </w:r>
    </w:p>
    <w:p w14:paraId="7E8F415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.7文件资料控制</w:t>
      </w:r>
    </w:p>
    <w:p w14:paraId="34D7EED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.7.1所有与检测相关文件和记录应分别进行编号、分类、登记、发放、传递、保管和回收，必须与招标人管理同步。</w:t>
      </w:r>
    </w:p>
    <w:p w14:paraId="7B3D655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.7.2图纸及计划、任务单、各类会议纪要（记录）按程序文件的要求统一编号、分类、登记、标识、存档，按招标人批准的范围发放、传递。</w:t>
      </w:r>
    </w:p>
    <w:p w14:paraId="7B64427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.7.3如项目修改原设计，中标人必须征得招标人同意并在资料相应位置明确标识，并将修改存档，同时将修改指令复印件附在图中。对作废图纸应及时回收，交招标人统一处理。</w:t>
      </w:r>
    </w:p>
    <w:p w14:paraId="3B10F87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.7.4有一整套检修规范、标准等文件，对于标准的更新及规程、规范的变化应及时报告招标人，并在相应部位做代替说明，待</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批准后执行。</w:t>
      </w:r>
    </w:p>
    <w:p w14:paraId="752B4883">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十</w:t>
      </w:r>
      <w:r>
        <w:rPr>
          <w:rFonts w:hint="eastAsia" w:ascii="宋体" w:hAnsi="宋体" w:cs="宋体"/>
          <w:b/>
          <w:bCs/>
          <w:color w:val="auto"/>
          <w:szCs w:val="21"/>
          <w:highlight w:val="none"/>
          <w:lang w:val="en-US" w:eastAsia="zh-CN"/>
        </w:rPr>
        <w:t>四</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安全管理</w:t>
      </w:r>
    </w:p>
    <w:p w14:paraId="6995E07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.1中标人必须有明确的该项目的安全目标、安全指标并进行安全管理。</w:t>
      </w:r>
    </w:p>
    <w:p w14:paraId="7071BC7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.2中标人必须提供该项目的安全控制组织架构及主要岗位职责。</w:t>
      </w:r>
    </w:p>
    <w:p w14:paraId="77E301C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.3安全控制管理制度</w:t>
      </w:r>
    </w:p>
    <w:p w14:paraId="069B304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.3.1在作业过程中，首先牢固树立“安全第一、预防为主”的思想。</w:t>
      </w:r>
    </w:p>
    <w:p w14:paraId="014C069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.3.2全面执行中标人发布的安全管理制度：</w:t>
      </w:r>
    </w:p>
    <w:p w14:paraId="46631FF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.4安全组织、技术措施</w:t>
      </w:r>
    </w:p>
    <w:p w14:paraId="7EB5708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遵照现行国家及有关部门的安全法规、规范、规定对本项目进行安全管理、健康管理、环境管理，确保安全施工（检修），杜绝一切人身伤亡事故。要有完整的安全管理组织体制，有专兼职安全干部，安全员负责设备检测和日常的安全、防火工作等。</w:t>
      </w:r>
    </w:p>
    <w:p w14:paraId="2070BA9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实行“三级”安全管理，坚持“管施工（检修）的同时必须抓安全”，“项目负责人是第一安全责任人”的原则，开展好正常的安全活动。中标人对本合同工作范围内的安全、消防等负责，对本单位进场人员治安保卫工作负责。</w:t>
      </w:r>
    </w:p>
    <w:p w14:paraId="1811B54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4.3强化各级安全监察网络，一级抓一级，层层落实安全生产责任制，抓好安全基础工作，重点放在预防上，有针对性的开展好作业前的安全预想预防工作，在布置工作的同时也要布置安全，认真做好内部的各种安全管理台帐。</w:t>
      </w:r>
    </w:p>
    <w:p w14:paraId="6D17B28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.4.4执行招标人制定的安全管理制度、安全操作规程及安全奖惩办法等规章制度，强化安全管理。</w:t>
      </w:r>
    </w:p>
    <w:p w14:paraId="23AAA2B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.4.5推行安全风险制，执行《“安全风险抵押金”制度》，从负责人到施工（检修）人员，逐级签订安全风险责任合同。</w:t>
      </w:r>
    </w:p>
    <w:p w14:paraId="135ADE4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.4.6专、兼职安全员固定在作业现场，掌握安全动态，加强安全监督管理，抓好安全措施的落实，及时向负责人提供安全信息，协助抓好整个项目的安全工作。</w:t>
      </w:r>
    </w:p>
    <w:p w14:paraId="0A0B54D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.4.7项目负责人、安全员都有责任搞好本单位的施工（检修）安全。凡发现有违反安全操作规程者，有权令其停止工作。</w:t>
      </w:r>
    </w:p>
    <w:p w14:paraId="066BDC8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.4.8加强对职工的安全教育，定期组织安全学习，施工（检修）中严格执行安全措施和安全规程，狠抓安全措施的落实，防患于未然。</w:t>
      </w:r>
    </w:p>
    <w:p w14:paraId="3BC760E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.4.9在危险作业区域和交叉作业区域，增加临时性安全监察岗，加强预控和监督。</w:t>
      </w:r>
    </w:p>
    <w:p w14:paraId="7EE0EB4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.4.10各级领导和业务部门定期深入作业现场，进行安全大检查，查思想、查管理、查落实，查隐患，对安全上的薄弱环节决不放过。</w:t>
      </w:r>
    </w:p>
    <w:p w14:paraId="7834153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.4.11坚持文明施工（检修），保证施工（检修）机械、设备完好和清洁，安全操作规程齐全，持证上岗，施工（检修）现场的安全管理、安全设施、安全工器具要符合规定。</w:t>
      </w:r>
    </w:p>
    <w:p w14:paraId="4FB16AE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.4.12作业现场设置安全标志，安全员上岗监督，作业人员一律戴安全帽，闲杂人员不得进入作业现场；登高时必须佩好安全带及安全绳后才能进行高空作业，严禁高空落物。</w:t>
      </w:r>
    </w:p>
    <w:p w14:paraId="23D96EB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4.13施工（检修）中严格按照安规办事，施工（检修）现场坚持特殊工种100%持有效证件上岗作业的准则；所有检测人员应办理招标人场地出入证，进入招标人场地必须执行招标人有关安全、消防和治安管理制度。所有检测人员均要有操作证及经过安全培训，并向招标人提供详细的操作技术等级证书和操作证的复印件供招标人备案。</w:t>
      </w:r>
    </w:p>
    <w:p w14:paraId="47E0AFE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各分项作业都制定明确的安全保证措施，贯彻执行于作业的全过程。</w:t>
      </w:r>
    </w:p>
    <w:p w14:paraId="6312717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加强对机具设备的维护管理，操作前检查；操作人员必须经考试合格，才能上岗，其它人员不能顶岗操作。</w:t>
      </w:r>
    </w:p>
    <w:p w14:paraId="245FC01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加强对车辆使用的管理，加强车辆保养和司机安全意识教育；加强所有作业人员在地铁隧道中行走的安全教育，防止行车伤害，杜绝交通事故发生。</w:t>
      </w:r>
    </w:p>
    <w:p w14:paraId="0C20BF5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.4.17作业用临时电源箱，下班后应将闸刀拉开上锁，所有机电设备都应设接地接零等保护装置，严禁乱拉、乱接电源线。</w:t>
      </w:r>
    </w:p>
    <w:p w14:paraId="3309ABA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.4.18夏季施工（检修）应做好防暑降温工作。</w:t>
      </w:r>
    </w:p>
    <w:p w14:paraId="640AF98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.4.19工作负责人必须要办理许可手续后方可带领工作人员进入工作现场。</w:t>
      </w:r>
    </w:p>
    <w:p w14:paraId="4DCFFAA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.4.20在危险区域动火必须到招标人安保部办理动火证。并派专人监护，方可实施。</w:t>
      </w:r>
    </w:p>
    <w:p w14:paraId="4DC6873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.4.21对设备缺陷的处理工作，必须在工作前将缺陷发生的原因、处理的方法以及处理工作时对现场条件的要求、工作中的安全注意事项等核查清楚。</w:t>
      </w:r>
    </w:p>
    <w:p w14:paraId="7FC2A49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4.22对大型作业等较为复杂的施工（检修）作业项目，有关人员必须在施工（检修）前深入到现场，对大型施工（检修）机械的行走路线和工作位置以及对施工（检修）构成障碍的物体等核查清楚，以确定可行的施工（检修）方案和作业中的不安全因素，制定可靠的安全防范措施。</w:t>
      </w:r>
    </w:p>
    <w:p w14:paraId="26183B8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.4.23保证作业区内的清洁卫生。</w:t>
      </w:r>
    </w:p>
    <w:p w14:paraId="146435B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.4.24爱护招标人的消防设施，按招标人有关规定及时到指定地点调换使用过的灭火器材。</w:t>
      </w:r>
    </w:p>
    <w:p w14:paraId="7ECCBC5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.4.25中标人必须严格遵守招标人及中标人规定的劳动纪律，中标人规定的劳动纪律及各类规章制度、规程不得与招标人的规章制度、规程相违背。</w:t>
      </w:r>
    </w:p>
    <w:p w14:paraId="10C0AA6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.4.26中标人必须严格遵守招标人所在地的“社会治安管理条例”。</w:t>
      </w:r>
    </w:p>
    <w:p w14:paraId="1A29629D">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十</w:t>
      </w:r>
      <w:r>
        <w:rPr>
          <w:rFonts w:hint="eastAsia" w:ascii="宋体" w:hAnsi="宋体" w:cs="宋体"/>
          <w:b/>
          <w:bCs/>
          <w:color w:val="auto"/>
          <w:szCs w:val="21"/>
          <w:highlight w:val="none"/>
          <w:lang w:val="en-US" w:eastAsia="zh-CN"/>
        </w:rPr>
        <w:t>五</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文明管理</w:t>
      </w:r>
    </w:p>
    <w:p w14:paraId="442F84B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.1作业过程中，严格按照“规范化管理、标准化作业”规定要求，实施文明管理。</w:t>
      </w:r>
    </w:p>
    <w:p w14:paraId="413D2E8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.2作业过程中，中标人应合理地保持作业现场中不出现不必要的障碍，处置好作业设备及多余材料，保持现场整洁和道路畅通。</w:t>
      </w:r>
    </w:p>
    <w:p w14:paraId="385A696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3保护作业区域内各种管线、输电及通信线路、控制开关、生产通道、测量标点等，不得随意破坏、操作、占用。如与其他作业平面发生矛盾，应事先通报招标人，在得到招标人同意后方可按要求执行。如发现未经请示同意而擅自行事，将视其具体情况给予罚款处理。</w:t>
      </w:r>
    </w:p>
    <w:p w14:paraId="433D579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.4必须负责作业现场日常卫生清理工作，保证公共环境整洁。</w:t>
      </w:r>
    </w:p>
    <w:p w14:paraId="4C3DE20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.5运至作业现场的备品备件，剩余部分由中标人及时回收，并放到招标人指定的地点。</w:t>
      </w:r>
    </w:p>
    <w:p w14:paraId="2D81AD5F">
      <w:pPr>
        <w:ind w:firstLine="630" w:firstLineChars="300"/>
        <w:rPr>
          <w:rFonts w:hint="eastAsia" w:ascii="黑体" w:hAnsi="黑体" w:eastAsia="黑体" w:cs="黑体"/>
          <w:b w:val="0"/>
          <w:bCs w:val="0"/>
          <w:color w:val="auto"/>
          <w:sz w:val="32"/>
          <w:szCs w:val="32"/>
          <w:highlight w:val="none"/>
          <w:lang w:val="en-US" w:eastAsia="zh-CN"/>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.6作业现场讲文明、讲礼貌，遇事商量解决，严禁打架、斗殴。</w:t>
      </w:r>
    </w:p>
    <w:p w14:paraId="076B3C7D">
      <w:pPr>
        <w:tabs>
          <w:tab w:val="left" w:pos="420"/>
        </w:tabs>
        <w:adjustRightInd w:val="0"/>
        <w:snapToGrid w:val="0"/>
        <w:spacing w:line="440" w:lineRule="exact"/>
        <w:ind w:firstLine="420" w:firstLineChars="200"/>
        <w:jc w:val="center"/>
        <w:rPr>
          <w:rFonts w:hint="eastAsia" w:ascii="宋体" w:hAnsi="宋体" w:cs="宋体"/>
          <w:szCs w:val="21"/>
          <w:highlight w:val="none"/>
          <w:lang w:val="en-US" w:eastAsia="zh-CN"/>
        </w:rPr>
      </w:pPr>
    </w:p>
    <w:p w14:paraId="0626FACB">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2880BDC6">
      <w:pPr>
        <w:numPr>
          <w:ilvl w:val="0"/>
          <w:numId w:val="5"/>
        </w:num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25206C00">
      <w:pPr>
        <w:numPr>
          <w:ilvl w:val="0"/>
          <w:numId w:val="0"/>
        </w:numPr>
        <w:jc w:val="left"/>
        <w:rPr>
          <w:rFonts w:hint="eastAsia" w:eastAsia="仿宋"/>
          <w:b/>
          <w:lang w:eastAsia="zh-CN"/>
        </w:rPr>
      </w:pPr>
      <w:r>
        <w:rPr>
          <w:rFonts w:hint="eastAsia" w:eastAsia="仿宋"/>
          <w:b/>
        </w:rPr>
        <w:t>甲方：</w:t>
      </w:r>
    </w:p>
    <w:p w14:paraId="441AFBEF">
      <w:pPr>
        <w:spacing w:line="360" w:lineRule="auto"/>
        <w:rPr>
          <w:rFonts w:eastAsia="仿宋"/>
          <w:b/>
          <w:u w:val="single"/>
        </w:rPr>
      </w:pPr>
      <w:r>
        <w:rPr>
          <w:rFonts w:hint="eastAsia" w:eastAsia="仿宋"/>
          <w:b/>
        </w:rPr>
        <w:t>乙方：</w:t>
      </w:r>
    </w:p>
    <w:p w14:paraId="7B550967">
      <w:pPr>
        <w:spacing w:line="360" w:lineRule="auto"/>
        <w:ind w:firstLine="420" w:firstLineChars="200"/>
        <w:rPr>
          <w:rFonts w:eastAsia="仿宋"/>
        </w:rPr>
      </w:pPr>
      <w:r>
        <w:rPr>
          <w:rFonts w:eastAsia="仿宋"/>
        </w:rPr>
        <w:t>根据有关法律</w:t>
      </w:r>
      <w:r>
        <w:rPr>
          <w:rFonts w:hint="eastAsia" w:eastAsia="仿宋"/>
        </w:rPr>
        <w:t>法规</w:t>
      </w:r>
      <w:r>
        <w:rPr>
          <w:rFonts w:eastAsia="仿宋"/>
        </w:rPr>
        <w:t>规定，遵循平等、自愿、公平和诚信的原则，</w:t>
      </w:r>
      <w:r>
        <w:rPr>
          <w:rFonts w:hint="eastAsia" w:eastAsia="仿宋"/>
        </w:rPr>
        <w:t>甲、乙</w:t>
      </w:r>
      <w:r>
        <w:rPr>
          <w:rFonts w:eastAsia="仿宋"/>
        </w:rPr>
        <w:t>双方就</w:t>
      </w:r>
      <w:r>
        <w:rPr>
          <w:rFonts w:hint="eastAsia" w:eastAsia="仿宋"/>
          <w:u w:val="single"/>
          <w:lang w:eastAsia="zh-CN"/>
        </w:rPr>
        <w:t xml:space="preserve"> 滁州至南京城际铁路（滁州段）一期车辆段北门门岗安全改造项目</w:t>
      </w:r>
      <w:r>
        <w:rPr>
          <w:rFonts w:hint="eastAsia" w:eastAsia="仿宋"/>
        </w:rPr>
        <w:t>（以下称“本项目”）的实施</w:t>
      </w:r>
      <w:r>
        <w:rPr>
          <w:rFonts w:eastAsia="仿宋"/>
        </w:rPr>
        <w:t>及有关事项协商一致</w:t>
      </w:r>
      <w:r>
        <w:rPr>
          <w:rFonts w:hint="eastAsia" w:eastAsia="仿宋"/>
        </w:rPr>
        <w:t>，</w:t>
      </w:r>
      <w:r>
        <w:rPr>
          <w:rFonts w:eastAsia="仿宋"/>
        </w:rPr>
        <w:t>共同达成如下协议：</w:t>
      </w:r>
    </w:p>
    <w:p w14:paraId="0789248B">
      <w:pPr>
        <w:pStyle w:val="41"/>
        <w:numPr>
          <w:ilvl w:val="0"/>
          <w:numId w:val="0"/>
        </w:numPr>
        <w:spacing w:line="360" w:lineRule="auto"/>
        <w:ind w:leftChars="0"/>
        <w:rPr>
          <w:rFonts w:eastAsia="仿宋"/>
          <w:b/>
        </w:rPr>
      </w:pPr>
      <w:bookmarkStart w:id="85" w:name="_Toc351203486"/>
      <w:r>
        <w:rPr>
          <w:rFonts w:hint="eastAsia" w:eastAsia="仿宋"/>
          <w:b/>
          <w:lang w:val="en-US" w:eastAsia="zh-CN"/>
        </w:rPr>
        <w:t>一、</w:t>
      </w:r>
      <w:r>
        <w:rPr>
          <w:rFonts w:eastAsia="仿宋"/>
          <w:b/>
        </w:rPr>
        <w:t>合同文件构成</w:t>
      </w:r>
      <w:bookmarkEnd w:id="85"/>
    </w:p>
    <w:p w14:paraId="040B1419">
      <w:pPr>
        <w:spacing w:line="360" w:lineRule="auto"/>
        <w:rPr>
          <w:rFonts w:eastAsia="仿宋"/>
          <w:bCs/>
        </w:rPr>
      </w:pPr>
      <w:bookmarkStart w:id="86" w:name="_Hlk14188859"/>
      <w:r>
        <w:rPr>
          <w:rFonts w:eastAsia="仿宋"/>
          <w:bCs/>
        </w:rPr>
        <w:t>本</w:t>
      </w:r>
      <w:r>
        <w:rPr>
          <w:rFonts w:hint="eastAsia" w:eastAsia="仿宋"/>
          <w:bCs/>
          <w:lang w:eastAsia="zh-CN"/>
        </w:rPr>
        <w:t>合同</w:t>
      </w:r>
      <w:r>
        <w:rPr>
          <w:rFonts w:eastAsia="仿宋"/>
          <w:bCs/>
        </w:rPr>
        <w:t>书与下列文件一起构成合同文件：</w:t>
      </w:r>
    </w:p>
    <w:p w14:paraId="4E0A9042">
      <w:pPr>
        <w:pStyle w:val="41"/>
        <w:numPr>
          <w:ilvl w:val="0"/>
          <w:numId w:val="6"/>
        </w:numPr>
        <w:spacing w:line="360" w:lineRule="auto"/>
        <w:ind w:firstLineChars="0"/>
        <w:rPr>
          <w:rFonts w:eastAsia="仿宋"/>
        </w:rPr>
      </w:pPr>
      <w:r>
        <w:rPr>
          <w:rFonts w:hint="eastAsia" w:eastAsia="仿宋"/>
        </w:rPr>
        <w:t>招标文件、投标文件、</w:t>
      </w:r>
      <w:r>
        <w:rPr>
          <w:rFonts w:eastAsia="仿宋"/>
        </w:rPr>
        <w:t>中标通知书（如有）；</w:t>
      </w:r>
    </w:p>
    <w:p w14:paraId="739DD1EF">
      <w:pPr>
        <w:pStyle w:val="41"/>
        <w:numPr>
          <w:ilvl w:val="0"/>
          <w:numId w:val="6"/>
        </w:numPr>
        <w:spacing w:line="360" w:lineRule="auto"/>
        <w:ind w:firstLineChars="0"/>
        <w:rPr>
          <w:rFonts w:eastAsia="仿宋"/>
        </w:rPr>
      </w:pPr>
      <w:bookmarkStart w:id="87" w:name="_Hlk14189050"/>
      <w:r>
        <w:rPr>
          <w:rFonts w:hint="eastAsia" w:eastAsia="仿宋"/>
        </w:rPr>
        <w:t>竞争性磋商</w:t>
      </w:r>
      <w:r>
        <w:rPr>
          <w:rFonts w:hint="eastAsia" w:eastAsia="仿宋"/>
          <w:lang w:val="en-US" w:eastAsia="zh-CN"/>
        </w:rPr>
        <w:t>文件</w:t>
      </w:r>
      <w:r>
        <w:rPr>
          <w:rFonts w:hint="eastAsia" w:eastAsia="仿宋"/>
        </w:rPr>
        <w:t>、谈判文件及申请文件（如有）</w:t>
      </w:r>
      <w:r>
        <w:rPr>
          <w:rFonts w:eastAsia="仿宋"/>
        </w:rPr>
        <w:t>；</w:t>
      </w:r>
    </w:p>
    <w:p w14:paraId="4EBDBF58">
      <w:pPr>
        <w:numPr>
          <w:ilvl w:val="0"/>
          <w:numId w:val="6"/>
        </w:numPr>
        <w:spacing w:line="360" w:lineRule="auto"/>
        <w:ind w:left="720" w:leftChars="0" w:hanging="720" w:firstLineChars="0"/>
        <w:rPr>
          <w:rFonts w:eastAsia="仿宋"/>
        </w:rPr>
      </w:pPr>
      <w:r>
        <w:rPr>
          <w:rFonts w:eastAsia="仿宋"/>
        </w:rPr>
        <w:t>技术标准和要求</w:t>
      </w:r>
      <w:r>
        <w:rPr>
          <w:rFonts w:hint="eastAsia" w:eastAsia="仿宋"/>
          <w:lang w:eastAsia="zh-CN"/>
        </w:rPr>
        <w:t>（</w:t>
      </w:r>
      <w:r>
        <w:rPr>
          <w:rFonts w:hint="eastAsia" w:eastAsia="仿宋"/>
          <w:lang w:val="en-US" w:eastAsia="zh-CN"/>
        </w:rPr>
        <w:t>用户需求书</w:t>
      </w:r>
      <w:r>
        <w:rPr>
          <w:rFonts w:hint="eastAsia" w:eastAsia="仿宋"/>
          <w:lang w:eastAsia="zh-CN"/>
        </w:rPr>
        <w:t>）</w:t>
      </w:r>
      <w:r>
        <w:rPr>
          <w:rFonts w:eastAsia="仿宋"/>
        </w:rPr>
        <w:t>；</w:t>
      </w:r>
      <w:bookmarkEnd w:id="87"/>
    </w:p>
    <w:p w14:paraId="681E10EE">
      <w:pPr>
        <w:numPr>
          <w:ilvl w:val="0"/>
          <w:numId w:val="6"/>
        </w:numPr>
        <w:spacing w:line="360" w:lineRule="auto"/>
        <w:ind w:left="720" w:leftChars="0" w:hanging="720" w:firstLineChars="0"/>
        <w:rPr>
          <w:rFonts w:eastAsia="仿宋"/>
          <w:highlight w:val="none"/>
        </w:rPr>
      </w:pPr>
      <w:r>
        <w:rPr>
          <w:rFonts w:eastAsia="仿宋"/>
        </w:rPr>
        <w:t>图纸</w:t>
      </w:r>
      <w:r>
        <w:rPr>
          <w:rFonts w:hint="eastAsia" w:eastAsia="仿宋"/>
          <w:lang w:eastAsia="zh-CN"/>
        </w:rPr>
        <w:t>（</w:t>
      </w:r>
      <w:r>
        <w:rPr>
          <w:rFonts w:hint="eastAsia" w:eastAsia="仿宋"/>
          <w:lang w:val="en-US" w:eastAsia="zh-CN"/>
        </w:rPr>
        <w:t>如有</w:t>
      </w:r>
      <w:r>
        <w:rPr>
          <w:rFonts w:hint="eastAsia" w:eastAsia="仿宋"/>
          <w:lang w:eastAsia="zh-CN"/>
        </w:rPr>
        <w:t>）</w:t>
      </w:r>
      <w:r>
        <w:rPr>
          <w:rFonts w:eastAsia="仿宋"/>
        </w:rPr>
        <w:t>；</w:t>
      </w:r>
    </w:p>
    <w:p w14:paraId="070942C0">
      <w:pPr>
        <w:numPr>
          <w:ilvl w:val="0"/>
          <w:numId w:val="6"/>
        </w:numPr>
        <w:spacing w:line="360" w:lineRule="auto"/>
        <w:ind w:left="720" w:leftChars="0" w:hanging="720" w:firstLineChars="0"/>
        <w:rPr>
          <w:rFonts w:eastAsia="仿宋"/>
        </w:rPr>
      </w:pPr>
      <w:r>
        <w:rPr>
          <w:rFonts w:eastAsia="仿宋"/>
          <w:highlight w:val="none"/>
        </w:rPr>
        <w:t>已标价工程量清单或预算书</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bookmarkStart w:id="88" w:name="_Hlk14189066"/>
    </w:p>
    <w:p w14:paraId="3B8D39D1">
      <w:pPr>
        <w:numPr>
          <w:ilvl w:val="0"/>
          <w:numId w:val="6"/>
        </w:numPr>
        <w:spacing w:line="360" w:lineRule="auto"/>
        <w:ind w:left="720" w:leftChars="0" w:hanging="720" w:firstLineChars="0"/>
        <w:rPr>
          <w:rFonts w:eastAsia="仿宋"/>
        </w:rPr>
      </w:pPr>
      <w:r>
        <w:rPr>
          <w:rFonts w:hint="eastAsia" w:eastAsia="仿宋"/>
        </w:rPr>
        <w:t>其他文件：_</w:t>
      </w:r>
      <w:r>
        <w:rPr>
          <w:rFonts w:eastAsia="仿宋"/>
        </w:rPr>
        <w:t>____________________</w:t>
      </w:r>
      <w:bookmarkEnd w:id="86"/>
      <w:bookmarkEnd w:id="88"/>
    </w:p>
    <w:p w14:paraId="39501BA3">
      <w:pPr>
        <w:spacing w:line="360" w:lineRule="auto"/>
        <w:ind w:firstLine="420" w:firstLineChars="200"/>
        <w:rPr>
          <w:rFonts w:eastAsia="仿宋"/>
        </w:rPr>
      </w:pPr>
      <w:r>
        <w:rPr>
          <w:rFonts w:eastAsia="仿宋"/>
        </w:rPr>
        <w:t>上述各项合同文件包括合同当事人就该项合同文件所作出的补充和修改，属于同一类内容的文件，应以最新签署的为准。</w:t>
      </w:r>
    </w:p>
    <w:p w14:paraId="19EEF47B">
      <w:pPr>
        <w:spacing w:line="360" w:lineRule="auto"/>
        <w:outlineLvl w:val="0"/>
        <w:rPr>
          <w:rFonts w:eastAsia="仿宋"/>
          <w:b/>
          <w:bCs/>
        </w:rPr>
      </w:pPr>
      <w:r>
        <w:rPr>
          <w:rFonts w:hint="eastAsia" w:eastAsia="仿宋"/>
          <w:b/>
          <w:bCs/>
        </w:rPr>
        <w:t>二、项目概况</w:t>
      </w:r>
    </w:p>
    <w:p w14:paraId="13059FA8">
      <w:pPr>
        <w:spacing w:line="360" w:lineRule="auto"/>
        <w:rPr>
          <w:rFonts w:eastAsia="仿宋"/>
        </w:rPr>
      </w:pPr>
      <w:r>
        <w:rPr>
          <w:rFonts w:hint="eastAsia" w:eastAsia="仿宋"/>
        </w:rPr>
        <w:t>2</w:t>
      </w:r>
      <w:r>
        <w:rPr>
          <w:rFonts w:eastAsia="仿宋"/>
        </w:rPr>
        <w:t>.1</w:t>
      </w:r>
      <w:r>
        <w:rPr>
          <w:rFonts w:hint="eastAsia" w:eastAsia="仿宋"/>
          <w:lang w:val="en-US" w:eastAsia="zh-CN"/>
        </w:rPr>
        <w:t xml:space="preserve"> </w:t>
      </w:r>
      <w:r>
        <w:rPr>
          <w:rFonts w:hint="eastAsia" w:eastAsia="仿宋"/>
        </w:rPr>
        <w:t>项目实施</w:t>
      </w:r>
      <w:r>
        <w:rPr>
          <w:rFonts w:eastAsia="仿宋"/>
        </w:rPr>
        <w:t>地点：</w:t>
      </w:r>
      <w:r>
        <w:rPr>
          <w:rFonts w:hint="eastAsia" w:eastAsia="仿宋"/>
          <w:u w:val="single"/>
          <w:lang w:val="en-US" w:eastAsia="zh-CN"/>
        </w:rPr>
        <w:t xml:space="preserve"> </w:t>
      </w:r>
      <w:r>
        <w:rPr>
          <w:rFonts w:eastAsia="仿宋"/>
          <w:u w:val="single"/>
        </w:rPr>
        <w:t xml:space="preserve">    </w:t>
      </w:r>
      <w:r>
        <w:rPr>
          <w:rFonts w:hint="eastAsia" w:eastAsia="仿宋"/>
          <w:u w:val="single"/>
          <w:lang w:val="en-US" w:eastAsia="zh-CN"/>
        </w:rPr>
        <w:t xml:space="preserve">         </w:t>
      </w:r>
      <w:r>
        <w:rPr>
          <w:rFonts w:eastAsia="仿宋"/>
          <w:u w:val="single"/>
        </w:rPr>
        <w:t xml:space="preserve">   </w:t>
      </w:r>
    </w:p>
    <w:p w14:paraId="075C2815">
      <w:pPr>
        <w:spacing w:line="360" w:lineRule="auto"/>
        <w:rPr>
          <w:rFonts w:eastAsia="仿宋"/>
        </w:rPr>
      </w:pPr>
      <w:r>
        <w:rPr>
          <w:rFonts w:hint="eastAsia" w:eastAsia="仿宋"/>
        </w:rPr>
        <w:t>2</w:t>
      </w:r>
      <w:r>
        <w:rPr>
          <w:rFonts w:eastAsia="仿宋"/>
        </w:rPr>
        <w:t xml:space="preserve">.2 </w:t>
      </w:r>
      <w:r>
        <w:rPr>
          <w:rFonts w:hint="eastAsia" w:eastAsia="仿宋"/>
        </w:rPr>
        <w:t>项目内容：</w:t>
      </w:r>
      <w:r>
        <w:rPr>
          <w:rFonts w:hint="eastAsia" w:eastAsia="仿宋"/>
          <w:u w:val="single"/>
          <w:lang w:val="en-US" w:eastAsia="zh-CN"/>
        </w:rPr>
        <w:t xml:space="preserve"> </w:t>
      </w:r>
      <w:r>
        <w:rPr>
          <w:rFonts w:eastAsia="仿宋"/>
          <w:u w:val="single"/>
        </w:rPr>
        <w:t xml:space="preserve"> </w:t>
      </w:r>
      <w:r>
        <w:rPr>
          <w:rFonts w:hint="eastAsia" w:eastAsia="仿宋"/>
          <w:u w:val="single"/>
          <w:lang w:val="en-US" w:eastAsia="zh-CN"/>
        </w:rPr>
        <w:t>详见用户需求书</w:t>
      </w:r>
      <w:r>
        <w:rPr>
          <w:rFonts w:eastAsia="仿宋"/>
          <w:u w:val="single"/>
        </w:rPr>
        <w:t xml:space="preserve">     </w:t>
      </w:r>
    </w:p>
    <w:p w14:paraId="035981DF">
      <w:pPr>
        <w:spacing w:line="360" w:lineRule="auto"/>
        <w:outlineLvl w:val="0"/>
        <w:rPr>
          <w:rFonts w:hint="eastAsia" w:eastAsia="仿宋"/>
          <w:b/>
          <w:bCs/>
        </w:rPr>
      </w:pPr>
      <w:r>
        <w:rPr>
          <w:rFonts w:hint="eastAsia" w:eastAsia="仿宋"/>
          <w:b/>
          <w:bCs/>
        </w:rPr>
        <w:t>三、合同工期</w:t>
      </w:r>
    </w:p>
    <w:p w14:paraId="75E6596F">
      <w:pPr>
        <w:spacing w:line="360" w:lineRule="auto"/>
        <w:rPr>
          <w:rFonts w:eastAsia="仿宋"/>
          <w:u w:val="single"/>
        </w:rPr>
      </w:pPr>
      <w:r>
        <w:rPr>
          <w:rFonts w:hint="eastAsia" w:eastAsia="仿宋"/>
          <w:lang w:val="en-US" w:eastAsia="zh-CN"/>
        </w:rPr>
        <w:t xml:space="preserve">3.1 </w:t>
      </w:r>
      <w:r>
        <w:rPr>
          <w:rFonts w:hint="eastAsia" w:eastAsia="仿宋"/>
        </w:rPr>
        <w:t>本项目工期为</w:t>
      </w:r>
      <w:r>
        <w:rPr>
          <w:rFonts w:hint="eastAsia" w:eastAsia="仿宋"/>
          <w:u w:val="single"/>
          <w:lang w:val="en-US" w:eastAsia="zh-CN"/>
        </w:rPr>
        <w:t xml:space="preserve">     </w:t>
      </w:r>
      <w:r>
        <w:rPr>
          <w:rFonts w:hint="eastAsia" w:eastAsia="仿宋"/>
        </w:rPr>
        <w:t>天（日历天），自</w:t>
      </w:r>
      <w:r>
        <w:rPr>
          <w:rFonts w:hint="eastAsia" w:eastAsia="仿宋"/>
          <w:u w:val="single"/>
        </w:rPr>
        <w:t>甲方下达开工通知书之日起计算</w:t>
      </w:r>
      <w:r>
        <w:rPr>
          <w:rFonts w:hint="eastAsia" w:eastAsia="仿宋"/>
          <w:u w:val="none"/>
        </w:rPr>
        <w:t>。</w:t>
      </w:r>
    </w:p>
    <w:p w14:paraId="6AA8635C">
      <w:pPr>
        <w:spacing w:line="360" w:lineRule="auto"/>
        <w:rPr>
          <w:rFonts w:hint="default" w:eastAsia="仿宋"/>
          <w:b/>
          <w:lang w:val="en-US" w:eastAsia="zh-CN"/>
        </w:rPr>
      </w:pPr>
      <w:bookmarkStart w:id="89" w:name="_Toc351203484"/>
      <w:r>
        <w:rPr>
          <w:rFonts w:hint="eastAsia" w:eastAsia="仿宋"/>
          <w:b/>
        </w:rPr>
        <w:t>四</w:t>
      </w:r>
      <w:r>
        <w:rPr>
          <w:rFonts w:eastAsia="仿宋"/>
          <w:b/>
        </w:rPr>
        <w:t>、合同价</w:t>
      </w:r>
      <w:bookmarkEnd w:id="89"/>
      <w:r>
        <w:rPr>
          <w:rFonts w:hint="eastAsia" w:eastAsia="仿宋"/>
          <w:b/>
        </w:rPr>
        <w:t>款</w:t>
      </w:r>
      <w:r>
        <w:rPr>
          <w:rFonts w:hint="eastAsia" w:eastAsia="仿宋"/>
          <w:b/>
          <w:lang w:val="en-US" w:eastAsia="zh-CN"/>
        </w:rPr>
        <w:t>及付款方式</w:t>
      </w:r>
    </w:p>
    <w:p w14:paraId="11554297">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b/>
          <w:bCs/>
          <w:sz w:val="21"/>
          <w:szCs w:val="21"/>
          <w:highlight w:val="yellow"/>
        </w:rPr>
      </w:pPr>
      <w:r>
        <w:rPr>
          <w:rFonts w:hint="eastAsia" w:eastAsia="仿宋"/>
          <w:sz w:val="21"/>
          <w:szCs w:val="21"/>
        </w:rPr>
        <w:t>4</w:t>
      </w:r>
      <w:r>
        <w:rPr>
          <w:rFonts w:eastAsia="仿宋"/>
          <w:sz w:val="21"/>
          <w:szCs w:val="21"/>
        </w:rPr>
        <w:t xml:space="preserve">.1 </w:t>
      </w:r>
      <w:r>
        <w:rPr>
          <w:rFonts w:ascii="仿宋" w:hAnsi="仿宋" w:eastAsia="仿宋"/>
          <w:sz w:val="21"/>
          <w:szCs w:val="21"/>
        </w:rPr>
        <w:t>本合同不含税价</w:t>
      </w:r>
      <w:r>
        <w:rPr>
          <w:rFonts w:hint="eastAsia" w:ascii="仿宋" w:hAnsi="仿宋" w:eastAsia="仿宋"/>
          <w:sz w:val="21"/>
          <w:szCs w:val="21"/>
          <w:lang w:val="en-US" w:eastAsia="zh-CN"/>
        </w:rPr>
        <w:t>款</w:t>
      </w:r>
      <w:r>
        <w:rPr>
          <w:rFonts w:ascii="仿宋" w:hAnsi="仿宋" w:eastAsia="仿宋"/>
          <w:sz w:val="21"/>
          <w:szCs w:val="21"/>
        </w:rPr>
        <w:t>为</w:t>
      </w:r>
      <w:r>
        <w:rPr>
          <w:rFonts w:hint="eastAsia" w:ascii="仿宋" w:hAnsi="仿宋" w:eastAsia="仿宋"/>
          <w:sz w:val="21"/>
          <w:szCs w:val="21"/>
        </w:rPr>
        <w:t>人民币（大写）</w:t>
      </w:r>
      <w:r>
        <w:rPr>
          <w:rFonts w:hint="eastAsia" w:ascii="仿宋" w:hAnsi="仿宋" w:eastAsia="仿宋"/>
          <w:sz w:val="21"/>
          <w:szCs w:val="21"/>
          <w:u w:val="single"/>
        </w:rPr>
        <w:t xml:space="preserve">                  </w:t>
      </w:r>
      <w:r>
        <w:rPr>
          <w:rFonts w:hint="eastAsia" w:ascii="仿宋" w:hAnsi="仿宋" w:eastAsia="仿宋"/>
          <w:sz w:val="21"/>
          <w:szCs w:val="21"/>
        </w:rPr>
        <w:t>（¥</w:t>
      </w:r>
      <w:r>
        <w:rPr>
          <w:rFonts w:hint="eastAsia" w:ascii="仿宋" w:hAnsi="仿宋" w:eastAsia="仿宋"/>
          <w:sz w:val="21"/>
          <w:szCs w:val="21"/>
          <w:u w:val="single"/>
        </w:rPr>
        <w:t xml:space="preserve">           </w:t>
      </w:r>
      <w:r>
        <w:rPr>
          <w:rFonts w:hint="eastAsia" w:ascii="仿宋" w:hAnsi="仿宋" w:eastAsia="仿宋"/>
          <w:sz w:val="21"/>
          <w:szCs w:val="21"/>
        </w:rPr>
        <w:t>元）</w:t>
      </w:r>
      <w:r>
        <w:rPr>
          <w:rFonts w:ascii="仿宋" w:hAnsi="仿宋" w:eastAsia="仿宋"/>
          <w:sz w:val="21"/>
          <w:szCs w:val="21"/>
        </w:rPr>
        <w:t>，含税总价共计为</w:t>
      </w:r>
      <w:r>
        <w:rPr>
          <w:rFonts w:hint="eastAsia" w:ascii="仿宋" w:hAnsi="仿宋" w:eastAsia="仿宋"/>
          <w:sz w:val="21"/>
          <w:szCs w:val="21"/>
        </w:rPr>
        <w:t>人民币（大写）</w:t>
      </w:r>
      <w:r>
        <w:rPr>
          <w:rFonts w:hint="eastAsia" w:ascii="仿宋" w:hAnsi="仿宋" w:eastAsia="仿宋"/>
          <w:sz w:val="21"/>
          <w:szCs w:val="21"/>
          <w:u w:val="single"/>
        </w:rPr>
        <w:t xml:space="preserve">                  </w:t>
      </w:r>
      <w:r>
        <w:rPr>
          <w:rFonts w:hint="eastAsia" w:ascii="仿宋" w:hAnsi="仿宋" w:eastAsia="仿宋"/>
          <w:sz w:val="21"/>
          <w:szCs w:val="21"/>
        </w:rPr>
        <w:t>（¥</w:t>
      </w:r>
      <w:r>
        <w:rPr>
          <w:rFonts w:hint="eastAsia" w:ascii="仿宋" w:hAnsi="仿宋" w:eastAsia="仿宋"/>
          <w:sz w:val="21"/>
          <w:szCs w:val="21"/>
          <w:u w:val="single"/>
        </w:rPr>
        <w:t xml:space="preserve">           </w:t>
      </w:r>
      <w:r>
        <w:rPr>
          <w:rFonts w:hint="eastAsia" w:ascii="仿宋" w:hAnsi="仿宋" w:eastAsia="仿宋"/>
          <w:sz w:val="21"/>
          <w:szCs w:val="21"/>
        </w:rPr>
        <w:t>元）,税率为_</w:t>
      </w:r>
      <w:r>
        <w:rPr>
          <w:rFonts w:ascii="仿宋" w:hAnsi="仿宋" w:eastAsia="仿宋"/>
          <w:sz w:val="21"/>
          <w:szCs w:val="21"/>
        </w:rPr>
        <w:t>____%。</w:t>
      </w:r>
    </w:p>
    <w:p w14:paraId="5440D66E">
      <w:pPr>
        <w:spacing w:line="360" w:lineRule="auto"/>
        <w:rPr>
          <w:rFonts w:eastAsia="仿宋"/>
          <w:highlight w:val="yellow"/>
        </w:rPr>
      </w:pPr>
      <w:r>
        <w:rPr>
          <w:rFonts w:hint="eastAsia" w:eastAsia="仿宋"/>
        </w:rPr>
        <w:t>4</w:t>
      </w:r>
      <w:r>
        <w:rPr>
          <w:rFonts w:eastAsia="仿宋"/>
        </w:rPr>
        <w:t xml:space="preserve">.2 </w:t>
      </w:r>
      <w:r>
        <w:rPr>
          <w:rFonts w:hint="eastAsia" w:eastAsia="仿宋"/>
        </w:rPr>
        <w:t>本合同采用以下第</w:t>
      </w:r>
      <w:r>
        <w:rPr>
          <w:rFonts w:hint="eastAsia" w:eastAsia="仿宋"/>
          <w:u w:val="single"/>
          <w:lang w:val="en-US" w:eastAsia="zh-CN"/>
        </w:rPr>
        <w:t>1</w:t>
      </w:r>
      <w:r>
        <w:rPr>
          <w:rFonts w:hint="eastAsia" w:eastAsia="仿宋"/>
        </w:rPr>
        <w:t>种价格形式：</w:t>
      </w:r>
    </w:p>
    <w:p w14:paraId="352F481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yellow"/>
        </w:rPr>
      </w:pPr>
      <w:r>
        <w:rPr>
          <w:rFonts w:hint="eastAsia" w:eastAsia="仿宋"/>
        </w:rPr>
        <w:t>1.总价合同形式</w:t>
      </w:r>
    </w:p>
    <w:p w14:paraId="1E8F7F8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（1）合同价款包括合同项目范围内的合同设备（含合同规定的各种材料、备品备件、专用工具）、设计、土建、安装、保管、调试、试验、验收、并网、技术服务等费用。</w:t>
      </w:r>
    </w:p>
    <w:p w14:paraId="3F8128D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eastAsia="仿宋"/>
        </w:rPr>
      </w:pPr>
      <w:r>
        <w:rPr>
          <w:rFonts w:hint="eastAsia" w:eastAsia="仿宋"/>
        </w:rPr>
        <w:t>（</w:t>
      </w:r>
      <w:r>
        <w:rPr>
          <w:rFonts w:eastAsia="仿宋"/>
        </w:rPr>
        <w:t>2</w:t>
      </w:r>
      <w:r>
        <w:rPr>
          <w:rFonts w:hint="eastAsia" w:eastAsia="仿宋"/>
        </w:rPr>
        <w:t>）</w:t>
      </w:r>
      <w:r>
        <w:rPr>
          <w:rFonts w:hint="eastAsia" w:eastAsia="仿宋"/>
          <w:color w:val="auto"/>
        </w:rPr>
        <w:t>以甲方提供的工</w:t>
      </w:r>
      <w:r>
        <w:rPr>
          <w:rFonts w:hint="eastAsia" w:eastAsia="仿宋"/>
        </w:rPr>
        <w:t>程量清单包干，在合同约定的范围内合同总价原则上不作任何调整。</w:t>
      </w:r>
    </w:p>
    <w:p w14:paraId="5A5B2FE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（3）</w:t>
      </w:r>
      <w:r>
        <w:rPr>
          <w:rFonts w:eastAsia="仿宋"/>
        </w:rPr>
        <w:t>本合同总价在合同有效期内为不变价</w:t>
      </w:r>
      <w:r>
        <w:rPr>
          <w:rFonts w:hint="eastAsia" w:eastAsia="仿宋"/>
        </w:rPr>
        <w:t>，除非发生下列情形可作调整外，不会因为其他情形发生任何调整：</w:t>
      </w:r>
    </w:p>
    <w:p w14:paraId="1BC8E5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a</w:t>
      </w:r>
      <w:r>
        <w:rPr>
          <w:rFonts w:eastAsia="仿宋"/>
        </w:rPr>
        <w:t xml:space="preserve">. </w:t>
      </w:r>
      <w:r>
        <w:rPr>
          <w:rFonts w:hint="eastAsia" w:eastAsia="仿宋"/>
        </w:rPr>
        <w:t>按照甲方要求或指示的设计变更，导致不包含在合同范围内的工程量或费用的增加，或者导致合同范围内的工程量或费用的减少；</w:t>
      </w:r>
    </w:p>
    <w:p w14:paraId="3AD7367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b</w:t>
      </w:r>
      <w:r>
        <w:rPr>
          <w:rFonts w:eastAsia="仿宋"/>
        </w:rPr>
        <w:t>.</w:t>
      </w:r>
      <w:r>
        <w:rPr>
          <w:rFonts w:hint="eastAsia" w:eastAsia="仿宋"/>
        </w:rPr>
        <w:t>经甲方签证确认的非乙方原因导致的合同工程现场签证事项。</w:t>
      </w:r>
    </w:p>
    <w:p w14:paraId="7937A90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2.单价合同形式</w:t>
      </w:r>
    </w:p>
    <w:p w14:paraId="4D65682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0466428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（2）构成合同价款的项目单价一经甲方和乙方签订合同确定后不作调整。</w:t>
      </w:r>
    </w:p>
    <w:p w14:paraId="03609C4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3.其他形式</w:t>
      </w:r>
    </w:p>
    <w:p w14:paraId="7C01B5B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cs="仿宋"/>
        </w:rPr>
        <w:t>本项目中的</w:t>
      </w:r>
      <w:r>
        <w:rPr>
          <w:rFonts w:hint="eastAsia" w:eastAsia="仿宋"/>
        </w:rPr>
        <w:t>_________</w:t>
      </w:r>
      <w:r>
        <w:rPr>
          <w:rFonts w:hint="eastAsia" w:eastAsia="仿宋"/>
          <w:color w:val="auto"/>
        </w:rPr>
        <w:t>_(</w:t>
      </w:r>
      <w:r>
        <w:rPr>
          <w:rFonts w:hint="eastAsia" w:eastAsia="仿宋" w:cs="仿宋"/>
          <w:color w:val="auto"/>
        </w:rPr>
        <w:t>工程量确定的子项目名称</w:t>
      </w:r>
      <w:r>
        <w:rPr>
          <w:rFonts w:hint="eastAsia" w:eastAsia="仿宋"/>
          <w:color w:val="auto"/>
        </w:rPr>
        <w:t>)</w:t>
      </w:r>
      <w:r>
        <w:rPr>
          <w:rFonts w:hint="eastAsia" w:eastAsia="仿宋" w:cs="仿宋"/>
          <w:color w:val="auto"/>
        </w:rPr>
        <w:t>以双方确认的</w:t>
      </w:r>
      <w:r>
        <w:rPr>
          <w:rFonts w:hint="eastAsia" w:eastAsia="仿宋"/>
          <w:color w:val="auto"/>
        </w:rPr>
        <w:t>/</w:t>
      </w:r>
      <w:r>
        <w:rPr>
          <w:rFonts w:hint="eastAsia" w:eastAsia="仿宋" w:cs="仿宋"/>
          <w:color w:val="auto"/>
        </w:rPr>
        <w:t>甲方提供的报价清单中固定总价包干，这部分项目的合同价款在约定的范围内原则上不作任何调整；本项目中的</w:t>
      </w:r>
      <w:r>
        <w:rPr>
          <w:rFonts w:hint="eastAsia" w:eastAsia="仿宋"/>
          <w:color w:val="auto"/>
        </w:rPr>
        <w:t>__________(</w:t>
      </w:r>
      <w:r>
        <w:rPr>
          <w:rFonts w:hint="eastAsia" w:eastAsia="仿宋" w:cs="仿宋"/>
          <w:color w:val="auto"/>
        </w:rPr>
        <w:t>工程量预估的子项目名称</w:t>
      </w:r>
      <w:r>
        <w:rPr>
          <w:rFonts w:hint="eastAsia" w:eastAsia="仿宋"/>
          <w:color w:val="auto"/>
        </w:rPr>
        <w:t>)</w:t>
      </w:r>
      <w:r>
        <w:rPr>
          <w:rFonts w:hint="eastAsia" w:eastAsia="仿宋" w:cs="仿宋"/>
          <w:color w:val="auto"/>
        </w:rPr>
        <w:t>工程量为预估，以双方或者甲方确认的报价</w:t>
      </w:r>
      <w:r>
        <w:rPr>
          <w:rFonts w:hint="eastAsia" w:eastAsia="仿宋" w:cs="仿宋"/>
        </w:rPr>
        <w:t>清单中的固定单价包干，这部分项目的合同价款按双方最终确认的工程量据实计算，固定单价原则上不作任何调整。</w:t>
      </w:r>
    </w:p>
    <w:p w14:paraId="438592D4">
      <w:pPr>
        <w:spacing w:line="360" w:lineRule="auto"/>
        <w:rPr>
          <w:rFonts w:eastAsia="仿宋"/>
        </w:rPr>
      </w:pPr>
      <w:r>
        <w:rPr>
          <w:rFonts w:hint="eastAsia" w:eastAsia="仿宋"/>
        </w:rPr>
        <w:t>4</w:t>
      </w:r>
      <w:r>
        <w:rPr>
          <w:rFonts w:eastAsia="仿宋"/>
        </w:rPr>
        <w:t xml:space="preserve">.3 </w:t>
      </w:r>
      <w:r>
        <w:rPr>
          <w:rFonts w:hint="eastAsia" w:eastAsia="仿宋"/>
        </w:rPr>
        <w:t>出现合同约定的合同价款调增事项后的七个工作日内，乙方应向甲方提交合同价款调增报告并附上相关资料，若乙方在七个工作日内未提交合同价款调增报告的，视为乙方对该事项不存在调整价款。</w:t>
      </w:r>
    </w:p>
    <w:p w14:paraId="688B0130">
      <w:pPr>
        <w:spacing w:line="360" w:lineRule="auto"/>
        <w:rPr>
          <w:rFonts w:eastAsia="仿宋"/>
        </w:rPr>
      </w:pPr>
      <w:r>
        <w:rPr>
          <w:rFonts w:hint="eastAsia" w:eastAsia="仿宋"/>
        </w:rPr>
        <w:t>4</w:t>
      </w:r>
      <w:r>
        <w:rPr>
          <w:rFonts w:eastAsia="仿宋"/>
        </w:rPr>
        <w:t xml:space="preserve">.4 </w:t>
      </w:r>
      <w:r>
        <w:rPr>
          <w:rFonts w:hint="eastAsia" w:eastAsia="仿宋"/>
        </w:rPr>
        <w:t>甲方应</w:t>
      </w:r>
      <w:r>
        <w:rPr>
          <w:rFonts w:eastAsia="仿宋"/>
        </w:rPr>
        <w:t>在收到</w:t>
      </w:r>
      <w:r>
        <w:rPr>
          <w:rFonts w:hint="eastAsia" w:eastAsia="仿宋"/>
        </w:rPr>
        <w:t>乙方</w:t>
      </w:r>
      <w:r>
        <w:rPr>
          <w:rFonts w:eastAsia="仿宋"/>
        </w:rPr>
        <w:t>合同价款调增报告及相关资料之日起</w:t>
      </w:r>
      <w:r>
        <w:rPr>
          <w:rFonts w:eastAsia="仿宋"/>
          <w:u w:val="single"/>
        </w:rPr>
        <w:t>14</w:t>
      </w:r>
      <w:r>
        <w:rPr>
          <w:rFonts w:hint="eastAsia" w:eastAsia="仿宋"/>
          <w:u w:val="none"/>
          <w:lang w:val="en-US" w:eastAsia="zh-CN"/>
        </w:rPr>
        <w:t>个</w:t>
      </w:r>
      <w:r>
        <w:rPr>
          <w:rFonts w:hint="eastAsia" w:eastAsia="仿宋"/>
        </w:rPr>
        <w:t>工作日内</w:t>
      </w:r>
      <w:r>
        <w:rPr>
          <w:rFonts w:eastAsia="仿宋"/>
        </w:rPr>
        <w:t>对其核实，予以确认的</w:t>
      </w:r>
      <w:r>
        <w:rPr>
          <w:rFonts w:hint="eastAsia" w:eastAsia="仿宋"/>
        </w:rPr>
        <w:t>，</w:t>
      </w:r>
      <w:r>
        <w:rPr>
          <w:rFonts w:eastAsia="仿宋"/>
        </w:rPr>
        <w:t>应书面通知</w:t>
      </w:r>
      <w:r>
        <w:rPr>
          <w:rFonts w:hint="eastAsia" w:eastAsia="仿宋"/>
        </w:rPr>
        <w:t>乙方</w:t>
      </w:r>
      <w:r>
        <w:rPr>
          <w:rFonts w:eastAsia="仿宋"/>
        </w:rPr>
        <w:t>。</w:t>
      </w:r>
      <w:r>
        <w:rPr>
          <w:rFonts w:hint="eastAsia" w:eastAsia="仿宋"/>
        </w:rPr>
        <w:t>甲方未予确认的部分，乙方不得擅自变更或增加。</w:t>
      </w:r>
    </w:p>
    <w:p w14:paraId="6D992FED">
      <w:pPr>
        <w:spacing w:line="360" w:lineRule="auto"/>
        <w:rPr>
          <w:rFonts w:eastAsia="仿宋"/>
        </w:rPr>
      </w:pPr>
      <w:r>
        <w:rPr>
          <w:rFonts w:hint="eastAsia" w:eastAsia="仿宋"/>
        </w:rPr>
        <w:t>4</w:t>
      </w:r>
      <w:r>
        <w:rPr>
          <w:rFonts w:eastAsia="仿宋"/>
        </w:rPr>
        <w:t xml:space="preserve">.5 </w:t>
      </w:r>
      <w:r>
        <w:rPr>
          <w:rFonts w:hint="eastAsia" w:eastAsia="仿宋"/>
        </w:rPr>
        <w:t>出现合同约定的合同价款调减事项后的</w:t>
      </w:r>
      <w:r>
        <w:rPr>
          <w:rFonts w:hint="eastAsia" w:eastAsia="仿宋"/>
          <w:u w:val="single"/>
        </w:rPr>
        <w:t>7</w:t>
      </w:r>
      <w:r>
        <w:rPr>
          <w:rFonts w:hint="eastAsia" w:eastAsia="仿宋"/>
        </w:rPr>
        <w:t>个工作日内，甲方应向乙方提交合同价款调减报告并说明理由。乙方在收到甲方合同价款调减报告及相关资料之日起</w:t>
      </w:r>
      <w:r>
        <w:rPr>
          <w:rFonts w:hint="eastAsia" w:eastAsia="仿宋"/>
          <w:u w:val="single"/>
          <w:lang w:val="en-US" w:eastAsia="zh-CN"/>
        </w:rPr>
        <w:t>7</w:t>
      </w:r>
      <w:r>
        <w:rPr>
          <w:rFonts w:hint="eastAsia" w:eastAsia="仿宋"/>
        </w:rPr>
        <w:t>个工作日内不予确认也未提出不同意见的，视为乙方认可甲方的价款调减请求。</w:t>
      </w:r>
    </w:p>
    <w:p w14:paraId="1A2254B5">
      <w:pPr>
        <w:spacing w:line="360" w:lineRule="auto"/>
        <w:rPr>
          <w:rFonts w:hint="eastAsia" w:eastAsia="仿宋"/>
        </w:rPr>
      </w:pPr>
      <w:r>
        <w:rPr>
          <w:rFonts w:hint="eastAsia" w:eastAsia="仿宋"/>
        </w:rPr>
        <w:t>4</w:t>
      </w:r>
      <w:r>
        <w:rPr>
          <w:rFonts w:eastAsia="仿宋"/>
        </w:rPr>
        <w:t xml:space="preserve">.6 </w:t>
      </w:r>
      <w:r>
        <w:rPr>
          <w:rFonts w:hint="eastAsia" w:eastAsia="仿宋"/>
        </w:rPr>
        <w:t>经过甲乙双方确认调整的合同价款，作为追加（减）合同价款，与工程进度款或结算款同期支付。</w:t>
      </w:r>
    </w:p>
    <w:p w14:paraId="75330161">
      <w:pPr>
        <w:spacing w:line="360" w:lineRule="auto"/>
        <w:rPr>
          <w:rFonts w:eastAsia="仿宋"/>
        </w:rPr>
      </w:pPr>
      <w:r>
        <w:rPr>
          <w:rFonts w:hint="eastAsia" w:eastAsia="仿宋"/>
          <w:lang w:val="en-US" w:eastAsia="zh-CN"/>
        </w:rPr>
        <w:t>4.7 本合同款项应按</w:t>
      </w:r>
      <w:r>
        <w:rPr>
          <w:rFonts w:hint="eastAsia" w:eastAsia="仿宋"/>
        </w:rPr>
        <w:t>下列第</w:t>
      </w:r>
      <w:r>
        <w:rPr>
          <w:rFonts w:hint="eastAsia" w:eastAsia="仿宋"/>
          <w:u w:val="single"/>
          <w:lang w:val="en-US" w:eastAsia="zh-CN"/>
        </w:rPr>
        <w:t>1</w:t>
      </w:r>
      <w:r>
        <w:rPr>
          <w:rFonts w:hint="eastAsia" w:eastAsia="仿宋"/>
        </w:rPr>
        <w:t>种方式</w:t>
      </w:r>
      <w:r>
        <w:rPr>
          <w:rFonts w:hint="eastAsia" w:eastAsia="仿宋"/>
          <w:lang w:val="en-US" w:eastAsia="zh-CN"/>
        </w:rPr>
        <w:t>支付</w:t>
      </w:r>
      <w:r>
        <w:rPr>
          <w:rFonts w:hint="eastAsia" w:eastAsia="仿宋"/>
        </w:rPr>
        <w:t>：</w:t>
      </w:r>
    </w:p>
    <w:p w14:paraId="4CB7E36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eastAsia="仿宋"/>
          <w:color w:val="auto"/>
          <w:highlight w:val="none"/>
        </w:rPr>
        <w:t>1</w:t>
      </w:r>
      <w:r>
        <w:rPr>
          <w:rFonts w:hint="eastAsia" w:eastAsia="仿宋"/>
          <w:color w:val="auto"/>
          <w:highlight w:val="none"/>
        </w:rPr>
        <w:t>.一次性付款</w:t>
      </w:r>
    </w:p>
    <w:p w14:paraId="458D550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eastAsia="仿宋"/>
          <w:color w:val="auto"/>
          <w:highlight w:val="none"/>
        </w:rPr>
        <w:t>(1)</w:t>
      </w:r>
      <w:r>
        <w:rPr>
          <w:rFonts w:hint="eastAsia" w:eastAsia="仿宋"/>
          <w:color w:val="auto"/>
          <w:highlight w:val="none"/>
        </w:rPr>
        <w:t>在本</w:t>
      </w:r>
      <w:r>
        <w:rPr>
          <w:rFonts w:eastAsia="仿宋"/>
          <w:color w:val="auto"/>
          <w:highlight w:val="none"/>
        </w:rPr>
        <w:t>项目</w:t>
      </w:r>
      <w:r>
        <w:rPr>
          <w:rFonts w:hint="eastAsia" w:eastAsia="仿宋"/>
          <w:color w:val="auto"/>
          <w:highlight w:val="none"/>
        </w:rPr>
        <w:t>竣工验收合格后（</w:t>
      </w:r>
      <w:r>
        <w:rPr>
          <w:rFonts w:hint="eastAsia" w:ascii="仿宋" w:eastAsia="仿宋"/>
          <w:color w:val="auto"/>
          <w:szCs w:val="28"/>
          <w:highlight w:val="none"/>
        </w:rPr>
        <w:t>如达到甲方结算审计条件，还须完成结算审计</w:t>
      </w:r>
      <w:r>
        <w:rPr>
          <w:rFonts w:hint="eastAsia" w:eastAsia="仿宋"/>
          <w:color w:val="auto"/>
          <w:highlight w:val="none"/>
        </w:rPr>
        <w:t>）</w:t>
      </w:r>
      <w:r>
        <w:rPr>
          <w:rFonts w:eastAsia="仿宋"/>
          <w:color w:val="auto"/>
          <w:highlight w:val="none"/>
        </w:rPr>
        <w:t>，</w:t>
      </w:r>
      <w:r>
        <w:rPr>
          <w:rFonts w:hint="eastAsia" w:eastAsia="仿宋"/>
        </w:rPr>
        <w:t>乙方提交</w:t>
      </w:r>
      <w:r>
        <w:rPr>
          <w:rFonts w:eastAsia="仿宋"/>
        </w:rPr>
        <w:t>全额有效</w:t>
      </w:r>
      <w:r>
        <w:rPr>
          <w:rFonts w:hint="eastAsia" w:eastAsia="仿宋"/>
          <w:lang w:val="en-US" w:eastAsia="zh-CN"/>
        </w:rPr>
        <w:t>且</w:t>
      </w:r>
      <w:r>
        <w:rPr>
          <w:rFonts w:hint="eastAsia" w:eastAsia="仿宋"/>
        </w:rPr>
        <w:t>经甲方确认无误的增值税专用发票后三十日内，甲方</w:t>
      </w:r>
      <w:r>
        <w:rPr>
          <w:rFonts w:eastAsia="仿宋"/>
        </w:rPr>
        <w:t>应付至结算价的</w:t>
      </w:r>
      <w:r>
        <w:rPr>
          <w:rFonts w:hint="eastAsia" w:eastAsia="仿宋"/>
          <w:u w:val="single"/>
        </w:rPr>
        <w:t>97</w:t>
      </w:r>
      <w:r>
        <w:rPr>
          <w:rFonts w:eastAsia="仿宋"/>
        </w:rPr>
        <w:t>%</w:t>
      </w:r>
      <w:r>
        <w:rPr>
          <w:rFonts w:hint="eastAsia" w:eastAsia="仿宋"/>
        </w:rPr>
        <w:t>；</w:t>
      </w:r>
      <w:bookmarkStart w:id="90" w:name="OLE_LINK5"/>
    </w:p>
    <w:p w14:paraId="684D85A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w:t>
      </w:r>
      <w:r>
        <w:rPr>
          <w:rFonts w:eastAsia="仿宋"/>
        </w:rPr>
        <w:t>2)余下</w:t>
      </w:r>
      <w:r>
        <w:rPr>
          <w:rFonts w:hint="eastAsia" w:eastAsia="仿宋"/>
          <w:u w:val="single"/>
        </w:rPr>
        <w:t>3</w:t>
      </w:r>
      <w:r>
        <w:rPr>
          <w:rFonts w:eastAsia="仿宋"/>
        </w:rPr>
        <w:t>%</w:t>
      </w:r>
      <w:r>
        <w:rPr>
          <w:rFonts w:hint="eastAsia" w:eastAsia="仿宋"/>
        </w:rPr>
        <w:t>的</w:t>
      </w:r>
      <w:r>
        <w:rPr>
          <w:rFonts w:eastAsia="仿宋"/>
        </w:rPr>
        <w:t>合同费用作为质保金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bookmarkEnd w:id="90"/>
    </w:p>
    <w:p w14:paraId="1C42198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eastAsia="仿宋"/>
        </w:rPr>
        <w:t>2.</w:t>
      </w:r>
      <w:r>
        <w:rPr>
          <w:rFonts w:hint="eastAsia" w:eastAsia="仿宋"/>
        </w:rPr>
        <w:t>分阶段付款：</w:t>
      </w:r>
    </w:p>
    <w:p w14:paraId="22238C1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（1）首期付款：【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14:paraId="438C403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（2）第二期付款：【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14:paraId="2E31D88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（3）末期付款：在本</w:t>
      </w:r>
      <w:r>
        <w:rPr>
          <w:rFonts w:eastAsia="仿宋"/>
        </w:rPr>
        <w:t>项目</w:t>
      </w:r>
      <w:r>
        <w:rPr>
          <w:rFonts w:hint="eastAsia" w:eastAsia="仿宋"/>
        </w:rPr>
        <w:t>竣工验收通过后（如果存在项目变更，须完成结算审计）</w:t>
      </w:r>
      <w:r>
        <w:rPr>
          <w:rFonts w:eastAsia="仿宋"/>
        </w:rPr>
        <w:t>，甲方</w:t>
      </w:r>
      <w:r>
        <w:rPr>
          <w:rFonts w:hint="eastAsia" w:eastAsia="仿宋"/>
        </w:rPr>
        <w:t>收到</w:t>
      </w:r>
      <w:r>
        <w:rPr>
          <w:rFonts w:eastAsia="仿宋"/>
        </w:rPr>
        <w:t>乙方提供的有效</w:t>
      </w:r>
      <w:r>
        <w:rPr>
          <w:rFonts w:hint="eastAsia" w:eastAsia="仿宋"/>
        </w:rPr>
        <w:t>增值税专用发票后三十日内，甲方向乙方</w:t>
      </w:r>
      <w:r>
        <w:rPr>
          <w:rFonts w:eastAsia="仿宋"/>
        </w:rPr>
        <w:t>支付至结算价的</w:t>
      </w:r>
      <w:r>
        <w:rPr>
          <w:rFonts w:hint="eastAsia" w:eastAsia="仿宋"/>
          <w:u w:val="single"/>
        </w:rPr>
        <w:t>97</w:t>
      </w:r>
      <w:r>
        <w:rPr>
          <w:rFonts w:eastAsia="仿宋"/>
        </w:rPr>
        <w:t>%</w:t>
      </w:r>
      <w:r>
        <w:rPr>
          <w:rFonts w:hint="eastAsia" w:eastAsia="仿宋"/>
        </w:rPr>
        <w:t>；</w:t>
      </w:r>
    </w:p>
    <w:p w14:paraId="4AE5BB5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（4）</w:t>
      </w:r>
      <w:r>
        <w:rPr>
          <w:rFonts w:eastAsia="仿宋"/>
        </w:rPr>
        <w:t>余下</w:t>
      </w:r>
      <w:r>
        <w:rPr>
          <w:rFonts w:hint="eastAsia" w:eastAsia="仿宋"/>
          <w:u w:val="single"/>
        </w:rPr>
        <w:t>3</w:t>
      </w:r>
      <w:r>
        <w:rPr>
          <w:rFonts w:eastAsia="仿宋"/>
        </w:rPr>
        <w:t>%</w:t>
      </w:r>
      <w:r>
        <w:rPr>
          <w:rFonts w:hint="eastAsia" w:eastAsia="仿宋"/>
        </w:rPr>
        <w:t>的</w:t>
      </w:r>
      <w:r>
        <w:rPr>
          <w:rFonts w:eastAsia="仿宋"/>
        </w:rPr>
        <w:t>合同</w:t>
      </w:r>
      <w:r>
        <w:rPr>
          <w:rFonts w:hint="eastAsia" w:eastAsia="仿宋"/>
        </w:rPr>
        <w:t>价款</w:t>
      </w:r>
      <w:r>
        <w:rPr>
          <w:rFonts w:eastAsia="仿宋"/>
        </w:rPr>
        <w:t>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p>
    <w:p w14:paraId="29642C90">
      <w:pPr>
        <w:spacing w:line="360" w:lineRule="auto"/>
        <w:rPr>
          <w:rFonts w:hint="eastAsia" w:eastAsia="仿宋"/>
          <w:lang w:val="en-US" w:eastAsia="zh-CN"/>
        </w:rPr>
      </w:pPr>
      <w:r>
        <w:rPr>
          <w:rFonts w:hint="eastAsia" w:eastAsia="仿宋"/>
          <w:lang w:val="en-US" w:eastAsia="zh-CN"/>
        </w:rPr>
        <w:t>4.8 合同价款以</w:t>
      </w:r>
      <w:r>
        <w:rPr>
          <w:rFonts w:hint="eastAsia" w:eastAsia="仿宋"/>
          <w:u w:val="single"/>
          <w:lang w:val="en-US" w:eastAsia="zh-CN"/>
        </w:rPr>
        <w:t xml:space="preserve"> 银行转账 </w:t>
      </w:r>
      <w:r>
        <w:rPr>
          <w:rFonts w:hint="eastAsia" w:eastAsia="仿宋"/>
          <w:lang w:val="en-US" w:eastAsia="zh-CN"/>
        </w:rPr>
        <w:t>的方式支付。</w:t>
      </w:r>
    </w:p>
    <w:p w14:paraId="4018C542">
      <w:pPr>
        <w:spacing w:line="360" w:lineRule="auto"/>
        <w:rPr>
          <w:rFonts w:hint="eastAsia" w:eastAsia="仿宋"/>
          <w:lang w:val="en-US" w:eastAsia="zh-CN"/>
        </w:rPr>
      </w:pPr>
      <w:r>
        <w:rPr>
          <w:rFonts w:hint="eastAsia" w:eastAsia="仿宋"/>
          <w:lang w:val="en-US" w:eastAsia="zh-CN"/>
        </w:rPr>
        <w:t>乙方银行账户信息确认如下：</w:t>
      </w:r>
    </w:p>
    <w:p w14:paraId="65C45F78">
      <w:pPr>
        <w:spacing w:line="360" w:lineRule="auto"/>
        <w:rPr>
          <w:rFonts w:hint="eastAsia" w:eastAsia="仿宋"/>
          <w:u w:val="none"/>
          <w:lang w:val="en-US" w:eastAsia="zh-CN"/>
        </w:rPr>
      </w:pPr>
      <w:r>
        <w:rPr>
          <w:rFonts w:hint="eastAsia" w:eastAsia="仿宋"/>
          <w:lang w:val="en-US" w:eastAsia="zh-CN"/>
        </w:rPr>
        <w:t>账户名：_____________________</w:t>
      </w:r>
      <w:r>
        <w:rPr>
          <w:rFonts w:hint="eastAsia" w:eastAsia="仿宋"/>
          <w:u w:val="none"/>
          <w:lang w:val="en-US" w:eastAsia="zh-CN"/>
        </w:rPr>
        <w:t xml:space="preserve">  </w:t>
      </w:r>
    </w:p>
    <w:p w14:paraId="59C5C8A9">
      <w:pPr>
        <w:spacing w:line="360" w:lineRule="auto"/>
        <w:rPr>
          <w:rFonts w:hint="default" w:eastAsia="仿宋"/>
          <w:lang w:val="en-US" w:eastAsia="zh-CN"/>
        </w:rPr>
      </w:pPr>
      <w:r>
        <w:rPr>
          <w:rFonts w:hint="eastAsia" w:eastAsia="仿宋"/>
          <w:lang w:val="en-US" w:eastAsia="zh-CN"/>
        </w:rPr>
        <w:t xml:space="preserve">开户行：_____________________                                   </w:t>
      </w:r>
    </w:p>
    <w:p w14:paraId="68B4FBE4">
      <w:pPr>
        <w:spacing w:line="360" w:lineRule="auto"/>
        <w:rPr>
          <w:rFonts w:hint="default" w:eastAsia="仿宋"/>
          <w:lang w:val="en-US" w:eastAsia="zh-CN"/>
        </w:rPr>
      </w:pPr>
      <w:r>
        <w:rPr>
          <w:rFonts w:hint="eastAsia" w:eastAsia="仿宋"/>
          <w:lang w:val="en-US" w:eastAsia="zh-CN"/>
        </w:rPr>
        <w:t xml:space="preserve">账号： ______________________                                         </w:t>
      </w:r>
    </w:p>
    <w:p w14:paraId="293CCCD3">
      <w:pPr>
        <w:spacing w:line="360" w:lineRule="auto"/>
        <w:rPr>
          <w:rFonts w:hint="eastAsia" w:eastAsia="仿宋"/>
          <w:lang w:val="en-US" w:eastAsia="zh-CN"/>
        </w:rPr>
      </w:pPr>
      <w:r>
        <w:rPr>
          <w:rFonts w:hint="eastAsia" w:eastAsia="仿宋"/>
          <w:lang w:val="en-US" w:eastAsia="zh-CN"/>
        </w:rPr>
        <w:t>甲方开票信息确认如下：</w:t>
      </w:r>
    </w:p>
    <w:p w14:paraId="14A355E7">
      <w:pPr>
        <w:spacing w:line="360" w:lineRule="auto"/>
        <w:rPr>
          <w:rFonts w:hint="eastAsia" w:eastAsia="仿宋"/>
          <w:lang w:val="en-US" w:eastAsia="zh-CN"/>
        </w:rPr>
      </w:pPr>
      <w:r>
        <w:rPr>
          <w:rFonts w:hint="eastAsia" w:eastAsia="仿宋"/>
          <w:lang w:val="en-US" w:eastAsia="zh-CN"/>
        </w:rPr>
        <w:t xml:space="preserve">单位名称：_____________________                                    </w:t>
      </w:r>
    </w:p>
    <w:p w14:paraId="7E7ACC75">
      <w:pPr>
        <w:spacing w:line="360" w:lineRule="auto"/>
        <w:rPr>
          <w:rFonts w:hint="eastAsia" w:eastAsia="仿宋"/>
          <w:lang w:val="en-US" w:eastAsia="zh-CN"/>
        </w:rPr>
      </w:pPr>
      <w:r>
        <w:rPr>
          <w:rFonts w:hint="eastAsia" w:eastAsia="仿宋"/>
          <w:lang w:val="en-US" w:eastAsia="zh-CN"/>
        </w:rPr>
        <w:t xml:space="preserve">纳税人识别号：_____________________                           </w:t>
      </w:r>
    </w:p>
    <w:p w14:paraId="1FCF13D4">
      <w:pPr>
        <w:spacing w:line="360" w:lineRule="auto"/>
        <w:rPr>
          <w:rFonts w:hint="eastAsia" w:eastAsia="仿宋"/>
          <w:lang w:val="en-US" w:eastAsia="zh-CN"/>
        </w:rPr>
      </w:pPr>
      <w:r>
        <w:rPr>
          <w:rFonts w:hint="eastAsia" w:eastAsia="仿宋"/>
          <w:lang w:val="en-US" w:eastAsia="zh-CN"/>
        </w:rPr>
        <w:t xml:space="preserve">地址、电话：____________________                             </w:t>
      </w:r>
    </w:p>
    <w:p w14:paraId="3F07AE6C">
      <w:pPr>
        <w:spacing w:line="360" w:lineRule="auto"/>
        <w:rPr>
          <w:rFonts w:hint="eastAsia" w:eastAsia="仿宋"/>
          <w:u w:val="single"/>
          <w:lang w:val="en-US" w:eastAsia="zh-CN"/>
        </w:rPr>
      </w:pPr>
      <w:r>
        <w:rPr>
          <w:rFonts w:hint="eastAsia" w:eastAsia="仿宋"/>
          <w:lang w:val="en-US" w:eastAsia="zh-CN"/>
        </w:rPr>
        <w:t>开户行、账号：_____________________</w:t>
      </w:r>
    </w:p>
    <w:p w14:paraId="79E5541A">
      <w:pPr>
        <w:spacing w:line="360" w:lineRule="auto"/>
        <w:rPr>
          <w:rFonts w:eastAsia="仿宋"/>
        </w:rPr>
      </w:pPr>
      <w:r>
        <w:rPr>
          <w:rFonts w:hint="eastAsia" w:eastAsia="仿宋"/>
          <w:lang w:val="en-US" w:eastAsia="zh-CN"/>
        </w:rPr>
        <w:t xml:space="preserve">4.9 </w:t>
      </w:r>
      <w:r>
        <w:rPr>
          <w:rFonts w:hint="eastAsia" w:eastAsia="仿宋"/>
        </w:rPr>
        <w:t>乙方应支付的违约金、损失赔偿金等均可由甲方直接从未付的合同价款、履约保证金或质保金中扣除。如不足以赔付，甲方有权向乙方另行主张赔偿。</w:t>
      </w:r>
    </w:p>
    <w:p w14:paraId="083F2074">
      <w:pPr>
        <w:spacing w:line="360" w:lineRule="auto"/>
        <w:rPr>
          <w:rFonts w:hint="eastAsia" w:eastAsia="仿宋"/>
          <w:highlight w:val="none"/>
        </w:rPr>
      </w:pPr>
      <w:r>
        <w:rPr>
          <w:rFonts w:hint="eastAsia" w:eastAsia="仿宋"/>
          <w:highlight w:val="none"/>
          <w:lang w:val="en-US" w:eastAsia="zh-CN"/>
        </w:rPr>
        <w:t xml:space="preserve">4.10 </w:t>
      </w:r>
      <w:r>
        <w:rPr>
          <w:rFonts w:hint="eastAsia" w:eastAsia="仿宋"/>
          <w:highlight w:val="none"/>
        </w:rPr>
        <w:t>本合同约定的为含税合同价款。在合同履行期间，如遇国家的税率调整或其他政策影响税率的，税率随变化而变化，则合同价款及综合单价金额不做调整。</w:t>
      </w:r>
    </w:p>
    <w:p w14:paraId="51E95700">
      <w:pPr>
        <w:spacing w:line="360" w:lineRule="auto"/>
        <w:rPr>
          <w:rFonts w:eastAsia="仿宋"/>
        </w:rPr>
      </w:pPr>
      <w:r>
        <w:rPr>
          <w:rFonts w:hint="eastAsia" w:eastAsia="仿宋"/>
          <w:lang w:val="en-US" w:eastAsia="zh-CN"/>
        </w:rPr>
        <w:t xml:space="preserve">4.11 </w:t>
      </w:r>
      <w:r>
        <w:rPr>
          <w:rFonts w:hint="eastAsia" w:eastAsia="仿宋"/>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6DE4F9A">
      <w:pPr>
        <w:spacing w:line="360" w:lineRule="auto"/>
        <w:rPr>
          <w:rFonts w:eastAsia="仿宋"/>
          <w:b/>
        </w:rPr>
      </w:pPr>
      <w:r>
        <w:rPr>
          <w:rFonts w:hint="eastAsia" w:eastAsia="仿宋"/>
          <w:b/>
        </w:rPr>
        <w:t>五、甲方权利义务</w:t>
      </w:r>
    </w:p>
    <w:p w14:paraId="323C04E8">
      <w:pPr>
        <w:spacing w:line="360" w:lineRule="auto"/>
        <w:rPr>
          <w:rFonts w:eastAsia="仿宋"/>
        </w:rPr>
      </w:pPr>
      <w:r>
        <w:rPr>
          <w:rFonts w:hint="eastAsia" w:eastAsia="仿宋"/>
        </w:rPr>
        <w:t>5</w:t>
      </w:r>
      <w:r>
        <w:rPr>
          <w:rFonts w:eastAsia="仿宋"/>
        </w:rPr>
        <w:t>.1</w:t>
      </w:r>
      <w:r>
        <w:rPr>
          <w:rFonts w:hint="eastAsia" w:eastAsia="仿宋"/>
          <w:lang w:val="en-US" w:eastAsia="zh-CN"/>
        </w:rPr>
        <w:t xml:space="preserve"> </w:t>
      </w:r>
      <w:r>
        <w:rPr>
          <w:rFonts w:hint="eastAsia" w:eastAsia="仿宋"/>
        </w:rPr>
        <w:t>负责按照本合同约定向乙方支付相应的费用。</w:t>
      </w:r>
    </w:p>
    <w:p w14:paraId="2B7F3C97">
      <w:pPr>
        <w:spacing w:line="360" w:lineRule="auto"/>
        <w:rPr>
          <w:rFonts w:eastAsia="仿宋"/>
        </w:rPr>
      </w:pPr>
      <w:r>
        <w:rPr>
          <w:rFonts w:hint="eastAsia" w:eastAsia="仿宋"/>
        </w:rPr>
        <w:t>5</w:t>
      </w:r>
      <w:r>
        <w:rPr>
          <w:rFonts w:eastAsia="仿宋"/>
        </w:rPr>
        <w:t>.2</w:t>
      </w:r>
      <w:r>
        <w:rPr>
          <w:rFonts w:hint="eastAsia" w:eastAsia="仿宋"/>
          <w:lang w:val="en-US" w:eastAsia="zh-CN"/>
        </w:rPr>
        <w:t xml:space="preserve"> </w:t>
      </w:r>
      <w:r>
        <w:rPr>
          <w:rFonts w:hint="eastAsia" w:eastAsia="仿宋"/>
        </w:rPr>
        <w:t>负责向乙方提供本项目相关的图纸和资料，并审批乙方提供的施工方案和计划。</w:t>
      </w:r>
    </w:p>
    <w:p w14:paraId="5FA7BC9C">
      <w:pPr>
        <w:spacing w:line="360" w:lineRule="auto"/>
        <w:rPr>
          <w:rFonts w:eastAsia="仿宋"/>
        </w:rPr>
      </w:pPr>
      <w:r>
        <w:rPr>
          <w:rFonts w:hint="eastAsia" w:eastAsia="仿宋"/>
        </w:rPr>
        <w:t>5</w:t>
      </w:r>
      <w:r>
        <w:rPr>
          <w:rFonts w:eastAsia="仿宋"/>
        </w:rPr>
        <w:t xml:space="preserve">.3 </w:t>
      </w:r>
      <w:r>
        <w:rPr>
          <w:rFonts w:hint="eastAsia" w:eastAsia="仿宋"/>
        </w:rPr>
        <w:t>对乙方维修中的项目的施工质量、工程进度、安全生产、文明、环保施工等有协调、监督、监察的权利。</w:t>
      </w:r>
    </w:p>
    <w:p w14:paraId="19E9C4D1">
      <w:pPr>
        <w:spacing w:line="360" w:lineRule="auto"/>
        <w:rPr>
          <w:rFonts w:eastAsia="仿宋"/>
        </w:rPr>
      </w:pPr>
      <w:r>
        <w:rPr>
          <w:rFonts w:hint="eastAsia" w:eastAsia="仿宋"/>
        </w:rPr>
        <w:t>5.</w:t>
      </w:r>
      <w:r>
        <w:rPr>
          <w:rFonts w:eastAsia="仿宋"/>
        </w:rPr>
        <w:t>4</w:t>
      </w:r>
      <w:r>
        <w:rPr>
          <w:rFonts w:hint="eastAsia" w:eastAsia="仿宋"/>
          <w:lang w:val="en-US" w:eastAsia="zh-CN"/>
        </w:rPr>
        <w:t xml:space="preserve"> </w:t>
      </w:r>
      <w:r>
        <w:rPr>
          <w:rFonts w:hint="eastAsia" w:eastAsia="仿宋"/>
        </w:rPr>
        <w:t>负责本项目的完工验收，并办理项目结算。</w:t>
      </w:r>
    </w:p>
    <w:p w14:paraId="1CE8B7FE">
      <w:pPr>
        <w:spacing w:line="360" w:lineRule="auto"/>
        <w:rPr>
          <w:rFonts w:eastAsia="仿宋"/>
          <w:b/>
        </w:rPr>
      </w:pPr>
      <w:r>
        <w:rPr>
          <w:rFonts w:hint="eastAsia" w:eastAsia="仿宋"/>
          <w:b/>
        </w:rPr>
        <w:t>六、乙方权利义务</w:t>
      </w:r>
    </w:p>
    <w:p w14:paraId="4050084B">
      <w:pPr>
        <w:spacing w:line="360" w:lineRule="auto"/>
        <w:rPr>
          <w:rFonts w:eastAsia="仿宋"/>
        </w:rPr>
      </w:pPr>
      <w:r>
        <w:rPr>
          <w:rFonts w:hint="eastAsia" w:eastAsia="仿宋"/>
        </w:rPr>
        <w:t>6</w:t>
      </w:r>
      <w:r>
        <w:rPr>
          <w:rFonts w:eastAsia="仿宋"/>
        </w:rPr>
        <w:t>.1</w:t>
      </w:r>
      <w:r>
        <w:rPr>
          <w:rFonts w:hint="eastAsia" w:eastAsia="仿宋"/>
          <w:lang w:val="en-US" w:eastAsia="zh-CN"/>
        </w:rPr>
        <w:t xml:space="preserve"> </w:t>
      </w:r>
      <w:r>
        <w:rPr>
          <w:rFonts w:hint="eastAsia" w:eastAsia="仿宋"/>
        </w:rPr>
        <w:t>乙方应具有完成本项目的施工资质，在施工前应向甲方提供符合要求的施工计划、施工方案以及施工设计图纸等材料。</w:t>
      </w:r>
    </w:p>
    <w:p w14:paraId="2E8A6ADE">
      <w:pPr>
        <w:spacing w:line="360" w:lineRule="auto"/>
        <w:rPr>
          <w:rFonts w:eastAsia="仿宋"/>
        </w:rPr>
      </w:pPr>
      <w:r>
        <w:rPr>
          <w:rFonts w:hint="eastAsia" w:eastAsia="仿宋"/>
        </w:rPr>
        <w:t>6</w:t>
      </w:r>
      <w:r>
        <w:rPr>
          <w:rFonts w:eastAsia="仿宋"/>
        </w:rPr>
        <w:t>.2</w:t>
      </w:r>
      <w:r>
        <w:rPr>
          <w:rFonts w:hint="eastAsia" w:eastAsia="仿宋"/>
          <w:lang w:val="en-US" w:eastAsia="zh-CN"/>
        </w:rPr>
        <w:t xml:space="preserve"> </w:t>
      </w:r>
      <w:r>
        <w:rPr>
          <w:rFonts w:hint="eastAsia" w:eastAsia="仿宋"/>
        </w:rPr>
        <w:t>乙方指派项目经理负责组织施工，保质、保量、按期完成施工任务。</w:t>
      </w:r>
    </w:p>
    <w:p w14:paraId="5B9C4442">
      <w:pPr>
        <w:spacing w:line="360" w:lineRule="auto"/>
        <w:rPr>
          <w:rFonts w:eastAsia="仿宋"/>
        </w:rPr>
      </w:pPr>
      <w:r>
        <w:rPr>
          <w:rFonts w:hint="eastAsia" w:eastAsia="仿宋"/>
        </w:rPr>
        <w:t>6</w:t>
      </w:r>
      <w:r>
        <w:rPr>
          <w:rFonts w:eastAsia="仿宋"/>
        </w:rPr>
        <w:t>.3</w:t>
      </w:r>
      <w:r>
        <w:rPr>
          <w:rFonts w:hint="eastAsia" w:eastAsia="仿宋"/>
          <w:lang w:val="en-US" w:eastAsia="zh-CN"/>
        </w:rPr>
        <w:t xml:space="preserve"> </w:t>
      </w:r>
      <w:r>
        <w:rPr>
          <w:rFonts w:hint="eastAsia" w:eastAsia="仿宋"/>
        </w:rPr>
        <w:t>在项目实施前向甲方提交一份现场主要施工人员和施工设备的清单，严格执行施工规范、安全操作规程，遵守防火安全、环境保护等规定，做好各项质量检查记录。</w:t>
      </w:r>
    </w:p>
    <w:p w14:paraId="78AACF17">
      <w:pPr>
        <w:spacing w:line="360" w:lineRule="auto"/>
        <w:rPr>
          <w:rFonts w:eastAsia="仿宋"/>
        </w:rPr>
      </w:pPr>
      <w:r>
        <w:rPr>
          <w:rFonts w:hint="eastAsia" w:eastAsia="仿宋"/>
        </w:rPr>
        <w:t>6</w:t>
      </w:r>
      <w:r>
        <w:rPr>
          <w:rFonts w:eastAsia="仿宋"/>
        </w:rPr>
        <w:t>.4</w:t>
      </w:r>
      <w:r>
        <w:rPr>
          <w:rFonts w:hint="eastAsia" w:eastAsia="仿宋"/>
          <w:lang w:val="en-US" w:eastAsia="zh-CN"/>
        </w:rPr>
        <w:t xml:space="preserve"> </w:t>
      </w:r>
      <w:r>
        <w:rPr>
          <w:rFonts w:hint="eastAsia" w:eastAsia="仿宋"/>
        </w:rPr>
        <w:t>本项目实施过程中，应接受甲方的检查、检验，并为检查、检验提供便利条件。</w:t>
      </w:r>
    </w:p>
    <w:p w14:paraId="279B723A">
      <w:pPr>
        <w:spacing w:line="360" w:lineRule="auto"/>
        <w:rPr>
          <w:rFonts w:eastAsia="仿宋"/>
        </w:rPr>
      </w:pPr>
      <w:r>
        <w:rPr>
          <w:rFonts w:hint="eastAsia" w:eastAsia="仿宋"/>
        </w:rPr>
        <w:t>6</w:t>
      </w:r>
      <w:r>
        <w:rPr>
          <w:rFonts w:eastAsia="仿宋"/>
        </w:rPr>
        <w:t>.5</w:t>
      </w:r>
      <w:r>
        <w:rPr>
          <w:rFonts w:hint="eastAsia" w:eastAsia="仿宋"/>
          <w:lang w:val="en-US" w:eastAsia="zh-CN"/>
        </w:rPr>
        <w:t xml:space="preserve"> </w:t>
      </w:r>
      <w:r>
        <w:rPr>
          <w:rFonts w:hint="eastAsia" w:eastAsia="仿宋"/>
        </w:rPr>
        <w:t>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09B954DC">
      <w:pPr>
        <w:spacing w:line="360" w:lineRule="auto"/>
        <w:rPr>
          <w:rFonts w:eastAsia="仿宋"/>
        </w:rPr>
      </w:pPr>
      <w:r>
        <w:rPr>
          <w:rFonts w:hint="eastAsia" w:eastAsia="仿宋"/>
        </w:rPr>
        <w:t>6</w:t>
      </w:r>
      <w:r>
        <w:rPr>
          <w:rFonts w:eastAsia="仿宋"/>
        </w:rPr>
        <w:t>.6</w:t>
      </w:r>
      <w:r>
        <w:rPr>
          <w:rFonts w:hint="eastAsia" w:eastAsia="仿宋"/>
          <w:lang w:val="en-US" w:eastAsia="zh-CN"/>
        </w:rPr>
        <w:t xml:space="preserve"> </w:t>
      </w:r>
      <w:r>
        <w:rPr>
          <w:rFonts w:hint="eastAsia" w:eastAsia="仿宋"/>
        </w:rPr>
        <w:t>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0D633E09">
      <w:pPr>
        <w:spacing w:line="360" w:lineRule="auto"/>
        <w:rPr>
          <w:rFonts w:eastAsia="仿宋"/>
        </w:rPr>
      </w:pPr>
      <w:r>
        <w:rPr>
          <w:rFonts w:hint="eastAsia" w:eastAsia="仿宋"/>
        </w:rPr>
        <w:t>6</w:t>
      </w:r>
      <w:r>
        <w:rPr>
          <w:rFonts w:eastAsia="仿宋"/>
        </w:rPr>
        <w:t>.7</w:t>
      </w:r>
      <w:r>
        <w:rPr>
          <w:rFonts w:hint="eastAsia" w:eastAsia="仿宋"/>
          <w:lang w:val="en-US" w:eastAsia="zh-CN"/>
        </w:rPr>
        <w:t xml:space="preserve"> </w:t>
      </w:r>
      <w:r>
        <w:rPr>
          <w:rFonts w:hint="eastAsia" w:eastAsia="仿宋"/>
        </w:rPr>
        <w:t>本项目完工未移交甲方之前，乙方应负责保管现场的一切设施和工程成品。</w:t>
      </w:r>
    </w:p>
    <w:p w14:paraId="19AD62F2">
      <w:pPr>
        <w:spacing w:line="360" w:lineRule="auto"/>
        <w:rPr>
          <w:rFonts w:eastAsia="仿宋"/>
        </w:rPr>
      </w:pPr>
      <w:r>
        <w:rPr>
          <w:rFonts w:hint="eastAsia" w:eastAsia="仿宋"/>
        </w:rPr>
        <w:t>6</w:t>
      </w:r>
      <w:r>
        <w:rPr>
          <w:rFonts w:eastAsia="仿宋"/>
        </w:rPr>
        <w:t>.8</w:t>
      </w:r>
      <w:r>
        <w:rPr>
          <w:rFonts w:hint="eastAsia" w:eastAsia="仿宋"/>
          <w:lang w:val="en-US" w:eastAsia="zh-CN"/>
        </w:rPr>
        <w:t xml:space="preserve"> </w:t>
      </w:r>
      <w:r>
        <w:rPr>
          <w:rFonts w:hint="eastAsia" w:eastAsia="仿宋"/>
        </w:rPr>
        <w:t>未经甲方的书面同意，乙方不得将其在本合同项下的权利和义务转让给第三方。</w:t>
      </w:r>
    </w:p>
    <w:p w14:paraId="0569550B">
      <w:pPr>
        <w:spacing w:line="360" w:lineRule="auto"/>
        <w:rPr>
          <w:rFonts w:hint="eastAsia" w:eastAsia="仿宋"/>
        </w:rPr>
      </w:pPr>
      <w:r>
        <w:rPr>
          <w:rFonts w:hint="eastAsia" w:eastAsia="仿宋"/>
        </w:rPr>
        <w:t>6</w:t>
      </w:r>
      <w:r>
        <w:rPr>
          <w:rFonts w:eastAsia="仿宋"/>
        </w:rPr>
        <w:t>.9</w:t>
      </w:r>
      <w:r>
        <w:rPr>
          <w:rFonts w:hint="eastAsia" w:eastAsia="仿宋"/>
          <w:lang w:val="en-US" w:eastAsia="zh-CN"/>
        </w:rPr>
        <w:t xml:space="preserve"> </w:t>
      </w:r>
      <w:r>
        <w:rPr>
          <w:rFonts w:hint="eastAsia" w:eastAsia="仿宋"/>
        </w:rPr>
        <w:t>负责办理</w:t>
      </w:r>
      <w:r>
        <w:rPr>
          <w:rFonts w:hint="eastAsia" w:eastAsia="仿宋"/>
          <w:lang w:val="en-US" w:eastAsia="zh-CN"/>
        </w:rPr>
        <w:t>项目</w:t>
      </w:r>
      <w:r>
        <w:rPr>
          <w:rFonts w:hint="eastAsia" w:eastAsia="仿宋"/>
        </w:rPr>
        <w:t>施工期间乙方相关雇员的工伤保险、意外伤害保险、第三者责任保险及工程设备保险等事宜并承担相关费用，并负责处理与其雇员、员工之间的劳动人事争议。</w:t>
      </w:r>
    </w:p>
    <w:p w14:paraId="6D4FF2E7">
      <w:pPr>
        <w:spacing w:line="360" w:lineRule="auto"/>
        <w:rPr>
          <w:rFonts w:hint="eastAsia" w:eastAsia="仿宋" w:cs="Times New Roman (正文 CS 字体)"/>
          <w:highlight w:val="none"/>
        </w:rPr>
      </w:pPr>
      <w:r>
        <w:rPr>
          <w:rFonts w:hint="eastAsia" w:eastAsia="仿宋"/>
          <w:lang w:val="en-US" w:eastAsia="zh-CN"/>
        </w:rPr>
        <w:t xml:space="preserve">6.10 </w:t>
      </w:r>
      <w:r>
        <w:rPr>
          <w:rFonts w:hint="eastAsia" w:eastAsia="仿宋"/>
          <w:highlight w:val="none"/>
        </w:rPr>
        <w:t>乙方承诺严格规范劳动用工，</w:t>
      </w:r>
      <w:r>
        <w:rPr>
          <w:rFonts w:hint="eastAsia" w:eastAsia="仿宋"/>
          <w:highlight w:val="none"/>
          <w:lang w:val="en-US" w:eastAsia="zh-CN"/>
        </w:rPr>
        <w:t>并</w:t>
      </w:r>
      <w:r>
        <w:rPr>
          <w:rFonts w:hint="eastAsia" w:eastAsia="仿宋"/>
          <w:highlight w:val="none"/>
        </w:rPr>
        <w:t>不得发生任何拖欠第三方材料款、拖欠农民工工资或集体聚集、上访、打架等群体事件，</w:t>
      </w:r>
      <w:r>
        <w:rPr>
          <w:rFonts w:hint="eastAsia" w:eastAsia="仿宋"/>
          <w:highlight w:val="none"/>
          <w:lang w:val="en-US" w:eastAsia="zh-CN"/>
        </w:rPr>
        <w:t>否则甲方有权解除合同，并有权从应付未付的合同款项、履约保证金中扣除因</w:t>
      </w:r>
      <w:r>
        <w:rPr>
          <w:rFonts w:hint="eastAsia" w:eastAsia="仿宋" w:cs="Times New Roman (正文 CS 字体)"/>
          <w:highlight w:val="none"/>
        </w:rPr>
        <w:t>乙方</w:t>
      </w:r>
      <w:r>
        <w:rPr>
          <w:rFonts w:hint="eastAsia" w:eastAsia="仿宋" w:cs="Times New Roman (正文 CS 字体)"/>
          <w:highlight w:val="none"/>
          <w:lang w:val="en-US" w:eastAsia="zh-CN"/>
        </w:rPr>
        <w:t>原因</w:t>
      </w:r>
      <w:r>
        <w:rPr>
          <w:rFonts w:hint="eastAsia" w:eastAsia="仿宋" w:cs="Times New Roman (正文 CS 字体)"/>
          <w:highlight w:val="none"/>
        </w:rPr>
        <w:t>导致的任何费用支出、违约金、损失或损害赔偿金。</w:t>
      </w:r>
    </w:p>
    <w:p w14:paraId="4D12B00B">
      <w:pPr>
        <w:spacing w:line="360" w:lineRule="auto"/>
        <w:rPr>
          <w:rFonts w:hint="eastAsia" w:eastAsia="仿宋"/>
          <w:highlight w:val="none"/>
          <w:lang w:val="en-US" w:eastAsia="zh-CN"/>
        </w:rPr>
      </w:pPr>
      <w:r>
        <w:rPr>
          <w:rFonts w:hint="default" w:eastAsia="仿宋"/>
          <w:highlight w:val="none"/>
          <w:lang w:eastAsia="zh-CN"/>
        </w:rPr>
        <w:t>6.11</w:t>
      </w:r>
      <w:r>
        <w:rPr>
          <w:rFonts w:hint="eastAsia" w:eastAsia="仿宋"/>
          <w:highlight w:val="none"/>
          <w:lang w:val="en-US" w:eastAsia="zh-CN"/>
        </w:rPr>
        <w:t xml:space="preserve"> 乙方</w:t>
      </w:r>
      <w:r>
        <w:rPr>
          <w:rFonts w:hint="eastAsia" w:eastAsia="仿宋"/>
          <w:highlight w:val="none"/>
          <w:lang w:val="en-US" w:eastAsia="zh-Hans"/>
        </w:rPr>
        <w:t>如</w:t>
      </w:r>
      <w:r>
        <w:rPr>
          <w:rFonts w:hint="eastAsia" w:eastAsia="仿宋"/>
          <w:highlight w:val="none"/>
          <w:lang w:val="en-US" w:eastAsia="zh-CN"/>
        </w:rPr>
        <w:t>在中标后</w:t>
      </w:r>
      <w:r>
        <w:rPr>
          <w:rFonts w:hint="eastAsia" w:eastAsia="仿宋"/>
          <w:highlight w:val="none"/>
          <w:lang w:val="en-US" w:eastAsia="zh-Hans"/>
        </w:rPr>
        <w:t>或者合同履行期间发生</w:t>
      </w:r>
      <w:r>
        <w:rPr>
          <w:rFonts w:hint="eastAsia" w:eastAsia="仿宋"/>
          <w:highlight w:val="none"/>
          <w:lang w:val="en-US" w:eastAsia="zh-CN"/>
        </w:rPr>
        <w:t>被人民法院列为失信被执行人、影响合同履约能力的重大行政处罚等情形，应及时向</w:t>
      </w:r>
      <w:r>
        <w:rPr>
          <w:rFonts w:hint="eastAsia" w:eastAsia="仿宋"/>
          <w:highlight w:val="none"/>
          <w:lang w:val="en-US" w:eastAsia="zh-Hans"/>
        </w:rPr>
        <w:t>甲方的</w:t>
      </w:r>
      <w:r>
        <w:rPr>
          <w:rFonts w:hint="eastAsia" w:eastAsia="仿宋"/>
          <w:highlight w:val="none"/>
          <w:lang w:val="en-US" w:eastAsia="zh-CN"/>
        </w:rPr>
        <w:t>履约管理单位</w:t>
      </w:r>
      <w:r>
        <w:rPr>
          <w:rFonts w:hint="eastAsia" w:eastAsia="仿宋"/>
          <w:highlight w:val="none"/>
          <w:lang w:val="en-US" w:eastAsia="zh-Hans"/>
        </w:rPr>
        <w:t>、</w:t>
      </w:r>
      <w:r>
        <w:rPr>
          <w:rFonts w:hint="eastAsia" w:eastAsia="仿宋"/>
          <w:highlight w:val="none"/>
          <w:lang w:val="en-US" w:eastAsia="zh-CN"/>
        </w:rPr>
        <w:t>物资部报备。</w:t>
      </w:r>
    </w:p>
    <w:p w14:paraId="7CBADB6F">
      <w:pPr>
        <w:spacing w:line="360" w:lineRule="auto"/>
        <w:rPr>
          <w:rFonts w:eastAsia="仿宋"/>
          <w:b/>
        </w:rPr>
      </w:pPr>
      <w:r>
        <w:rPr>
          <w:rFonts w:hint="eastAsia" w:eastAsia="仿宋"/>
          <w:b/>
          <w:lang w:val="en-US" w:eastAsia="zh-CN"/>
        </w:rPr>
        <w:t>七</w:t>
      </w:r>
      <w:r>
        <w:rPr>
          <w:rFonts w:hint="eastAsia" w:eastAsia="仿宋"/>
          <w:b/>
        </w:rPr>
        <w:t>、质量及验收要求</w:t>
      </w:r>
    </w:p>
    <w:p w14:paraId="24592128">
      <w:pPr>
        <w:spacing w:line="360" w:lineRule="auto"/>
        <w:rPr>
          <w:rFonts w:eastAsia="仿宋"/>
        </w:rPr>
      </w:pPr>
      <w:r>
        <w:rPr>
          <w:rFonts w:hint="eastAsia" w:eastAsia="仿宋"/>
        </w:rPr>
        <w:t>7</w:t>
      </w:r>
      <w:r>
        <w:rPr>
          <w:rFonts w:eastAsia="仿宋"/>
        </w:rPr>
        <w:t>.1</w:t>
      </w:r>
      <w:r>
        <w:rPr>
          <w:rFonts w:hint="eastAsia" w:eastAsia="仿宋"/>
          <w:lang w:val="en-US" w:eastAsia="zh-CN"/>
        </w:rPr>
        <w:t xml:space="preserve"> </w:t>
      </w:r>
      <w:r>
        <w:rPr>
          <w:rFonts w:hint="eastAsia" w:eastAsia="仿宋"/>
        </w:rPr>
        <w:t>乙方为本项目提供的材料均须符合国家标准，有质量合格证明，主要材料的品种、规格等经甲方认可后方可使用。</w:t>
      </w:r>
    </w:p>
    <w:p w14:paraId="232BC6F9">
      <w:pPr>
        <w:spacing w:line="360" w:lineRule="auto"/>
        <w:rPr>
          <w:rFonts w:eastAsia="仿宋"/>
        </w:rPr>
      </w:pPr>
      <w:r>
        <w:rPr>
          <w:rFonts w:hint="eastAsia" w:eastAsia="仿宋"/>
        </w:rPr>
        <w:t>7</w:t>
      </w:r>
      <w:r>
        <w:rPr>
          <w:rFonts w:eastAsia="仿宋"/>
        </w:rPr>
        <w:t>.2</w:t>
      </w:r>
      <w:r>
        <w:rPr>
          <w:rFonts w:hint="eastAsia" w:eastAsia="仿宋"/>
          <w:lang w:val="en-US" w:eastAsia="zh-CN"/>
        </w:rPr>
        <w:t xml:space="preserve"> </w:t>
      </w:r>
      <w:r>
        <w:rPr>
          <w:rFonts w:hint="eastAsia" w:eastAsia="仿宋"/>
        </w:rPr>
        <w:t>本项目施工质量应符合</w:t>
      </w:r>
      <w:r>
        <w:rPr>
          <w:rFonts w:eastAsia="仿宋"/>
        </w:rPr>
        <w:t>国家标准、行业标准、工程所在地的地方性标准</w:t>
      </w:r>
      <w:r>
        <w:rPr>
          <w:rFonts w:hint="eastAsia" w:eastAsia="仿宋"/>
        </w:rPr>
        <w:t>，并达到合同规定要求，各项技术指标符合施工图纸中所列举的指标要求。</w:t>
      </w:r>
    </w:p>
    <w:p w14:paraId="5F170DCF">
      <w:pPr>
        <w:spacing w:line="360" w:lineRule="auto"/>
        <w:rPr>
          <w:rFonts w:eastAsia="仿宋"/>
          <w:highlight w:val="none"/>
        </w:rPr>
      </w:pPr>
      <w:r>
        <w:rPr>
          <w:rFonts w:hint="eastAsia" w:eastAsia="仿宋"/>
          <w:highlight w:val="none"/>
        </w:rPr>
        <w:t>7.3</w:t>
      </w:r>
      <w:r>
        <w:rPr>
          <w:rFonts w:hint="eastAsia" w:eastAsia="仿宋"/>
          <w:highlight w:val="none"/>
          <w:lang w:val="en-US" w:eastAsia="zh-CN"/>
        </w:rPr>
        <w:t xml:space="preserve"> </w:t>
      </w:r>
      <w:r>
        <w:rPr>
          <w:rFonts w:hint="eastAsia" w:eastAsia="仿宋"/>
          <w:highlight w:val="none"/>
        </w:rPr>
        <w:t>原则上没有国家标准、规范的，适用行业标准、规范；没有国家和行业标准、规范的，适用项目所在地的地方标准、规范；国内没有相应标准、规范的，由甲方向乙方提出技术要求，乙方提出维修方案，经甲方批准后执行。</w:t>
      </w:r>
    </w:p>
    <w:p w14:paraId="52A1C298">
      <w:pPr>
        <w:spacing w:line="360" w:lineRule="auto"/>
        <w:rPr>
          <w:rFonts w:eastAsia="仿宋"/>
          <w:highlight w:val="none"/>
        </w:rPr>
      </w:pPr>
      <w:r>
        <w:rPr>
          <w:rFonts w:hint="eastAsia" w:eastAsia="仿宋"/>
          <w:highlight w:val="none"/>
        </w:rPr>
        <w:t>7.4</w:t>
      </w:r>
      <w:r>
        <w:rPr>
          <w:rFonts w:hint="eastAsia" w:eastAsia="仿宋"/>
          <w:highlight w:val="none"/>
          <w:lang w:val="en-US" w:eastAsia="zh-CN"/>
        </w:rPr>
        <w:t xml:space="preserve"> </w:t>
      </w:r>
      <w:r>
        <w:rPr>
          <w:rFonts w:hint="eastAsia" w:eastAsia="仿宋"/>
          <w:highlight w:val="none"/>
        </w:rPr>
        <w:t>如遇规范、标准、技术规程对同一问题的处理出现相互矛盾的情况时，乙方应通知甲方，提出解决办法并征得甲方的同意。本项目所用的规范及标准应采用双方最新确定的方案。</w:t>
      </w:r>
    </w:p>
    <w:p w14:paraId="6B2E976F">
      <w:pPr>
        <w:spacing w:line="360" w:lineRule="auto"/>
        <w:rPr>
          <w:rFonts w:eastAsia="仿宋"/>
        </w:rPr>
      </w:pPr>
      <w:r>
        <w:rPr>
          <w:rFonts w:hint="eastAsia" w:eastAsia="仿宋"/>
        </w:rPr>
        <w:t>7</w:t>
      </w:r>
      <w:r>
        <w:rPr>
          <w:rFonts w:eastAsia="仿宋"/>
        </w:rPr>
        <w:t>.</w:t>
      </w:r>
      <w:r>
        <w:rPr>
          <w:rFonts w:hint="eastAsia" w:eastAsia="仿宋"/>
        </w:rPr>
        <w:t>5</w:t>
      </w:r>
      <w:r>
        <w:rPr>
          <w:rFonts w:hint="eastAsia" w:eastAsia="仿宋"/>
          <w:lang w:val="en-US" w:eastAsia="zh-CN"/>
        </w:rPr>
        <w:t xml:space="preserve"> </w:t>
      </w:r>
      <w:r>
        <w:rPr>
          <w:rFonts w:hint="eastAsia" w:eastAsia="仿宋"/>
        </w:rPr>
        <w:t>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67B86106">
      <w:pPr>
        <w:spacing w:line="360" w:lineRule="auto"/>
        <w:rPr>
          <w:rFonts w:eastAsia="仿宋"/>
        </w:rPr>
      </w:pPr>
      <w:r>
        <w:rPr>
          <w:rFonts w:hint="eastAsia" w:eastAsia="仿宋"/>
        </w:rPr>
        <w:t>7</w:t>
      </w:r>
      <w:r>
        <w:rPr>
          <w:rFonts w:eastAsia="仿宋"/>
        </w:rPr>
        <w:t>.</w:t>
      </w:r>
      <w:r>
        <w:rPr>
          <w:rFonts w:hint="eastAsia" w:eastAsia="仿宋"/>
        </w:rPr>
        <w:t>6</w:t>
      </w:r>
      <w:r>
        <w:rPr>
          <w:rFonts w:hint="eastAsia" w:eastAsia="仿宋"/>
          <w:lang w:val="en-US" w:eastAsia="zh-CN"/>
        </w:rPr>
        <w:t xml:space="preserve"> </w:t>
      </w:r>
      <w:r>
        <w:rPr>
          <w:rFonts w:hint="eastAsia" w:eastAsia="仿宋"/>
        </w:rPr>
        <w:t>甲乙双方对工程质量有争议，应协商确定第三方工程质量检验机构进行鉴定，所需费用及由此造成的损失，由责任方承担。</w:t>
      </w:r>
    </w:p>
    <w:p w14:paraId="79C4323B">
      <w:pPr>
        <w:spacing w:line="360" w:lineRule="auto"/>
        <w:rPr>
          <w:rFonts w:eastAsia="仿宋"/>
          <w:b/>
        </w:rPr>
      </w:pPr>
      <w:r>
        <w:rPr>
          <w:rFonts w:hint="eastAsia" w:eastAsia="仿宋"/>
          <w:b/>
        </w:rPr>
        <w:t>八、质量保证</w:t>
      </w:r>
    </w:p>
    <w:p w14:paraId="1E4CDD10">
      <w:pPr>
        <w:spacing w:line="360" w:lineRule="auto"/>
        <w:ind w:firstLine="420" w:firstLineChars="200"/>
        <w:rPr>
          <w:rFonts w:eastAsia="仿宋"/>
        </w:rPr>
      </w:pPr>
      <w:r>
        <w:rPr>
          <w:rFonts w:hint="eastAsia" w:eastAsia="仿宋"/>
        </w:rPr>
        <w:t>乙方应按法律法规及本合同约定，对交付甲方使用的工程或设备在质量保证期内承担质量保证责任。</w:t>
      </w:r>
    </w:p>
    <w:p w14:paraId="2D3A36F6">
      <w:pPr>
        <w:spacing w:line="360" w:lineRule="auto"/>
        <w:rPr>
          <w:rFonts w:eastAsia="仿宋"/>
        </w:rPr>
      </w:pPr>
      <w:r>
        <w:rPr>
          <w:rFonts w:hint="eastAsia" w:eastAsia="仿宋"/>
        </w:rPr>
        <w:t>8</w:t>
      </w:r>
      <w:r>
        <w:rPr>
          <w:rFonts w:eastAsia="仿宋"/>
        </w:rPr>
        <w:t>.1</w:t>
      </w:r>
      <w:r>
        <w:rPr>
          <w:rFonts w:hint="eastAsia" w:eastAsia="仿宋"/>
          <w:lang w:val="en-US" w:eastAsia="zh-CN"/>
        </w:rPr>
        <w:t xml:space="preserve"> </w:t>
      </w:r>
      <w:r>
        <w:rPr>
          <w:rFonts w:hint="eastAsia" w:eastAsia="仿宋"/>
        </w:rPr>
        <w:t>质量保证范围</w:t>
      </w:r>
    </w:p>
    <w:p w14:paraId="40E14083">
      <w:pPr>
        <w:keepNext w:val="0"/>
        <w:keepLines w:val="0"/>
        <w:pageBreakBefore w:val="0"/>
        <w:widowControl/>
        <w:kinsoku/>
        <w:wordWrap/>
        <w:overflowPunct/>
        <w:topLinePunct w:val="0"/>
        <w:autoSpaceDE/>
        <w:autoSpaceDN/>
        <w:bidi w:val="0"/>
        <w:adjustRightInd/>
        <w:snapToGrid/>
        <w:spacing w:line="360" w:lineRule="auto"/>
        <w:textAlignment w:val="auto"/>
        <w:rPr>
          <w:rFonts w:eastAsia="仿宋"/>
        </w:rPr>
      </w:pPr>
      <w:r>
        <w:rPr>
          <w:rFonts w:hint="eastAsia" w:eastAsia="仿宋"/>
        </w:rPr>
        <w:t>质量保证范围包括乙方承担的本项目一切工作和合同约定的其他工作。</w:t>
      </w:r>
    </w:p>
    <w:p w14:paraId="5CEE4F48">
      <w:pPr>
        <w:spacing w:line="360" w:lineRule="auto"/>
        <w:rPr>
          <w:rFonts w:eastAsia="仿宋"/>
        </w:rPr>
      </w:pPr>
      <w:r>
        <w:rPr>
          <w:rFonts w:hint="eastAsia" w:eastAsia="仿宋"/>
        </w:rPr>
        <w:t>8</w:t>
      </w:r>
      <w:r>
        <w:rPr>
          <w:rFonts w:eastAsia="仿宋"/>
        </w:rPr>
        <w:t>.2</w:t>
      </w:r>
      <w:r>
        <w:rPr>
          <w:rFonts w:hint="eastAsia" w:eastAsia="仿宋"/>
          <w:lang w:val="en-US" w:eastAsia="zh-CN"/>
        </w:rPr>
        <w:t xml:space="preserve"> </w:t>
      </w:r>
      <w:r>
        <w:rPr>
          <w:rFonts w:hint="eastAsia" w:eastAsia="仿宋"/>
        </w:rPr>
        <w:t>质量保证期限</w:t>
      </w:r>
    </w:p>
    <w:p w14:paraId="3CA964A3">
      <w:pPr>
        <w:spacing w:line="360" w:lineRule="auto"/>
        <w:rPr>
          <w:rFonts w:eastAsia="仿宋"/>
        </w:rPr>
      </w:pPr>
      <w:r>
        <w:rPr>
          <w:rFonts w:hint="eastAsia" w:eastAsia="仿宋"/>
        </w:rPr>
        <w:t>乙方对本项目承担质量保证责任的期限为</w:t>
      </w:r>
      <w:r>
        <w:rPr>
          <w:rFonts w:hint="eastAsia" w:ascii="宋体" w:hAnsi="宋体" w:eastAsia="宋体" w:cs="宋体"/>
          <w:u w:val="single"/>
          <w:lang w:val="en-US" w:eastAsia="zh-CN"/>
        </w:rPr>
        <w:t>1</w:t>
      </w:r>
      <w:r>
        <w:rPr>
          <w:rFonts w:hint="eastAsia" w:ascii="宋体" w:hAnsi="宋体" w:eastAsia="宋体" w:cs="宋体"/>
          <w:u w:val="single"/>
        </w:rPr>
        <w:t>年</w:t>
      </w:r>
      <w:r>
        <w:rPr>
          <w:rFonts w:eastAsia="仿宋"/>
        </w:rPr>
        <w:t>，</w:t>
      </w:r>
      <w:r>
        <w:rPr>
          <w:rFonts w:hint="eastAsia" w:eastAsia="仿宋"/>
        </w:rPr>
        <w:t>从验收合格之日起计算。</w:t>
      </w:r>
    </w:p>
    <w:p w14:paraId="10D4A0D2">
      <w:pPr>
        <w:spacing w:line="360" w:lineRule="auto"/>
        <w:rPr>
          <w:rFonts w:eastAsia="仿宋"/>
        </w:rPr>
      </w:pPr>
      <w:r>
        <w:rPr>
          <w:rFonts w:hint="eastAsia" w:eastAsia="仿宋"/>
        </w:rPr>
        <w:t>8</w:t>
      </w:r>
      <w:r>
        <w:rPr>
          <w:rFonts w:eastAsia="仿宋"/>
        </w:rPr>
        <w:t>.3</w:t>
      </w:r>
      <w:r>
        <w:rPr>
          <w:rFonts w:hint="eastAsia" w:eastAsia="仿宋"/>
          <w:lang w:val="en-US" w:eastAsia="zh-CN"/>
        </w:rPr>
        <w:t xml:space="preserve"> </w:t>
      </w:r>
      <w:r>
        <w:rPr>
          <w:rFonts w:hint="eastAsia" w:eastAsia="仿宋"/>
        </w:rPr>
        <w:t>质量保证责任承担</w:t>
      </w:r>
    </w:p>
    <w:p w14:paraId="661B6560">
      <w:pPr>
        <w:spacing w:line="360" w:lineRule="auto"/>
        <w:rPr>
          <w:rFonts w:eastAsia="仿宋"/>
        </w:rPr>
      </w:pPr>
      <w:r>
        <w:rPr>
          <w:rFonts w:eastAsia="仿宋"/>
        </w:rPr>
        <w:t>1）</w:t>
      </w:r>
      <w:r>
        <w:rPr>
          <w:rFonts w:hint="eastAsia" w:eastAsia="仿宋"/>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4AFA0C8F">
      <w:pPr>
        <w:spacing w:line="360" w:lineRule="auto"/>
        <w:rPr>
          <w:rFonts w:eastAsia="仿宋"/>
        </w:rPr>
      </w:pPr>
      <w:r>
        <w:rPr>
          <w:rFonts w:eastAsia="仿宋"/>
        </w:rPr>
        <w:t>2</w:t>
      </w:r>
      <w:r>
        <w:rPr>
          <w:rFonts w:hint="eastAsia" w:eastAsia="仿宋"/>
        </w:rPr>
        <w:t>）发生须紧急抢修的事故时，乙方接</w:t>
      </w:r>
      <w:r>
        <w:rPr>
          <w:rFonts w:hint="eastAsia" w:eastAsia="仿宋"/>
          <w:highlight w:val="none"/>
        </w:rPr>
        <w:t>到通知后，应立即到达事故现场抢修。非乙方作业质量引起的事故，抢修费用由甲方承担（属于合同工作范围的在该合同项下支付）。</w:t>
      </w:r>
    </w:p>
    <w:p w14:paraId="706DBF66">
      <w:pPr>
        <w:spacing w:line="360" w:lineRule="auto"/>
        <w:rPr>
          <w:rFonts w:eastAsia="仿宋"/>
        </w:rPr>
      </w:pPr>
      <w:r>
        <w:rPr>
          <w:rFonts w:eastAsia="仿宋"/>
        </w:rPr>
        <w:t>3</w:t>
      </w:r>
      <w:r>
        <w:rPr>
          <w:rFonts w:hint="eastAsia" w:eastAsia="仿宋"/>
        </w:rPr>
        <w:t>）在国家规定的合理使用期限内，因乙方作业质量原因致使本项目在合理使用期限内造成人身伤亡和财产损害的，由乙方承担损害赔偿责任。</w:t>
      </w:r>
    </w:p>
    <w:p w14:paraId="7CAAA652">
      <w:pPr>
        <w:spacing w:line="360" w:lineRule="auto"/>
        <w:rPr>
          <w:rFonts w:eastAsia="仿宋"/>
          <w:b/>
        </w:rPr>
      </w:pPr>
      <w:r>
        <w:rPr>
          <w:rFonts w:hint="eastAsia" w:eastAsia="仿宋"/>
          <w:b/>
        </w:rPr>
        <w:t>九、履约担保</w:t>
      </w:r>
    </w:p>
    <w:p w14:paraId="702A23F7">
      <w:pPr>
        <w:spacing w:line="360" w:lineRule="auto"/>
        <w:rPr>
          <w:rFonts w:eastAsia="仿宋"/>
        </w:rPr>
      </w:pPr>
      <w:r>
        <w:rPr>
          <w:rFonts w:hint="eastAsia" w:eastAsia="仿宋"/>
        </w:rPr>
        <w:t>9</w:t>
      </w:r>
      <w:r>
        <w:rPr>
          <w:rFonts w:eastAsia="仿宋"/>
        </w:rPr>
        <w:t>.1</w:t>
      </w:r>
      <w:bookmarkStart w:id="91" w:name="_Toc198693812"/>
      <w:bookmarkStart w:id="92" w:name="_Toc198694697"/>
      <w:r>
        <w:rPr>
          <w:rFonts w:hint="eastAsia" w:eastAsia="仿宋"/>
          <w:lang w:val="en-US" w:eastAsia="zh-CN"/>
        </w:rPr>
        <w:t xml:space="preserve"> </w:t>
      </w:r>
      <w:r>
        <w:rPr>
          <w:rFonts w:hint="eastAsia" w:eastAsia="仿宋"/>
        </w:rPr>
        <w:t>履约担保</w:t>
      </w:r>
    </w:p>
    <w:p w14:paraId="03EB424E">
      <w:pPr>
        <w:spacing w:line="360" w:lineRule="auto"/>
        <w:rPr>
          <w:rFonts w:eastAsia="仿宋" w:cs="Times New Roman (正文 CS 字体)"/>
          <w:highlight w:val="none"/>
        </w:rPr>
      </w:pPr>
      <w:r>
        <w:rPr>
          <w:rFonts w:hint="eastAsia" w:eastAsia="仿宋" w:cs="Times New Roman (正文 CS 字体)"/>
        </w:rPr>
        <w:t>1</w:t>
      </w:r>
      <w:r>
        <w:rPr>
          <w:rFonts w:eastAsia="仿宋" w:cs="Times New Roman (正文 CS 字体)"/>
        </w:rPr>
        <w:t>.在本合同签订时，乙方应向甲方提交履约保证金，本项目履约保证金的金额为合同总价</w:t>
      </w:r>
      <w:r>
        <w:rPr>
          <w:rFonts w:eastAsia="仿宋" w:cs="Times New Roman (正文 CS 字体)"/>
          <w:highlight w:val="none"/>
        </w:rPr>
        <w:t>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13F07B54">
      <w:pPr>
        <w:spacing w:line="360" w:lineRule="auto"/>
        <w:rPr>
          <w:rFonts w:eastAsia="仿宋" w:cs="Times New Roman (正文 CS 字体)"/>
          <w:highlight w:val="none"/>
        </w:rPr>
      </w:pPr>
      <w:r>
        <w:rPr>
          <w:rFonts w:eastAsia="仿宋" w:cs="Times New Roman (正文 CS 字体)"/>
        </w:rPr>
        <w:t>2.履约保证金由甲方持有，甲方有权在该保证金内扣除任何乙方应付而未付之任何款项</w:t>
      </w:r>
      <w:r>
        <w:rPr>
          <w:rFonts w:hint="eastAsia" w:eastAsia="仿宋" w:cs="Times New Roman (正文 CS 字体)"/>
        </w:rPr>
        <w:t>（包括但不限于合同约定的乙方应支付款项、甲方垫付的其他费用等），及任何因乙方在不遵守或不履行本</w:t>
      </w:r>
      <w:r>
        <w:rPr>
          <w:rFonts w:hint="eastAsia" w:eastAsia="仿宋" w:cs="Times New Roman (正文 CS 字体)"/>
          <w:lang w:eastAsia="zh-CN"/>
        </w:rPr>
        <w:t>合同</w:t>
      </w:r>
      <w:r>
        <w:rPr>
          <w:rFonts w:hint="eastAsia" w:eastAsia="仿宋" w:cs="Times New Roman (正文 CS 字体)"/>
        </w:rPr>
        <w:t>条款之任何部分而导致的任何费用支出、违约金、损失或损害赔偿金。</w:t>
      </w:r>
      <w:r>
        <w:rPr>
          <w:rFonts w:eastAsia="仿宋" w:cs="Times New Roman (正文 CS 字体)"/>
        </w:rPr>
        <w:t>如甲方根据</w:t>
      </w:r>
      <w:r>
        <w:rPr>
          <w:rFonts w:hint="eastAsia" w:eastAsia="仿宋" w:cs="Times New Roman (正文 CS 字体)"/>
        </w:rPr>
        <w:t>上述</w:t>
      </w:r>
      <w:r>
        <w:rPr>
          <w:rFonts w:eastAsia="仿宋" w:cs="Times New Roman (正文 CS 字体)"/>
        </w:rPr>
        <w:t>情况扣除保证金，乙方必</w:t>
      </w:r>
      <w:r>
        <w:rPr>
          <w:rFonts w:eastAsia="仿宋" w:cs="Times New Roman (正文 CS 字体)"/>
          <w:highlight w:val="none"/>
        </w:rPr>
        <w:t>须在扣款后七个工作日内，补足相等于该扣除款额的履约保证金，以保证合同履行期间履约保证金的完整。如履约保证金尚不能弥补甲方的损失，甲方有权另行向乙方主张赔偿。</w:t>
      </w:r>
    </w:p>
    <w:p w14:paraId="06A7B3F3">
      <w:pPr>
        <w:spacing w:line="360" w:lineRule="auto"/>
        <w:ind w:firstLine="105" w:firstLineChars="50"/>
        <w:rPr>
          <w:rFonts w:eastAsia="仿宋" w:cs="Times New Roman (正文 CS 字体)"/>
          <w:highlight w:val="none"/>
        </w:rPr>
      </w:pPr>
      <w:r>
        <w:rPr>
          <w:rFonts w:hint="eastAsia" w:eastAsia="仿宋" w:cs="Times New Roman (正文 CS 字体)"/>
          <w:highlight w:val="none"/>
        </w:rPr>
        <w:t>（采用履约保证金的方式时选用）</w:t>
      </w:r>
    </w:p>
    <w:p w14:paraId="2659DB8A">
      <w:pPr>
        <w:spacing w:line="360" w:lineRule="auto"/>
        <w:rPr>
          <w:rFonts w:eastAsia="仿宋" w:cs="Times New Roman (正文 CS 字体)"/>
          <w:b/>
          <w:highlight w:val="none"/>
        </w:rPr>
      </w:pPr>
      <w:r>
        <w:rPr>
          <w:rFonts w:hint="eastAsia" w:eastAsia="仿宋" w:cs="Times New Roman (正文 CS 字体)"/>
          <w:b/>
          <w:highlight w:val="none"/>
        </w:rPr>
        <w:t>或</w:t>
      </w:r>
    </w:p>
    <w:p w14:paraId="40F0A449">
      <w:pPr>
        <w:spacing w:line="360" w:lineRule="auto"/>
        <w:rPr>
          <w:rFonts w:eastAsia="仿宋" w:cs="Times New Roman (正文 CS 字体)"/>
          <w:highlight w:val="none"/>
        </w:rPr>
      </w:pPr>
      <w:r>
        <w:rPr>
          <w:rFonts w:eastAsia="仿宋" w:cs="Times New Roman (正文 CS 字体)"/>
          <w:highlight w:val="none"/>
        </w:rPr>
        <w:t>1.在本合同签订时，乙方应</w:t>
      </w:r>
      <w:r>
        <w:rPr>
          <w:rFonts w:hint="eastAsia" w:eastAsia="仿宋" w:cs="Times New Roman (正文 CS 字体)"/>
          <w:highlight w:val="none"/>
        </w:rPr>
        <w:t>提交经甲方认可的银行履约保函，保函金</w:t>
      </w:r>
      <w:r>
        <w:rPr>
          <w:rFonts w:eastAsia="仿宋" w:cs="Times New Roman (正文 CS 字体)"/>
          <w:highlight w:val="none"/>
        </w:rPr>
        <w:t>额为合同总价款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4F0155FF">
      <w:pPr>
        <w:spacing w:line="360" w:lineRule="auto"/>
        <w:rPr>
          <w:rFonts w:eastAsia="仿宋" w:cs="Times New Roman (正文 CS 字体)"/>
          <w:highlight w:val="none"/>
        </w:rPr>
      </w:pPr>
      <w:r>
        <w:rPr>
          <w:rFonts w:hint="eastAsia" w:eastAsia="仿宋" w:cs="Times New Roman (正文 CS 字体)"/>
          <w:highlight w:val="none"/>
        </w:rPr>
        <w:t>2</w:t>
      </w:r>
      <w:r>
        <w:rPr>
          <w:rFonts w:eastAsia="仿宋" w:cs="Times New Roman (正文 CS 字体)"/>
          <w:highlight w:val="none"/>
        </w:rPr>
        <w:t>.甲方有权在履约保函内提取任何乙方应付而未付之任何款项</w:t>
      </w:r>
      <w:bookmarkStart w:id="93" w:name="_Hlk18247249"/>
      <w:r>
        <w:rPr>
          <w:rFonts w:hint="eastAsia" w:eastAsia="仿宋" w:cs="Times New Roman (正文 CS 字体)"/>
          <w:highlight w:val="none"/>
        </w:rPr>
        <w:t>（包括但不限于合同约定的乙方应支付款项、甲方垫付的其他费用等），</w:t>
      </w:r>
      <w:bookmarkStart w:id="94" w:name="_Hlk17966884"/>
      <w:r>
        <w:rPr>
          <w:rFonts w:hint="eastAsia" w:eastAsia="仿宋" w:cs="Times New Roman (正文 CS 字体)"/>
          <w:highlight w:val="none"/>
        </w:rPr>
        <w:t>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bookmarkEnd w:id="93"/>
      <w:bookmarkEnd w:id="94"/>
      <w:r>
        <w:rPr>
          <w:rFonts w:eastAsia="仿宋" w:cs="Times New Roman (正文 CS 字体)"/>
          <w:highlight w:val="none"/>
        </w:rPr>
        <w:t>如甲方根据上述情况提取保函金额，乙方必须在该项提取发生之日起七个工作日内，补足至原履约保函金额</w:t>
      </w:r>
      <w:r>
        <w:rPr>
          <w:rFonts w:hint="eastAsia" w:eastAsia="仿宋" w:cs="Times New Roman (正文 CS 字体)"/>
          <w:highlight w:val="none"/>
        </w:rPr>
        <w:t>即元</w:t>
      </w:r>
      <w:r>
        <w:rPr>
          <w:rFonts w:eastAsia="仿宋" w:cs="Times New Roman (正文 CS 字体)"/>
          <w:highlight w:val="none"/>
        </w:rPr>
        <w:t>整，以保证合同履行期间履约保函的完整。如履约保函金额全部提取尚不能弥补甲方的损失，甲方有权另行向乙方主张赔偿。</w:t>
      </w:r>
      <w:r>
        <w:rPr>
          <w:rFonts w:hint="eastAsia" w:eastAsia="仿宋" w:cs="Times New Roman (正文 CS 字体)"/>
          <w:highlight w:val="none"/>
        </w:rPr>
        <w:t>（采用履约保函的方式时选用）</w:t>
      </w:r>
    </w:p>
    <w:p w14:paraId="19B7ADA3">
      <w:pPr>
        <w:spacing w:line="360" w:lineRule="auto"/>
        <w:rPr>
          <w:rFonts w:eastAsia="仿宋" w:cs="Times New Roman (正文 CS 字体)"/>
          <w:highlight w:val="none"/>
        </w:rPr>
      </w:pPr>
      <w:r>
        <w:rPr>
          <w:rFonts w:eastAsia="仿宋" w:cs="Times New Roman (正文 CS 字体)"/>
          <w:highlight w:val="none"/>
        </w:rPr>
        <w:t>3</w:t>
      </w:r>
      <w:r>
        <w:rPr>
          <w:rFonts w:hint="eastAsia" w:eastAsia="仿宋" w:cs="Times New Roman (正文 CS 字体)"/>
          <w:highlight w:val="none"/>
        </w:rPr>
        <w:t>.</w:t>
      </w:r>
      <w:r>
        <w:rPr>
          <w:rFonts w:eastAsia="仿宋" w:cs="Times New Roman (正文 CS 字体)"/>
          <w:highlight w:val="none"/>
        </w:rPr>
        <w:t>履约担保的有效期</w:t>
      </w:r>
      <w:r>
        <w:rPr>
          <w:rFonts w:hint="eastAsia" w:eastAsia="仿宋" w:cs="Times New Roman (正文 CS 字体)"/>
          <w:highlight w:val="none"/>
        </w:rPr>
        <w:t>（采用履约保函的方式时选用）</w:t>
      </w:r>
    </w:p>
    <w:p w14:paraId="6DB9DEE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s="Times New Roman (正文 CS 字体)"/>
          <w:highlight w:val="none"/>
        </w:rPr>
      </w:pPr>
      <w:r>
        <w:rPr>
          <w:rFonts w:eastAsia="仿宋" w:cs="Times New Roman (正文 CS 字体)"/>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2DEA6A2F">
      <w:pPr>
        <w:spacing w:line="360" w:lineRule="auto"/>
        <w:rPr>
          <w:rFonts w:eastAsia="仿宋" w:cs="Times New Roman (正文 CS 字体)"/>
          <w:highlight w:val="none"/>
        </w:rPr>
      </w:pPr>
      <w:r>
        <w:rPr>
          <w:rFonts w:hint="eastAsia" w:eastAsia="仿宋" w:cs="Times New Roman (正文 CS 字体)"/>
          <w:highlight w:val="none"/>
          <w:lang w:val="en-US" w:eastAsia="zh-CN"/>
        </w:rPr>
        <w:t xml:space="preserve">9.2 </w:t>
      </w:r>
      <w:r>
        <w:rPr>
          <w:rFonts w:hint="eastAsia" w:eastAsia="仿宋" w:cs="Times New Roman (正文 CS 字体)"/>
          <w:highlight w:val="none"/>
        </w:rPr>
        <w:t>履约担保</w:t>
      </w:r>
      <w:r>
        <w:rPr>
          <w:rFonts w:eastAsia="仿宋" w:cs="Times New Roman (正文 CS 字体)"/>
          <w:highlight w:val="none"/>
        </w:rPr>
        <w:t>的</w:t>
      </w:r>
      <w:r>
        <w:rPr>
          <w:rFonts w:hint="eastAsia" w:eastAsia="仿宋" w:cs="Times New Roman (正文 CS 字体)"/>
          <w:highlight w:val="none"/>
        </w:rPr>
        <w:t>退</w:t>
      </w:r>
      <w:r>
        <w:rPr>
          <w:rFonts w:eastAsia="仿宋" w:cs="Times New Roman (正文 CS 字体)"/>
          <w:highlight w:val="none"/>
        </w:rPr>
        <w:t>还</w:t>
      </w:r>
    </w:p>
    <w:bookmarkEnd w:id="91"/>
    <w:bookmarkEnd w:id="92"/>
    <w:p w14:paraId="2C0241D9">
      <w:pPr>
        <w:spacing w:line="360" w:lineRule="auto"/>
        <w:ind w:firstLine="420" w:firstLineChars="200"/>
        <w:rPr>
          <w:rFonts w:eastAsia="仿宋" w:cs="Times New Roman (正文 CS 字体)"/>
          <w:highlight w:val="none"/>
        </w:rPr>
      </w:pPr>
      <w:r>
        <w:rPr>
          <w:rFonts w:hint="eastAsia" w:eastAsia="仿宋" w:cs="Times New Roman (正文 CS 字体)"/>
          <w:highlight w:val="none"/>
          <w:lang w:val="en-US" w:eastAsia="zh-CN"/>
        </w:rPr>
        <w:t xml:space="preserve">乙方在本合同约定的服务期限届满并经甲方验收合格后30日内办理履约保证金（或履约保函）退还手续。 </w:t>
      </w:r>
    </w:p>
    <w:p w14:paraId="22A2AF58">
      <w:pPr>
        <w:spacing w:line="360" w:lineRule="auto"/>
        <w:rPr>
          <w:rFonts w:eastAsia="仿宋"/>
          <w:b/>
          <w:highlight w:val="none"/>
        </w:rPr>
      </w:pPr>
      <w:r>
        <w:rPr>
          <w:rFonts w:hint="eastAsia" w:eastAsia="仿宋"/>
          <w:b/>
          <w:highlight w:val="none"/>
        </w:rPr>
        <w:t>十、违约责任</w:t>
      </w:r>
    </w:p>
    <w:p w14:paraId="32217B45">
      <w:pPr>
        <w:spacing w:line="360" w:lineRule="auto"/>
        <w:rPr>
          <w:rFonts w:eastAsia="仿宋"/>
          <w:highlight w:val="none"/>
        </w:rPr>
      </w:pPr>
      <w:r>
        <w:rPr>
          <w:rFonts w:hint="eastAsia" w:eastAsia="仿宋"/>
          <w:highlight w:val="none"/>
        </w:rPr>
        <w:t>10</w:t>
      </w:r>
      <w:r>
        <w:rPr>
          <w:rFonts w:eastAsia="仿宋"/>
          <w:highlight w:val="none"/>
        </w:rPr>
        <w:t>.1</w:t>
      </w:r>
      <w:r>
        <w:rPr>
          <w:rFonts w:hint="eastAsia" w:eastAsia="仿宋"/>
          <w:highlight w:val="none"/>
          <w:lang w:val="en-US" w:eastAsia="zh-CN"/>
        </w:rPr>
        <w:t xml:space="preserve"> </w:t>
      </w:r>
      <w:r>
        <w:rPr>
          <w:rFonts w:hint="eastAsia" w:eastAsia="仿宋"/>
          <w:highlight w:val="none"/>
        </w:rPr>
        <w:t>在合同履行中，乙方不按照甲方的管理规定以及现场检查人员的施工管理要求进行施工的，每发现一次应向甲方支付1000元作为违约金，如同时给甲方造成损失的，乙方还应承担赔偿责任。</w:t>
      </w:r>
    </w:p>
    <w:p w14:paraId="308393AE">
      <w:pPr>
        <w:spacing w:line="360" w:lineRule="auto"/>
        <w:rPr>
          <w:rFonts w:hint="eastAsia" w:eastAsia="仿宋"/>
          <w:highlight w:val="none"/>
        </w:rPr>
      </w:pPr>
      <w:r>
        <w:rPr>
          <w:rFonts w:eastAsia="仿宋"/>
          <w:highlight w:val="none"/>
        </w:rPr>
        <w:t>10.2</w:t>
      </w:r>
      <w:r>
        <w:rPr>
          <w:rFonts w:hint="eastAsia" w:eastAsia="仿宋"/>
          <w:highlight w:val="none"/>
          <w:lang w:val="en-US" w:eastAsia="zh-CN"/>
        </w:rPr>
        <w:t xml:space="preserve"> </w:t>
      </w:r>
      <w:r>
        <w:rPr>
          <w:rFonts w:hint="eastAsia" w:eastAsia="仿宋"/>
          <w:highlight w:val="none"/>
        </w:rPr>
        <w:t>违反本合同第</w:t>
      </w:r>
      <w:r>
        <w:rPr>
          <w:rFonts w:eastAsia="仿宋"/>
          <w:highlight w:val="none"/>
        </w:rPr>
        <w:t>6.9</w:t>
      </w:r>
      <w:r>
        <w:rPr>
          <w:rFonts w:hint="eastAsia" w:eastAsia="仿宋"/>
          <w:highlight w:val="none"/>
        </w:rPr>
        <w:t>条规定，每发</w:t>
      </w:r>
      <w:r>
        <w:rPr>
          <w:rFonts w:hint="eastAsia" w:eastAsia="仿宋"/>
          <w:highlight w:val="none"/>
          <w:lang w:val="en-US" w:eastAsia="zh-CN"/>
        </w:rPr>
        <w:t>生一次</w:t>
      </w:r>
      <w:r>
        <w:rPr>
          <w:rFonts w:hint="eastAsia" w:eastAsia="仿宋"/>
          <w:highlight w:val="none"/>
        </w:rPr>
        <w:t>应向甲方支付</w:t>
      </w:r>
      <w:r>
        <w:rPr>
          <w:rFonts w:eastAsia="仿宋"/>
          <w:highlight w:val="none"/>
        </w:rPr>
        <w:t>1000</w:t>
      </w:r>
      <w:r>
        <w:rPr>
          <w:rFonts w:hint="eastAsia" w:eastAsia="仿宋"/>
          <w:highlight w:val="none"/>
        </w:rPr>
        <w:t>元作为违约金，如同时给甲方造成损失的，乙方还应承担赔偿责任。</w:t>
      </w:r>
    </w:p>
    <w:p w14:paraId="4A817B87">
      <w:pPr>
        <w:spacing w:line="360" w:lineRule="auto"/>
        <w:rPr>
          <w:rFonts w:eastAsia="仿宋"/>
        </w:rPr>
      </w:pPr>
      <w:r>
        <w:rPr>
          <w:rFonts w:hint="eastAsia" w:eastAsia="仿宋"/>
        </w:rPr>
        <w:t>10</w:t>
      </w:r>
      <w:r>
        <w:rPr>
          <w:rFonts w:eastAsia="仿宋"/>
        </w:rPr>
        <w:t>.</w:t>
      </w:r>
      <w:r>
        <w:rPr>
          <w:rFonts w:hint="eastAsia" w:eastAsia="仿宋"/>
        </w:rPr>
        <w:t>3</w:t>
      </w:r>
      <w:r>
        <w:rPr>
          <w:rFonts w:hint="eastAsia" w:eastAsia="仿宋"/>
          <w:lang w:val="en-US" w:eastAsia="zh-CN"/>
        </w:rPr>
        <w:t xml:space="preserve"> </w:t>
      </w:r>
      <w:r>
        <w:rPr>
          <w:rFonts w:hint="eastAsia" w:eastAsia="仿宋"/>
        </w:rPr>
        <w:t>乙方未能按照甲方审查确认的施工图纸或做法说明进行施工而造成的工程量变更，乙方不得提出费用增加的要求，甲方也不需为此支付额外的费用。</w:t>
      </w:r>
    </w:p>
    <w:p w14:paraId="5C873073">
      <w:pPr>
        <w:spacing w:line="360" w:lineRule="auto"/>
        <w:rPr>
          <w:rFonts w:eastAsia="仿宋"/>
        </w:rPr>
      </w:pPr>
      <w:r>
        <w:rPr>
          <w:rFonts w:hint="eastAsia" w:eastAsia="仿宋"/>
        </w:rPr>
        <w:t>10</w:t>
      </w:r>
      <w:r>
        <w:rPr>
          <w:rFonts w:eastAsia="仿宋"/>
        </w:rPr>
        <w:t>.</w:t>
      </w:r>
      <w:r>
        <w:rPr>
          <w:rFonts w:hint="eastAsia" w:eastAsia="仿宋"/>
        </w:rPr>
        <w:t>4</w:t>
      </w:r>
      <w:r>
        <w:rPr>
          <w:rFonts w:hint="eastAsia" w:eastAsia="仿宋"/>
          <w:lang w:val="en-US" w:eastAsia="zh-CN"/>
        </w:rPr>
        <w:t xml:space="preserve"> </w:t>
      </w:r>
      <w:r>
        <w:rPr>
          <w:rFonts w:hint="eastAsia" w:eastAsia="仿宋"/>
        </w:rPr>
        <w:t>由于乙方原因造成工程质量不合格或设计不符合双方约定的，乙方应按合同价款的</w:t>
      </w:r>
      <w:r>
        <w:rPr>
          <w:rFonts w:hint="eastAsia" w:eastAsia="仿宋"/>
          <w:u w:val="single"/>
        </w:rPr>
        <w:t>10%</w:t>
      </w:r>
      <w:r>
        <w:rPr>
          <w:rFonts w:hint="eastAsia" w:eastAsia="仿宋"/>
        </w:rPr>
        <w:t>向甲方支付违约金，并负责在本合同规定工期内返工至约定的质量标准要求，若违约金不足以弥补甲方的损失，乙方应足额赔偿甲方的损失。</w:t>
      </w:r>
    </w:p>
    <w:p w14:paraId="09CA3538">
      <w:pPr>
        <w:spacing w:line="360" w:lineRule="auto"/>
        <w:rPr>
          <w:rFonts w:eastAsia="仿宋"/>
        </w:rPr>
      </w:pPr>
      <w:r>
        <w:rPr>
          <w:rFonts w:hint="eastAsia" w:eastAsia="仿宋"/>
        </w:rPr>
        <w:t>10</w:t>
      </w:r>
      <w:r>
        <w:rPr>
          <w:rFonts w:eastAsia="仿宋"/>
        </w:rPr>
        <w:t>.</w:t>
      </w:r>
      <w:r>
        <w:rPr>
          <w:rFonts w:hint="eastAsia" w:eastAsia="仿宋"/>
        </w:rPr>
        <w:t>5</w:t>
      </w:r>
      <w:r>
        <w:rPr>
          <w:rFonts w:hint="eastAsia" w:eastAsia="仿宋"/>
          <w:lang w:val="en-US" w:eastAsia="zh-CN"/>
        </w:rPr>
        <w:t xml:space="preserve"> </w:t>
      </w:r>
      <w:r>
        <w:rPr>
          <w:rFonts w:hint="eastAsia" w:eastAsia="仿宋"/>
        </w:rPr>
        <w:t>乙方未能在规定日期内竣工验收并交付甲方使用的，每逾期一日，乙方须按合同价款的</w:t>
      </w:r>
      <w:r>
        <w:rPr>
          <w:rFonts w:hint="eastAsia" w:eastAsia="仿宋"/>
          <w:u w:val="single"/>
        </w:rPr>
        <w:t>0.5%</w:t>
      </w:r>
      <w:r>
        <w:rPr>
          <w:rFonts w:hint="eastAsia" w:eastAsia="仿宋"/>
        </w:rPr>
        <w:t>向甲方支付违约金。</w:t>
      </w:r>
    </w:p>
    <w:p w14:paraId="06CE7E5C">
      <w:pPr>
        <w:spacing w:line="360" w:lineRule="auto"/>
        <w:rPr>
          <w:rFonts w:eastAsia="仿宋"/>
        </w:rPr>
      </w:pPr>
      <w:r>
        <w:rPr>
          <w:rFonts w:hint="eastAsia" w:eastAsia="仿宋"/>
        </w:rPr>
        <w:t>10</w:t>
      </w:r>
      <w:r>
        <w:rPr>
          <w:rFonts w:eastAsia="仿宋"/>
        </w:rPr>
        <w:t>.</w:t>
      </w:r>
      <w:r>
        <w:rPr>
          <w:rFonts w:hint="eastAsia" w:eastAsia="仿宋"/>
        </w:rPr>
        <w:t>6</w:t>
      </w:r>
      <w:r>
        <w:rPr>
          <w:rFonts w:hint="eastAsia" w:eastAsia="仿宋"/>
          <w:lang w:val="en-US" w:eastAsia="zh-CN"/>
        </w:rPr>
        <w:t xml:space="preserve"> </w:t>
      </w:r>
      <w:r>
        <w:rPr>
          <w:rFonts w:hint="eastAsia" w:eastAsia="仿宋"/>
        </w:rPr>
        <w:t>乙方发生下列情形之一，甲方有权解除本合同</w:t>
      </w:r>
      <w:r>
        <w:rPr>
          <w:rFonts w:hint="eastAsia" w:eastAsia="仿宋"/>
          <w:lang w:val="en-US" w:eastAsia="zh-CN"/>
        </w:rPr>
        <w:t>并不予退还履约保证金，</w:t>
      </w:r>
      <w:r>
        <w:rPr>
          <w:rFonts w:hint="eastAsia" w:eastAsia="仿宋"/>
        </w:rPr>
        <w:t>甲方因合同解除而遭受损失的，乙方</w:t>
      </w:r>
      <w:r>
        <w:rPr>
          <w:rFonts w:hint="eastAsia" w:eastAsia="仿宋"/>
          <w:lang w:val="en-US" w:eastAsia="zh-CN"/>
        </w:rPr>
        <w:t>还</w:t>
      </w:r>
      <w:r>
        <w:rPr>
          <w:rFonts w:hint="eastAsia" w:eastAsia="仿宋"/>
        </w:rPr>
        <w:t>应承担赔偿责任：</w:t>
      </w:r>
    </w:p>
    <w:p w14:paraId="5F3FBCD4">
      <w:pPr>
        <w:spacing w:line="360" w:lineRule="auto"/>
        <w:rPr>
          <w:rFonts w:eastAsia="仿宋"/>
        </w:rPr>
      </w:pPr>
      <w:r>
        <w:rPr>
          <w:rFonts w:hint="eastAsia" w:eastAsia="仿宋"/>
        </w:rPr>
        <w:t>1）因乙方未能按照本合同规定，导致工程开工延误</w:t>
      </w:r>
      <w:r>
        <w:rPr>
          <w:rFonts w:hint="eastAsia" w:eastAsia="仿宋"/>
          <w:u w:val="single"/>
        </w:rPr>
        <w:t>20日</w:t>
      </w:r>
      <w:r>
        <w:rPr>
          <w:rFonts w:hint="eastAsia" w:eastAsia="仿宋"/>
        </w:rPr>
        <w:t>以上；</w:t>
      </w:r>
    </w:p>
    <w:p w14:paraId="57CC1CE5">
      <w:pPr>
        <w:spacing w:line="360" w:lineRule="auto"/>
        <w:rPr>
          <w:rFonts w:eastAsia="仿宋"/>
        </w:rPr>
      </w:pPr>
      <w:r>
        <w:rPr>
          <w:rFonts w:hint="eastAsia" w:eastAsia="仿宋"/>
        </w:rPr>
        <w:t>2）因乙方原因导致工程未能在本合同约定的期限内完工，且工期延误</w:t>
      </w:r>
      <w:r>
        <w:rPr>
          <w:rFonts w:hint="eastAsia" w:eastAsia="仿宋"/>
          <w:u w:val="single"/>
        </w:rPr>
        <w:t>30日</w:t>
      </w:r>
      <w:r>
        <w:rPr>
          <w:rFonts w:hint="eastAsia" w:eastAsia="仿宋"/>
        </w:rPr>
        <w:t>以上；</w:t>
      </w:r>
    </w:p>
    <w:p w14:paraId="581A71E4">
      <w:pPr>
        <w:spacing w:line="360" w:lineRule="auto"/>
        <w:rPr>
          <w:rFonts w:eastAsia="仿宋"/>
        </w:rPr>
      </w:pPr>
      <w:r>
        <w:rPr>
          <w:rFonts w:hint="eastAsia" w:eastAsia="仿宋"/>
        </w:rPr>
        <w:t>3）乙方违反本合同第六条的规定，导致发生安全事故的；</w:t>
      </w:r>
    </w:p>
    <w:p w14:paraId="377EB593">
      <w:pPr>
        <w:spacing w:line="360" w:lineRule="auto"/>
        <w:rPr>
          <w:rFonts w:eastAsia="仿宋"/>
        </w:rPr>
      </w:pPr>
      <w:r>
        <w:rPr>
          <w:rFonts w:hint="eastAsia" w:eastAsia="仿宋"/>
        </w:rPr>
        <w:t>4）乙方违反本合同项下的其他义务，并且在甲方发出违约通知后</w:t>
      </w:r>
      <w:r>
        <w:rPr>
          <w:rFonts w:hint="eastAsia" w:eastAsia="仿宋"/>
          <w:u w:val="single"/>
        </w:rPr>
        <w:t>10</w:t>
      </w:r>
      <w:r>
        <w:rPr>
          <w:rFonts w:hint="eastAsia" w:eastAsia="仿宋"/>
        </w:rPr>
        <w:t>天内或在违约通知限定的期限内仍未纠正，或纠正后仍不符合本合同的约定或甲方要求。</w:t>
      </w:r>
    </w:p>
    <w:p w14:paraId="46F65E24">
      <w:pPr>
        <w:spacing w:line="360" w:lineRule="auto"/>
        <w:rPr>
          <w:rFonts w:eastAsia="仿宋"/>
        </w:rPr>
      </w:pPr>
      <w:r>
        <w:rPr>
          <w:rFonts w:hint="eastAsia" w:eastAsia="仿宋"/>
        </w:rPr>
        <w:t>10</w:t>
      </w:r>
      <w:r>
        <w:rPr>
          <w:rFonts w:eastAsia="仿宋"/>
        </w:rPr>
        <w:t>.</w:t>
      </w:r>
      <w:r>
        <w:rPr>
          <w:rFonts w:hint="eastAsia" w:eastAsia="仿宋"/>
        </w:rPr>
        <w:t>7</w:t>
      </w:r>
      <w:r>
        <w:rPr>
          <w:rFonts w:hint="eastAsia" w:eastAsia="仿宋"/>
          <w:lang w:val="en-US" w:eastAsia="zh-CN"/>
        </w:rPr>
        <w:t xml:space="preserve"> </w:t>
      </w:r>
      <w:r>
        <w:rPr>
          <w:rFonts w:hint="eastAsia" w:eastAsia="仿宋"/>
        </w:rPr>
        <w:t>在合同履行期间，擅自解除合同方，应按合同总金额的20％作为违约金付给</w:t>
      </w:r>
      <w:r>
        <w:rPr>
          <w:rFonts w:hint="eastAsia" w:eastAsia="仿宋"/>
          <w:lang w:val="en-US" w:eastAsia="zh-CN"/>
        </w:rPr>
        <w:t>守约</w:t>
      </w:r>
      <w:r>
        <w:rPr>
          <w:rFonts w:hint="eastAsia" w:eastAsia="仿宋"/>
        </w:rPr>
        <w:t>方。因擅自解除合同，使对方造成的实际损失超过违约金的，责任方应足额赔偿另一方损失。</w:t>
      </w:r>
    </w:p>
    <w:p w14:paraId="26ED1767">
      <w:pPr>
        <w:pageBreakBefore w:val="0"/>
        <w:kinsoku/>
        <w:wordWrap/>
        <w:overflowPunct/>
        <w:topLinePunct w:val="0"/>
        <w:bidi w:val="0"/>
        <w:snapToGrid/>
        <w:spacing w:line="360" w:lineRule="auto"/>
        <w:textAlignment w:val="auto"/>
        <w:rPr>
          <w:rFonts w:hint="eastAsia" w:eastAsia="仿宋"/>
        </w:rPr>
      </w:pPr>
      <w:r>
        <w:rPr>
          <w:rFonts w:hint="eastAsia" w:eastAsia="仿宋"/>
        </w:rPr>
        <w:t>10</w:t>
      </w:r>
      <w:r>
        <w:rPr>
          <w:rFonts w:eastAsia="仿宋"/>
        </w:rPr>
        <w:t>.</w:t>
      </w:r>
      <w:r>
        <w:rPr>
          <w:rFonts w:hint="eastAsia" w:eastAsia="仿宋"/>
        </w:rPr>
        <w:t>8</w:t>
      </w:r>
      <w:r>
        <w:rPr>
          <w:rFonts w:hint="eastAsia" w:eastAsia="仿宋"/>
          <w:lang w:val="en-US" w:eastAsia="zh-CN"/>
        </w:rPr>
        <w:t xml:space="preserve"> </w:t>
      </w:r>
      <w:r>
        <w:rPr>
          <w:rFonts w:hint="eastAsia" w:ascii="仿宋" w:hAnsi="仿宋" w:eastAsia="仿宋" w:cs="仿宋"/>
          <w:sz w:val="24"/>
          <w:szCs w:val="24"/>
          <w:lang w:eastAsia="zh-CN"/>
        </w:rPr>
        <w:t>本合同所称不可抗力事件指合同当事人不能预见、不能避免、不能克服的客观情况，包括但不限于地震、</w:t>
      </w:r>
      <w:r>
        <w:rPr>
          <w:rFonts w:hint="eastAsia" w:ascii="仿宋" w:hAnsi="仿宋" w:eastAsia="仿宋" w:cs="仿宋"/>
          <w:sz w:val="24"/>
          <w:szCs w:val="24"/>
          <w:lang w:val="en-US" w:eastAsia="zh-CN"/>
        </w:rPr>
        <w:t>火灾、</w:t>
      </w:r>
      <w:r>
        <w:rPr>
          <w:rFonts w:hint="eastAsia" w:ascii="仿宋" w:hAnsi="仿宋" w:eastAsia="仿宋" w:cs="仿宋"/>
          <w:sz w:val="24"/>
          <w:szCs w:val="24"/>
          <w:lang w:eastAsia="zh-CN"/>
        </w:rPr>
        <w:t>水灾、雷击、雪灾等天灾，战争、恐怖袭击、内乱、</w:t>
      </w:r>
      <w:r>
        <w:rPr>
          <w:rFonts w:hint="eastAsia" w:ascii="仿宋" w:hAnsi="仿宋" w:eastAsia="仿宋" w:cs="仿宋"/>
          <w:sz w:val="24"/>
          <w:szCs w:val="24"/>
          <w:lang w:val="en-US" w:eastAsia="zh-CN"/>
        </w:rPr>
        <w:t>疫情等</w:t>
      </w:r>
      <w:r>
        <w:rPr>
          <w:rFonts w:hint="eastAsia" w:ascii="仿宋" w:hAnsi="仿宋" w:eastAsia="仿宋" w:cs="仿宋"/>
          <w:sz w:val="24"/>
          <w:szCs w:val="24"/>
          <w:lang w:eastAsia="zh-CN"/>
        </w:rPr>
        <w:t>严重威胁安全或健康的情形。</w:t>
      </w:r>
      <w:r>
        <w:rPr>
          <w:rFonts w:hint="eastAsia" w:eastAsia="仿宋"/>
        </w:rPr>
        <w:t>因不可抗力使本合同的履行受到影响的，受不可抗力影响方应于该事由发生后</w:t>
      </w:r>
      <w:r>
        <w:rPr>
          <w:rFonts w:hint="eastAsia" w:eastAsia="仿宋"/>
          <w:u w:val="single"/>
        </w:rPr>
        <w:t>10</w:t>
      </w:r>
      <w:r>
        <w:rPr>
          <w:rFonts w:hint="eastAsia" w:eastAsia="仿宋"/>
        </w:rPr>
        <w:t>日内通知对方并提供相关证明。双方可根据受不可抗力影响的程度决定全部或部分免除本合同项下义务或解除本合同。因不可抗力导致的合同义务减免或合同终止，双方均不承担责任。</w:t>
      </w:r>
    </w:p>
    <w:p w14:paraId="03D2E371">
      <w:pPr>
        <w:spacing w:line="360" w:lineRule="auto"/>
        <w:rPr>
          <w:rFonts w:hint="eastAsia" w:eastAsia="仿宋"/>
          <w:b/>
          <w:lang w:eastAsia="zh-CN"/>
        </w:rPr>
      </w:pPr>
      <w:bookmarkStart w:id="95" w:name="_Toc424651548"/>
      <w:r>
        <w:rPr>
          <w:rFonts w:hint="eastAsia" w:eastAsia="仿宋"/>
          <w:b/>
          <w:lang w:val="en-US" w:eastAsia="zh-CN"/>
        </w:rPr>
        <w:t>十一、</w:t>
      </w:r>
      <w:r>
        <w:rPr>
          <w:rFonts w:hint="eastAsia" w:eastAsia="仿宋"/>
          <w:b/>
          <w:lang w:eastAsia="zh-CN"/>
        </w:rPr>
        <w:t>通知</w:t>
      </w:r>
      <w:bookmarkEnd w:id="95"/>
    </w:p>
    <w:p w14:paraId="705DF8D7">
      <w:pPr>
        <w:spacing w:line="360" w:lineRule="auto"/>
        <w:rPr>
          <w:rFonts w:hint="eastAsia" w:eastAsia="仿宋"/>
          <w:b w:val="0"/>
          <w:bCs/>
          <w:lang w:eastAsia="zh-CN"/>
        </w:rPr>
      </w:pPr>
      <w:r>
        <w:rPr>
          <w:rFonts w:hint="eastAsia" w:eastAsia="仿宋"/>
          <w:b w:val="0"/>
          <w:bCs/>
          <w:lang w:val="en-US" w:eastAsia="zh-CN"/>
        </w:rPr>
        <w:t xml:space="preserve">11.1 </w:t>
      </w:r>
      <w:r>
        <w:rPr>
          <w:rFonts w:hint="eastAsia" w:eastAsia="仿宋"/>
          <w:b w:val="0"/>
          <w:bCs/>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5ABBDB6">
      <w:pPr>
        <w:spacing w:line="360" w:lineRule="auto"/>
        <w:rPr>
          <w:rFonts w:hint="eastAsia" w:eastAsia="仿宋"/>
          <w:b w:val="0"/>
          <w:bCs/>
          <w:lang w:eastAsia="zh-CN"/>
        </w:rPr>
      </w:pPr>
      <w:r>
        <w:rPr>
          <w:rFonts w:hint="eastAsia" w:eastAsia="仿宋"/>
          <w:b w:val="0"/>
          <w:bCs/>
          <w:lang w:eastAsia="zh-CN"/>
        </w:rPr>
        <w:t>各方的联络及通讯方法以各方的下列信息为准：</w:t>
      </w:r>
    </w:p>
    <w:p w14:paraId="7E86F170">
      <w:pPr>
        <w:spacing w:line="360" w:lineRule="auto"/>
        <w:rPr>
          <w:rFonts w:hint="eastAsia" w:eastAsia="仿宋"/>
          <w:b w:val="0"/>
          <w:bCs/>
          <w:lang w:val="en-US" w:eastAsia="zh-CN"/>
        </w:rPr>
      </w:pPr>
      <w:r>
        <w:rPr>
          <w:rFonts w:hint="eastAsia" w:eastAsia="仿宋"/>
          <w:b w:val="0"/>
          <w:bCs/>
          <w:lang w:val="en-US" w:eastAsia="zh-CN"/>
        </w:rPr>
        <w:t xml:space="preserve">甲方： </w:t>
      </w:r>
    </w:p>
    <w:p w14:paraId="6E06AA81">
      <w:pPr>
        <w:spacing w:line="360" w:lineRule="auto"/>
        <w:rPr>
          <w:rFonts w:hint="eastAsia" w:eastAsia="仿宋"/>
          <w:b w:val="0"/>
          <w:bCs/>
          <w:lang w:eastAsia="zh-CN"/>
        </w:rPr>
      </w:pPr>
      <w:r>
        <w:rPr>
          <w:rFonts w:hint="eastAsia" w:eastAsia="仿宋"/>
          <w:b w:val="0"/>
          <w:bCs/>
          <w:lang w:eastAsia="zh-CN"/>
        </w:rPr>
        <w:t>地址：_____________________</w:t>
      </w:r>
    </w:p>
    <w:p w14:paraId="0E3D4F52">
      <w:pPr>
        <w:spacing w:line="360" w:lineRule="auto"/>
        <w:rPr>
          <w:rFonts w:hint="eastAsia" w:eastAsia="仿宋"/>
          <w:b w:val="0"/>
          <w:bCs/>
          <w:lang w:eastAsia="zh-CN"/>
        </w:rPr>
      </w:pPr>
      <w:r>
        <w:rPr>
          <w:rFonts w:hint="eastAsia" w:eastAsia="仿宋"/>
          <w:b w:val="0"/>
          <w:bCs/>
          <w:lang w:eastAsia="zh-CN"/>
        </w:rPr>
        <w:t>电话：_____________________</w:t>
      </w:r>
    </w:p>
    <w:p w14:paraId="3C608947">
      <w:pPr>
        <w:spacing w:line="360" w:lineRule="auto"/>
        <w:rPr>
          <w:rFonts w:hint="eastAsia" w:eastAsia="仿宋"/>
          <w:b w:val="0"/>
          <w:bCs/>
          <w:lang w:eastAsia="zh-CN"/>
        </w:rPr>
      </w:pPr>
      <w:r>
        <w:rPr>
          <w:rFonts w:hint="eastAsia" w:eastAsia="仿宋"/>
          <w:b w:val="0"/>
          <w:bCs/>
          <w:lang w:eastAsia="zh-CN"/>
        </w:rPr>
        <w:t>收件人：_____________________</w:t>
      </w:r>
    </w:p>
    <w:p w14:paraId="30211E70">
      <w:pPr>
        <w:spacing w:line="360" w:lineRule="auto"/>
        <w:rPr>
          <w:rFonts w:hint="eastAsia" w:eastAsia="仿宋"/>
          <w:b w:val="0"/>
          <w:bCs/>
          <w:lang w:eastAsia="zh-CN"/>
        </w:rPr>
      </w:pPr>
      <w:r>
        <w:rPr>
          <w:rFonts w:hint="eastAsia" w:eastAsia="仿宋"/>
          <w:b w:val="0"/>
          <w:bCs/>
          <w:lang w:eastAsia="zh-CN"/>
        </w:rPr>
        <w:t>联系人：_____________________</w:t>
      </w:r>
    </w:p>
    <w:p w14:paraId="5D70738B">
      <w:pPr>
        <w:spacing w:line="360" w:lineRule="auto"/>
        <w:rPr>
          <w:rFonts w:hint="eastAsia" w:eastAsia="仿宋"/>
          <w:b w:val="0"/>
          <w:bCs/>
          <w:lang w:eastAsia="zh-CN"/>
        </w:rPr>
      </w:pPr>
    </w:p>
    <w:p w14:paraId="743D5C09">
      <w:pPr>
        <w:spacing w:line="360" w:lineRule="auto"/>
        <w:rPr>
          <w:rFonts w:hint="eastAsia" w:eastAsia="仿宋"/>
          <w:b w:val="0"/>
          <w:bCs/>
          <w:lang w:eastAsia="zh-CN"/>
        </w:rPr>
      </w:pPr>
      <w:r>
        <w:rPr>
          <w:rFonts w:hint="eastAsia" w:eastAsia="仿宋"/>
          <w:b w:val="0"/>
          <w:bCs/>
          <w:lang w:eastAsia="zh-CN"/>
        </w:rPr>
        <w:t>乙方：</w:t>
      </w:r>
    </w:p>
    <w:p w14:paraId="5DC89FF7">
      <w:pPr>
        <w:spacing w:line="360" w:lineRule="auto"/>
        <w:rPr>
          <w:rFonts w:hint="eastAsia" w:eastAsia="仿宋"/>
          <w:b w:val="0"/>
          <w:bCs/>
          <w:lang w:eastAsia="zh-CN"/>
        </w:rPr>
      </w:pPr>
      <w:r>
        <w:rPr>
          <w:rFonts w:hint="eastAsia" w:eastAsia="仿宋"/>
          <w:b w:val="0"/>
          <w:bCs/>
          <w:lang w:eastAsia="zh-CN"/>
        </w:rPr>
        <w:t>地址：_____________________</w:t>
      </w:r>
    </w:p>
    <w:p w14:paraId="573A37F1">
      <w:pPr>
        <w:spacing w:line="360" w:lineRule="auto"/>
        <w:rPr>
          <w:rFonts w:hint="eastAsia" w:eastAsia="仿宋"/>
          <w:b w:val="0"/>
          <w:bCs/>
          <w:lang w:eastAsia="zh-CN"/>
        </w:rPr>
      </w:pPr>
      <w:r>
        <w:rPr>
          <w:rFonts w:hint="eastAsia" w:eastAsia="仿宋"/>
          <w:b w:val="0"/>
          <w:bCs/>
          <w:lang w:eastAsia="zh-CN"/>
        </w:rPr>
        <w:t>电话：_____________________</w:t>
      </w:r>
    </w:p>
    <w:p w14:paraId="75D5F75A">
      <w:pPr>
        <w:spacing w:line="360" w:lineRule="auto"/>
        <w:rPr>
          <w:rFonts w:hint="eastAsia" w:eastAsia="仿宋"/>
          <w:b w:val="0"/>
          <w:bCs/>
          <w:lang w:eastAsia="zh-CN"/>
        </w:rPr>
      </w:pPr>
      <w:r>
        <w:rPr>
          <w:rFonts w:hint="eastAsia" w:eastAsia="仿宋"/>
          <w:b w:val="0"/>
          <w:bCs/>
          <w:lang w:eastAsia="zh-CN"/>
        </w:rPr>
        <w:t>收件人：____________________</w:t>
      </w:r>
    </w:p>
    <w:p w14:paraId="6FC567FA">
      <w:pPr>
        <w:spacing w:line="360" w:lineRule="auto"/>
        <w:rPr>
          <w:rFonts w:hint="eastAsia" w:eastAsia="仿宋"/>
          <w:b w:val="0"/>
          <w:bCs/>
          <w:lang w:eastAsia="zh-CN"/>
        </w:rPr>
      </w:pPr>
      <w:r>
        <w:rPr>
          <w:rFonts w:hint="eastAsia" w:eastAsia="仿宋"/>
          <w:b w:val="0"/>
          <w:bCs/>
          <w:lang w:eastAsia="zh-CN"/>
        </w:rPr>
        <w:t>联系人：__________________</w:t>
      </w:r>
    </w:p>
    <w:p w14:paraId="127EBB1F">
      <w:pPr>
        <w:spacing w:line="360" w:lineRule="auto"/>
        <w:rPr>
          <w:rFonts w:hint="eastAsia" w:eastAsia="仿宋"/>
          <w:b w:val="0"/>
          <w:bCs/>
          <w:lang w:val="en-US" w:eastAsia="zh-CN"/>
        </w:rPr>
      </w:pPr>
      <w:r>
        <w:rPr>
          <w:rFonts w:hint="eastAsia" w:eastAsia="仿宋"/>
          <w:b w:val="0"/>
          <w:bCs/>
          <w:lang w:val="en-US" w:eastAsia="zh-CN"/>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1179729">
      <w:pPr>
        <w:spacing w:line="360" w:lineRule="auto"/>
        <w:rPr>
          <w:rFonts w:hint="eastAsia" w:eastAsia="仿宋"/>
          <w:b w:val="0"/>
          <w:bCs/>
        </w:rPr>
      </w:pPr>
      <w:r>
        <w:rPr>
          <w:rFonts w:hint="eastAsia" w:eastAsia="仿宋"/>
          <w:b w:val="0"/>
          <w:bCs/>
          <w:lang w:val="en-US" w:eastAsia="zh-CN"/>
        </w:rPr>
        <w:t>11.3 本条款为独立条款，不受协议整体或其他条款的效力的影响，始终有效。</w:t>
      </w:r>
    </w:p>
    <w:p w14:paraId="5821E501">
      <w:pPr>
        <w:spacing w:line="360" w:lineRule="auto"/>
        <w:rPr>
          <w:rFonts w:eastAsia="仿宋"/>
          <w:b/>
        </w:rPr>
      </w:pPr>
      <w:r>
        <w:rPr>
          <w:rFonts w:hint="eastAsia" w:eastAsia="仿宋"/>
          <w:b/>
        </w:rPr>
        <w:t>十</w:t>
      </w:r>
      <w:r>
        <w:rPr>
          <w:rFonts w:hint="eastAsia" w:eastAsia="仿宋"/>
          <w:b/>
          <w:lang w:val="en-US" w:eastAsia="zh-CN"/>
        </w:rPr>
        <w:t>二</w:t>
      </w:r>
      <w:r>
        <w:rPr>
          <w:rFonts w:hint="eastAsia" w:eastAsia="仿宋"/>
          <w:b/>
        </w:rPr>
        <w:t>、争议解决</w:t>
      </w:r>
    </w:p>
    <w:p w14:paraId="0A93F26D">
      <w:pPr>
        <w:spacing w:line="360" w:lineRule="auto"/>
        <w:ind w:firstLine="420" w:firstLineChars="200"/>
        <w:rPr>
          <w:rFonts w:hint="eastAsia" w:eastAsia="仿宋"/>
          <w:b/>
          <w:lang w:val="en-US" w:eastAsia="zh-CN"/>
        </w:rPr>
      </w:pPr>
      <w:r>
        <w:rPr>
          <w:rFonts w:hint="eastAsia" w:eastAsia="仿宋"/>
        </w:rPr>
        <w:t>因履行合同所发生的或与本合同有关的一切争议，双方应通过友好协商解决。如果双方协商不成，任何一方可向</w:t>
      </w:r>
      <w:r>
        <w:rPr>
          <w:rFonts w:hint="eastAsia" w:eastAsia="仿宋"/>
          <w:lang w:val="en-US" w:eastAsia="zh-CN"/>
        </w:rPr>
        <w:t>甲方</w:t>
      </w:r>
      <w:r>
        <w:rPr>
          <w:rFonts w:hint="eastAsia" w:eastAsia="仿宋"/>
        </w:rPr>
        <w:t>所在地有管辖权的人民法院起诉。</w:t>
      </w:r>
    </w:p>
    <w:p w14:paraId="34F2CA80">
      <w:pPr>
        <w:spacing w:line="360" w:lineRule="auto"/>
        <w:rPr>
          <w:rFonts w:hint="default" w:eastAsia="仿宋"/>
          <w:b/>
          <w:lang w:val="en-US" w:eastAsia="zh-CN"/>
        </w:rPr>
      </w:pPr>
      <w:r>
        <w:rPr>
          <w:rFonts w:hint="eastAsia" w:eastAsia="仿宋"/>
          <w:b/>
          <w:lang w:val="en-US" w:eastAsia="zh-CN"/>
        </w:rPr>
        <w:t>十三、廉洁规范条款</w:t>
      </w:r>
    </w:p>
    <w:p w14:paraId="395FE2DD">
      <w:pPr>
        <w:spacing w:line="360" w:lineRule="auto"/>
        <w:ind w:firstLine="420" w:firstLineChars="200"/>
        <w:rPr>
          <w:rFonts w:hint="eastAsia" w:eastAsia="仿宋"/>
          <w:lang w:val="zh-CN"/>
        </w:rPr>
      </w:pPr>
      <w:r>
        <w:rPr>
          <w:rFonts w:hint="eastAsia" w:eastAsia="仿宋"/>
          <w:lang w:val="en-US" w:eastAsia="zh-CN"/>
        </w:rPr>
        <w:t>合同各方</w:t>
      </w:r>
      <w:r>
        <w:rPr>
          <w:rFonts w:hint="eastAsia" w:eastAsia="仿宋"/>
        </w:rPr>
        <w:t>承诺：在</w:t>
      </w:r>
      <w:r>
        <w:rPr>
          <w:rFonts w:hint="eastAsia" w:eastAsia="仿宋"/>
          <w:lang w:val="en-US" w:eastAsia="zh-CN"/>
        </w:rPr>
        <w:t>本项目实施</w:t>
      </w:r>
      <w:r>
        <w:rPr>
          <w:rFonts w:hint="eastAsia" w:eastAsia="仿宋"/>
        </w:rPr>
        <w:t>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w:t>
      </w:r>
      <w:r>
        <w:rPr>
          <w:rFonts w:hint="eastAsia" w:eastAsia="仿宋"/>
          <w:lang w:eastAsia="zh-CN"/>
        </w:rPr>
        <w:t>合同，</w:t>
      </w:r>
      <w:r>
        <w:rPr>
          <w:rFonts w:hint="eastAsia" w:ascii="仿宋" w:hAnsi="仿宋" w:eastAsia="仿宋" w:cs="仿宋"/>
          <w:color w:val="000000"/>
          <w:sz w:val="24"/>
          <w:lang w:val="en-US" w:eastAsia="zh-CN"/>
        </w:rPr>
        <w:t>甲方解除本合同的，有权不予退还乙方履约保证金</w:t>
      </w:r>
      <w:r>
        <w:rPr>
          <w:rFonts w:hint="eastAsia" w:eastAsia="仿宋"/>
        </w:rPr>
        <w:t>。</w:t>
      </w:r>
    </w:p>
    <w:p w14:paraId="5F5EB6C0">
      <w:pPr>
        <w:spacing w:line="360" w:lineRule="auto"/>
        <w:rPr>
          <w:rFonts w:eastAsia="仿宋"/>
          <w:b/>
        </w:rPr>
      </w:pPr>
      <w:r>
        <w:rPr>
          <w:rFonts w:hint="eastAsia" w:eastAsia="仿宋"/>
          <w:b/>
        </w:rPr>
        <w:t>十</w:t>
      </w:r>
      <w:r>
        <w:rPr>
          <w:rFonts w:hint="eastAsia" w:eastAsia="仿宋"/>
          <w:b/>
          <w:lang w:val="en-US" w:eastAsia="zh-CN"/>
        </w:rPr>
        <w:t>四</w:t>
      </w:r>
      <w:r>
        <w:rPr>
          <w:rFonts w:hint="eastAsia" w:eastAsia="仿宋"/>
          <w:b/>
        </w:rPr>
        <w:t>、附则</w:t>
      </w:r>
    </w:p>
    <w:p w14:paraId="21516AD2">
      <w:pPr>
        <w:spacing w:line="360" w:lineRule="auto"/>
        <w:rPr>
          <w:rFonts w:eastAsia="仿宋"/>
          <w:highlight w:val="none"/>
        </w:rPr>
      </w:pPr>
      <w:r>
        <w:rPr>
          <w:rFonts w:eastAsia="仿宋"/>
        </w:rPr>
        <w:t>1</w:t>
      </w:r>
      <w:r>
        <w:rPr>
          <w:rFonts w:hint="eastAsia" w:eastAsia="仿宋"/>
          <w:lang w:val="en-US" w:eastAsia="zh-CN"/>
        </w:rPr>
        <w:t>4</w:t>
      </w:r>
      <w:r>
        <w:rPr>
          <w:rFonts w:eastAsia="仿宋"/>
        </w:rPr>
        <w:t xml:space="preserve">.1 </w:t>
      </w:r>
      <w:bookmarkStart w:id="96" w:name="_Toc478650037"/>
      <w:r>
        <w:rPr>
          <w:rFonts w:hint="eastAsia" w:eastAsia="仿宋"/>
        </w:rPr>
        <w:t>本合同经甲、乙双方法定代表人或授权代表人签</w:t>
      </w:r>
      <w:r>
        <w:rPr>
          <w:rFonts w:hint="eastAsia" w:eastAsia="仿宋"/>
          <w:highlight w:val="none"/>
        </w:rPr>
        <w:t>名</w:t>
      </w:r>
      <w:r>
        <w:rPr>
          <w:rFonts w:hint="eastAsia" w:eastAsia="仿宋"/>
          <w:highlight w:val="none"/>
          <w:lang w:val="en-US" w:eastAsia="zh-CN"/>
        </w:rPr>
        <w:t>（如为授权代表签名，乙方需提交法定代表人授权委托书</w:t>
      </w:r>
      <w:r>
        <w:rPr>
          <w:rFonts w:hint="eastAsia" w:eastAsia="仿宋"/>
          <w:highlight w:val="none"/>
          <w:lang w:eastAsia="zh-CN"/>
        </w:rPr>
        <w:t>）</w:t>
      </w:r>
      <w:r>
        <w:rPr>
          <w:rFonts w:hint="eastAsia" w:eastAsia="仿宋"/>
          <w:highlight w:val="none"/>
        </w:rPr>
        <w:t>并加盖单位公章或者合同专用章后生效。</w:t>
      </w:r>
      <w:r>
        <w:rPr>
          <w:rFonts w:eastAsia="仿宋"/>
          <w:highlight w:val="none"/>
        </w:rPr>
        <w:t>未尽事宜，双方根据需要，经协商可另外签订补充</w:t>
      </w:r>
      <w:r>
        <w:rPr>
          <w:rFonts w:hint="eastAsia" w:eastAsia="仿宋"/>
          <w:highlight w:val="none"/>
          <w:lang w:eastAsia="zh-CN"/>
        </w:rPr>
        <w:t>合同</w:t>
      </w:r>
      <w:r>
        <w:rPr>
          <w:rFonts w:eastAsia="仿宋"/>
          <w:highlight w:val="none"/>
        </w:rPr>
        <w:t>。</w:t>
      </w:r>
      <w:bookmarkEnd w:id="96"/>
    </w:p>
    <w:p w14:paraId="0A67CA98">
      <w:pPr>
        <w:spacing w:line="360" w:lineRule="auto"/>
        <w:rPr>
          <w:rFonts w:eastAsia="仿宋"/>
        </w:rPr>
      </w:pPr>
      <w:r>
        <w:rPr>
          <w:rFonts w:eastAsia="仿宋"/>
          <w:highlight w:val="none"/>
        </w:rPr>
        <w:t>1</w:t>
      </w:r>
      <w:r>
        <w:rPr>
          <w:rFonts w:hint="eastAsia" w:eastAsia="仿宋"/>
          <w:highlight w:val="none"/>
          <w:lang w:val="en-US" w:eastAsia="zh-CN"/>
        </w:rPr>
        <w:t>4</w:t>
      </w:r>
      <w:r>
        <w:rPr>
          <w:rFonts w:eastAsia="仿宋"/>
          <w:highlight w:val="none"/>
        </w:rPr>
        <w:t>.2 本合同一式</w:t>
      </w:r>
      <w:r>
        <w:rPr>
          <w:rFonts w:eastAsia="仿宋"/>
          <w:highlight w:val="none"/>
          <w:u w:val="single"/>
        </w:rPr>
        <w:t>9</w:t>
      </w:r>
      <w:r>
        <w:rPr>
          <w:rFonts w:eastAsia="仿宋"/>
          <w:highlight w:val="none"/>
        </w:rPr>
        <w:t>份，其中正本</w:t>
      </w:r>
      <w:r>
        <w:rPr>
          <w:rFonts w:eastAsia="仿宋"/>
          <w:highlight w:val="none"/>
          <w:u w:val="single"/>
        </w:rPr>
        <w:t>3</w:t>
      </w:r>
      <w:r>
        <w:rPr>
          <w:rFonts w:eastAsia="仿宋"/>
          <w:highlight w:val="none"/>
        </w:rPr>
        <w:t>份，甲方执</w:t>
      </w:r>
      <w:r>
        <w:rPr>
          <w:rFonts w:eastAsia="仿宋"/>
          <w:highlight w:val="none"/>
          <w:u w:val="single"/>
        </w:rPr>
        <w:t>1</w:t>
      </w:r>
      <w:r>
        <w:rPr>
          <w:rFonts w:eastAsia="仿宋"/>
          <w:highlight w:val="none"/>
        </w:rPr>
        <w:t>份，乙方执</w:t>
      </w:r>
      <w:r>
        <w:rPr>
          <w:rFonts w:eastAsia="仿宋"/>
          <w:u w:val="single"/>
        </w:rPr>
        <w:t>2</w:t>
      </w:r>
      <w:r>
        <w:rPr>
          <w:rFonts w:eastAsia="仿宋"/>
        </w:rPr>
        <w:t>份；副本</w:t>
      </w:r>
      <w:r>
        <w:rPr>
          <w:rFonts w:eastAsia="仿宋"/>
          <w:u w:val="single"/>
        </w:rPr>
        <w:t>6</w:t>
      </w:r>
      <w:r>
        <w:rPr>
          <w:rFonts w:eastAsia="仿宋"/>
        </w:rPr>
        <w:t>份，甲方执</w:t>
      </w:r>
      <w:r>
        <w:rPr>
          <w:rFonts w:eastAsia="仿宋"/>
          <w:u w:val="single"/>
        </w:rPr>
        <w:t>4</w:t>
      </w:r>
      <w:r>
        <w:rPr>
          <w:rFonts w:eastAsia="仿宋"/>
        </w:rPr>
        <w:t>份，乙方执</w:t>
      </w:r>
      <w:r>
        <w:rPr>
          <w:rFonts w:eastAsia="仿宋"/>
          <w:u w:val="single"/>
        </w:rPr>
        <w:t>2</w:t>
      </w:r>
      <w:r>
        <w:rPr>
          <w:rFonts w:eastAsia="仿宋"/>
        </w:rPr>
        <w:t>份；</w:t>
      </w:r>
      <w:r>
        <w:rPr>
          <w:rFonts w:hint="eastAsia" w:eastAsia="仿宋"/>
        </w:rPr>
        <w:t>正本和副本</w:t>
      </w:r>
      <w:r>
        <w:rPr>
          <w:rFonts w:eastAsia="仿宋"/>
        </w:rPr>
        <w:t>具有同等的法律效力</w:t>
      </w:r>
      <w:r>
        <w:rPr>
          <w:rFonts w:hint="eastAsia" w:eastAsia="仿宋"/>
        </w:rPr>
        <w:t>，如有互相矛盾之处，以正本为准。</w:t>
      </w:r>
    </w:p>
    <w:p w14:paraId="681D6EC2">
      <w:pPr>
        <w:spacing w:line="360" w:lineRule="auto"/>
        <w:rPr>
          <w:rFonts w:eastAsia="仿宋"/>
        </w:rPr>
      </w:pPr>
      <w:r>
        <w:rPr>
          <w:rFonts w:hint="eastAsia" w:eastAsia="仿宋"/>
        </w:rPr>
        <w:t>1</w:t>
      </w:r>
      <w:r>
        <w:rPr>
          <w:rFonts w:hint="eastAsia" w:eastAsia="仿宋"/>
          <w:lang w:val="en-US" w:eastAsia="zh-CN"/>
        </w:rPr>
        <w:t>4</w:t>
      </w:r>
      <w:r>
        <w:rPr>
          <w:rFonts w:hint="eastAsia" w:eastAsia="仿宋"/>
        </w:rPr>
        <w:t>.3</w:t>
      </w:r>
      <w:r>
        <w:rPr>
          <w:rFonts w:hint="eastAsia" w:eastAsia="仿宋"/>
          <w:lang w:val="en-US" w:eastAsia="zh-CN"/>
        </w:rPr>
        <w:t xml:space="preserve"> </w:t>
      </w:r>
      <w:r>
        <w:rPr>
          <w:rFonts w:hint="eastAsia" w:eastAsia="仿宋"/>
        </w:rPr>
        <w:t>本合同的附件内容作为合同的组成部分，与本合同具有同等法律效力。</w:t>
      </w:r>
    </w:p>
    <w:p w14:paraId="3B7996CC">
      <w:pPr>
        <w:spacing w:line="360" w:lineRule="auto"/>
        <w:rPr>
          <w:rFonts w:eastAsia="仿宋"/>
          <w:b/>
          <w:bCs/>
        </w:rPr>
      </w:pPr>
      <w:r>
        <w:rPr>
          <w:rFonts w:hint="eastAsia" w:eastAsia="仿宋"/>
          <w:b/>
          <w:bCs/>
        </w:rPr>
        <w:t>十</w:t>
      </w:r>
      <w:r>
        <w:rPr>
          <w:rFonts w:hint="eastAsia" w:eastAsia="仿宋"/>
          <w:b/>
          <w:bCs/>
          <w:lang w:val="en-US" w:eastAsia="zh-CN"/>
        </w:rPr>
        <w:t>五</w:t>
      </w:r>
      <w:r>
        <w:rPr>
          <w:rFonts w:hint="eastAsia" w:eastAsia="仿宋"/>
          <w:b/>
          <w:bCs/>
        </w:rPr>
        <w:t>、合同附件</w:t>
      </w:r>
    </w:p>
    <w:p w14:paraId="3AB7E9DF">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附件一：</w:t>
      </w:r>
      <w:r>
        <w:rPr>
          <w:rFonts w:hint="eastAsia" w:ascii="仿宋" w:hAnsi="仿宋" w:eastAsia="仿宋" w:cs="仿宋"/>
          <w:sz w:val="21"/>
          <w:szCs w:val="21"/>
          <w:highlight w:val="none"/>
          <w:lang w:val="en-US" w:eastAsia="zh-CN"/>
        </w:rPr>
        <w:t>用户</w:t>
      </w:r>
      <w:r>
        <w:rPr>
          <w:rFonts w:hint="eastAsia" w:ascii="仿宋" w:hAnsi="仿宋" w:eastAsia="仿宋" w:cs="仿宋"/>
          <w:sz w:val="21"/>
          <w:szCs w:val="21"/>
          <w:highlight w:val="none"/>
        </w:rPr>
        <w:t>需求书</w:t>
      </w:r>
    </w:p>
    <w:p w14:paraId="1E055B59">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附件二：价格明细表</w:t>
      </w:r>
    </w:p>
    <w:p w14:paraId="3FB2AA6E">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附件三：项目组成员</w:t>
      </w:r>
    </w:p>
    <w:p w14:paraId="0CCAA860">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附件四：拟投入设备一览表</w:t>
      </w:r>
    </w:p>
    <w:p w14:paraId="7DB29068">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附件五：乙方技术方案及承诺（</w:t>
      </w:r>
      <w:r>
        <w:rPr>
          <w:rFonts w:hint="eastAsia" w:ascii="仿宋" w:hAnsi="仿宋" w:eastAsia="仿宋" w:cs="仿宋"/>
          <w:sz w:val="21"/>
          <w:szCs w:val="21"/>
          <w:highlight w:val="none"/>
          <w:lang w:val="en-US" w:eastAsia="zh-CN"/>
        </w:rPr>
        <w:t>或</w:t>
      </w:r>
      <w:r>
        <w:rPr>
          <w:rFonts w:hint="eastAsia" w:ascii="仿宋" w:hAnsi="仿宋" w:eastAsia="仿宋" w:cs="仿宋"/>
          <w:sz w:val="21"/>
          <w:szCs w:val="21"/>
          <w:highlight w:val="none"/>
        </w:rPr>
        <w:t>授权书）</w:t>
      </w:r>
    </w:p>
    <w:p w14:paraId="74EC129F">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附件六：法定代表人授权书及法定代表人身份证复印件</w:t>
      </w:r>
    </w:p>
    <w:p w14:paraId="41E59E0E">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附件七：履约保证金收据/履约保函复印件</w:t>
      </w:r>
    </w:p>
    <w:p w14:paraId="345888E7">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附件八：中标通知书/成交通知书复印件</w:t>
      </w:r>
    </w:p>
    <w:p w14:paraId="514FD059">
      <w:pPr>
        <w:spacing w:line="360" w:lineRule="auto"/>
        <w:ind w:firstLine="480" w:firstLineChars="200"/>
        <w:rPr>
          <w:rFonts w:ascii="Arial" w:hAnsi="Arial" w:cs="宋体"/>
          <w:sz w:val="24"/>
        </w:rPr>
      </w:pPr>
    </w:p>
    <w:p w14:paraId="71B0CFF2">
      <w:pPr>
        <w:spacing w:line="360" w:lineRule="auto"/>
        <w:ind w:firstLine="480" w:firstLineChars="200"/>
        <w:rPr>
          <w:rFonts w:ascii="Arial" w:hAnsi="Arial" w:cs="宋体"/>
          <w:sz w:val="24"/>
        </w:rPr>
      </w:pPr>
    </w:p>
    <w:p w14:paraId="63AF2035">
      <w:pPr>
        <w:spacing w:line="360" w:lineRule="auto"/>
        <w:rPr>
          <w:rFonts w:ascii="Arial" w:hAnsi="Arial" w:cs="宋体"/>
          <w:sz w:val="24"/>
        </w:rPr>
      </w:pPr>
    </w:p>
    <w:p w14:paraId="7D697222">
      <w:pPr>
        <w:spacing w:line="360" w:lineRule="auto"/>
        <w:rPr>
          <w:rFonts w:ascii="Arial" w:hAnsi="Arial" w:cs="宋体"/>
          <w:sz w:val="24"/>
        </w:rPr>
      </w:pPr>
    </w:p>
    <w:p w14:paraId="067A9639"/>
    <w:p w14:paraId="294B1AFD"/>
    <w:p w14:paraId="29873A26"/>
    <w:p w14:paraId="3DE23829"/>
    <w:p w14:paraId="51864C53"/>
    <w:p w14:paraId="42F74275"/>
    <w:p w14:paraId="37EB5115"/>
    <w:p w14:paraId="795BF467"/>
    <w:p w14:paraId="66467677"/>
    <w:p w14:paraId="139B3F68"/>
    <w:p w14:paraId="12972CCF"/>
    <w:p w14:paraId="61E3E4AA"/>
    <w:p w14:paraId="7AD86687"/>
    <w:p w14:paraId="6B754E16">
      <w:pPr>
        <w:pStyle w:val="14"/>
        <w:spacing w:line="360" w:lineRule="exact"/>
        <w:jc w:val="center"/>
        <w:rPr>
          <w:rFonts w:hAnsi="宋体"/>
          <w:b/>
          <w:sz w:val="24"/>
          <w:szCs w:val="24"/>
        </w:rPr>
      </w:pPr>
    </w:p>
    <w:p w14:paraId="62D2A023">
      <w:pPr>
        <w:pStyle w:val="14"/>
        <w:spacing w:line="360" w:lineRule="exact"/>
        <w:jc w:val="center"/>
        <w:rPr>
          <w:rFonts w:hint="eastAsia" w:hAnsi="宋体"/>
          <w:b/>
          <w:sz w:val="24"/>
          <w:szCs w:val="24"/>
        </w:rPr>
      </w:pPr>
    </w:p>
    <w:p w14:paraId="2D8E8A0D">
      <w:pPr>
        <w:pStyle w:val="14"/>
        <w:spacing w:line="360" w:lineRule="exact"/>
        <w:jc w:val="center"/>
        <w:rPr>
          <w:rFonts w:hint="eastAsia" w:hAnsi="宋体"/>
          <w:b/>
          <w:sz w:val="24"/>
          <w:szCs w:val="24"/>
        </w:rPr>
      </w:pPr>
    </w:p>
    <w:p w14:paraId="1A65A772">
      <w:pPr>
        <w:pStyle w:val="14"/>
        <w:spacing w:line="360" w:lineRule="exact"/>
        <w:jc w:val="center"/>
        <w:rPr>
          <w:rFonts w:hint="eastAsia" w:hAnsi="宋体"/>
          <w:b/>
          <w:sz w:val="24"/>
          <w:szCs w:val="24"/>
        </w:rPr>
      </w:pPr>
    </w:p>
    <w:p w14:paraId="48551250">
      <w:pPr>
        <w:rPr>
          <w:rFonts w:hint="eastAsia" w:hAnsi="宋体"/>
          <w:b/>
          <w:sz w:val="24"/>
          <w:szCs w:val="24"/>
        </w:rPr>
      </w:pPr>
      <w:r>
        <w:rPr>
          <w:rFonts w:hint="eastAsia" w:hAnsi="宋体"/>
          <w:b/>
          <w:sz w:val="24"/>
          <w:szCs w:val="24"/>
        </w:rPr>
        <w:br w:type="page"/>
      </w:r>
    </w:p>
    <w:p w14:paraId="1BFC7788">
      <w:pPr>
        <w:pStyle w:val="14"/>
        <w:spacing w:line="360" w:lineRule="exact"/>
        <w:jc w:val="center"/>
        <w:rPr>
          <w:rFonts w:hint="eastAsia" w:hAnsi="宋体"/>
          <w:b/>
          <w:sz w:val="24"/>
          <w:szCs w:val="24"/>
        </w:rPr>
      </w:pPr>
    </w:p>
    <w:p w14:paraId="4D86F8F5">
      <w:pPr>
        <w:pStyle w:val="14"/>
        <w:spacing w:line="360" w:lineRule="exact"/>
        <w:jc w:val="center"/>
        <w:rPr>
          <w:rFonts w:hAnsi="宋体"/>
          <w:b/>
          <w:sz w:val="24"/>
          <w:szCs w:val="24"/>
        </w:rPr>
      </w:pPr>
      <w:r>
        <w:rPr>
          <w:rFonts w:hint="eastAsia" w:hAnsi="宋体"/>
          <w:b/>
          <w:sz w:val="24"/>
          <w:szCs w:val="24"/>
        </w:rPr>
        <w:t>（此页无正文，为合同签署页）</w:t>
      </w:r>
    </w:p>
    <w:p w14:paraId="61A8A274">
      <w:pPr>
        <w:pStyle w:val="14"/>
        <w:jc w:val="left"/>
        <w:rPr>
          <w:rFonts w:hAnsi="宋体"/>
          <w:b/>
          <w:sz w:val="24"/>
          <w:szCs w:val="24"/>
        </w:rPr>
      </w:pPr>
    </w:p>
    <w:p w14:paraId="382424A2">
      <w:pPr>
        <w:pStyle w:val="14"/>
        <w:jc w:val="left"/>
        <w:rPr>
          <w:rFonts w:hAnsi="宋体"/>
          <w:b/>
          <w:sz w:val="24"/>
          <w:szCs w:val="24"/>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8" name="文本框 8"/>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2"/>
                              <w:tabs>
                                <w:tab w:val="left" w:pos="180"/>
                              </w:tabs>
                              <w:rPr>
                                <w:rFonts w:hAnsi="宋体"/>
                                <w:b/>
                                <w:color w:val="auto"/>
                                <w:kern w:val="2"/>
                                <w:sz w:val="24"/>
                                <w:szCs w:val="24"/>
                              </w:rPr>
                            </w:pPr>
                          </w:p>
                          <w:p w14:paraId="5704F75C">
                            <w:pPr>
                              <w:pStyle w:val="2"/>
                              <w:tabs>
                                <w:tab w:val="left" w:pos="180"/>
                              </w:tabs>
                              <w:rPr>
                                <w:rFonts w:hAnsi="宋体"/>
                                <w:b/>
                                <w:color w:val="auto"/>
                                <w:kern w:val="2"/>
                                <w:sz w:val="24"/>
                                <w:szCs w:val="24"/>
                              </w:rPr>
                            </w:pPr>
                          </w:p>
                          <w:p w14:paraId="4765B22F">
                            <w:pPr>
                              <w:spacing w:line="360" w:lineRule="auto"/>
                              <w:ind w:left="14" w:hanging="14" w:hangingChars="6"/>
                              <w:rPr>
                                <w:rFonts w:ascii="宋体" w:hAnsi="宋体"/>
                                <w:b/>
                                <w:sz w:val="24"/>
                              </w:rPr>
                            </w:pPr>
                          </w:p>
                          <w:p w14:paraId="02AD0269">
                            <w:pPr>
                              <w:spacing w:line="360" w:lineRule="auto"/>
                              <w:ind w:left="14" w:hanging="14" w:hangingChars="6"/>
                              <w:rPr>
                                <w:rFonts w:ascii="宋体" w:hAnsi="宋体"/>
                                <w:b/>
                                <w:sz w:val="24"/>
                              </w:rPr>
                            </w:pPr>
                            <w:r>
                              <w:rPr>
                                <w:rFonts w:hint="eastAsia" w:ascii="宋体" w:hAnsi="宋体"/>
                                <w:b/>
                                <w:sz w:val="24"/>
                              </w:rPr>
                              <w:t>地址：</w:t>
                            </w:r>
                          </w:p>
                          <w:p w14:paraId="68EE164F">
                            <w:pPr>
                              <w:spacing w:line="360" w:lineRule="auto"/>
                              <w:ind w:left="14" w:hanging="14" w:hangingChars="6"/>
                              <w:rPr>
                                <w:rFonts w:ascii="宋体" w:hAnsi="宋体"/>
                                <w:b/>
                                <w:sz w:val="24"/>
                              </w:rPr>
                            </w:pPr>
                          </w:p>
                          <w:p w14:paraId="7B673EF5">
                            <w:pPr>
                              <w:spacing w:line="360" w:lineRule="auto"/>
                              <w:ind w:left="14" w:hanging="14" w:hangingChars="6"/>
                              <w:rPr>
                                <w:rFonts w:hAnsi="宋体"/>
                                <w:b/>
                                <w:color w:val="auto"/>
                                <w:kern w:val="2"/>
                                <w:sz w:val="24"/>
                                <w:szCs w:val="24"/>
                              </w:rPr>
                            </w:pPr>
                            <w:r>
                              <w:rPr>
                                <w:rFonts w:hint="eastAsia" w:ascii="宋体" w:hAnsi="宋体"/>
                                <w:b/>
                                <w:sz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UI0ylyQEAAIYDAAAOAAAAAAAAAAEAIAAAACcBAABk&#10;cnMvZTJvRG9jLnhtbFBLBQYAAAAABgAGAFkBAABiBQAAAAA=&#10;">
                <v:fill on="t" focussize="0,0"/>
                <v:stroke on="f"/>
                <v:imagedata o:title=""/>
                <o:lock v:ext="edit" aspectratio="f"/>
                <v:textbo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2"/>
                        <w:tabs>
                          <w:tab w:val="left" w:pos="180"/>
                        </w:tabs>
                        <w:rPr>
                          <w:rFonts w:hAnsi="宋体"/>
                          <w:b/>
                          <w:color w:val="auto"/>
                          <w:kern w:val="2"/>
                          <w:sz w:val="24"/>
                          <w:szCs w:val="24"/>
                        </w:rPr>
                      </w:pPr>
                    </w:p>
                    <w:p w14:paraId="5704F75C">
                      <w:pPr>
                        <w:pStyle w:val="2"/>
                        <w:tabs>
                          <w:tab w:val="left" w:pos="180"/>
                        </w:tabs>
                        <w:rPr>
                          <w:rFonts w:hAnsi="宋体"/>
                          <w:b/>
                          <w:color w:val="auto"/>
                          <w:kern w:val="2"/>
                          <w:sz w:val="24"/>
                          <w:szCs w:val="24"/>
                        </w:rPr>
                      </w:pPr>
                    </w:p>
                    <w:p w14:paraId="4765B22F">
                      <w:pPr>
                        <w:spacing w:line="360" w:lineRule="auto"/>
                        <w:ind w:left="14" w:hanging="14" w:hangingChars="6"/>
                        <w:rPr>
                          <w:rFonts w:ascii="宋体" w:hAnsi="宋体"/>
                          <w:b/>
                          <w:sz w:val="24"/>
                        </w:rPr>
                      </w:pPr>
                    </w:p>
                    <w:p w14:paraId="02AD0269">
                      <w:pPr>
                        <w:spacing w:line="360" w:lineRule="auto"/>
                        <w:ind w:left="14" w:hanging="14" w:hangingChars="6"/>
                        <w:rPr>
                          <w:rFonts w:ascii="宋体" w:hAnsi="宋体"/>
                          <w:b/>
                          <w:sz w:val="24"/>
                        </w:rPr>
                      </w:pPr>
                      <w:r>
                        <w:rPr>
                          <w:rFonts w:hint="eastAsia" w:ascii="宋体" w:hAnsi="宋体"/>
                          <w:b/>
                          <w:sz w:val="24"/>
                        </w:rPr>
                        <w:t>地址：</w:t>
                      </w:r>
                    </w:p>
                    <w:p w14:paraId="68EE164F">
                      <w:pPr>
                        <w:spacing w:line="360" w:lineRule="auto"/>
                        <w:ind w:left="14" w:hanging="14" w:hangingChars="6"/>
                        <w:rPr>
                          <w:rFonts w:ascii="宋体" w:hAnsi="宋体"/>
                          <w:b/>
                          <w:sz w:val="24"/>
                        </w:rPr>
                      </w:pPr>
                    </w:p>
                    <w:p w14:paraId="7B673EF5">
                      <w:pPr>
                        <w:spacing w:line="360" w:lineRule="auto"/>
                        <w:ind w:left="14" w:hanging="14" w:hangingChars="6"/>
                        <w:rPr>
                          <w:rFonts w:hAnsi="宋体"/>
                          <w:b/>
                          <w:color w:val="auto"/>
                          <w:kern w:val="2"/>
                          <w:sz w:val="24"/>
                          <w:szCs w:val="24"/>
                        </w:rPr>
                      </w:pPr>
                      <w:r>
                        <w:rPr>
                          <w:rFonts w:hint="eastAsia" w:ascii="宋体" w:hAnsi="宋体"/>
                          <w:b/>
                          <w:sz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5" name="文本框 5"/>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A854F5A"/>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AuVJpLxQEAAIYDAAAOAAAAAAAAAAEAIAAAACIBAABkcnMvZTJvRG9j&#10;LnhtbFBLBQYAAAAABgAGAFkBAABZBQAAAAA=&#10;">
                <v:fill on="t" focussize="0,0"/>
                <v:stroke on="f"/>
                <v:imagedata o:title=""/>
                <o:lock v:ext="edit" aspectratio="f"/>
                <v:textbox>
                  <w:txbxContent>
                    <w:p w14:paraId="0A854F5A"/>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12" name="文本框 12"/>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aBeKz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YsOH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VoF4rMYBAACIAwAADgAAAAAAAAABACAAAAAiAQAAZHJzL2Uyb0Rv&#10;Yy54bWxQSwUGAAAAAAYABgBZAQAAWgUAAAAA&#10;">
                <v:fill on="t" focussize="0,0"/>
                <v:stroke on="f"/>
                <v:imagedata o:title=""/>
                <o:lock v:ext="edit" aspectratio="f"/>
                <v:textbo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v:textbox>
              </v:shape>
            </w:pict>
          </mc:Fallback>
        </mc:AlternateContent>
      </w:r>
    </w:p>
    <w:p w14:paraId="1DC2D81A">
      <w:pPr>
        <w:pStyle w:val="14"/>
        <w:jc w:val="left"/>
        <w:rPr>
          <w:rFonts w:hAnsi="宋体"/>
          <w:b/>
          <w:sz w:val="24"/>
          <w:szCs w:val="24"/>
        </w:rPr>
      </w:pPr>
    </w:p>
    <w:p w14:paraId="5A774302">
      <w:pPr>
        <w:pStyle w:val="14"/>
        <w:jc w:val="left"/>
        <w:rPr>
          <w:rFonts w:hAnsi="宋体"/>
          <w:b/>
          <w:sz w:val="24"/>
          <w:szCs w:val="24"/>
        </w:rPr>
      </w:pPr>
    </w:p>
    <w:p w14:paraId="7A1E1CCA">
      <w:pPr>
        <w:pStyle w:val="14"/>
        <w:spacing w:line="360" w:lineRule="auto"/>
        <w:jc w:val="left"/>
        <w:rPr>
          <w:rFonts w:hAnsi="宋体"/>
          <w:b/>
          <w:sz w:val="24"/>
          <w:szCs w:val="24"/>
        </w:rPr>
      </w:pPr>
    </w:p>
    <w:p w14:paraId="7B1903DC">
      <w:pPr>
        <w:pStyle w:val="14"/>
        <w:spacing w:line="360" w:lineRule="auto"/>
        <w:jc w:val="left"/>
        <w:rPr>
          <w:rFonts w:hAnsi="宋体"/>
          <w:b/>
          <w:sz w:val="24"/>
          <w:szCs w:val="24"/>
        </w:rPr>
      </w:pPr>
    </w:p>
    <w:p w14:paraId="30F2110F">
      <w:pPr>
        <w:pStyle w:val="14"/>
        <w:spacing w:line="360" w:lineRule="auto"/>
        <w:rPr>
          <w:rFonts w:hAnsi="宋体" w:cs="Arial"/>
          <w:sz w:val="24"/>
        </w:rPr>
      </w:pPr>
    </w:p>
    <w:p w14:paraId="04C0108E">
      <w:pPr>
        <w:pStyle w:val="14"/>
        <w:spacing w:line="360" w:lineRule="auto"/>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3EA9E6F0">
      <w:pPr>
        <w:rPr>
          <w:rFonts w:hint="eastAsia" w:ascii="宋体" w:hAnsi="宋体" w:eastAsia="宋体" w:cs="宋体"/>
          <w:color w:val="auto"/>
          <w:kern w:val="2"/>
          <w:sz w:val="28"/>
          <w:szCs w:val="28"/>
          <w:highlight w:val="none"/>
          <w:u w:color="auto"/>
          <w:lang w:val="en-US" w:eastAsia="zh-CN" w:bidi="ar"/>
        </w:rPr>
      </w:pPr>
    </w:p>
    <w:p w14:paraId="6DBDE40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559917C0">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37C94678">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14:paraId="4BA9F3DE">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bookmarkStart w:id="97" w:name="_Toc21573"/>
      <w:bookmarkEnd w:id="97"/>
    </w:p>
    <w:p w14:paraId="246666FC">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98"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98"/>
    </w:p>
    <w:p w14:paraId="6EECEAA5">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99" w:name="_Toc19336_WPSOffice_Level2"/>
      <w:bookmarkEnd w:id="99"/>
      <w:r>
        <w:rPr>
          <w:rFonts w:hint="eastAsia" w:ascii="黑体" w:hAnsi="宋体" w:eastAsia="黑体" w:cs="黑体"/>
          <w:color w:val="000000"/>
          <w:kern w:val="0"/>
          <w:sz w:val="44"/>
          <w:szCs w:val="44"/>
          <w:highlight w:val="none"/>
          <w:u w:color="000000"/>
          <w:lang w:val="en-US" w:eastAsia="zh-CN" w:bidi="ar"/>
        </w:rPr>
        <w:t xml:space="preserve"> </w:t>
      </w:r>
    </w:p>
    <w:p w14:paraId="0E77BCFD">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00" w:name="_Toc7180_WPSOffice_Level3"/>
      <w:bookmarkEnd w:id="100"/>
      <w:r>
        <w:rPr>
          <w:rFonts w:hint="eastAsia" w:ascii="宋体" w:hAnsi="宋体" w:eastAsia="宋体" w:cs="宋体"/>
          <w:color w:val="000000"/>
          <w:kern w:val="0"/>
          <w:sz w:val="30"/>
          <w:szCs w:val="30"/>
          <w:highlight w:val="none"/>
          <w:u w:color="000000"/>
          <w:lang w:val="en-US" w:eastAsia="zh-CN" w:bidi="ar"/>
        </w:rPr>
        <w:t>项目名称：</w:t>
      </w:r>
    </w:p>
    <w:p w14:paraId="62BD026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EB12C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9E1BC79">
      <w:pPr>
        <w:pStyle w:val="9"/>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6134514">
      <w:pPr>
        <w:pStyle w:val="20"/>
        <w:widowControl/>
        <w:rPr>
          <w:highlight w:val="none"/>
          <w:lang w:val="en-US"/>
        </w:rPr>
      </w:pPr>
      <w:r>
        <w:rPr>
          <w:highlight w:val="none"/>
          <w:lang w:val="en-US"/>
        </w:rPr>
        <w:t xml:space="preserve"> </w:t>
      </w:r>
    </w:p>
    <w:p w14:paraId="5477395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0770C05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1D8010E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705AFAD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6D24C94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6EC873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2511EEA3">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01" w:name="_Toc14710_WPSOffice_Level1"/>
      <w:bookmarkEnd w:id="101"/>
      <w:r>
        <w:rPr>
          <w:rFonts w:hint="eastAsia" w:ascii="宋体" w:hAnsi="宋体" w:eastAsia="宋体" w:cs="宋体"/>
          <w:b/>
          <w:bCs w:val="0"/>
          <w:color w:val="000000"/>
          <w:kern w:val="0"/>
          <w:sz w:val="44"/>
          <w:szCs w:val="44"/>
          <w:highlight w:val="none"/>
          <w:u w:color="000000"/>
          <w:lang w:val="en-US" w:eastAsia="zh-CN" w:bidi="ar"/>
        </w:rPr>
        <w:t>目   录</w:t>
      </w:r>
    </w:p>
    <w:p w14:paraId="161FF9A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32B2548">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66AE26F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29AADE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73951022">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B87188B">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1D3EAF7">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（5）开标一览表（格式见附件）；</w:t>
      </w:r>
    </w:p>
    <w:p w14:paraId="3EAF57FF">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（6）投标函（格式见附件）；</w:t>
      </w:r>
    </w:p>
    <w:p w14:paraId="42951A5B">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投标人认为需要提供的其他证明材料。</w:t>
      </w:r>
    </w:p>
    <w:p w14:paraId="02B3DBDA">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5762840B">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65587F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3E809E94">
      <w:pPr>
        <w:pStyle w:val="40"/>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67B2947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69A2B6F7">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6DB79AD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0022CFF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A8A98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23BBAC49">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4AD26A3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1E5E1AB8">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6F039E07">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10A76931">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14:paraId="0F754A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3FB938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3B2CF9">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7F9062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0A935B70">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F6CD56">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7667E0E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7E111A4B">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7FBC2353">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57F72B99">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6015DCCD">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785505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71D349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6E3B59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170C226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3496123B">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4ACABA9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02" w:name="_Toc451384148"/>
      <w:bookmarkStart w:id="103" w:name="_Toc425084385"/>
      <w:r>
        <w:rPr>
          <w:rFonts w:hint="eastAsia" w:ascii="宋体" w:hAnsi="宋体"/>
          <w:color w:val="000000"/>
          <w:szCs w:val="21"/>
          <w:highlight w:val="none"/>
        </w:rPr>
        <w:t>一、将遵循公</w:t>
      </w:r>
      <w:bookmarkStart w:id="104" w:name="_Toc503196197"/>
      <w:bookmarkStart w:id="105" w:name="_Toc506107356"/>
      <w:bookmarkStart w:id="106" w:name="_Toc26598"/>
      <w:r>
        <w:rPr>
          <w:rFonts w:hint="eastAsia" w:ascii="宋体" w:hAnsi="宋体"/>
          <w:color w:val="000000"/>
          <w:szCs w:val="21"/>
          <w:highlight w:val="none"/>
        </w:rPr>
        <w:t>开、公正和诚实信用</w:t>
      </w:r>
      <w:bookmarkEnd w:id="104"/>
      <w:bookmarkEnd w:id="105"/>
      <w:r>
        <w:rPr>
          <w:rFonts w:hint="eastAsia" w:ascii="宋体" w:hAnsi="宋体"/>
          <w:color w:val="000000"/>
          <w:szCs w:val="21"/>
          <w:highlight w:val="none"/>
        </w:rPr>
        <w:t>的</w:t>
      </w:r>
      <w:bookmarkEnd w:id="106"/>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09C0E71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04D2923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591DA1B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0D29816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107" w:name="OLE_LINK134"/>
      <w:bookmarkStart w:id="108" w:name="OLE_LINK133"/>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107"/>
      <w:bookmarkEnd w:id="108"/>
      <w:r>
        <w:rPr>
          <w:rFonts w:hint="eastAsia" w:ascii="宋体" w:hAnsi="宋体"/>
          <w:color w:val="000000"/>
          <w:szCs w:val="21"/>
          <w:highlight w:val="none"/>
          <w:lang w:eastAsia="zh-CN"/>
        </w:rPr>
        <w:t>。</w:t>
      </w:r>
    </w:p>
    <w:p w14:paraId="704F352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0BEFC2F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、保证中标之后，按照投标文件承诺派驻管理人员及投入机械设备，如有违反，同意接受建设单位违约处罚；</w:t>
      </w:r>
    </w:p>
    <w:p w14:paraId="58E29BE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075AF7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7C1A34D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121038A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71751A0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3D57FD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EA53B6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654BAEA8">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760D4728">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5F7E9732">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3B262F83">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02E3582A">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43CC5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729E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本承诺声明：（投标人名称）对本招标文件所有要求完全响应，若有幸中标将严格按照以上承诺进行服务且提供不少于1年的质保期。若发现有偏离且不能按招标人要求调整的，招标人有权终止合同重新招标，我方承担因此产生的所有经济及工期责任。</w:t>
      </w:r>
    </w:p>
    <w:p w14:paraId="5692EB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特此声明。</w:t>
      </w:r>
    </w:p>
    <w:p w14:paraId="7E75DDF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101BEA8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33F52DD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3BAF78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22D42F3A">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180FA262">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3AFB0F11">
      <w:pPr>
        <w:spacing w:line="400" w:lineRule="exact"/>
        <w:ind w:firstLine="482" w:firstLineChars="200"/>
        <w:rPr>
          <w:rFonts w:ascii="宋体" w:hAnsi="宋体"/>
          <w:b/>
          <w:color w:val="000000"/>
          <w:sz w:val="24"/>
          <w:highlight w:val="none"/>
        </w:rPr>
      </w:pPr>
    </w:p>
    <w:bookmarkEnd w:id="102"/>
    <w:bookmarkEnd w:id="103"/>
    <w:p w14:paraId="45610A89">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宋体" w:hAnsi="宋体"/>
          <w:b/>
          <w:color w:val="auto"/>
          <w:sz w:val="30"/>
          <w:szCs w:val="30"/>
          <w:highlight w:val="none"/>
          <w:lang w:val="en-US" w:eastAsia="zh-CN"/>
        </w:rPr>
        <w:br w:type="page"/>
      </w:r>
    </w:p>
    <w:p w14:paraId="5F9AA834">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附件4</w:t>
      </w:r>
    </w:p>
    <w:p w14:paraId="28C025CC">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5151B3D5">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0FFEF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796D442E">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9110E2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4CC74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0FA3D83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4EE28A0B">
            <w:pPr>
              <w:pStyle w:val="15"/>
              <w:widowControl/>
              <w:spacing w:line="460" w:lineRule="exact"/>
              <w:ind w:left="86" w:leftChars="41"/>
              <w:rPr>
                <w:rFonts w:hint="eastAsia" w:ascii="宋体" w:hAnsi="Arial" w:eastAsia="宋体" w:cs="宋体"/>
                <w:sz w:val="24"/>
                <w:szCs w:val="24"/>
                <w:highlight w:val="none"/>
                <w:lang w:val="en-US"/>
              </w:rPr>
            </w:pPr>
          </w:p>
        </w:tc>
      </w:tr>
      <w:tr w14:paraId="09FCE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3F3B7CB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5A49A2CC">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5839094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0B593EEB">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4FD08F45">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5B37C1D">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5B39EB2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06282E5B">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6E01043F">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54424D4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7B1CD580">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28FD246F">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759E66C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6F6C2D0D">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0B76E31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55DFB67B">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5FD9C97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1B49AAA5">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58C6553C">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720350C4">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09180F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6939C05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6F5AE68F">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309EB380">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1AC0D13B">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56E27A99">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23E2A5ED">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75E35018">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F891CCD">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14:paraId="13E76AE2">
      <w:pPr>
        <w:pStyle w:val="23"/>
        <w:widowControl/>
        <w:spacing w:before="0" w:beforeAutospacing="0" w:after="0" w:afterAutospacing="0" w:line="375" w:lineRule="atLeast"/>
        <w:ind w:left="0" w:right="0"/>
        <w:jc w:val="center"/>
        <w:outlineLvl w:val="0"/>
        <w:rPr>
          <w:b/>
          <w:bCs w:val="0"/>
          <w:sz w:val="32"/>
          <w:szCs w:val="32"/>
          <w:highlight w:val="none"/>
          <w:lang w:val="en-US"/>
        </w:rPr>
      </w:pPr>
      <w:bookmarkStart w:id="109" w:name="_Toc6275_WPSOffice_Level1"/>
      <w:bookmarkEnd w:id="109"/>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5"/>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1A3B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71D4B23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2D21BB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 xml:space="preserve"> 滁州至南京城际铁路（滁州段）一期车辆段北门门岗安全改造项目</w:t>
            </w:r>
            <w:r>
              <w:rPr>
                <w:rFonts w:hint="eastAsia" w:ascii="宋体" w:hAnsi="宋体" w:eastAsia="宋体" w:cs="宋体"/>
                <w:color w:val="000000"/>
                <w:kern w:val="2"/>
                <w:sz w:val="28"/>
                <w:szCs w:val="28"/>
                <w:highlight w:val="none"/>
                <w:u w:color="000000"/>
                <w:lang w:val="en-US" w:eastAsia="zh-CN" w:bidi="ar"/>
              </w:rPr>
              <w:t>招标文件进行确认。</w:t>
            </w:r>
          </w:p>
          <w:p w14:paraId="06DCC0E1">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14:paraId="422F30B2">
            <w:pPr>
              <w:keepNext w:val="0"/>
              <w:keepLines w:val="0"/>
              <w:widowControl/>
              <w:suppressLineNumbers w:val="0"/>
              <w:spacing w:before="0" w:beforeAutospacing="0" w:after="0" w:afterAutospacing="0" w:line="720" w:lineRule="exact"/>
              <w:ind w:left="0" w:right="0" w:firstLine="560" w:firstLineChars="200"/>
              <w:jc w:val="both"/>
              <w:rPr>
                <w:rFonts w:hint="default"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联系人：杨雅辰</w:t>
            </w:r>
          </w:p>
          <w:p w14:paraId="58B0E9E2">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联系电话：13339207910</w:t>
            </w:r>
          </w:p>
          <w:p w14:paraId="113352A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30212E66">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FEF71AD">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5EC6C013">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52F681E5">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2026年5月</w:t>
            </w:r>
          </w:p>
          <w:p w14:paraId="56DEE5B6">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4A4A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23BB393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5FFB4BD4">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65F08E38">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57C79F2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4C067E4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45B7223">
            <w:pPr>
              <w:pStyle w:val="9"/>
              <w:widowControl/>
              <w:spacing w:before="0" w:beforeAutospacing="0" w:after="120" w:afterAutospacing="0"/>
              <w:ind w:leftChars="200" w:right="0" w:firstLine="560"/>
              <w:rPr>
                <w:kern w:val="2"/>
                <w:sz w:val="28"/>
                <w:szCs w:val="28"/>
                <w:highlight w:val="none"/>
                <w:lang w:val="en-US"/>
              </w:rPr>
            </w:pPr>
          </w:p>
          <w:p w14:paraId="1F2F0EB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72BE766B">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6828CB58">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0C15B413">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2026年5月</w:t>
            </w:r>
          </w:p>
        </w:tc>
      </w:tr>
    </w:tbl>
    <w:p w14:paraId="7C616BD9">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 New Roman (正文 CS 字体)">
    <w:altName w:val="宋体"/>
    <w:panose1 w:val="00000000000000000000"/>
    <w:charset w:val="86"/>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0ED0A">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21BD2">
                          <w:pPr>
                            <w:pStyle w:val="1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2B21BD2">
                    <w:pPr>
                      <w:pStyle w:val="1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3AC41">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53ECB">
                          <w:pPr>
                            <w:pStyle w:val="16"/>
                          </w:pPr>
                          <w:r>
                            <w:t xml:space="preserve">第 </w:t>
                          </w:r>
                          <w:r>
                            <w:fldChar w:fldCharType="begin"/>
                          </w:r>
                          <w:r>
                            <w:instrText xml:space="preserve"> PAGE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7D53ECB">
                    <w:pPr>
                      <w:pStyle w:val="16"/>
                    </w:pPr>
                    <w:r>
                      <w:t xml:space="preserve">第 </w:t>
                    </w:r>
                    <w:r>
                      <w:fldChar w:fldCharType="begin"/>
                    </w:r>
                    <w:r>
                      <w:instrText xml:space="preserve"> PAGE  \* MERGEFORMAT </w:instrText>
                    </w:r>
                    <w:r>
                      <w:fldChar w:fldCharType="separate"/>
                    </w:r>
                    <w:r>
                      <w:t>35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54F3AC"/>
    <w:multiLevelType w:val="singleLevel"/>
    <w:tmpl w:val="8F54F3AC"/>
    <w:lvl w:ilvl="0" w:tentative="0">
      <w:start w:val="2"/>
      <w:numFmt w:val="chineseCounting"/>
      <w:suff w:val="space"/>
      <w:lvlText w:val="第%1章"/>
      <w:lvlJc w:val="left"/>
      <w:rPr>
        <w:rFonts w:hint="eastAsia"/>
      </w:rPr>
    </w:lvl>
  </w:abstractNum>
  <w:abstractNum w:abstractNumId="1">
    <w:nsid w:val="F4A311EA"/>
    <w:multiLevelType w:val="singleLevel"/>
    <w:tmpl w:val="F4A311EA"/>
    <w:lvl w:ilvl="0" w:tentative="0">
      <w:start w:val="3"/>
      <w:numFmt w:val="decimal"/>
      <w:suff w:val="nothing"/>
      <w:lvlText w:val="%1．"/>
      <w:lvlJc w:val="left"/>
    </w:lvl>
  </w:abstractNum>
  <w:abstractNum w:abstractNumId="2">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64D66FE"/>
    <w:multiLevelType w:val="multilevel"/>
    <w:tmpl w:val="364D66FE"/>
    <w:lvl w:ilvl="0" w:tentative="0">
      <w:start w:val="2"/>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
    <w:nsid w:val="44E8B8FD"/>
    <w:multiLevelType w:val="singleLevel"/>
    <w:tmpl w:val="44E8B8FD"/>
    <w:lvl w:ilvl="0" w:tentative="0">
      <w:start w:val="6"/>
      <w:numFmt w:val="chineseCounting"/>
      <w:suff w:val="space"/>
      <w:lvlText w:val="第%1章"/>
      <w:lvlJc w:val="left"/>
      <w:rPr>
        <w:rFonts w:hint="eastAsia"/>
      </w:rPr>
    </w:lvl>
  </w:abstractNum>
  <w:abstractNum w:abstractNumId="5">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950983"/>
    <w:rsid w:val="01D118B5"/>
    <w:rsid w:val="01E872A1"/>
    <w:rsid w:val="032031D0"/>
    <w:rsid w:val="03471A81"/>
    <w:rsid w:val="05D44ADB"/>
    <w:rsid w:val="0664544C"/>
    <w:rsid w:val="06D54ED0"/>
    <w:rsid w:val="07C425FF"/>
    <w:rsid w:val="0AFF501E"/>
    <w:rsid w:val="0B8C2605"/>
    <w:rsid w:val="0CEF01A1"/>
    <w:rsid w:val="0D4228C9"/>
    <w:rsid w:val="0DD956C0"/>
    <w:rsid w:val="0EBB3464"/>
    <w:rsid w:val="0F5A3543"/>
    <w:rsid w:val="0FC82D5D"/>
    <w:rsid w:val="101C4945"/>
    <w:rsid w:val="10BF1885"/>
    <w:rsid w:val="11273F56"/>
    <w:rsid w:val="12431559"/>
    <w:rsid w:val="14334ED5"/>
    <w:rsid w:val="147673EE"/>
    <w:rsid w:val="162403C8"/>
    <w:rsid w:val="1A2C0203"/>
    <w:rsid w:val="1B0B6A26"/>
    <w:rsid w:val="1CF617FA"/>
    <w:rsid w:val="1DD7722D"/>
    <w:rsid w:val="1E474369"/>
    <w:rsid w:val="1FBE5586"/>
    <w:rsid w:val="2035457B"/>
    <w:rsid w:val="204506D8"/>
    <w:rsid w:val="20F63292"/>
    <w:rsid w:val="21391D2B"/>
    <w:rsid w:val="21FC6157"/>
    <w:rsid w:val="222D5B93"/>
    <w:rsid w:val="239955A4"/>
    <w:rsid w:val="24146268"/>
    <w:rsid w:val="27427F5F"/>
    <w:rsid w:val="287E4991"/>
    <w:rsid w:val="28FD1B10"/>
    <w:rsid w:val="2D280DDF"/>
    <w:rsid w:val="32013042"/>
    <w:rsid w:val="323852C9"/>
    <w:rsid w:val="32812567"/>
    <w:rsid w:val="3357264B"/>
    <w:rsid w:val="39196E3A"/>
    <w:rsid w:val="3D7F110E"/>
    <w:rsid w:val="3D8B68BD"/>
    <w:rsid w:val="3F3A5217"/>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D782C16"/>
    <w:rsid w:val="4F522371"/>
    <w:rsid w:val="4FA1515E"/>
    <w:rsid w:val="510E11AC"/>
    <w:rsid w:val="5523352E"/>
    <w:rsid w:val="57D3727A"/>
    <w:rsid w:val="5AB972A9"/>
    <w:rsid w:val="5AC41FE9"/>
    <w:rsid w:val="5D2B5019"/>
    <w:rsid w:val="5D322B2E"/>
    <w:rsid w:val="5D7002D3"/>
    <w:rsid w:val="604D11B9"/>
    <w:rsid w:val="62C47C43"/>
    <w:rsid w:val="6509245E"/>
    <w:rsid w:val="66594078"/>
    <w:rsid w:val="668A652A"/>
    <w:rsid w:val="6CF1366E"/>
    <w:rsid w:val="6EA934B6"/>
    <w:rsid w:val="706E041E"/>
    <w:rsid w:val="72A03324"/>
    <w:rsid w:val="72D50AC5"/>
    <w:rsid w:val="746B63CF"/>
    <w:rsid w:val="746C0AE0"/>
    <w:rsid w:val="74C85615"/>
    <w:rsid w:val="75843174"/>
    <w:rsid w:val="760F0C92"/>
    <w:rsid w:val="76B7003F"/>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adjustRightInd w:val="0"/>
      <w:snapToGrid w:val="0"/>
      <w:spacing w:beforeLines="0" w:beforeAutospacing="0" w:after="80" w:afterLines="80" w:afterAutospacing="0" w:line="288" w:lineRule="auto"/>
      <w:outlineLvl w:val="0"/>
    </w:pPr>
    <w:rPr>
      <w:b/>
      <w:bCs/>
      <w:kern w:val="44"/>
      <w:sz w:val="36"/>
      <w:szCs w:val="36"/>
    </w:rPr>
  </w:style>
  <w:style w:type="paragraph" w:styleId="4">
    <w:name w:val="heading 2"/>
    <w:basedOn w:val="1"/>
    <w:next w:val="1"/>
    <w:link w:val="3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5">
    <w:name w:val="heading 3"/>
    <w:basedOn w:val="1"/>
    <w:next w:val="1"/>
    <w:qFormat/>
    <w:uiPriority w:val="0"/>
    <w:pPr>
      <w:keepNext/>
      <w:keepLines/>
      <w:outlineLvl w:val="2"/>
    </w:pPr>
    <w:rPr>
      <w:kern w:val="0"/>
      <w:sz w:val="28"/>
      <w:szCs w:val="20"/>
    </w:rPr>
  </w:style>
  <w:style w:type="paragraph" w:styleId="6">
    <w:name w:val="heading 6"/>
    <w:basedOn w:val="1"/>
    <w:next w:val="1"/>
    <w:qFormat/>
    <w:uiPriority w:val="0"/>
    <w:pPr>
      <w:tabs>
        <w:tab w:val="left" w:pos="1021"/>
      </w:tabs>
      <w:adjustRightInd w:val="0"/>
      <w:snapToGrid w:val="0"/>
      <w:spacing w:before="93" w:after="93" w:line="400" w:lineRule="atLeast"/>
      <w:ind w:left="1021" w:hanging="397"/>
      <w:outlineLvl w:val="5"/>
    </w:pPr>
    <w:rPr>
      <w:rFonts w:ascii="宋体" w:hAnsi="Arial" w:eastAsia="仿宋_GB2312"/>
      <w:color w:val="000000"/>
      <w:sz w:val="24"/>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w:basedOn w:val="1"/>
    <w:qFormat/>
    <w:uiPriority w:val="0"/>
    <w:pPr>
      <w:widowControl w:val="0"/>
      <w:snapToGrid w:val="0"/>
      <w:spacing w:line="360" w:lineRule="auto"/>
    </w:pPr>
    <w:rPr>
      <w:rFonts w:ascii="Arial" w:hAnsi="Arial" w:eastAsia="仿宋_GB2312"/>
      <w:sz w:val="31"/>
    </w:rPr>
  </w:style>
  <w:style w:type="paragraph" w:styleId="7">
    <w:name w:val="toc 7"/>
    <w:basedOn w:val="1"/>
    <w:next w:val="1"/>
    <w:qFormat/>
    <w:uiPriority w:val="39"/>
    <w:pPr>
      <w:ind w:left="1260"/>
      <w:jc w:val="left"/>
    </w:pPr>
    <w:rPr>
      <w:sz w:val="18"/>
      <w:szCs w:val="18"/>
    </w:rPr>
  </w:style>
  <w:style w:type="paragraph" w:styleId="8">
    <w:name w:val="Normal Indent"/>
    <w:basedOn w:val="1"/>
    <w:next w:val="9"/>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9">
    <w:name w:val="Body Text First Indent 2"/>
    <w:basedOn w:val="10"/>
    <w:next w:val="1"/>
    <w:link w:val="3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10">
    <w:name w:val="Body Text Indent"/>
    <w:basedOn w:val="1"/>
    <w:link w:val="33"/>
    <w:qFormat/>
    <w:uiPriority w:val="0"/>
    <w:pPr>
      <w:spacing w:after="120" w:afterLines="0" w:afterAutospacing="0"/>
      <w:ind w:left="420" w:leftChars="200"/>
    </w:pPr>
  </w:style>
  <w:style w:type="paragraph" w:styleId="11">
    <w:name w:val="annotation text"/>
    <w:basedOn w:val="1"/>
    <w:qFormat/>
    <w:uiPriority w:val="0"/>
    <w:pPr>
      <w:jc w:val="left"/>
    </w:pPr>
  </w:style>
  <w:style w:type="paragraph" w:styleId="12">
    <w:name w:val="Body Text 3"/>
    <w:basedOn w:val="1"/>
    <w:qFormat/>
    <w:uiPriority w:val="0"/>
    <w:rPr>
      <w:rFonts w:ascii="宋体" w:hAnsi="Calibri" w:eastAsia="宋体" w:cs="Times New Roman"/>
      <w:sz w:val="24"/>
      <w:szCs w:val="20"/>
    </w:rPr>
  </w:style>
  <w:style w:type="paragraph" w:styleId="13">
    <w:name w:val="toc 3"/>
    <w:basedOn w:val="1"/>
    <w:next w:val="1"/>
    <w:qFormat/>
    <w:uiPriority w:val="39"/>
    <w:pPr>
      <w:jc w:val="left"/>
    </w:pPr>
    <w:rPr>
      <w:rFonts w:ascii="Calibri" w:hAnsi="Calibri"/>
      <w:smallCaps/>
      <w:sz w:val="22"/>
      <w:szCs w:val="22"/>
    </w:rPr>
  </w:style>
  <w:style w:type="paragraph" w:styleId="14">
    <w:name w:val="Plain Text"/>
    <w:basedOn w:val="1"/>
    <w:link w:val="38"/>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9"/>
    <w:qFormat/>
    <w:uiPriority w:val="0"/>
    <w:pPr>
      <w:tabs>
        <w:tab w:val="center" w:pos="4153"/>
        <w:tab w:val="right" w:pos="8306"/>
      </w:tabs>
      <w:snapToGrid w:val="0"/>
      <w:jc w:val="left"/>
    </w:pPr>
    <w:rPr>
      <w:sz w:val="18"/>
    </w:rPr>
  </w:style>
  <w:style w:type="paragraph" w:styleId="17">
    <w:name w:val="envelope return"/>
    <w:basedOn w:val="1"/>
    <w:next w:val="7"/>
    <w:qFormat/>
    <w:uiPriority w:val="0"/>
    <w:pPr>
      <w:snapToGrid w:val="0"/>
    </w:pPr>
    <w:rPr>
      <w:rFonts w:ascii="Arial" w:hAnsi="Arial"/>
    </w:rPr>
  </w:style>
  <w:style w:type="paragraph" w:styleId="18">
    <w:name w:val="header"/>
    <w:basedOn w:val="1"/>
    <w:link w:val="3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qFormat/>
    <w:uiPriority w:val="39"/>
    <w:pPr>
      <w:spacing w:before="120" w:after="120"/>
      <w:jc w:val="left"/>
    </w:pPr>
    <w:rPr>
      <w:b/>
      <w:bCs/>
      <w:caps/>
      <w:sz w:val="20"/>
    </w:rPr>
  </w:style>
  <w:style w:type="paragraph" w:styleId="20">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footnote text"/>
    <w:basedOn w:val="1"/>
    <w:semiHidden/>
    <w:unhideWhenUsed/>
    <w:qFormat/>
    <w:uiPriority w:val="99"/>
    <w:pPr>
      <w:snapToGrid w:val="0"/>
      <w:jc w:val="left"/>
    </w:pPr>
    <w:rPr>
      <w:sz w:val="18"/>
    </w:rPr>
  </w:style>
  <w:style w:type="paragraph" w:styleId="22">
    <w:name w:val="Body Text 2"/>
    <w:basedOn w:val="1"/>
    <w:qFormat/>
    <w:uiPriority w:val="0"/>
    <w:rPr>
      <w:kern w:val="0"/>
      <w:sz w:val="24"/>
    </w:rPr>
  </w:style>
  <w:style w:type="paragraph" w:styleId="23">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4">
    <w:name w:val="Body Text First Indent"/>
    <w:basedOn w:val="2"/>
    <w:qFormat/>
    <w:uiPriority w:val="0"/>
    <w:pPr>
      <w:adjustRightInd/>
      <w:spacing w:after="120" w:line="240" w:lineRule="auto"/>
      <w:ind w:firstLine="420" w:firstLineChars="100"/>
      <w:jc w:val="both"/>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99"/>
  </w:style>
  <w:style w:type="character" w:styleId="29">
    <w:name w:val="Hyperlink"/>
    <w:qFormat/>
    <w:uiPriority w:val="99"/>
    <w:rPr>
      <w:color w:val="0000FF"/>
      <w:u w:val="single"/>
    </w:rPr>
  </w:style>
  <w:style w:type="character" w:styleId="30">
    <w:name w:val="footnote reference"/>
    <w:basedOn w:val="27"/>
    <w:semiHidden/>
    <w:unhideWhenUsed/>
    <w:qFormat/>
    <w:uiPriority w:val="99"/>
    <w:rPr>
      <w:vertAlign w:val="superscript"/>
    </w:rPr>
  </w:style>
  <w:style w:type="paragraph" w:customStyle="1" w:styleId="31">
    <w:name w:val="正文文字 8"/>
    <w:basedOn w:val="1"/>
    <w:next w:val="1"/>
    <w:qFormat/>
    <w:uiPriority w:val="0"/>
    <w:pPr>
      <w:ind w:left="240"/>
    </w:pPr>
    <w:rPr>
      <w:sz w:val="16"/>
    </w:rPr>
  </w:style>
  <w:style w:type="paragraph" w:customStyle="1" w:styleId="3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3">
    <w:name w:val="正文文本缩进 Char"/>
    <w:basedOn w:val="27"/>
    <w:link w:val="10"/>
    <w:qFormat/>
    <w:uiPriority w:val="0"/>
    <w:rPr>
      <w:rFonts w:hint="default" w:ascii="Times New Roman" w:hAnsi="Times New Roman" w:eastAsia="宋体" w:cs="Times New Roman"/>
      <w:color w:val="000000"/>
      <w:kern w:val="0"/>
      <w:szCs w:val="21"/>
      <w:u w:color="000000"/>
    </w:rPr>
  </w:style>
  <w:style w:type="character" w:customStyle="1" w:styleId="34">
    <w:name w:val="正文首行缩进 2 Char"/>
    <w:basedOn w:val="33"/>
    <w:link w:val="9"/>
    <w:qFormat/>
    <w:uiPriority w:val="0"/>
    <w:rPr>
      <w:rFonts w:hint="default" w:ascii="Times New Roman" w:hAnsi="Times New Roman" w:eastAsia="宋体" w:cs="Times New Roman"/>
      <w:color w:val="000000"/>
      <w:kern w:val="0"/>
      <w:szCs w:val="21"/>
      <w:u w:color="000000"/>
    </w:rPr>
  </w:style>
  <w:style w:type="character" w:customStyle="1" w:styleId="35">
    <w:name w:val="日期 Char"/>
    <w:basedOn w:val="27"/>
    <w:link w:val="15"/>
    <w:qFormat/>
    <w:uiPriority w:val="0"/>
    <w:rPr>
      <w:rFonts w:ascii="Arial" w:hAnsi="Arial" w:eastAsia="仿宋_GB2312" w:cs="Arial"/>
      <w:color w:val="000000"/>
      <w:sz w:val="32"/>
      <w:szCs w:val="32"/>
      <w:u w:color="000000"/>
    </w:rPr>
  </w:style>
  <w:style w:type="character" w:customStyle="1" w:styleId="36">
    <w:name w:val="标题 2 Char"/>
    <w:basedOn w:val="27"/>
    <w:link w:val="4"/>
    <w:qFormat/>
    <w:uiPriority w:val="0"/>
    <w:rPr>
      <w:rFonts w:hint="default" w:ascii="Times New Roman" w:hAnsi="Times New Roman" w:eastAsia="宋体" w:cs="Times New Roman"/>
      <w:kern w:val="0"/>
      <w:sz w:val="24"/>
      <w:szCs w:val="24"/>
    </w:rPr>
  </w:style>
  <w:style w:type="character" w:customStyle="1" w:styleId="37">
    <w:name w:val="页眉 Char"/>
    <w:basedOn w:val="27"/>
    <w:link w:val="18"/>
    <w:qFormat/>
    <w:uiPriority w:val="0"/>
    <w:rPr>
      <w:rFonts w:hint="default" w:ascii="Times New Roman" w:hAnsi="Times New Roman" w:eastAsia="宋体" w:cs="Times New Roman"/>
      <w:color w:val="000000"/>
      <w:kern w:val="0"/>
      <w:sz w:val="18"/>
      <w:szCs w:val="18"/>
      <w:u w:color="000000"/>
    </w:rPr>
  </w:style>
  <w:style w:type="character" w:customStyle="1" w:styleId="38">
    <w:name w:val="纯文本 Char"/>
    <w:basedOn w:val="27"/>
    <w:link w:val="14"/>
    <w:qFormat/>
    <w:uiPriority w:val="0"/>
    <w:rPr>
      <w:rFonts w:hint="eastAsia" w:ascii="宋体" w:hAnsi="宋体" w:eastAsia="宋体" w:cs="宋体"/>
      <w:szCs w:val="21"/>
    </w:rPr>
  </w:style>
  <w:style w:type="character" w:customStyle="1" w:styleId="39">
    <w:name w:val="页脚 Char"/>
    <w:basedOn w:val="27"/>
    <w:link w:val="16"/>
    <w:qFormat/>
    <w:uiPriority w:val="0"/>
    <w:rPr>
      <w:rFonts w:hint="default" w:ascii="Times New Roman" w:hAnsi="Times New Roman" w:eastAsia="宋体" w:cs="Times New Roman"/>
      <w:color w:val="000000"/>
      <w:kern w:val="0"/>
      <w:sz w:val="18"/>
      <w:szCs w:val="18"/>
      <w:u w:color="000000"/>
    </w:rPr>
  </w:style>
  <w:style w:type="paragraph" w:customStyle="1" w:styleId="40">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1">
    <w:name w:val="List Paragraph"/>
    <w:basedOn w:val="1"/>
    <w:qFormat/>
    <w:uiPriority w:val="0"/>
    <w:pPr>
      <w:widowControl w:val="0"/>
      <w:spacing w:line="240" w:lineRule="auto"/>
      <w:ind w:firstLine="200" w:firstLineChars="200"/>
      <w:textAlignment w:val="auto"/>
    </w:pPr>
    <w:rPr>
      <w:u w:val="none" w:color="000000"/>
    </w:rPr>
  </w:style>
  <w:style w:type="character" w:customStyle="1" w:styleId="42">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4">
    <w:name w:val="font51"/>
    <w:basedOn w:val="27"/>
    <w:qFormat/>
    <w:uiPriority w:val="0"/>
    <w:rPr>
      <w:rFonts w:hint="eastAsia" w:ascii="宋体" w:hAnsi="宋体" w:eastAsia="宋体" w:cs="宋体"/>
      <w:color w:val="000000"/>
      <w:sz w:val="22"/>
      <w:szCs w:val="22"/>
      <w:u w:val="none"/>
    </w:rPr>
  </w:style>
  <w:style w:type="character" w:customStyle="1" w:styleId="45">
    <w:name w:val="font31"/>
    <w:basedOn w:val="27"/>
    <w:qFormat/>
    <w:uiPriority w:val="0"/>
    <w:rPr>
      <w:rFonts w:hint="default" w:ascii="Times New Roman" w:hAnsi="Times New Roman" w:cs="Times New Roman"/>
      <w:color w:val="000000"/>
      <w:sz w:val="22"/>
      <w:szCs w:val="22"/>
      <w:u w:val="none"/>
    </w:rPr>
  </w:style>
  <w:style w:type="character" w:customStyle="1" w:styleId="46">
    <w:name w:val="font61"/>
    <w:basedOn w:val="27"/>
    <w:qFormat/>
    <w:uiPriority w:val="0"/>
    <w:rPr>
      <w:rFonts w:hint="default" w:ascii="Times New Roman" w:hAnsi="Times New Roman" w:cs="Times New Roman"/>
      <w:color w:val="000000"/>
      <w:sz w:val="21"/>
      <w:szCs w:val="21"/>
      <w:u w:val="none"/>
    </w:rPr>
  </w:style>
  <w:style w:type="character" w:customStyle="1" w:styleId="47">
    <w:name w:val="font71"/>
    <w:basedOn w:val="27"/>
    <w:qFormat/>
    <w:uiPriority w:val="0"/>
    <w:rPr>
      <w:rFonts w:hint="eastAsia" w:ascii="宋体" w:hAnsi="宋体" w:eastAsia="宋体" w:cs="宋体"/>
      <w:color w:val="000000"/>
      <w:sz w:val="21"/>
      <w:szCs w:val="21"/>
      <w:u w:val="none"/>
    </w:rPr>
  </w:style>
  <w:style w:type="character" w:customStyle="1" w:styleId="48">
    <w:name w:val="font01"/>
    <w:basedOn w:val="27"/>
    <w:qFormat/>
    <w:uiPriority w:val="0"/>
    <w:rPr>
      <w:rFonts w:hint="eastAsia" w:ascii="宋体" w:hAnsi="宋体" w:eastAsia="宋体" w:cs="宋体"/>
      <w:color w:val="000000"/>
      <w:sz w:val="22"/>
      <w:szCs w:val="22"/>
      <w:u w:val="none"/>
    </w:rPr>
  </w:style>
  <w:style w:type="character" w:customStyle="1" w:styleId="49">
    <w:name w:val="font11"/>
    <w:basedOn w:val="27"/>
    <w:qFormat/>
    <w:uiPriority w:val="0"/>
    <w:rPr>
      <w:rFonts w:hint="eastAsia" w:ascii="宋体" w:hAnsi="宋体" w:eastAsia="宋体" w:cs="宋体"/>
      <w:color w:val="000000"/>
      <w:sz w:val="21"/>
      <w:szCs w:val="21"/>
      <w:u w:val="none"/>
    </w:rPr>
  </w:style>
  <w:style w:type="character" w:customStyle="1" w:styleId="50">
    <w:name w:val="font41"/>
    <w:basedOn w:val="27"/>
    <w:qFormat/>
    <w:uiPriority w:val="0"/>
    <w:rPr>
      <w:rFonts w:hint="default" w:ascii="Times New Roman" w:hAnsi="Times New Roman" w:cs="Times New Roman"/>
      <w:color w:val="000000"/>
      <w:sz w:val="22"/>
      <w:szCs w:val="22"/>
      <w:u w:val="none"/>
    </w:rPr>
  </w:style>
  <w:style w:type="paragraph" w:customStyle="1" w:styleId="51">
    <w:name w:val="二级标题"/>
    <w:basedOn w:val="1"/>
    <w:next w:val="1"/>
    <w:qFormat/>
    <w:uiPriority w:val="0"/>
    <w:rPr>
      <w:rFonts w:hint="eastAsia" w:eastAsia="楷体"/>
    </w:rPr>
  </w:style>
  <w:style w:type="paragraph" w:customStyle="1" w:styleId="52">
    <w:name w:val="首行缩进"/>
    <w:basedOn w:val="1"/>
    <w:qFormat/>
    <w:uiPriority w:val="0"/>
    <w:pPr>
      <w:ind w:firstLine="480" w:firstLineChars="200"/>
    </w:pPr>
    <w:rPr>
      <w:rFonts w:eastAsia="楷体_GB2312"/>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15233</Words>
  <Characters>16341</Characters>
  <Lines>0</Lines>
  <Paragraphs>0</Paragraphs>
  <TotalTime>23</TotalTime>
  <ScaleCrop>false</ScaleCrop>
  <LinksUpToDate>false</LinksUpToDate>
  <CharactersWithSpaces>16856</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Administrator</cp:lastModifiedBy>
  <cp:lastPrinted>2023-11-23T14:11:00Z</cp:lastPrinted>
  <dcterms:modified xsi:type="dcterms:W3CDTF">2026-05-22T07:02:12Z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2A0CEAC0AD934A829866560867BCB6A9_13</vt:lpwstr>
  </property>
  <property fmtid="{D5CDD505-2E9C-101B-9397-08002B2CF9AE}" pid="4" name="KSOTemplateDocerSaveRecord">
    <vt:lpwstr>eyJoZGlkIjoiMTljMDcwYWJmYjExZWQzNTVmZDAzZTYwM2JlMzJmZDYiLCJ1c2VySWQiOiIzODU2Mzk2OTQifQ==</vt:lpwstr>
  </property>
</Properties>
</file>