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4"/>
        <w:ind w:left="0" w:leftChars="0" w:firstLine="0" w:firstLineChars="0"/>
        <w:rPr>
          <w:highlight w:val="none"/>
        </w:rPr>
      </w:pPr>
      <w:bookmarkStart w:id="0" w:name="_Toc296602400"/>
      <w:bookmarkStart w:id="1" w:name="_Toc461631222"/>
      <w:bookmarkStart w:id="2" w:name="_Toc247085669"/>
      <w:bookmarkStart w:id="3" w:name="_Toc506107265"/>
      <w:bookmarkStart w:id="4" w:name="_Toc246996898"/>
      <w:bookmarkStart w:id="5" w:name="_Toc15058843"/>
      <w:bookmarkStart w:id="6" w:name="_Toc324404811"/>
      <w:bookmarkStart w:id="7" w:name="OLE_LINK5"/>
      <w:bookmarkStart w:id="8" w:name="OLE_LINK4"/>
      <w:bookmarkStart w:id="9" w:name="OLE_LINK2"/>
      <w:bookmarkStart w:id="10" w:name="OLE_LINK3"/>
      <w:bookmarkStart w:id="11" w:name="OLE_LINK1"/>
    </w:p>
    <w:p w14:paraId="2CED046A">
      <w:pPr>
        <w:pStyle w:val="14"/>
        <w:ind w:left="0" w:leftChars="0" w:firstLine="0" w:firstLineChars="0"/>
        <w:jc w:val="center"/>
        <w:rPr>
          <w:rFonts w:hint="eastAsia" w:hAnsi="宋体" w:cs="宋体"/>
          <w:b/>
          <w:color w:val="auto"/>
          <w:kern w:val="0"/>
          <w:sz w:val="56"/>
          <w:szCs w:val="56"/>
          <w:highlight w:val="none"/>
          <w:lang w:eastAsia="zh-CN"/>
        </w:rPr>
      </w:pPr>
    </w:p>
    <w:p w14:paraId="2A2621CC">
      <w:pPr>
        <w:pStyle w:val="14"/>
        <w:ind w:left="0" w:leftChars="0" w:firstLine="0" w:firstLineChars="0"/>
        <w:jc w:val="center"/>
      </w:pPr>
      <w:r>
        <w:rPr>
          <w:rFonts w:hint="eastAsia" w:hAnsi="宋体" w:cs="宋体"/>
          <w:b/>
          <w:color w:val="auto"/>
          <w:kern w:val="0"/>
          <w:sz w:val="56"/>
          <w:szCs w:val="56"/>
          <w:highlight w:val="none"/>
          <w:lang w:eastAsia="zh-CN"/>
        </w:rPr>
        <w:t>滁宁城际控制中心南侧地块规划方案研究项目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4"/>
        <w:rPr>
          <w:color w:val="auto"/>
          <w:highlight w:val="none"/>
        </w:rPr>
      </w:pPr>
    </w:p>
    <w:p w14:paraId="691FE4D6">
      <w:pPr>
        <w:rPr>
          <w:color w:val="auto"/>
          <w:highlight w:val="none"/>
        </w:rPr>
      </w:pPr>
    </w:p>
    <w:p w14:paraId="7E411827">
      <w:pPr>
        <w:pStyle w:val="14"/>
        <w:rPr>
          <w:color w:val="auto"/>
          <w:highlight w:val="none"/>
        </w:rPr>
      </w:pPr>
    </w:p>
    <w:p w14:paraId="6CF62471">
      <w:pPr>
        <w:rPr>
          <w:color w:val="auto"/>
          <w:highlight w:val="none"/>
        </w:rPr>
      </w:pPr>
    </w:p>
    <w:p w14:paraId="276FE2C2">
      <w:pPr>
        <w:pStyle w:val="14"/>
        <w:rPr>
          <w:color w:val="auto"/>
          <w:highlight w:val="none"/>
        </w:rPr>
      </w:pPr>
    </w:p>
    <w:p w14:paraId="6EBADFFD"/>
    <w:p w14:paraId="57C971B3">
      <w:pPr>
        <w:pStyle w:val="14"/>
      </w:pPr>
    </w:p>
    <w:p w14:paraId="00CEC72B"/>
    <w:p w14:paraId="0FB3EFCA">
      <w:pPr>
        <w:pStyle w:val="14"/>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5</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79632527"/>
      <w:bookmarkStart w:id="13" w:name="_Toc152045511"/>
      <w:bookmarkStart w:id="14" w:name="_Toc152042287"/>
      <w:bookmarkStart w:id="15" w:name="_Toc144974479"/>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5</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29</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39</w:t>
      </w:r>
    </w:p>
    <w:p w14:paraId="6F3E9F9B">
      <w:pPr>
        <w:pStyle w:val="14"/>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246996916"/>
      <w:bookmarkStart w:id="17" w:name="_Toc179632544"/>
      <w:bookmarkStart w:id="18" w:name="_Toc324404813"/>
      <w:bookmarkStart w:id="19" w:name="_Toc15058844"/>
      <w:bookmarkStart w:id="20" w:name="_Toc246996173"/>
      <w:bookmarkStart w:id="21" w:name="_Toc152045527"/>
      <w:bookmarkStart w:id="22" w:name="_Toc78803321"/>
      <w:bookmarkStart w:id="23" w:name="_Toc144974495"/>
      <w:bookmarkStart w:id="24" w:name="_Toc35425050"/>
      <w:bookmarkStart w:id="25" w:name="_Toc247085687"/>
      <w:bookmarkStart w:id="26" w:name="_Toc35424883"/>
      <w:bookmarkStart w:id="27" w:name="_Toc506107267"/>
      <w:bookmarkStart w:id="28" w:name="_Toc152042303"/>
      <w:r>
        <w:rPr>
          <w:rFonts w:hint="eastAsia"/>
          <w:bCs/>
          <w:szCs w:val="32"/>
          <w:highlight w:val="none"/>
          <w:lang w:eastAsia="zh-CN"/>
        </w:rPr>
        <w:t>第一章</w:t>
      </w:r>
      <w:r>
        <w:rPr>
          <w:rFonts w:hint="eastAsia"/>
          <w:bCs/>
          <w:szCs w:val="32"/>
          <w:highlight w:val="none"/>
          <w:lang w:val="en-US"/>
        </w:rPr>
        <w:t xml:space="preserve">  </w:t>
      </w:r>
      <w:bookmarkStart w:id="29" w:name="_Toc18980_WPSOffice_Level1"/>
      <w:bookmarkEnd w:id="29"/>
      <w:bookmarkStart w:id="30" w:name="_Toc7358"/>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28359002"/>
      <w:bookmarkEnd w:id="31"/>
      <w:bookmarkStart w:id="32" w:name="_Toc35393621"/>
      <w:bookmarkEnd w:id="32"/>
      <w:bookmarkStart w:id="33" w:name="_Toc28359079"/>
      <w:bookmarkEnd w:id="33"/>
      <w:bookmarkStart w:id="34" w:name="_Toc58430305"/>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滁宁城际控制中心南侧地块规划方案研究项目</w:t>
      </w:r>
      <w:r>
        <w:rPr>
          <w:rFonts w:hint="eastAsia" w:ascii="宋体" w:hAnsi="宋体" w:eastAsia="宋体" w:cs="宋体"/>
          <w:color w:val="000000"/>
          <w:kern w:val="0"/>
          <w:sz w:val="24"/>
          <w:szCs w:val="24"/>
          <w:highlight w:val="none"/>
          <w:u w:color="000000"/>
          <w:lang w:val="en-US" w:eastAsia="zh-CN" w:bidi="ar"/>
        </w:rPr>
        <w:t>的潜在投标人应在</w:t>
      </w:r>
      <w:r>
        <w:rPr>
          <w:rFonts w:hint="eastAsia" w:ascii="宋体" w:hAnsi="宋体" w:cs="宋体"/>
          <w:color w:val="000000"/>
          <w:kern w:val="0"/>
          <w:sz w:val="24"/>
          <w:szCs w:val="24"/>
          <w:highlight w:val="none"/>
          <w:u w:color="000000"/>
          <w:lang w:val="en-US" w:eastAsia="zh-CN" w:bidi="ar"/>
        </w:rPr>
        <w:t>滁州市滁宁城际铁路开发建设有限公司</w:t>
      </w:r>
      <w:r>
        <w:rPr>
          <w:rFonts w:hint="eastAsia" w:ascii="宋体" w:hAnsi="宋体" w:eastAsia="宋体" w:cs="宋体"/>
          <w:color w:val="000000"/>
          <w:kern w:val="0"/>
          <w:sz w:val="24"/>
          <w:szCs w:val="24"/>
          <w:highlight w:val="none"/>
          <w:u w:color="000000"/>
          <w:lang w:val="en-US" w:eastAsia="zh-CN" w:bidi="ar"/>
        </w:rPr>
        <w:t>网站（http://czctgs.cn/）获取招标文件，并于20</w:t>
      </w:r>
      <w:r>
        <w:rPr>
          <w:rFonts w:hint="eastAsia" w:ascii="宋体" w:hAnsi="宋体" w:cs="宋体"/>
          <w:color w:val="000000"/>
          <w:kern w:val="0"/>
          <w:sz w:val="24"/>
          <w:szCs w:val="24"/>
          <w:highlight w:val="none"/>
          <w:u w:color="000000"/>
          <w:lang w:val="en-US" w:eastAsia="zh-CN" w:bidi="ar"/>
        </w:rPr>
        <w:t>26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color="000000"/>
          <w:lang w:val="en-US" w:eastAsia="zh-CN" w:bidi="ar"/>
        </w:rPr>
        <w:t>5</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 xml:space="preserve">  21</w:t>
      </w:r>
      <w:r>
        <w:rPr>
          <w:rFonts w:hint="eastAsia" w:ascii="宋体" w:hAnsi="宋体" w:eastAsia="宋体" w:cs="宋体"/>
          <w:color w:val="000000"/>
          <w:kern w:val="0"/>
          <w:sz w:val="24"/>
          <w:szCs w:val="24"/>
          <w:highlight w:val="none"/>
          <w:u w:color="000000"/>
          <w:lang w:val="en-US" w:eastAsia="zh-CN" w:bidi="ar"/>
        </w:rPr>
        <w:t>日</w:t>
      </w:r>
      <w:r>
        <w:rPr>
          <w:rFonts w:hint="eastAsia" w:ascii="宋体" w:hAnsi="宋体" w:cs="宋体"/>
          <w:color w:val="000000"/>
          <w:kern w:val="0"/>
          <w:sz w:val="24"/>
          <w:szCs w:val="24"/>
          <w:highlight w:val="none"/>
          <w:u w:color="000000"/>
          <w:lang w:val="en-US" w:eastAsia="zh-CN" w:bidi="ar"/>
        </w:rPr>
        <w:t>9</w:t>
      </w:r>
      <w:r>
        <w:rPr>
          <w:rFonts w:hint="eastAsia" w:ascii="宋体" w:hAnsi="宋体" w:eastAsia="宋体" w:cs="宋体"/>
          <w:color w:val="000000"/>
          <w:kern w:val="0"/>
          <w:sz w:val="24"/>
          <w:szCs w:val="24"/>
          <w:highlight w:val="none"/>
          <w:u w:color="000000"/>
          <w:lang w:val="en-US" w:eastAsia="zh-CN" w:bidi="ar"/>
        </w:rPr>
        <w:t>时</w:t>
      </w:r>
      <w:r>
        <w:rPr>
          <w:rFonts w:hint="eastAsia" w:ascii="宋体" w:hAnsi="宋体" w:cs="宋体"/>
          <w:color w:val="000000"/>
          <w:kern w:val="0"/>
          <w:sz w:val="24"/>
          <w:szCs w:val="24"/>
          <w:highlight w:val="none"/>
          <w:u w:color="000000"/>
          <w:lang w:val="en-US" w:eastAsia="zh-CN" w:bidi="ar"/>
        </w:rPr>
        <w:t>3</w:t>
      </w:r>
      <w:r>
        <w:rPr>
          <w:rFonts w:hint="eastAsia" w:ascii="宋体" w:hAnsi="宋体" w:eastAsia="宋体" w:cs="宋体"/>
          <w:color w:val="000000"/>
          <w:kern w:val="0"/>
          <w:sz w:val="24"/>
          <w:szCs w:val="24"/>
          <w:highlight w:val="none"/>
          <w:u w:color="000000"/>
          <w:lang w:val="en-US" w:eastAsia="zh-CN" w:bidi="ar"/>
        </w:rPr>
        <w:t>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项目名称：</w:t>
      </w:r>
      <w:r>
        <w:rPr>
          <w:rFonts w:hint="eastAsia" w:ascii="宋体" w:hAnsi="宋体" w:cs="宋体"/>
          <w:b w:val="0"/>
          <w:bCs w:val="0"/>
          <w:color w:val="000000"/>
          <w:kern w:val="0"/>
          <w:sz w:val="24"/>
          <w:szCs w:val="24"/>
          <w:highlight w:val="none"/>
          <w:u w:color="000000"/>
          <w:lang w:val="en-US" w:eastAsia="zh-CN" w:bidi="ar"/>
        </w:rPr>
        <w:t>滁宁城际控制中心南侧地块规划方案研究项目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预算金额：</w:t>
      </w:r>
      <w:r>
        <w:rPr>
          <w:rFonts w:hint="eastAsia" w:ascii="宋体" w:hAnsi="宋体" w:cs="宋体"/>
          <w:b w:val="0"/>
          <w:bCs w:val="0"/>
          <w:color w:val="000000"/>
          <w:kern w:val="0"/>
          <w:sz w:val="24"/>
          <w:szCs w:val="24"/>
          <w:highlight w:val="none"/>
          <w:u w:color="000000"/>
          <w:lang w:val="en-US" w:eastAsia="zh-CN" w:bidi="ar"/>
        </w:rPr>
        <w:t>11</w:t>
      </w:r>
      <w:r>
        <w:rPr>
          <w:rFonts w:hint="eastAsia" w:ascii="宋体" w:hAnsi="宋体" w:eastAsia="宋体" w:cs="宋体"/>
          <w:b w:val="0"/>
          <w:bCs w:val="0"/>
          <w:color w:val="000000"/>
          <w:kern w:val="0"/>
          <w:sz w:val="24"/>
          <w:szCs w:val="24"/>
          <w:highlight w:val="none"/>
          <w:u w:color="000000"/>
          <w:lang w:val="en-US" w:eastAsia="zh-CN" w:bidi="ar"/>
        </w:rPr>
        <w:t>0000.00元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最高限价：本项目最高限价为（人民币）</w:t>
      </w:r>
      <w:r>
        <w:rPr>
          <w:rFonts w:hint="eastAsia" w:ascii="宋体" w:hAnsi="宋体" w:cs="宋体"/>
          <w:b w:val="0"/>
          <w:bCs w:val="0"/>
          <w:color w:val="000000"/>
          <w:kern w:val="0"/>
          <w:sz w:val="24"/>
          <w:szCs w:val="24"/>
          <w:highlight w:val="none"/>
          <w:u w:color="000000"/>
          <w:lang w:val="en-US" w:eastAsia="zh-CN" w:bidi="ar"/>
        </w:rPr>
        <w:t>11</w:t>
      </w:r>
      <w:r>
        <w:rPr>
          <w:rFonts w:hint="eastAsia" w:ascii="宋体" w:hAnsi="宋体" w:eastAsia="宋体" w:cs="宋体"/>
          <w:b w:val="0"/>
          <w:bCs w:val="0"/>
          <w:color w:val="000000"/>
          <w:kern w:val="0"/>
          <w:sz w:val="24"/>
          <w:szCs w:val="24"/>
          <w:highlight w:val="none"/>
          <w:u w:color="000000"/>
          <w:lang w:val="en-US" w:eastAsia="zh-CN" w:bidi="ar"/>
        </w:rPr>
        <w:t>0000.00元，投标报价不得超过最高限价，否则按无效投标处理。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采购需求：</w:t>
      </w:r>
      <w:r>
        <w:rPr>
          <w:rFonts w:hint="eastAsia" w:ascii="宋体" w:hAnsi="宋体" w:cs="宋体"/>
          <w:b w:val="0"/>
          <w:bCs w:val="0"/>
          <w:color w:val="000000"/>
          <w:kern w:val="0"/>
          <w:sz w:val="24"/>
          <w:szCs w:val="24"/>
          <w:highlight w:val="none"/>
          <w:u w:color="000000"/>
          <w:lang w:val="en-US" w:eastAsia="zh-CN" w:bidi="ar"/>
        </w:rPr>
        <w:t>详见第五章《采购需求》</w:t>
      </w:r>
      <w:r>
        <w:rPr>
          <w:rFonts w:hint="eastAsia" w:ascii="宋体" w:hAnsi="宋体" w:eastAsia="宋体" w:cs="宋体"/>
          <w:b w:val="0"/>
          <w:bCs w:val="0"/>
          <w:color w:val="000000"/>
          <w:kern w:val="0"/>
          <w:sz w:val="24"/>
          <w:szCs w:val="24"/>
          <w:highlight w:val="none"/>
          <w:u w:color="000000"/>
          <w:lang w:val="en-US" w:eastAsia="zh-CN" w:bidi="ar"/>
        </w:rPr>
        <w:t>。</w:t>
      </w:r>
    </w:p>
    <w:p w14:paraId="4663973A">
      <w:pPr>
        <w:tabs>
          <w:tab w:val="left" w:pos="720"/>
        </w:tabs>
        <w:spacing w:after="0" w:line="360" w:lineRule="auto"/>
        <w:ind w:firstLine="480" w:firstLineChars="200"/>
        <w:jc w:val="both"/>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w:t>
      </w:r>
      <w:r>
        <w:rPr>
          <w:rFonts w:hint="eastAsia" w:ascii="宋体" w:hAnsi="宋体" w:cs="宋体"/>
          <w:b w:val="0"/>
          <w:bCs w:val="0"/>
          <w:color w:val="000000"/>
          <w:kern w:val="0"/>
          <w:sz w:val="24"/>
          <w:szCs w:val="24"/>
          <w:highlight w:val="none"/>
          <w:u w:color="000000"/>
          <w:lang w:val="en-US" w:eastAsia="zh-CN" w:bidi="ar"/>
        </w:rPr>
        <w:t>总服务周期20个日历天。合同签订后10个日历天内完成《滁宁城际控制中心南侧地块规划方案研究》初步成果，合同签订后20个日历天内完成最终成果并提交全部成果文件</w:t>
      </w:r>
      <w:r>
        <w:rPr>
          <w:rFonts w:hint="eastAsia" w:ascii="宋体" w:hAnsi="宋体" w:eastAsia="宋体" w:cs="宋体"/>
          <w:b w:val="0"/>
          <w:bCs w:val="0"/>
          <w:color w:val="000000"/>
          <w:kern w:val="0"/>
          <w:sz w:val="24"/>
          <w:szCs w:val="24"/>
          <w:highlight w:val="none"/>
          <w:u w:color="000000"/>
          <w:lang w:val="en-US" w:eastAsia="zh-CN" w:bidi="ar"/>
        </w:rPr>
        <w:t>。</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1.投标人须具有独立法人资格且具备相应服务能力。</w:t>
      </w:r>
    </w:p>
    <w:p w14:paraId="7B0D8E8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2.具备须城乡规划编制乙级或以上资质。</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 xml:space="preserve"> 5 </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 xml:space="preserve"> 15 </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 xml:space="preserve"> 5 </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 xml:space="preserve"> 21 </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28359082"/>
      <w:bookmarkEnd w:id="36"/>
      <w:bookmarkStart w:id="37" w:name="_Toc58430308"/>
      <w:bookmarkEnd w:id="37"/>
      <w:bookmarkStart w:id="38" w:name="_Toc28359005"/>
      <w:bookmarkEnd w:id="38"/>
      <w:bookmarkStart w:id="39" w:name="_Toc35393793"/>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w:t>
      </w:r>
      <w:r>
        <w:rPr>
          <w:rFonts w:hint="eastAsia" w:ascii="宋体" w:hAnsi="宋体" w:cs="宋体"/>
          <w:bCs/>
          <w:color w:val="000000"/>
          <w:kern w:val="0"/>
          <w:sz w:val="24"/>
          <w:szCs w:val="24"/>
          <w:highlight w:val="none"/>
          <w:u w:val="single" w:color="000000"/>
          <w:lang w:val="en-US" w:eastAsia="zh-CN" w:bidi="ar"/>
        </w:rPr>
        <w:t>6</w:t>
      </w:r>
      <w:r>
        <w:rPr>
          <w:rFonts w:hint="eastAsia" w:ascii="宋体" w:hAnsi="宋体" w:eastAsia="宋体" w:cs="宋体"/>
          <w:bCs/>
          <w:color w:val="000000"/>
          <w:kern w:val="0"/>
          <w:sz w:val="24"/>
          <w:szCs w:val="24"/>
          <w:highlight w:val="none"/>
          <w:u w:val="single" w:color="000000"/>
          <w:lang w:val="en-US" w:eastAsia="zh-CN" w:bidi="ar"/>
        </w:rPr>
        <w:t>年</w:t>
      </w:r>
      <w:r>
        <w:rPr>
          <w:rFonts w:hint="eastAsia" w:ascii="宋体" w:hAnsi="宋体" w:cs="宋体"/>
          <w:bCs/>
          <w:color w:val="000000"/>
          <w:kern w:val="0"/>
          <w:sz w:val="24"/>
          <w:szCs w:val="24"/>
          <w:highlight w:val="none"/>
          <w:u w:val="single" w:color="000000"/>
          <w:lang w:val="en-US" w:eastAsia="zh-CN" w:bidi="ar"/>
        </w:rPr>
        <w:t xml:space="preserve"> 5 </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 xml:space="preserve"> 21 </w:t>
      </w:r>
      <w:r>
        <w:rPr>
          <w:rFonts w:hint="eastAsia" w:ascii="宋体" w:hAnsi="宋体" w:eastAsia="宋体" w:cs="宋体"/>
          <w:bCs/>
          <w:color w:val="000000"/>
          <w:kern w:val="0"/>
          <w:sz w:val="24"/>
          <w:szCs w:val="24"/>
          <w:highlight w:val="none"/>
          <w:u w:val="single" w:color="000000"/>
          <w:lang w:val="en-US" w:eastAsia="zh-CN" w:bidi="ar"/>
        </w:rPr>
        <w:t>日</w:t>
      </w:r>
      <w:r>
        <w:rPr>
          <w:rFonts w:hint="eastAsia" w:ascii="宋体" w:hAnsi="宋体" w:cs="宋体"/>
          <w:bCs/>
          <w:color w:val="000000"/>
          <w:kern w:val="0"/>
          <w:sz w:val="24"/>
          <w:szCs w:val="24"/>
          <w:highlight w:val="none"/>
          <w:u w:val="single" w:color="000000"/>
          <w:lang w:val="en-US" w:eastAsia="zh-CN" w:bidi="ar"/>
        </w:rPr>
        <w:t>9</w:t>
      </w:r>
      <w:r>
        <w:rPr>
          <w:rFonts w:hint="eastAsia" w:ascii="宋体" w:hAnsi="宋体" w:eastAsia="宋体" w:cs="宋体"/>
          <w:bCs/>
          <w:color w:val="000000"/>
          <w:kern w:val="0"/>
          <w:sz w:val="24"/>
          <w:szCs w:val="24"/>
          <w:highlight w:val="none"/>
          <w:u w:val="single" w:color="000000"/>
          <w:lang w:val="en-US" w:eastAsia="zh-CN" w:bidi="ar"/>
        </w:rPr>
        <w:t>时</w:t>
      </w:r>
      <w:r>
        <w:rPr>
          <w:rFonts w:hint="eastAsia" w:ascii="宋体" w:hAnsi="宋体" w:cs="宋体"/>
          <w:bCs/>
          <w:color w:val="000000"/>
          <w:kern w:val="0"/>
          <w:sz w:val="24"/>
          <w:szCs w:val="24"/>
          <w:highlight w:val="none"/>
          <w:u w:val="single" w:color="000000"/>
          <w:lang w:val="en-US" w:eastAsia="zh-CN" w:bidi="ar"/>
        </w:rPr>
        <w:t>3</w:t>
      </w:r>
      <w:r>
        <w:rPr>
          <w:rFonts w:hint="eastAsia" w:ascii="宋体" w:hAnsi="宋体" w:eastAsia="宋体" w:cs="宋体"/>
          <w:bCs/>
          <w:color w:val="000000"/>
          <w:kern w:val="0"/>
          <w:sz w:val="24"/>
          <w:szCs w:val="24"/>
          <w:highlight w:val="none"/>
          <w:u w:val="single" w:color="000000"/>
          <w:lang w:val="en-US" w:eastAsia="zh-CN" w:bidi="ar"/>
        </w:rPr>
        <w:t>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bookmarkStart w:id="41" w:name="_Toc28359086"/>
      <w:bookmarkStart w:id="42" w:name="_Toc28359009"/>
      <w:r>
        <w:rPr>
          <w:rFonts w:hint="eastAsia" w:ascii="宋体" w:hAnsi="宋体" w:cs="宋体"/>
          <w:bCs/>
          <w:color w:val="000000"/>
          <w:kern w:val="0"/>
          <w:sz w:val="24"/>
          <w:highlight w:val="none"/>
          <w:u w:color="000000"/>
          <w:lang w:eastAsia="zh-CN" w:bidi="ar"/>
        </w:rPr>
        <w:t>0550-2350288</w:t>
      </w:r>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cs="宋体"/>
          <w:bCs/>
          <w:color w:val="000000"/>
          <w:kern w:val="0"/>
          <w:sz w:val="24"/>
          <w:highlight w:val="none"/>
          <w:u w:color="000000"/>
          <w:lang w:val="en-US"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324404814"/>
      <w:bookmarkStart w:id="45" w:name="_Toc152045528"/>
      <w:bookmarkStart w:id="46" w:name="_Toc247085688"/>
      <w:bookmarkStart w:id="47" w:name="_Toc35424884"/>
      <w:bookmarkStart w:id="48" w:name="_Toc246996174"/>
      <w:bookmarkStart w:id="49" w:name="_Toc35425051"/>
      <w:bookmarkStart w:id="50" w:name="_Toc152042304"/>
      <w:bookmarkStart w:id="51" w:name="_Toc15058845"/>
      <w:bookmarkStart w:id="52" w:name="_Toc179632545"/>
      <w:bookmarkStart w:id="53" w:name="_Toc246996917"/>
      <w:bookmarkStart w:id="54" w:name="_Toc506107268"/>
      <w:bookmarkStart w:id="55" w:name="_Toc144974496"/>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152045529"/>
            <w:bookmarkStart w:id="57" w:name="_Toc15058846"/>
            <w:bookmarkStart w:id="58" w:name="_Toc179632546"/>
            <w:bookmarkStart w:id="59" w:name="_Toc35424887"/>
            <w:bookmarkStart w:id="60" w:name="_Toc246996918"/>
            <w:bookmarkStart w:id="61" w:name="_Toc144974497"/>
            <w:bookmarkStart w:id="62" w:name="_Toc152042305"/>
            <w:bookmarkStart w:id="63" w:name="_Toc324404815"/>
            <w:bookmarkStart w:id="64" w:name="_Toc247085689"/>
            <w:bookmarkStart w:id="65" w:name="_Toc35425053"/>
            <w:bookmarkStart w:id="66" w:name="_Toc5813"/>
            <w:bookmarkStart w:id="67" w:name="_Toc78803322"/>
            <w:bookmarkStart w:id="68" w:name="_Toc506107269"/>
            <w:bookmarkStart w:id="69" w:name="_Toc246996175"/>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滁宁城际控制中心南侧地块规划方案研究项目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highlight w:val="none"/>
                <w:lang w:val="en-US"/>
              </w:rPr>
            </w:pPr>
            <w:r>
              <w:rPr>
                <w:rFonts w:hint="eastAsia" w:cs="Times New Roman"/>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cs="宋体"/>
                <w:highlight w:val="none"/>
                <w:lang w:val="en-US"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110000.00元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110000.00元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5</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18</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w:t>
            </w:r>
            <w:r>
              <w:rPr>
                <w:rFonts w:hint="eastAsia" w:ascii="宋体" w:hAnsi="宋体" w:cs="宋体"/>
                <w:b w:val="0"/>
                <w:bCs w:val="0"/>
                <w:highlight w:val="none"/>
                <w:lang w:val="en-US" w:eastAsia="zh-CN"/>
              </w:rPr>
              <w:t>2</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5</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18</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w:t>
            </w:r>
            <w:r>
              <w:rPr>
                <w:rFonts w:hint="eastAsia" w:ascii="宋体" w:hAnsi="宋体" w:cs="宋体"/>
                <w:color w:val="000000"/>
                <w:kern w:val="2"/>
                <w:sz w:val="21"/>
                <w:szCs w:val="21"/>
                <w:highlight w:val="none"/>
                <w:u w:color="000000"/>
                <w:lang w:val="en-US" w:eastAsia="zh-CN" w:bidi="ar"/>
              </w:rPr>
              <w:t>2000</w:t>
            </w:r>
            <w:r>
              <w:rPr>
                <w:rFonts w:hint="eastAsia" w:ascii="宋体" w:hAnsi="宋体" w:eastAsia="宋体" w:cs="宋体"/>
                <w:color w:val="000000"/>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 xml:space="preserve"> 5 </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 xml:space="preserve"> 21 </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时</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w:t>
            </w:r>
            <w:r>
              <w:rPr>
                <w:rFonts w:hint="eastAsia" w:ascii="宋体" w:hAnsi="宋体" w:cs="宋体"/>
                <w:color w:val="000000"/>
                <w:kern w:val="2"/>
                <w:sz w:val="21"/>
                <w:szCs w:val="21"/>
                <w:highlight w:val="none"/>
                <w:u w:color="000000"/>
                <w:lang w:val="en-US" w:eastAsia="zh-CN" w:bidi="ar"/>
              </w:rPr>
              <w:t>6</w:t>
            </w:r>
            <w:r>
              <w:rPr>
                <w:rFonts w:hint="eastAsia" w:ascii="宋体" w:hAnsi="宋体" w:eastAsia="宋体" w:cs="宋体"/>
                <w:color w:val="000000"/>
                <w:kern w:val="2"/>
                <w:sz w:val="21"/>
                <w:szCs w:val="21"/>
                <w:highlight w:val="none"/>
                <w:u w:color="000000"/>
                <w:lang w:val="en-US" w:eastAsia="zh-CN" w:bidi="ar"/>
              </w:rPr>
              <w:t>年</w:t>
            </w:r>
            <w:r>
              <w:rPr>
                <w:rFonts w:hint="eastAsia" w:ascii="宋体" w:hAnsi="宋体" w:cs="宋体"/>
                <w:color w:val="000000"/>
                <w:kern w:val="2"/>
                <w:sz w:val="21"/>
                <w:szCs w:val="21"/>
                <w:highlight w:val="none"/>
                <w:u w:color="000000"/>
                <w:lang w:val="en-US" w:eastAsia="zh-CN" w:bidi="ar"/>
              </w:rPr>
              <w:t>5</w:t>
            </w:r>
            <w:r>
              <w:rPr>
                <w:rFonts w:hint="eastAsia" w:ascii="宋体" w:hAnsi="宋体" w:eastAsia="宋体" w:cs="宋体"/>
                <w:color w:val="000000"/>
                <w:kern w:val="2"/>
                <w:sz w:val="21"/>
                <w:szCs w:val="21"/>
                <w:highlight w:val="none"/>
                <w:u w:color="000000"/>
                <w:lang w:val="en-US" w:eastAsia="zh-CN" w:bidi="ar"/>
              </w:rPr>
              <w:t>月</w:t>
            </w:r>
            <w:r>
              <w:rPr>
                <w:rFonts w:hint="eastAsia" w:ascii="宋体" w:hAnsi="宋体" w:cs="宋体"/>
                <w:color w:val="000000"/>
                <w:kern w:val="2"/>
                <w:sz w:val="21"/>
                <w:szCs w:val="21"/>
                <w:highlight w:val="none"/>
                <w:u w:color="000000"/>
                <w:lang w:val="en-US" w:eastAsia="zh-CN" w:bidi="ar"/>
              </w:rPr>
              <w:t>21</w:t>
            </w:r>
            <w:r>
              <w:rPr>
                <w:rFonts w:hint="eastAsia" w:ascii="宋体" w:hAnsi="宋体" w:eastAsia="宋体" w:cs="宋体"/>
                <w:color w:val="000000"/>
                <w:kern w:val="2"/>
                <w:sz w:val="21"/>
                <w:szCs w:val="21"/>
                <w:highlight w:val="none"/>
                <w:u w:color="000000"/>
                <w:lang w:val="en-US" w:eastAsia="zh-CN" w:bidi="ar"/>
              </w:rPr>
              <w:t>日</w:t>
            </w:r>
            <w:r>
              <w:rPr>
                <w:rFonts w:hint="eastAsia" w:ascii="宋体" w:hAnsi="宋体" w:cs="宋体"/>
                <w:color w:val="000000"/>
                <w:kern w:val="2"/>
                <w:sz w:val="21"/>
                <w:szCs w:val="21"/>
                <w:highlight w:val="none"/>
                <w:u w:color="000000"/>
                <w:lang w:val="en-US" w:eastAsia="zh-CN" w:bidi="ar"/>
              </w:rPr>
              <w:t>9</w:t>
            </w:r>
            <w:r>
              <w:rPr>
                <w:rFonts w:hint="eastAsia" w:ascii="宋体" w:hAnsi="宋体" w:eastAsia="宋体" w:cs="宋体"/>
                <w:color w:val="000000"/>
                <w:kern w:val="2"/>
                <w:sz w:val="21"/>
                <w:szCs w:val="21"/>
                <w:highlight w:val="none"/>
                <w:u w:color="000000"/>
                <w:lang w:val="en-US" w:eastAsia="zh-CN" w:bidi="ar"/>
              </w:rPr>
              <w:t>时</w:t>
            </w:r>
            <w:r>
              <w:rPr>
                <w:rFonts w:hint="eastAsia" w:ascii="宋体" w:hAnsi="宋体" w:cs="宋体"/>
                <w:color w:val="000000"/>
                <w:kern w:val="2"/>
                <w:sz w:val="21"/>
                <w:szCs w:val="21"/>
                <w:highlight w:val="none"/>
                <w:u w:color="000000"/>
                <w:lang w:val="en-US" w:eastAsia="zh-CN" w:bidi="ar"/>
              </w:rPr>
              <w:t>3</w:t>
            </w:r>
            <w:r>
              <w:rPr>
                <w:rFonts w:hint="eastAsia" w:ascii="宋体" w:hAnsi="宋体" w:eastAsia="宋体" w:cs="宋体"/>
                <w:color w:val="000000"/>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w:t>
            </w:r>
            <w:r>
              <w:rPr>
                <w:rFonts w:hint="eastAsia" w:ascii="宋体" w:hAnsi="宋体" w:cs="宋体"/>
                <w:color w:val="000000"/>
                <w:kern w:val="2"/>
                <w:sz w:val="21"/>
                <w:szCs w:val="21"/>
                <w:highlight w:val="none"/>
                <w:u w:color="000000"/>
                <w:lang w:val="en-US" w:eastAsia="zh-CN" w:bidi="ar"/>
              </w:rPr>
              <w:t>控制中心五楼会议室</w:t>
            </w:r>
            <w:r>
              <w:rPr>
                <w:rFonts w:hint="eastAsia" w:ascii="宋体" w:hAnsi="宋体" w:eastAsia="宋体" w:cs="宋体"/>
                <w:color w:val="000000"/>
                <w:kern w:val="2"/>
                <w:sz w:val="21"/>
                <w:szCs w:val="21"/>
                <w:highlight w:val="none"/>
                <w:u w:color="000000"/>
                <w:lang w:val="en-US" w:eastAsia="zh-CN" w:bidi="ar"/>
              </w:rPr>
              <w:t xml:space="preserve">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A120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中标人提交研究设计方案后一次性支付合同价款的100%。</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1、评标委员会只依靠投标人递交的投标文件及其按照招标文件要求提供的所有证明材料进行评审，而不依靠任何外来的证明材料。</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2、招标人对本项目执行过程中的所有争议拥有最终的裁决权，投标人应无条件地服从招标人的裁决，不得以任何理由提出增加本项目合同费用和延误本项目工期。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eastAsia="宋体"/>
                <w:highlight w:val="none"/>
                <w:lang w:val="en-US" w:eastAsia="zh-CN"/>
              </w:rPr>
            </w:pPr>
            <w:r>
              <w:rPr>
                <w:rFonts w:hint="eastAsia"/>
                <w:highlight w:val="none"/>
                <w:lang w:val="en-US" w:eastAsia="zh-CN"/>
              </w:rPr>
              <w:t>3、本项目严禁非法转包，一经发现，招标人依法处理。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35424939"/>
      <w:bookmarkStart w:id="73" w:name="_Toc35425105"/>
      <w:bookmarkStart w:id="74" w:name="_Toc15058902"/>
      <w:bookmarkStart w:id="75" w:name="_Toc506107317"/>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宋体" w:cs="宋体"/>
          <w:color w:val="000000"/>
          <w:kern w:val="0"/>
          <w:sz w:val="21"/>
          <w:szCs w:val="21"/>
          <w:highlight w:val="none"/>
          <w:u w:color="000000"/>
          <w:lang w:val="en-US" w:eastAsia="zh-CN" w:bidi="ar"/>
        </w:rPr>
        <w:t>服务期</w:t>
      </w:r>
      <w:r>
        <w:rPr>
          <w:rFonts w:hint="eastAsia" w:ascii="宋体" w:hAnsi="宋体" w:eastAsia="宋体" w:cs="宋体"/>
          <w:color w:val="000000"/>
          <w:kern w:val="0"/>
          <w:sz w:val="21"/>
          <w:szCs w:val="21"/>
          <w:highlight w:val="none"/>
          <w:u w:color="000000"/>
          <w:lang w:val="en-US" w:eastAsia="zh-CN" w:bidi="ar"/>
        </w:rPr>
        <w:t>：见投标人须知前附表。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宋体" w:cs="宋体"/>
          <w:color w:val="000000"/>
          <w:kern w:val="0"/>
          <w:sz w:val="21"/>
          <w:szCs w:val="21"/>
          <w:highlight w:val="none"/>
          <w:u w:color="000000"/>
          <w:lang w:val="en-US" w:eastAsia="zh-CN" w:bidi="ar"/>
        </w:rPr>
        <w:t>项目</w:t>
      </w:r>
      <w:r>
        <w:rPr>
          <w:rFonts w:hint="eastAsia" w:ascii="宋体" w:hAnsi="宋体" w:eastAsia="宋体" w:cs="宋体"/>
          <w:color w:val="000000"/>
          <w:kern w:val="0"/>
          <w:sz w:val="21"/>
          <w:szCs w:val="21"/>
          <w:highlight w:val="none"/>
          <w:u w:color="000000"/>
          <w:lang w:val="en-US" w:eastAsia="zh-CN" w:bidi="ar"/>
        </w:rPr>
        <w:t>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w:t>
      </w:r>
      <w:r>
        <w:rPr>
          <w:rFonts w:hint="eastAsia" w:ascii="宋体" w:hAnsi="宋体" w:cs="宋体"/>
          <w:color w:val="000000"/>
          <w:kern w:val="0"/>
          <w:sz w:val="21"/>
          <w:szCs w:val="21"/>
          <w:highlight w:val="none"/>
          <w:u w:val="single" w:color="000000"/>
          <w:lang w:val="en-US" w:eastAsia="zh-CN" w:bidi="ar"/>
        </w:rPr>
        <w:t>总</w:t>
      </w:r>
      <w:r>
        <w:rPr>
          <w:rFonts w:hint="eastAsia" w:ascii="宋体" w:hAnsi="宋体" w:eastAsia="宋体" w:cs="宋体"/>
          <w:color w:val="000000"/>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w:t>
      </w:r>
      <w:r>
        <w:rPr>
          <w:rFonts w:hint="eastAsia" w:ascii="宋体" w:hAnsi="宋体" w:cs="宋体"/>
          <w:color w:val="000000"/>
          <w:kern w:val="0"/>
          <w:sz w:val="21"/>
          <w:szCs w:val="21"/>
          <w:highlight w:val="none"/>
          <w:u w:color="000000"/>
          <w:lang w:val="en-US" w:eastAsia="zh-CN" w:bidi="ar"/>
        </w:rPr>
        <w:t>四</w:t>
      </w:r>
      <w:r>
        <w:rPr>
          <w:rFonts w:hint="eastAsia" w:ascii="宋体" w:hAnsi="宋体" w:eastAsia="宋体" w:cs="宋体"/>
          <w:color w:val="000000"/>
          <w:kern w:val="0"/>
          <w:sz w:val="21"/>
          <w:szCs w:val="21"/>
          <w:highlight w:val="none"/>
          <w:u w:color="000000"/>
          <w:lang w:val="en-US" w:eastAsia="zh-CN" w:bidi="ar"/>
        </w:rPr>
        <w:t>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152045539"/>
      <w:bookmarkEnd w:id="77"/>
      <w:bookmarkStart w:id="78" w:name="_Toc247527563"/>
      <w:bookmarkEnd w:id="78"/>
      <w:bookmarkStart w:id="79" w:name="_Toc152042315"/>
      <w:bookmarkEnd w:id="79"/>
      <w:bookmarkStart w:id="80" w:name="_Toc144974507"/>
      <w:bookmarkEnd w:id="80"/>
      <w:bookmarkStart w:id="81" w:name="_Toc247513962"/>
      <w:bookmarkEnd w:id="81"/>
      <w:bookmarkStart w:id="82" w:name="_Toc296602429"/>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24655"/>
      <w:bookmarkEnd w:id="84"/>
      <w:bookmarkStart w:id="85" w:name="_Toc10668_WPSOffice_Level3"/>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19471F5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w:t>
      </w:r>
      <w:r>
        <w:rPr>
          <w:rFonts w:hint="eastAsia" w:ascii="宋体" w:hAnsi="宋体" w:cs="宋体"/>
          <w:color w:val="000000"/>
          <w:kern w:val="0"/>
          <w:sz w:val="21"/>
          <w:szCs w:val="21"/>
          <w:highlight w:val="none"/>
          <w:u w:color="000000"/>
          <w:lang w:val="en-US" w:eastAsia="zh-CN" w:bidi="ar"/>
        </w:rPr>
        <w:t>三</w:t>
      </w:r>
      <w:r>
        <w:rPr>
          <w:rFonts w:hint="eastAsia" w:ascii="宋体" w:hAnsi="宋体" w:eastAsia="宋体" w:cs="宋体"/>
          <w:color w:val="000000"/>
          <w:kern w:val="0"/>
          <w:sz w:val="21"/>
          <w:szCs w:val="21"/>
          <w:highlight w:val="none"/>
          <w:u w:color="000000"/>
          <w:lang w:val="en-US" w:eastAsia="zh-CN" w:bidi="ar"/>
        </w:rPr>
        <w:t>章</w:t>
      </w:r>
      <w:r>
        <w:rPr>
          <w:rFonts w:hint="eastAsia" w:ascii="宋体" w:hAnsi="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资格审查办法</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w:t>
      </w:r>
      <w:r>
        <w:rPr>
          <w:rFonts w:hint="eastAsia" w:ascii="宋体" w:hAnsi="宋体" w:cs="宋体"/>
          <w:color w:val="000000"/>
          <w:kern w:val="0"/>
          <w:sz w:val="21"/>
          <w:szCs w:val="21"/>
          <w:highlight w:val="none"/>
          <w:u w:color="000000"/>
          <w:lang w:val="en-US" w:eastAsia="zh-CN" w:bidi="ar"/>
        </w:rPr>
        <w:t>四</w:t>
      </w:r>
      <w:r>
        <w:rPr>
          <w:rFonts w:hint="eastAsia" w:ascii="宋体" w:hAnsi="宋体" w:eastAsia="宋体" w:cs="宋体"/>
          <w:color w:val="000000"/>
          <w:kern w:val="0"/>
          <w:sz w:val="21"/>
          <w:szCs w:val="21"/>
          <w:highlight w:val="none"/>
          <w:u w:color="000000"/>
          <w:lang w:val="en-US" w:eastAsia="zh-CN" w:bidi="ar"/>
        </w:rPr>
        <w:t>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w:t>
      </w:r>
      <w:r>
        <w:rPr>
          <w:rFonts w:hint="eastAsia" w:ascii="宋体" w:hAnsi="宋体" w:cs="宋体"/>
          <w:color w:val="000000"/>
          <w:kern w:val="0"/>
          <w:sz w:val="21"/>
          <w:szCs w:val="21"/>
          <w:highlight w:val="none"/>
          <w:u w:color="000000"/>
          <w:lang w:val="en-US" w:eastAsia="zh-CN" w:bidi="ar"/>
        </w:rPr>
        <w:t>五</w:t>
      </w:r>
      <w:r>
        <w:rPr>
          <w:rFonts w:hint="eastAsia" w:ascii="宋体" w:hAnsi="宋体" w:eastAsia="宋体" w:cs="宋体"/>
          <w:color w:val="000000"/>
          <w:kern w:val="0"/>
          <w:sz w:val="21"/>
          <w:szCs w:val="21"/>
          <w:highlight w:val="none"/>
          <w:u w:color="000000"/>
          <w:lang w:val="en-US" w:eastAsia="zh-CN" w:bidi="ar"/>
        </w:rPr>
        <w:t xml:space="preserve">章  </w:t>
      </w:r>
      <w:r>
        <w:rPr>
          <w:rFonts w:hint="eastAsia" w:ascii="宋体" w:cs="宋体"/>
          <w:color w:val="auto"/>
          <w:szCs w:val="21"/>
          <w:highlight w:val="none"/>
          <w:lang w:val="en-US" w:eastAsia="zh-CN"/>
        </w:rPr>
        <w:t>采购需求</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w:t>
      </w:r>
      <w:r>
        <w:rPr>
          <w:rFonts w:hint="eastAsia" w:ascii="宋体" w:hAnsi="宋体" w:cs="宋体"/>
          <w:color w:val="000000"/>
          <w:kern w:val="0"/>
          <w:sz w:val="21"/>
          <w:szCs w:val="21"/>
          <w:highlight w:val="none"/>
          <w:u w:color="000000"/>
          <w:lang w:val="en-US" w:eastAsia="zh-CN" w:bidi="ar"/>
        </w:rPr>
        <w:t>六</w:t>
      </w:r>
      <w:r>
        <w:rPr>
          <w:rFonts w:hint="eastAsia" w:ascii="宋体" w:hAnsi="宋体" w:eastAsia="宋体" w:cs="宋体"/>
          <w:color w:val="000000"/>
          <w:kern w:val="0"/>
          <w:sz w:val="21"/>
          <w:szCs w:val="21"/>
          <w:highlight w:val="none"/>
          <w:u w:color="000000"/>
          <w:lang w:val="en-US" w:eastAsia="zh-CN" w:bidi="ar"/>
        </w:rPr>
        <w:t>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w:t>
      </w:r>
      <w:r>
        <w:rPr>
          <w:rFonts w:hint="eastAsia" w:ascii="宋体" w:hAnsi="宋体" w:cs="宋体"/>
          <w:color w:val="000000"/>
          <w:kern w:val="0"/>
          <w:sz w:val="21"/>
          <w:szCs w:val="21"/>
          <w:highlight w:val="none"/>
          <w:u w:color="000000"/>
          <w:lang w:val="en-US" w:eastAsia="zh-CN" w:bidi="ar"/>
        </w:rPr>
        <w:t>七</w:t>
      </w:r>
      <w:r>
        <w:rPr>
          <w:rFonts w:hint="eastAsia" w:ascii="宋体" w:hAnsi="宋体" w:eastAsia="宋体" w:cs="宋体"/>
          <w:color w:val="000000"/>
          <w:kern w:val="0"/>
          <w:sz w:val="21"/>
          <w:szCs w:val="21"/>
          <w:highlight w:val="none"/>
          <w:u w:color="000000"/>
          <w:lang w:val="en-US" w:eastAsia="zh-CN" w:bidi="ar"/>
        </w:rPr>
        <w:t>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w:t>
      </w:r>
      <w:r>
        <w:rPr>
          <w:rFonts w:hint="eastAsia" w:ascii="宋体" w:hAnsi="宋体" w:cs="宋体"/>
          <w:color w:val="000000"/>
          <w:kern w:val="0"/>
          <w:sz w:val="21"/>
          <w:szCs w:val="21"/>
          <w:highlight w:val="none"/>
          <w:u w:color="000000"/>
          <w:lang w:val="en-US" w:eastAsia="zh-CN" w:bidi="ar"/>
        </w:rPr>
        <w:t>八</w:t>
      </w:r>
      <w:r>
        <w:rPr>
          <w:rFonts w:hint="eastAsia" w:ascii="宋体" w:hAnsi="宋体" w:eastAsia="宋体" w:cs="宋体"/>
          <w:color w:val="000000"/>
          <w:kern w:val="0"/>
          <w:sz w:val="21"/>
          <w:szCs w:val="21"/>
          <w:highlight w:val="none"/>
          <w:u w:color="000000"/>
          <w:lang w:val="en-US" w:eastAsia="zh-CN" w:bidi="ar"/>
        </w:rPr>
        <w:t>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cs="宋体"/>
          <w:color w:val="000000"/>
          <w:kern w:val="0"/>
          <w:sz w:val="21"/>
          <w:szCs w:val="21"/>
          <w:highlight w:val="none"/>
          <w:u w:color="000000"/>
          <w:lang w:val="en-US" w:eastAsia="zh-CN" w:bidi="ar"/>
        </w:rPr>
        <w:t>滁州市滁宁城际铁路开发建设有限公司</w:t>
      </w:r>
      <w:r>
        <w:rPr>
          <w:rFonts w:hint="eastAsia" w:ascii="宋体" w:hAnsi="宋体" w:eastAsia="宋体" w:cs="宋体"/>
          <w:color w:val="000000"/>
          <w:kern w:val="0"/>
          <w:sz w:val="21"/>
          <w:szCs w:val="21"/>
          <w:highlight w:val="none"/>
          <w:u w:color="000000"/>
          <w:lang w:val="en-US" w:eastAsia="zh-CN" w:bidi="ar"/>
        </w:rPr>
        <w:t>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6ACA085A">
      <w:pPr>
        <w:spacing w:line="420" w:lineRule="exact"/>
        <w:ind w:left="10" w:right="-94" w:rightChars="-45" w:firstLine="420" w:firstLineChars="200"/>
        <w:rPr>
          <w:rFonts w:hint="eastAsia" w:ascii="宋体" w:hAnsi="宋体" w:cs="宋体"/>
          <w:szCs w:val="21"/>
          <w:highlight w:val="none"/>
        </w:rPr>
      </w:pPr>
      <w:r>
        <w:rPr>
          <w:rFonts w:hint="eastAsia" w:ascii="宋体" w:hAnsi="宋体" w:eastAsia="宋体" w:cs="宋体"/>
          <w:bCs/>
          <w:color w:val="000000"/>
          <w:kern w:val="0"/>
          <w:sz w:val="21"/>
          <w:szCs w:val="21"/>
          <w:highlight w:val="none"/>
          <w:u w:color="000000"/>
          <w:lang w:val="en-US" w:eastAsia="zh-CN" w:bidi="ar"/>
        </w:rPr>
        <w:t>22.3投标报价包括完成本项目全部供货及服务的一切费用：</w:t>
      </w:r>
      <w:r>
        <w:rPr>
          <w:rFonts w:hint="eastAsia" w:ascii="宋体" w:hAnsi="宋体" w:cs="宋体"/>
          <w:szCs w:val="21"/>
          <w:highlight w:val="none"/>
        </w:rPr>
        <w:t>投标报价包含完成本次招标范围内的</w:t>
      </w:r>
      <w:r>
        <w:rPr>
          <w:rFonts w:hint="eastAsia" w:ascii="宋体" w:hAnsi="宋体" w:cs="宋体"/>
          <w:szCs w:val="21"/>
          <w:highlight w:val="none"/>
          <w:lang w:val="en-US" w:eastAsia="zh-CN"/>
        </w:rPr>
        <w:t>初步设计</w:t>
      </w:r>
      <w:r>
        <w:rPr>
          <w:rFonts w:hint="eastAsia" w:ascii="宋体" w:hAnsi="宋体" w:cs="宋体"/>
          <w:szCs w:val="21"/>
          <w:highlight w:val="none"/>
        </w:rPr>
        <w:t>编制等所需的全部人员费用（如人员工资、保险、加班、差旅等一切费用）、设备费用、材料费用、机械费、报告编制费、专家评审费、招标代理费、会务费、管理费、利润、国家对征收的各种税费及完成本项目服务所需的所有的费用，招标人不再另行支付。</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价即为履行合同的固定</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22.7投标</w:t>
      </w:r>
      <w:r>
        <w:rPr>
          <w:rFonts w:hint="eastAsia" w:ascii="宋体" w:hAnsi="宋体" w:cs="宋体"/>
          <w:bCs/>
          <w:color w:val="000000"/>
          <w:kern w:val="0"/>
          <w:sz w:val="21"/>
          <w:szCs w:val="21"/>
          <w:highlight w:val="none"/>
          <w:u w:color="000000"/>
          <w:lang w:val="en-US" w:eastAsia="zh-CN" w:bidi="ar"/>
        </w:rPr>
        <w:t>报</w:t>
      </w:r>
      <w:r>
        <w:rPr>
          <w:rFonts w:hint="eastAsia" w:ascii="宋体" w:hAnsi="宋体" w:eastAsia="宋体" w:cs="宋体"/>
          <w:bCs/>
          <w:color w:val="000000"/>
          <w:kern w:val="0"/>
          <w:sz w:val="21"/>
          <w:szCs w:val="21"/>
          <w:highlight w:val="none"/>
          <w:u w:color="000000"/>
          <w:lang w:val="en-US" w:eastAsia="zh-CN" w:bidi="ar"/>
        </w:rPr>
        <w:t>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22.8投标</w:t>
      </w:r>
      <w:r>
        <w:rPr>
          <w:rFonts w:hint="eastAsia" w:ascii="宋体" w:hAnsi="宋体" w:cs="宋体"/>
          <w:bCs/>
          <w:color w:val="000000"/>
          <w:kern w:val="0"/>
          <w:sz w:val="21"/>
          <w:szCs w:val="21"/>
          <w:highlight w:val="none"/>
          <w:u w:color="000000"/>
          <w:lang w:val="en-US" w:eastAsia="zh-CN" w:bidi="ar"/>
        </w:rPr>
        <w:t>报</w:t>
      </w:r>
      <w:r>
        <w:rPr>
          <w:rFonts w:hint="eastAsia" w:ascii="宋体" w:hAnsi="宋体" w:eastAsia="宋体" w:cs="宋体"/>
          <w:bCs/>
          <w:color w:val="000000"/>
          <w:kern w:val="0"/>
          <w:sz w:val="21"/>
          <w:szCs w:val="21"/>
          <w:highlight w:val="none"/>
          <w:u w:color="000000"/>
          <w:lang w:val="en-US" w:eastAsia="zh-CN" w:bidi="ar"/>
        </w:rPr>
        <w:t>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490"/>
      <w:bookmarkEnd w:id="90"/>
      <w:bookmarkStart w:id="91" w:name="_Toc30407_WPSOffice_Level3"/>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w:t>
      </w:r>
      <w:r>
        <w:rPr>
          <w:rFonts w:hint="eastAsia" w:ascii="宋体" w:cs="Times New Roman"/>
          <w:szCs w:val="21"/>
          <w:highlight w:val="none"/>
          <w:lang w:val="en-US" w:eastAsia="zh-CN"/>
        </w:rPr>
        <w:t>四</w:t>
      </w:r>
      <w:r>
        <w:rPr>
          <w:rFonts w:hint="eastAsia" w:ascii="宋体" w:hAnsi="Times New Roman" w:eastAsia="宋体" w:cs="Times New Roman"/>
          <w:szCs w:val="21"/>
          <w:highlight w:val="none"/>
        </w:rPr>
        <w:t>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15058912"/>
      <w:bookmarkStart w:id="102" w:name="_Toc35425111"/>
      <w:bookmarkStart w:id="103" w:name="_Toc506107323"/>
      <w:bookmarkStart w:id="104" w:name="_Toc35424945"/>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jc w:val="lef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2048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40D072F3">
            <w:pPr>
              <w:spacing w:line="320" w:lineRule="exact"/>
              <w:jc w:val="center"/>
              <w:rPr>
                <w:rFonts w:hint="eastAsia" w:ascii="宋体" w:hAnsi="宋体"/>
                <w:color w:val="000000"/>
                <w:szCs w:val="21"/>
                <w:highlight w:val="none"/>
              </w:rPr>
            </w:pPr>
          </w:p>
        </w:tc>
        <w:tc>
          <w:tcPr>
            <w:tcW w:w="1235" w:type="dxa"/>
            <w:vMerge w:val="continue"/>
            <w:vAlign w:val="center"/>
          </w:tcPr>
          <w:p w14:paraId="6E5FCD08">
            <w:pPr>
              <w:spacing w:line="320" w:lineRule="exact"/>
              <w:rPr>
                <w:rFonts w:hint="eastAsia" w:ascii="宋体" w:hAnsi="宋体"/>
                <w:color w:val="000000"/>
                <w:szCs w:val="21"/>
                <w:highlight w:val="none"/>
              </w:rPr>
            </w:pPr>
          </w:p>
        </w:tc>
        <w:tc>
          <w:tcPr>
            <w:tcW w:w="3008" w:type="dxa"/>
            <w:vAlign w:val="center"/>
          </w:tcPr>
          <w:p w14:paraId="2C299887">
            <w:pPr>
              <w:spacing w:line="320" w:lineRule="exact"/>
              <w:jc w:val="left"/>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eastAsia="zh-CN"/>
              </w:rPr>
              <w:t>（</w:t>
            </w:r>
            <w:r>
              <w:rPr>
                <w:rFonts w:hint="eastAsia" w:ascii="宋体" w:hAnsi="宋体" w:cs="Times New Roman"/>
                <w:color w:val="000000"/>
                <w:szCs w:val="21"/>
                <w:highlight w:val="none"/>
                <w:lang w:val="en-US" w:eastAsia="zh-CN"/>
              </w:rPr>
              <w:t>3）</w:t>
            </w:r>
            <w:r>
              <w:rPr>
                <w:rFonts w:hint="eastAsia" w:ascii="宋体" w:hAnsi="宋体" w:cs="宋体"/>
                <w:szCs w:val="21"/>
                <w:highlight w:val="none"/>
              </w:rPr>
              <w:t>企业资质证书</w:t>
            </w:r>
          </w:p>
        </w:tc>
        <w:tc>
          <w:tcPr>
            <w:tcW w:w="3929" w:type="dxa"/>
            <w:vAlign w:val="center"/>
          </w:tcPr>
          <w:p w14:paraId="1692EE91">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2A2B7465">
            <w:pPr>
              <w:spacing w:line="320" w:lineRule="exact"/>
              <w:jc w:val="left"/>
              <w:rPr>
                <w:rFonts w:hint="default" w:ascii="宋体" w:hAnsi="宋体" w:eastAsia="宋体" w:cs="Times New Roman"/>
                <w:color w:val="000000"/>
                <w:szCs w:val="21"/>
                <w:highlight w:val="none"/>
                <w:lang w:val="en-US"/>
              </w:rPr>
            </w:pPr>
            <w:r>
              <w:rPr>
                <w:rFonts w:hint="eastAsia" w:ascii="宋体" w:hAnsi="宋体" w:eastAsia="宋体" w:cs="Times New Roman"/>
                <w:color w:val="000000"/>
                <w:szCs w:val="21"/>
                <w:highlight w:val="none"/>
              </w:rPr>
              <w:t>投标人有效的</w:t>
            </w:r>
            <w:r>
              <w:rPr>
                <w:rFonts w:hint="eastAsia" w:ascii="宋体" w:hAnsi="宋体" w:eastAsia="宋体" w:cs="Times New Roman"/>
                <w:color w:val="000000"/>
                <w:szCs w:val="21"/>
                <w:highlight w:val="none"/>
                <w:lang w:val="en-US" w:eastAsia="zh-CN"/>
              </w:rPr>
              <w:t>城乡规划编制乙级或以上资质</w:t>
            </w:r>
            <w:r>
              <w:rPr>
                <w:rFonts w:hint="eastAsia" w:ascii="宋体" w:hAnsi="宋体" w:cs="Times New Roman"/>
                <w:color w:val="000000"/>
                <w:szCs w:val="21"/>
                <w:highlight w:val="none"/>
                <w:lang w:val="en-US" w:eastAsia="zh-CN"/>
              </w:rPr>
              <w:t>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4E68EDA6">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4</w:t>
            </w:r>
            <w:r>
              <w:rPr>
                <w:rFonts w:hint="eastAsia" w:ascii="宋体" w:hAnsi="宋体" w:eastAsia="宋体" w:cs="Times New Roman"/>
                <w:color w:val="000000"/>
                <w:szCs w:val="21"/>
                <w:highlight w:val="none"/>
              </w:rPr>
              <w:t>）诚信投标承诺书</w:t>
            </w:r>
          </w:p>
        </w:tc>
        <w:tc>
          <w:tcPr>
            <w:tcW w:w="3929" w:type="dxa"/>
            <w:vAlign w:val="center"/>
          </w:tcPr>
          <w:p w14:paraId="1B6F7B2F">
            <w:pPr>
              <w:spacing w:line="360" w:lineRule="exact"/>
              <w:jc w:val="lef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5</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jc w:val="lef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5" w:name="_Toc60061492"/>
      <w:bookmarkStart w:id="106" w:name="_Toc95223395"/>
      <w:bookmarkStart w:id="107" w:name="_Toc506107320"/>
      <w:bookmarkStart w:id="108" w:name="_Toc15058909"/>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9" w:name="_Toc60061493"/>
      <w:bookmarkStart w:id="110" w:name="_Toc324404868"/>
      <w:bookmarkStart w:id="111" w:name="_Toc506107321"/>
      <w:bookmarkStart w:id="11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4" w:name="_Toc324404869"/>
      <w:bookmarkStart w:id="115" w:name="_Toc95223397"/>
      <w:bookmarkStart w:id="116" w:name="_Toc60061494"/>
      <w:bookmarkStart w:id="117" w:name="_Toc15058911"/>
      <w:bookmarkStart w:id="118" w:name="_Toc506107322"/>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2"/>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5112"/>
      <w:bookmarkStart w:id="121" w:name="_Toc35424946"/>
      <w:r>
        <w:rPr>
          <w:rFonts w:hint="eastAsia" w:ascii="宋体" w:hAnsi="宋体" w:cs="宋体"/>
          <w:b/>
          <w:bCs/>
          <w:sz w:val="28"/>
          <w:szCs w:val="28"/>
          <w:highlight w:val="none"/>
        </w:rPr>
        <w:t>评标办法前附表</w:t>
      </w:r>
      <w:bookmarkEnd w:id="120"/>
      <w:bookmarkEnd w:id="121"/>
    </w:p>
    <w:p w14:paraId="0701628E">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（一）资信标评分细则（</w:t>
      </w:r>
      <w:r>
        <w:rPr>
          <w:rFonts w:hint="eastAsia" w:cs="Times New Roman"/>
          <w:b/>
          <w:color w:val="auto"/>
          <w:sz w:val="28"/>
          <w:szCs w:val="21"/>
          <w:lang w:val="en-US" w:eastAsia="zh-CN"/>
        </w:rPr>
        <w:t>3</w:t>
      </w:r>
      <w:r>
        <w:rPr>
          <w:rFonts w:hint="eastAsia" w:ascii="Times New Roman" w:hAnsi="Times New Roman" w:eastAsia="宋体" w:cs="Times New Roman"/>
          <w:b/>
          <w:color w:val="auto"/>
          <w:sz w:val="28"/>
          <w:szCs w:val="21"/>
          <w:lang w:val="en-US" w:eastAsia="zh-CN"/>
        </w:rPr>
        <w:t>0分）</w:t>
      </w:r>
    </w:p>
    <w:tbl>
      <w:tblPr>
        <w:tblStyle w:val="48"/>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spacing w:val="0"/>
                <w:position w:val="11"/>
                <w:sz w:val="21"/>
                <w:szCs w:val="21"/>
                <w:highlight w:val="none"/>
                <w:lang w:val="en-US" w:eastAsia="zh-CN"/>
              </w:rPr>
            </w:pPr>
            <w:r>
              <w:rPr>
                <w:rFonts w:hint="eastAsia" w:ascii="宋体" w:hAnsi="宋体" w:eastAsia="宋体" w:cs="宋体"/>
                <w:spacing w:val="0"/>
                <w:position w:val="11"/>
                <w:sz w:val="21"/>
                <w:szCs w:val="21"/>
                <w:highlight w:val="none"/>
                <w:lang w:val="en-US" w:eastAsia="zh-CN"/>
              </w:rPr>
              <w:t>企业业绩（20分）</w:t>
            </w:r>
          </w:p>
        </w:tc>
        <w:tc>
          <w:tcPr>
            <w:tcW w:w="3763" w:type="pct"/>
            <w:vAlign w:val="top"/>
          </w:tcPr>
          <w:p w14:paraId="415C650C">
            <w:pPr>
              <w:jc w:val="left"/>
              <w:rPr>
                <w:rFonts w:hint="eastAsia" w:ascii="宋体" w:hAnsi="宋体" w:eastAsia="宋体" w:cs="宋体"/>
                <w:b w:val="0"/>
                <w:bCs/>
                <w:color w:val="auto"/>
                <w:spacing w:val="0"/>
                <w:sz w:val="21"/>
                <w:szCs w:val="21"/>
                <w:highlight w:val="none"/>
                <w:lang w:val="en-US" w:eastAsia="zh-CN"/>
              </w:rPr>
            </w:pPr>
            <w:r>
              <w:rPr>
                <w:rFonts w:hint="eastAsia" w:ascii="宋体" w:hAnsi="宋体" w:eastAsia="宋体" w:cs="宋体"/>
                <w:b w:val="0"/>
                <w:bCs/>
                <w:color w:val="auto"/>
                <w:spacing w:val="0"/>
                <w:sz w:val="21"/>
                <w:szCs w:val="21"/>
                <w:highlight w:val="none"/>
                <w:lang w:val="en-US" w:eastAsia="zh-CN"/>
              </w:rPr>
              <w:t>自2020年1月1日至投标截止日（以合同签订时间为准），投标人每提供一个</w:t>
            </w:r>
            <w:r>
              <w:rPr>
                <w:rFonts w:hint="eastAsia" w:ascii="宋体" w:hAnsi="宋体" w:cs="宋体"/>
                <w:b w:val="0"/>
                <w:bCs/>
                <w:color w:val="auto"/>
                <w:spacing w:val="0"/>
                <w:sz w:val="21"/>
                <w:szCs w:val="21"/>
                <w:highlight w:val="none"/>
                <w:lang w:val="en-US" w:eastAsia="zh-CN"/>
              </w:rPr>
              <w:t>规划</w:t>
            </w:r>
            <w:r>
              <w:rPr>
                <w:rFonts w:hint="eastAsia" w:ascii="宋体" w:hAnsi="宋体" w:eastAsia="宋体" w:cs="宋体"/>
                <w:b w:val="0"/>
                <w:bCs/>
                <w:color w:val="auto"/>
                <w:spacing w:val="0"/>
                <w:sz w:val="21"/>
                <w:szCs w:val="21"/>
                <w:highlight w:val="none"/>
                <w:lang w:val="en-US" w:eastAsia="zh-CN"/>
              </w:rPr>
              <w:t>设计业绩（需包含新能源充电站内</w:t>
            </w:r>
            <w:r>
              <w:rPr>
                <w:rFonts w:hint="eastAsia" w:ascii="宋体" w:hAnsi="宋体" w:cs="宋体"/>
                <w:b w:val="0"/>
                <w:bCs/>
                <w:color w:val="auto"/>
                <w:spacing w:val="0"/>
                <w:sz w:val="21"/>
                <w:szCs w:val="21"/>
                <w:highlight w:val="none"/>
                <w:lang w:val="en-US" w:eastAsia="zh-CN"/>
              </w:rPr>
              <w:t>容</w:t>
            </w:r>
            <w:r>
              <w:rPr>
                <w:rFonts w:hint="eastAsia" w:ascii="宋体" w:hAnsi="宋体" w:eastAsia="宋体" w:cs="宋体"/>
                <w:b w:val="0"/>
                <w:bCs/>
                <w:color w:val="auto"/>
                <w:spacing w:val="0"/>
                <w:sz w:val="21"/>
                <w:szCs w:val="21"/>
                <w:highlight w:val="none"/>
                <w:lang w:val="en-US" w:eastAsia="zh-CN"/>
              </w:rPr>
              <w:t>）的得10分；其他的不得分，满分</w:t>
            </w:r>
            <w:r>
              <w:rPr>
                <w:rFonts w:hint="eastAsia" w:ascii="宋体" w:hAnsi="宋体" w:cs="宋体"/>
                <w:b w:val="0"/>
                <w:bCs/>
                <w:color w:val="auto"/>
                <w:spacing w:val="0"/>
                <w:sz w:val="21"/>
                <w:szCs w:val="21"/>
                <w:highlight w:val="none"/>
                <w:lang w:val="en-US" w:eastAsia="zh-CN"/>
              </w:rPr>
              <w:t>2</w:t>
            </w:r>
            <w:r>
              <w:rPr>
                <w:rFonts w:hint="eastAsia" w:ascii="宋体" w:hAnsi="宋体" w:eastAsia="宋体" w:cs="宋体"/>
                <w:b w:val="0"/>
                <w:bCs/>
                <w:color w:val="auto"/>
                <w:spacing w:val="0"/>
                <w:sz w:val="21"/>
                <w:szCs w:val="21"/>
                <w:highlight w:val="none"/>
                <w:lang w:val="en-US" w:eastAsia="zh-CN"/>
              </w:rPr>
              <w:t>0分。</w:t>
            </w:r>
          </w:p>
          <w:p w14:paraId="776760AE">
            <w:pPr>
              <w:jc w:val="left"/>
              <w:rPr>
                <w:rFonts w:hint="eastAsia" w:ascii="宋体" w:hAnsi="宋体" w:eastAsia="宋体" w:cs="宋体"/>
                <w:b w:val="0"/>
                <w:bCs/>
                <w:color w:val="auto"/>
                <w:spacing w:val="0"/>
                <w:sz w:val="21"/>
                <w:szCs w:val="21"/>
                <w:highlight w:val="none"/>
                <w:lang w:val="en-US" w:eastAsia="zh-CN"/>
              </w:rPr>
            </w:pPr>
            <w:r>
              <w:rPr>
                <w:rFonts w:hint="eastAsia" w:ascii="宋体" w:hAnsi="宋体" w:eastAsia="宋体" w:cs="宋体"/>
                <w:b w:val="0"/>
                <w:bCs/>
                <w:color w:val="auto"/>
                <w:spacing w:val="0"/>
                <w:sz w:val="21"/>
                <w:szCs w:val="21"/>
                <w:highlight w:val="none"/>
                <w:lang w:val="en-US" w:eastAsia="zh-CN"/>
              </w:rPr>
              <w:t>【投标文件中须提供合同扫描件；若上述材料均未体现评分内容的还须另外提供业主证明材料扫描件。】</w:t>
            </w:r>
          </w:p>
          <w:p w14:paraId="7BBB90AC">
            <w:pPr>
              <w:jc w:val="left"/>
              <w:rPr>
                <w:rFonts w:hint="eastAsia" w:ascii="宋体" w:hAnsi="宋体" w:eastAsia="宋体" w:cs="宋体"/>
                <w:b w:val="0"/>
                <w:bCs/>
                <w:color w:val="auto"/>
                <w:spacing w:val="0"/>
                <w:sz w:val="21"/>
                <w:szCs w:val="21"/>
                <w:highlight w:val="none"/>
                <w:lang w:val="en-US" w:eastAsia="zh-CN"/>
              </w:rPr>
            </w:pPr>
            <w:r>
              <w:rPr>
                <w:rFonts w:hint="eastAsia" w:ascii="宋体" w:hAnsi="宋体" w:eastAsia="宋体" w:cs="宋体"/>
                <w:b w:val="0"/>
                <w:bCs/>
                <w:color w:val="auto"/>
                <w:spacing w:val="0"/>
                <w:sz w:val="21"/>
                <w:szCs w:val="21"/>
                <w:highlight w:val="none"/>
                <w:lang w:val="en-US" w:eastAsia="zh-CN"/>
              </w:rPr>
              <w:t>注：投标人投标时只须提供</w:t>
            </w:r>
            <w:r>
              <w:rPr>
                <w:rFonts w:hint="eastAsia" w:ascii="宋体" w:hAnsi="宋体" w:cs="宋体"/>
                <w:b w:val="0"/>
                <w:bCs/>
                <w:color w:val="auto"/>
                <w:spacing w:val="0"/>
                <w:sz w:val="21"/>
                <w:szCs w:val="21"/>
                <w:highlight w:val="none"/>
                <w:lang w:val="en-US" w:eastAsia="zh-CN"/>
              </w:rPr>
              <w:t>2</w:t>
            </w:r>
            <w:r>
              <w:rPr>
                <w:rFonts w:hint="eastAsia" w:ascii="宋体" w:hAnsi="宋体" w:eastAsia="宋体" w:cs="宋体"/>
                <w:b w:val="0"/>
                <w:bCs/>
                <w:color w:val="auto"/>
                <w:spacing w:val="0"/>
                <w:sz w:val="21"/>
                <w:szCs w:val="21"/>
                <w:highlight w:val="none"/>
                <w:lang w:val="en-US" w:eastAsia="zh-CN"/>
              </w:rPr>
              <w:t>个评审业绩，若投标人提供业绩个数超过</w:t>
            </w:r>
            <w:r>
              <w:rPr>
                <w:rFonts w:hint="eastAsia" w:ascii="宋体" w:hAnsi="宋体" w:cs="宋体"/>
                <w:b w:val="0"/>
                <w:bCs/>
                <w:color w:val="auto"/>
                <w:spacing w:val="0"/>
                <w:sz w:val="21"/>
                <w:szCs w:val="21"/>
                <w:highlight w:val="none"/>
                <w:lang w:val="en-US" w:eastAsia="zh-CN"/>
              </w:rPr>
              <w:t>2</w:t>
            </w:r>
            <w:r>
              <w:rPr>
                <w:rFonts w:hint="eastAsia" w:ascii="宋体" w:hAnsi="宋体" w:eastAsia="宋体" w:cs="宋体"/>
                <w:b w:val="0"/>
                <w:bCs/>
                <w:color w:val="auto"/>
                <w:spacing w:val="0"/>
                <w:sz w:val="21"/>
                <w:szCs w:val="21"/>
                <w:highlight w:val="none"/>
                <w:lang w:val="en-US" w:eastAsia="zh-CN"/>
              </w:rPr>
              <w:t>个，则按照排列顺序从首个业绩开始评审至对应数量（</w:t>
            </w:r>
            <w:r>
              <w:rPr>
                <w:rFonts w:hint="eastAsia" w:ascii="宋体" w:hAnsi="宋体" w:cs="宋体"/>
                <w:b w:val="0"/>
                <w:bCs/>
                <w:color w:val="auto"/>
                <w:spacing w:val="0"/>
                <w:sz w:val="21"/>
                <w:szCs w:val="21"/>
                <w:highlight w:val="none"/>
                <w:lang w:val="en-US" w:eastAsia="zh-CN"/>
              </w:rPr>
              <w:t>2</w:t>
            </w:r>
            <w:r>
              <w:rPr>
                <w:rFonts w:hint="eastAsia" w:ascii="宋体" w:hAnsi="宋体" w:eastAsia="宋体" w:cs="宋体"/>
                <w:b w:val="0"/>
                <w:bCs/>
                <w:color w:val="auto"/>
                <w:spacing w:val="0"/>
                <w:sz w:val="21"/>
                <w:szCs w:val="21"/>
                <w:highlight w:val="none"/>
                <w:lang w:val="en-US" w:eastAsia="zh-CN"/>
              </w:rPr>
              <w:t>个），超出部分业绩不进行评审。对应数量（</w:t>
            </w:r>
            <w:r>
              <w:rPr>
                <w:rFonts w:hint="eastAsia" w:ascii="宋体" w:hAnsi="宋体" w:cs="宋体"/>
                <w:b w:val="0"/>
                <w:bCs/>
                <w:color w:val="auto"/>
                <w:spacing w:val="0"/>
                <w:sz w:val="21"/>
                <w:szCs w:val="21"/>
                <w:highlight w:val="none"/>
                <w:lang w:val="en-US" w:eastAsia="zh-CN"/>
              </w:rPr>
              <w:t>2</w:t>
            </w:r>
            <w:r>
              <w:rPr>
                <w:rFonts w:hint="eastAsia" w:ascii="宋体" w:hAnsi="宋体" w:eastAsia="宋体" w:cs="宋体"/>
                <w:b w:val="0"/>
                <w:bCs/>
                <w:color w:val="auto"/>
                <w:spacing w:val="0"/>
                <w:sz w:val="21"/>
                <w:szCs w:val="21"/>
                <w:highlight w:val="none"/>
                <w:lang w:val="en-US" w:eastAsia="zh-CN"/>
              </w:rPr>
              <w:t>个）业绩不符合招标文件要求不得分的，不再补充评审超出部分业绩。如：提供</w:t>
            </w:r>
            <w:r>
              <w:rPr>
                <w:rFonts w:hint="eastAsia" w:ascii="宋体" w:hAnsi="宋体" w:cs="宋体"/>
                <w:b w:val="0"/>
                <w:bCs/>
                <w:color w:val="auto"/>
                <w:spacing w:val="0"/>
                <w:sz w:val="21"/>
                <w:szCs w:val="21"/>
                <w:highlight w:val="none"/>
                <w:lang w:val="en-US" w:eastAsia="zh-CN"/>
              </w:rPr>
              <w:t>2</w:t>
            </w:r>
            <w:r>
              <w:rPr>
                <w:rFonts w:hint="eastAsia" w:ascii="宋体" w:hAnsi="宋体" w:eastAsia="宋体" w:cs="宋体"/>
                <w:b w:val="0"/>
                <w:bCs/>
                <w:color w:val="auto"/>
                <w:spacing w:val="0"/>
                <w:sz w:val="21"/>
                <w:szCs w:val="21"/>
                <w:highlight w:val="none"/>
                <w:lang w:val="en-US" w:eastAsia="zh-CN"/>
              </w:rPr>
              <w:t>个业绩即得满分的，按照投标文件排序评审第一</w:t>
            </w:r>
            <w:r>
              <w:rPr>
                <w:rFonts w:hint="eastAsia" w:ascii="宋体" w:hAnsi="宋体" w:cs="宋体"/>
                <w:b w:val="0"/>
                <w:bCs/>
                <w:color w:val="auto"/>
                <w:spacing w:val="0"/>
                <w:sz w:val="21"/>
                <w:szCs w:val="21"/>
                <w:highlight w:val="none"/>
                <w:lang w:val="en-US" w:eastAsia="zh-CN"/>
              </w:rPr>
              <w:t>、第二</w:t>
            </w:r>
            <w:r>
              <w:rPr>
                <w:rFonts w:hint="eastAsia" w:ascii="宋体" w:hAnsi="宋体" w:eastAsia="宋体" w:cs="宋体"/>
                <w:b w:val="0"/>
                <w:bCs/>
                <w:color w:val="auto"/>
                <w:spacing w:val="0"/>
                <w:sz w:val="21"/>
                <w:szCs w:val="21"/>
                <w:highlight w:val="none"/>
                <w:lang w:val="en-US" w:eastAsia="zh-CN"/>
              </w:rPr>
              <w:t>项业绩，其余超出部分不再评审。</w:t>
            </w:r>
          </w:p>
        </w:tc>
      </w:tr>
      <w:tr w14:paraId="7D38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481" w:type="dxa"/>
            <w:vAlign w:val="center"/>
          </w:tcPr>
          <w:p w14:paraId="59DB5D32">
            <w:pPr>
              <w:spacing w:before="69" w:line="360" w:lineRule="exact"/>
              <w:jc w:val="center"/>
              <w:rPr>
                <w:rFonts w:hint="eastAsia" w:ascii="宋体" w:hAnsi="宋体" w:eastAsia="宋体" w:cs="宋体"/>
                <w:spacing w:val="0"/>
                <w:position w:val="11"/>
                <w:sz w:val="21"/>
                <w:szCs w:val="21"/>
                <w:highlight w:val="none"/>
                <w:lang w:val="en-US" w:eastAsia="zh-CN"/>
              </w:rPr>
            </w:pPr>
            <w:r>
              <w:rPr>
                <w:rFonts w:hint="eastAsia" w:ascii="宋体" w:hAnsi="宋体" w:eastAsia="宋体" w:cs="宋体"/>
                <w:spacing w:val="-2"/>
                <w:position w:val="11"/>
                <w:sz w:val="21"/>
                <w:szCs w:val="21"/>
                <w:highlight w:val="none"/>
                <w:lang w:val="en-US" w:eastAsia="zh-CN"/>
              </w:rPr>
              <w:t>项目团队（</w:t>
            </w:r>
            <w:r>
              <w:rPr>
                <w:rFonts w:hint="eastAsia" w:ascii="宋体" w:hAnsi="宋体" w:cs="宋体"/>
                <w:spacing w:val="-2"/>
                <w:position w:val="11"/>
                <w:sz w:val="21"/>
                <w:szCs w:val="21"/>
                <w:highlight w:val="none"/>
                <w:lang w:val="en-US" w:eastAsia="zh-CN"/>
              </w:rPr>
              <w:t>10</w:t>
            </w:r>
            <w:r>
              <w:rPr>
                <w:rFonts w:hint="eastAsia" w:ascii="宋体" w:hAnsi="宋体" w:eastAsia="宋体" w:cs="宋体"/>
                <w:spacing w:val="-2"/>
                <w:position w:val="11"/>
                <w:sz w:val="21"/>
                <w:szCs w:val="21"/>
                <w:highlight w:val="none"/>
                <w:lang w:val="en-US" w:eastAsia="zh-CN"/>
              </w:rPr>
              <w:t>分）</w:t>
            </w:r>
          </w:p>
        </w:tc>
        <w:tc>
          <w:tcPr>
            <w:tcW w:w="7552" w:type="dxa"/>
            <w:vAlign w:val="center"/>
          </w:tcPr>
          <w:p w14:paraId="1EE84396">
            <w:pPr>
              <w:jc w:val="left"/>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拟派项目团队每提供1个</w:t>
            </w:r>
            <w:r>
              <w:rPr>
                <w:rFonts w:hint="eastAsia" w:ascii="宋体" w:hAnsi="宋体" w:cs="宋体"/>
                <w:b w:val="0"/>
                <w:bCs/>
                <w:color w:val="auto"/>
                <w:sz w:val="21"/>
                <w:szCs w:val="21"/>
                <w:highlight w:val="none"/>
                <w:lang w:val="en-US" w:eastAsia="zh-CN"/>
              </w:rPr>
              <w:t>建设工程专业</w:t>
            </w:r>
            <w:r>
              <w:rPr>
                <w:rFonts w:hint="eastAsia" w:ascii="宋体" w:hAnsi="宋体" w:eastAsia="宋体" w:cs="宋体"/>
                <w:b w:val="0"/>
                <w:bCs/>
                <w:color w:val="auto"/>
                <w:sz w:val="21"/>
                <w:szCs w:val="21"/>
                <w:highlight w:val="none"/>
                <w:lang w:val="en-US" w:eastAsia="zh-CN"/>
              </w:rPr>
              <w:t>高级</w:t>
            </w:r>
            <w:r>
              <w:rPr>
                <w:rFonts w:hint="eastAsia" w:ascii="宋体" w:hAnsi="宋体" w:cs="宋体"/>
                <w:b w:val="0"/>
                <w:bCs/>
                <w:color w:val="auto"/>
                <w:sz w:val="21"/>
                <w:szCs w:val="21"/>
                <w:highlight w:val="none"/>
                <w:lang w:val="en-US" w:eastAsia="zh-CN"/>
              </w:rPr>
              <w:t>或</w:t>
            </w:r>
            <w:r>
              <w:rPr>
                <w:rFonts w:hint="eastAsia" w:ascii="宋体" w:hAnsi="宋体" w:eastAsia="宋体" w:cs="宋体"/>
                <w:b w:val="0"/>
                <w:bCs/>
                <w:color w:val="auto"/>
                <w:sz w:val="21"/>
                <w:szCs w:val="21"/>
                <w:highlight w:val="none"/>
                <w:lang w:val="en-US" w:eastAsia="zh-CN"/>
              </w:rPr>
              <w:t>以上职称证书得5分</w:t>
            </w:r>
            <w:r>
              <w:rPr>
                <w:rFonts w:hint="eastAsia" w:ascii="宋体" w:hAnsi="宋体" w:cs="宋体"/>
                <w:b w:val="0"/>
                <w:bCs/>
                <w:color w:val="auto"/>
                <w:sz w:val="21"/>
                <w:szCs w:val="21"/>
                <w:highlight w:val="none"/>
                <w:lang w:val="zh-CN" w:eastAsia="zh-CN"/>
              </w:rPr>
              <w:t>；</w:t>
            </w:r>
            <w:r>
              <w:rPr>
                <w:rFonts w:hint="eastAsia" w:ascii="宋体" w:hAnsi="宋体" w:eastAsia="宋体" w:cs="宋体"/>
                <w:b w:val="0"/>
                <w:bCs/>
                <w:color w:val="auto"/>
                <w:sz w:val="21"/>
                <w:szCs w:val="21"/>
                <w:highlight w:val="none"/>
                <w:lang w:val="en-US" w:eastAsia="zh-CN"/>
              </w:rPr>
              <w:t>其他的不得分，本条满分10分。</w:t>
            </w:r>
          </w:p>
          <w:p w14:paraId="55EC3A84">
            <w:pPr>
              <w:jc w:val="left"/>
              <w:rPr>
                <w:rFonts w:hint="eastAsia" w:ascii="宋体" w:hAnsi="宋体" w:eastAsia="宋体" w:cs="宋体"/>
                <w:b w:val="0"/>
                <w:bCs/>
                <w:color w:val="auto"/>
                <w:spacing w:val="0"/>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w:t>
            </w:r>
            <w:r>
              <w:rPr>
                <w:rFonts w:hint="eastAsia" w:ascii="宋体" w:hAnsi="宋体" w:cs="宋体"/>
                <w:b w:val="0"/>
                <w:bCs/>
                <w:color w:val="auto"/>
                <w:sz w:val="21"/>
                <w:szCs w:val="21"/>
                <w:highlight w:val="none"/>
                <w:lang w:val="en-US" w:eastAsia="zh-CN"/>
              </w:rPr>
              <w:t>职称</w:t>
            </w:r>
            <w:r>
              <w:rPr>
                <w:rFonts w:hint="eastAsia" w:ascii="宋体" w:hAnsi="宋体" w:eastAsia="宋体" w:cs="宋体"/>
                <w:b w:val="0"/>
                <w:bCs/>
                <w:color w:val="auto"/>
                <w:sz w:val="21"/>
                <w:szCs w:val="21"/>
                <w:highlight w:val="none"/>
                <w:lang w:val="en-US" w:eastAsia="zh-CN"/>
              </w:rPr>
              <w:t>证书扫描件。】</w:t>
            </w:r>
          </w:p>
        </w:tc>
      </w:tr>
    </w:tbl>
    <w:p w14:paraId="6EF3540D">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w:t>
      </w:r>
      <w:r>
        <w:rPr>
          <w:rFonts w:hint="eastAsia" w:cs="Times New Roman"/>
          <w:b/>
          <w:color w:val="auto"/>
          <w:sz w:val="28"/>
          <w:szCs w:val="21"/>
          <w:lang w:val="en-US" w:eastAsia="zh-CN"/>
        </w:rPr>
        <w:t>二</w:t>
      </w:r>
      <w:r>
        <w:rPr>
          <w:rFonts w:hint="eastAsia" w:ascii="Times New Roman" w:hAnsi="Times New Roman" w:eastAsia="宋体" w:cs="Times New Roman"/>
          <w:b/>
          <w:color w:val="auto"/>
          <w:sz w:val="28"/>
          <w:szCs w:val="21"/>
          <w:lang w:val="en-US" w:eastAsia="zh-CN"/>
        </w:rPr>
        <w:t>）技术标评分细则（</w:t>
      </w:r>
      <w:r>
        <w:rPr>
          <w:rFonts w:hint="eastAsia" w:cs="Times New Roman"/>
          <w:b/>
          <w:color w:val="auto"/>
          <w:sz w:val="28"/>
          <w:szCs w:val="21"/>
          <w:lang w:val="en-US" w:eastAsia="zh-CN"/>
        </w:rPr>
        <w:t>3</w:t>
      </w:r>
      <w:r>
        <w:rPr>
          <w:rFonts w:hint="eastAsia" w:ascii="Times New Roman" w:hAnsi="Times New Roman" w:cs="Times New Roman"/>
          <w:b/>
          <w:color w:val="auto"/>
          <w:sz w:val="28"/>
          <w:szCs w:val="21"/>
          <w:lang w:val="en-US" w:eastAsia="zh-CN"/>
        </w:rPr>
        <w:t>0</w:t>
      </w:r>
      <w:r>
        <w:rPr>
          <w:rFonts w:hint="eastAsia" w:ascii="Times New Roman" w:hAnsi="Times New Roman" w:eastAsia="宋体" w:cs="Times New Roman"/>
          <w:b/>
          <w:color w:val="auto"/>
          <w:sz w:val="28"/>
          <w:szCs w:val="21"/>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47DB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F25A31A">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09D15A5B">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23B268C7">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leftChars="0" w:right="0" w:rightChars="0"/>
              <w:jc w:val="center"/>
              <w:textAlignment w:val="auto"/>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sz w:val="21"/>
                <w:szCs w:val="21"/>
                <w:highlight w:val="none"/>
                <w:lang w:val="en-US" w:eastAsia="zh-CN"/>
              </w:rPr>
              <w:t>实施组织计划（</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w:t>
            </w:r>
          </w:p>
        </w:tc>
        <w:tc>
          <w:tcPr>
            <w:tcW w:w="5985" w:type="dxa"/>
            <w:shd w:val="clear" w:color="auto" w:fill="auto"/>
            <w:noWrap w:val="0"/>
            <w:vAlign w:val="center"/>
          </w:tcPr>
          <w:p w14:paraId="33B444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根据投标人提供的</w:t>
            </w:r>
            <w:r>
              <w:rPr>
                <w:rFonts w:hint="eastAsia" w:ascii="宋体" w:hAnsi="宋体" w:cs="宋体"/>
                <w:color w:val="auto"/>
                <w:highlight w:val="none"/>
                <w:lang w:val="en-US" w:eastAsia="zh-CN"/>
              </w:rPr>
              <w:t>实施</w:t>
            </w:r>
            <w:r>
              <w:rPr>
                <w:rFonts w:hint="eastAsia" w:ascii="宋体" w:hAnsi="宋体" w:eastAsia="宋体" w:cs="宋体"/>
                <w:color w:val="auto"/>
                <w:highlight w:val="none"/>
                <w:lang w:val="en-US" w:eastAsia="zh-CN"/>
              </w:rPr>
              <w:t>组织计划</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包括但不限于</w:t>
            </w:r>
            <w:r>
              <w:rPr>
                <w:rFonts w:hint="eastAsia" w:ascii="宋体" w:hAnsi="宋体" w:cs="宋体"/>
                <w:color w:val="auto"/>
                <w:highlight w:val="none"/>
                <w:lang w:val="en-US" w:eastAsia="zh-CN"/>
              </w:rPr>
              <w:t>设计</w:t>
            </w:r>
            <w:r>
              <w:rPr>
                <w:rFonts w:hint="eastAsia" w:ascii="宋体" w:hAnsi="宋体" w:eastAsia="宋体" w:cs="宋体"/>
                <w:color w:val="auto"/>
                <w:highlight w:val="none"/>
                <w:lang w:val="en-US" w:eastAsia="zh-CN"/>
              </w:rPr>
              <w:t>人员组织、计划安排及设备仪器投入、</w:t>
            </w:r>
            <w:r>
              <w:rPr>
                <w:rFonts w:hint="eastAsia" w:ascii="宋体" w:hAnsi="宋体" w:cs="宋体"/>
                <w:color w:val="auto"/>
                <w:highlight w:val="none"/>
                <w:lang w:val="en-US" w:eastAsia="zh-CN"/>
              </w:rPr>
              <w:t>设计周期</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设计变更</w:t>
            </w:r>
            <w:r>
              <w:rPr>
                <w:rFonts w:hint="eastAsia" w:ascii="宋体" w:hAnsi="宋体" w:eastAsia="宋体" w:cs="宋体"/>
                <w:color w:val="auto"/>
                <w:highlight w:val="none"/>
                <w:lang w:val="en-US" w:eastAsia="zh-CN"/>
              </w:rPr>
              <w:t>处理</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进行综合评分：</w:t>
            </w:r>
          </w:p>
          <w:p w14:paraId="5719B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1、计划全面详细，定位准确，服务内容</w:t>
            </w:r>
            <w:r>
              <w:rPr>
                <w:rFonts w:hint="eastAsia" w:ascii="宋体" w:hAnsi="宋体" w:cs="宋体"/>
                <w:color w:val="auto"/>
                <w:highlight w:val="none"/>
                <w:lang w:val="en-US" w:eastAsia="zh-CN"/>
              </w:rPr>
              <w:t>具有</w:t>
            </w:r>
            <w:r>
              <w:rPr>
                <w:rFonts w:hint="eastAsia" w:ascii="宋体" w:hAnsi="宋体" w:eastAsia="宋体" w:cs="宋体"/>
                <w:color w:val="auto"/>
                <w:highlight w:val="none"/>
                <w:lang w:val="en-US" w:eastAsia="zh-CN"/>
              </w:rPr>
              <w:t>针对性的得</w:t>
            </w:r>
            <w:r>
              <w:rPr>
                <w:rFonts w:hint="eastAsia" w:ascii="宋体" w:hAnsi="宋体" w:cs="宋体"/>
                <w:color w:val="auto"/>
                <w:highlight w:val="none"/>
                <w:lang w:val="en-US" w:eastAsia="zh-CN"/>
              </w:rPr>
              <w:t>15</w:t>
            </w:r>
            <w:r>
              <w:rPr>
                <w:rFonts w:hint="eastAsia" w:ascii="宋体" w:hAnsi="宋体" w:eastAsia="宋体" w:cs="宋体"/>
                <w:color w:val="auto"/>
                <w:highlight w:val="none"/>
                <w:lang w:val="en-US" w:eastAsia="zh-CN"/>
              </w:rPr>
              <w:t xml:space="preserve">分； </w:t>
            </w:r>
          </w:p>
          <w:p w14:paraId="34B228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2、方案基本符合实际，具有实用性的得1</w:t>
            </w:r>
            <w:r>
              <w:rPr>
                <w:rFonts w:hint="eastAsia" w:ascii="宋体" w:hAnsi="宋体" w:cs="宋体"/>
                <w:color w:val="auto"/>
                <w:highlight w:val="none"/>
                <w:lang w:val="en-US" w:eastAsia="zh-CN"/>
              </w:rPr>
              <w:t>0</w:t>
            </w:r>
            <w:r>
              <w:rPr>
                <w:rFonts w:hint="eastAsia" w:ascii="宋体" w:hAnsi="宋体" w:eastAsia="宋体" w:cs="宋体"/>
                <w:color w:val="auto"/>
                <w:highlight w:val="none"/>
                <w:lang w:val="en-US" w:eastAsia="zh-CN"/>
              </w:rPr>
              <w:t xml:space="preserve">分； </w:t>
            </w:r>
          </w:p>
          <w:p w14:paraId="211E8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3、方案初步符合要求的、有待提升完善的得</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 xml:space="preserve">分； </w:t>
            </w:r>
          </w:p>
          <w:p w14:paraId="60C8F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4、方案不符合要求的或未提供相应内容的不得分。</w:t>
            </w:r>
          </w:p>
          <w:p w14:paraId="1D810F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sz w:val="21"/>
                <w:szCs w:val="21"/>
                <w:highlight w:val="yellow"/>
              </w:rPr>
            </w:pPr>
            <w:r>
              <w:rPr>
                <w:rFonts w:hint="eastAsia" w:ascii="宋体" w:hAnsi="宋体" w:eastAsia="宋体" w:cs="宋体"/>
                <w:color w:val="auto"/>
                <w:highlight w:val="none"/>
                <w:lang w:val="en-US" w:eastAsia="zh-CN"/>
              </w:rPr>
              <w:t>本项满分</w:t>
            </w:r>
            <w:r>
              <w:rPr>
                <w:rFonts w:hint="eastAsia" w:ascii="宋体" w:hAnsi="宋体" w:cs="宋体"/>
                <w:color w:val="auto"/>
                <w:highlight w:val="none"/>
                <w:lang w:val="en-US" w:eastAsia="zh-CN"/>
              </w:rPr>
              <w:t>15</w:t>
            </w:r>
            <w:r>
              <w:rPr>
                <w:rFonts w:hint="eastAsia" w:ascii="宋体" w:hAnsi="宋体" w:eastAsia="宋体" w:cs="宋体"/>
                <w:color w:val="auto"/>
                <w:highlight w:val="none"/>
                <w:lang w:val="en-US" w:eastAsia="zh-CN"/>
              </w:rPr>
              <w:t>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4F634BA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BC02E79">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leftChars="0" w:right="0" w:rightChars="0"/>
              <w:jc w:val="center"/>
              <w:textAlignment w:val="auto"/>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sz w:val="21"/>
                <w:szCs w:val="21"/>
                <w:highlight w:val="none"/>
                <w:lang w:eastAsia="zh-CN"/>
              </w:rPr>
              <w:t>质量保障方案（</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w:t>
            </w:r>
          </w:p>
        </w:tc>
        <w:tc>
          <w:tcPr>
            <w:tcW w:w="5985" w:type="dxa"/>
            <w:shd w:val="clear" w:color="auto" w:fill="auto"/>
            <w:noWrap w:val="0"/>
            <w:vAlign w:val="center"/>
          </w:tcPr>
          <w:p w14:paraId="433BB3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lang w:val="en-US" w:eastAsia="zh-CN"/>
              </w:rPr>
            </w:pPr>
            <w:r>
              <w:rPr>
                <w:rFonts w:hint="eastAsia" w:ascii="宋体" w:hAnsi="宋体" w:eastAsia="宋体" w:cs="宋体"/>
                <w:color w:val="auto"/>
                <w:highlight w:val="none"/>
                <w:lang w:val="en-US" w:eastAsia="zh-CN"/>
              </w:rPr>
              <w:t>根据投标人提供的质量保障方案(包括但不限于质量管理、保障措施)进行综合评分：</w:t>
            </w:r>
          </w:p>
          <w:p w14:paraId="5E3C9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1、方案全面详细，定位准确，服务内容</w:t>
            </w:r>
            <w:r>
              <w:rPr>
                <w:rFonts w:hint="eastAsia" w:ascii="宋体" w:hAnsi="宋体" w:cs="宋体"/>
                <w:color w:val="auto"/>
                <w:highlight w:val="none"/>
                <w:lang w:val="en-US" w:eastAsia="zh-CN"/>
              </w:rPr>
              <w:t>具有</w:t>
            </w:r>
            <w:r>
              <w:rPr>
                <w:rFonts w:hint="eastAsia" w:ascii="宋体" w:hAnsi="宋体" w:eastAsia="宋体" w:cs="宋体"/>
                <w:color w:val="auto"/>
                <w:highlight w:val="none"/>
                <w:lang w:val="en-US" w:eastAsia="zh-CN"/>
              </w:rPr>
              <w:t>针对性的得</w:t>
            </w:r>
            <w:r>
              <w:rPr>
                <w:rFonts w:hint="eastAsia" w:ascii="宋体" w:hAnsi="宋体" w:cs="宋体"/>
                <w:color w:val="auto"/>
                <w:highlight w:val="none"/>
                <w:lang w:val="en-US" w:eastAsia="zh-CN"/>
              </w:rPr>
              <w:t>15</w:t>
            </w:r>
            <w:r>
              <w:rPr>
                <w:rFonts w:hint="eastAsia" w:ascii="宋体" w:hAnsi="宋体" w:eastAsia="宋体" w:cs="宋体"/>
                <w:color w:val="auto"/>
                <w:highlight w:val="none"/>
                <w:lang w:val="en-US" w:eastAsia="zh-CN"/>
              </w:rPr>
              <w:t xml:space="preserve">分； </w:t>
            </w:r>
          </w:p>
          <w:p w14:paraId="45D806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2、方案基本符合实际，具有实用性的得1</w:t>
            </w:r>
            <w:r>
              <w:rPr>
                <w:rFonts w:hint="eastAsia" w:ascii="宋体" w:hAnsi="宋体" w:cs="宋体"/>
                <w:color w:val="auto"/>
                <w:highlight w:val="none"/>
                <w:lang w:val="en-US" w:eastAsia="zh-CN"/>
              </w:rPr>
              <w:t>0</w:t>
            </w:r>
            <w:r>
              <w:rPr>
                <w:rFonts w:hint="eastAsia" w:ascii="宋体" w:hAnsi="宋体" w:eastAsia="宋体" w:cs="宋体"/>
                <w:color w:val="auto"/>
                <w:highlight w:val="none"/>
                <w:lang w:val="en-US" w:eastAsia="zh-CN"/>
              </w:rPr>
              <w:t xml:space="preserve">分； </w:t>
            </w:r>
          </w:p>
          <w:p w14:paraId="24D33E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3、方案初步符合要求的、有待提升完善的得</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 xml:space="preserve">分； </w:t>
            </w:r>
          </w:p>
          <w:p w14:paraId="54D7AD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4、方案不符合要求的或未提供相应内容的不得分。</w:t>
            </w:r>
          </w:p>
          <w:p w14:paraId="507F6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sz w:val="21"/>
                <w:szCs w:val="21"/>
                <w:highlight w:val="yellow"/>
              </w:rPr>
            </w:pPr>
            <w:r>
              <w:rPr>
                <w:rFonts w:hint="eastAsia" w:ascii="宋体" w:hAnsi="宋体" w:eastAsia="宋体" w:cs="宋体"/>
                <w:color w:val="auto"/>
                <w:highlight w:val="none"/>
                <w:lang w:val="en-US" w:eastAsia="zh-CN"/>
              </w:rPr>
              <w:t>本项满分</w:t>
            </w:r>
            <w:r>
              <w:rPr>
                <w:rFonts w:hint="eastAsia" w:ascii="宋体" w:hAnsi="宋体" w:cs="宋体"/>
                <w:color w:val="auto"/>
                <w:highlight w:val="none"/>
                <w:lang w:val="en-US" w:eastAsia="zh-CN"/>
              </w:rPr>
              <w:t>15</w:t>
            </w:r>
            <w:r>
              <w:rPr>
                <w:rFonts w:hint="eastAsia" w:ascii="宋体" w:hAnsi="宋体" w:eastAsia="宋体" w:cs="宋体"/>
                <w:color w:val="auto"/>
                <w:highlight w:val="none"/>
                <w:lang w:val="en-US" w:eastAsia="zh-CN"/>
              </w:rPr>
              <w:t>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（三）商务标评审（</w:t>
      </w:r>
      <w:r>
        <w:rPr>
          <w:rFonts w:hint="eastAsia" w:cs="Times New Roman"/>
          <w:b/>
          <w:color w:val="auto"/>
          <w:sz w:val="28"/>
          <w:szCs w:val="21"/>
          <w:lang w:val="en-US" w:eastAsia="zh-CN"/>
        </w:rPr>
        <w:t>4</w:t>
      </w:r>
      <w:r>
        <w:rPr>
          <w:rFonts w:hint="eastAsia" w:ascii="Times New Roman" w:hAnsi="Times New Roman" w:eastAsia="宋体" w:cs="Times New Roman"/>
          <w:b/>
          <w:color w:val="auto"/>
          <w:sz w:val="28"/>
          <w:szCs w:val="21"/>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服务</w:t>
            </w:r>
            <w:r>
              <w:rPr>
                <w:rFonts w:hint="eastAsia" w:ascii="宋体" w:hAnsi="宋体" w:cs="宋体"/>
                <w:szCs w:val="21"/>
                <w:highlight w:val="none"/>
              </w:rPr>
              <w:t>期</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w:t>
            </w:r>
            <w:r>
              <w:rPr>
                <w:rFonts w:hint="eastAsia" w:ascii="宋体" w:hAnsi="宋体" w:cs="宋体"/>
                <w:b w:val="0"/>
                <w:bCs/>
                <w:color w:val="auto"/>
                <w:sz w:val="21"/>
                <w:szCs w:val="21"/>
                <w:highlight w:val="none"/>
                <w:lang w:val="en-US" w:eastAsia="zh-CN"/>
              </w:rPr>
              <w:t>110000.00</w:t>
            </w:r>
            <w:r>
              <w:rPr>
                <w:rFonts w:hint="eastAsia" w:ascii="宋体" w:hAnsi="宋体" w:eastAsia="宋体" w:cs="宋体"/>
                <w:b w:val="0"/>
                <w:bCs/>
                <w:color w:val="auto"/>
                <w:sz w:val="21"/>
                <w:szCs w:val="21"/>
                <w:highlight w:val="none"/>
                <w:lang w:val="en-US" w:eastAsia="zh-CN"/>
              </w:rPr>
              <w:t>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03F4BDD2">
            <w:pPr>
              <w:jc w:val="left"/>
              <w:rPr>
                <w:color w:val="auto"/>
                <w:highlight w:val="none"/>
              </w:rPr>
            </w:pPr>
            <w:r>
              <w:rPr>
                <w:rFonts w:hint="eastAsia" w:ascii="宋体" w:hAnsi="宋体" w:eastAsia="宋体" w:cs="宋体"/>
                <w:b w:val="0"/>
                <w:bCs/>
                <w:color w:val="auto"/>
                <w:sz w:val="21"/>
                <w:szCs w:val="21"/>
                <w:highlight w:val="none"/>
                <w:lang w:val="en-US" w:eastAsia="zh-CN"/>
              </w:rPr>
              <w:t>5</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324404872"/>
      <w:bookmarkStart w:id="123" w:name="_Toc6491"/>
      <w:bookmarkStart w:id="124" w:name="_Toc246996975"/>
      <w:bookmarkStart w:id="125" w:name="_Toc247085747"/>
      <w:bookmarkStart w:id="126" w:name="_Toc246996232"/>
      <w:bookmarkStart w:id="127" w:name="_Toc152042366"/>
      <w:bookmarkStart w:id="128" w:name="_Toc179632607"/>
      <w:bookmarkStart w:id="129" w:name="_Toc144974556"/>
      <w:bookmarkStart w:id="130" w:name="_Toc506107324"/>
      <w:bookmarkStart w:id="131" w:name="_Toc78803381"/>
      <w:bookmarkStart w:id="132" w:name="_Toc15058913"/>
      <w:bookmarkStart w:id="133" w:name="_Toc35424947"/>
      <w:bookmarkStart w:id="134" w:name="_Toc35425113"/>
      <w:bookmarkStart w:id="135" w:name="_Toc152045589"/>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144974557"/>
      <w:bookmarkStart w:id="138" w:name="_Toc296602478"/>
      <w:bookmarkStart w:id="139" w:name="_Toc152042367"/>
      <w:bookmarkStart w:id="140" w:name="_Toc179632608"/>
      <w:bookmarkStart w:id="141" w:name="_Toc246996976"/>
      <w:bookmarkStart w:id="142" w:name="_Toc247085748"/>
      <w:bookmarkStart w:id="143" w:name="_Toc152045590"/>
      <w:bookmarkStart w:id="144" w:name="_Toc246996233"/>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11945"/>
      <w:bookmarkStart w:id="146" w:name="_Toc35424948"/>
      <w:bookmarkStart w:id="147" w:name="_Toc35425114"/>
      <w:bookmarkStart w:id="148" w:name="_Toc78803382"/>
      <w:bookmarkStart w:id="149" w:name="_Toc506107325"/>
      <w:bookmarkStart w:id="150" w:name="_Toc15058914"/>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35424949"/>
      <w:bookmarkStart w:id="153" w:name="_Toc78803384"/>
      <w:bookmarkStart w:id="154" w:name="_Toc324404874"/>
      <w:bookmarkStart w:id="155" w:name="_Toc15058915"/>
      <w:bookmarkStart w:id="156" w:name="_Toc506107326"/>
      <w:bookmarkStart w:id="157" w:name="_Toc35425115"/>
      <w:bookmarkStart w:id="158" w:name="_Toc17377"/>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评标先做准备工作，先进行</w:t>
      </w:r>
      <w:r>
        <w:rPr>
          <w:rFonts w:hint="eastAsia" w:ascii="宋体" w:hAnsi="宋体" w:eastAsia="宋体" w:cs="宋体"/>
          <w:szCs w:val="21"/>
          <w:highlight w:val="none"/>
          <w:lang w:val="en-US" w:eastAsia="zh-CN"/>
        </w:rPr>
        <w:t>资格审查</w:t>
      </w:r>
      <w:r>
        <w:rPr>
          <w:rFonts w:hint="eastAsia" w:ascii="宋体" w:hAnsi="宋体" w:eastAsia="宋体" w:cs="宋体"/>
          <w:szCs w:val="21"/>
          <w:highlight w:val="none"/>
        </w:rPr>
        <w:t>，然后进行技术标评审，最后进行商务标评审。</w:t>
      </w:r>
    </w:p>
    <w:p w14:paraId="6E98093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27389"/>
      <w:bookmarkStart w:id="160" w:name="_Toc15058916"/>
      <w:bookmarkStart w:id="161" w:name="_Toc35425116"/>
      <w:bookmarkStart w:id="162" w:name="_Toc78803385"/>
      <w:bookmarkStart w:id="163" w:name="_Toc35424950"/>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24650"/>
      <w:bookmarkStart w:id="165" w:name="_Toc35425117"/>
      <w:bookmarkStart w:id="166" w:name="_Toc35424951"/>
      <w:bookmarkStart w:id="167" w:name="_Toc78803386"/>
      <w:bookmarkStart w:id="168" w:name="_Toc15058917"/>
      <w:bookmarkStart w:id="169" w:name="_Toc1299"/>
      <w:bookmarkStart w:id="170" w:name="_Toc506107327"/>
      <w:bookmarkStart w:id="171" w:name="_Toc12200"/>
      <w:bookmarkStart w:id="172" w:name="_Toc324404875"/>
      <w:bookmarkStart w:id="173" w:name="_Toc35424954"/>
      <w:bookmarkStart w:id="174" w:name="_Toc15058919"/>
      <w:bookmarkStart w:id="175" w:name="_Toc35425120"/>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78803387"/>
      <w:bookmarkStart w:id="177" w:name="_Toc17468"/>
      <w:bookmarkStart w:id="178" w:name="_Toc35424952"/>
      <w:bookmarkStart w:id="179" w:name="_Toc15058918"/>
      <w:bookmarkStart w:id="180" w:name="_Toc11990"/>
      <w:bookmarkStart w:id="181" w:name="_Toc35425118"/>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35425119"/>
      <w:bookmarkStart w:id="183" w:name="_Toc78803388"/>
      <w:bookmarkStart w:id="184" w:name="_Toc35424953"/>
      <w:bookmarkStart w:id="185" w:name="_Toc26895"/>
      <w:bookmarkStart w:id="186" w:name="_Toc18087"/>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9630"/>
      <w:bookmarkStart w:id="189" w:name="_Toc78803390"/>
      <w:r>
        <w:rPr>
          <w:rFonts w:hint="eastAsia" w:ascii="宋体" w:hAnsi="宋体" w:eastAsia="宋体" w:cs="宋体"/>
          <w:highlight w:val="none"/>
        </w:rPr>
        <w:t>4.1</w:t>
      </w:r>
      <w:bookmarkEnd w:id="188"/>
      <w:bookmarkEnd w:id="189"/>
      <w:bookmarkStart w:id="190" w:name="_Toc15058921"/>
      <w:bookmarkStart w:id="191" w:name="_Toc35424956"/>
      <w:bookmarkStart w:id="192" w:name="_Toc3531"/>
      <w:bookmarkStart w:id="193" w:name="_Toc35425122"/>
      <w:bookmarkStart w:id="194" w:name="_Toc78803391"/>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13125"/>
      <w:bookmarkStart w:id="197" w:name="_Toc15058922"/>
      <w:bookmarkStart w:id="198" w:name="_Toc506107328"/>
      <w:bookmarkStart w:id="199" w:name="_Toc35424957"/>
      <w:bookmarkStart w:id="200" w:name="_Toc35425123"/>
      <w:bookmarkStart w:id="201" w:name="_Toc78803392"/>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tabs>
          <w:tab w:val="left" w:pos="1470"/>
        </w:tabs>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w:t>
      </w:r>
      <w:r>
        <w:rPr>
          <w:rFonts w:hint="eastAsia" w:ascii="宋体" w:hAnsi="宋体" w:cs="宋体"/>
          <w:szCs w:val="21"/>
          <w:highlight w:val="none"/>
          <w:lang w:val="en-US" w:eastAsia="zh-CN"/>
        </w:rPr>
        <w:t>四</w:t>
      </w:r>
      <w:r>
        <w:rPr>
          <w:rFonts w:hint="eastAsia" w:ascii="宋体" w:hAnsi="宋体" w:cs="宋体"/>
          <w:szCs w:val="21"/>
          <w:highlight w:val="none"/>
        </w:rPr>
        <w:t>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35425124"/>
      <w:bookmarkStart w:id="203" w:name="_Toc506107329"/>
      <w:bookmarkStart w:id="204" w:name="_Toc15058923"/>
      <w:bookmarkStart w:id="205" w:name="_Toc27846"/>
      <w:bookmarkStart w:id="206" w:name="_Toc78803393"/>
      <w:bookmarkStart w:id="207" w:name="_Toc35424958"/>
      <w:bookmarkStart w:id="208" w:name="_Toc324404877"/>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78803394"/>
      <w:bookmarkStart w:id="210" w:name="_Toc35424959"/>
      <w:bookmarkStart w:id="211" w:name="_Toc506107330"/>
      <w:bookmarkStart w:id="212" w:name="_Toc35425125"/>
      <w:bookmarkStart w:id="213" w:name="_Toc13990"/>
      <w:bookmarkStart w:id="214" w:name="_Toc324404878"/>
      <w:bookmarkStart w:id="215" w:name="_Toc15058924"/>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35424960"/>
      <w:bookmarkStart w:id="217" w:name="_Toc78803395"/>
      <w:bookmarkStart w:id="218" w:name="_Toc35425126"/>
      <w:bookmarkStart w:id="219" w:name="_Toc324404879"/>
      <w:bookmarkStart w:id="220" w:name="_Toc15058925"/>
      <w:bookmarkStart w:id="221" w:name="_Toc506107331"/>
      <w:bookmarkStart w:id="222" w:name="_Toc22863"/>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324404880"/>
      <w:bookmarkStart w:id="224" w:name="_Toc1576"/>
      <w:bookmarkStart w:id="225" w:name="_Toc78803396"/>
      <w:bookmarkStart w:id="226" w:name="_Toc35424961"/>
      <w:bookmarkStart w:id="227" w:name="_Toc15058926"/>
      <w:bookmarkStart w:id="228" w:name="_Toc35425127"/>
      <w:bookmarkStart w:id="229" w:name="_Toc506107332"/>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79632627"/>
      <w:bookmarkStart w:id="231" w:name="_Toc152045609"/>
      <w:bookmarkStart w:id="232" w:name="_Toc324404881"/>
      <w:bookmarkStart w:id="233" w:name="_Toc247085767"/>
      <w:bookmarkStart w:id="234" w:name="_Toc152042387"/>
      <w:bookmarkStart w:id="235" w:name="_Toc144974577"/>
      <w:bookmarkStart w:id="236" w:name="_Toc246996995"/>
      <w:bookmarkStart w:id="237" w:name="_Toc246996252"/>
      <w:bookmarkStart w:id="238" w:name="_Toc417623601"/>
    </w:p>
    <w:bookmarkEnd w:id="230"/>
    <w:bookmarkEnd w:id="231"/>
    <w:bookmarkEnd w:id="232"/>
    <w:bookmarkEnd w:id="233"/>
    <w:bookmarkEnd w:id="234"/>
    <w:bookmarkEnd w:id="235"/>
    <w:bookmarkEnd w:id="236"/>
    <w:bookmarkEnd w:id="237"/>
    <w:bookmarkEnd w:id="238"/>
    <w:p w14:paraId="01EE8AAD">
      <w:pPr>
        <w:rPr>
          <w:highlight w:val="none"/>
        </w:rPr>
      </w:pPr>
      <w:bookmarkStart w:id="239" w:name="_Toc35425128"/>
      <w:bookmarkStart w:id="240" w:name="_Toc152042546"/>
      <w:bookmarkStart w:id="241" w:name="_Toc15058927"/>
      <w:bookmarkStart w:id="242" w:name="_Toc179632785"/>
      <w:bookmarkStart w:id="243" w:name="_Toc506107333"/>
      <w:bookmarkStart w:id="244" w:name="_Toc35424962"/>
      <w:bookmarkStart w:id="245" w:name="_Toc152045767"/>
      <w:bookmarkStart w:id="246" w:name="_Toc144974826"/>
    </w:p>
    <w:p w14:paraId="65923B12">
      <w:pPr>
        <w:rPr>
          <w:rFonts w:hint="eastAsia"/>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144974855"/>
      <w:bookmarkStart w:id="249" w:name="_Toc35424970"/>
      <w:bookmarkStart w:id="250" w:name="_Toc179632806"/>
      <w:bookmarkStart w:id="251" w:name="_Toc324404888"/>
      <w:bookmarkStart w:id="252" w:name="_Toc35425136"/>
      <w:bookmarkStart w:id="253" w:name="_Toc246996354"/>
      <w:bookmarkStart w:id="254" w:name="_Toc247085872"/>
      <w:bookmarkStart w:id="255" w:name="_Toc506107340"/>
      <w:bookmarkStart w:id="256" w:name="_Toc152045786"/>
      <w:bookmarkStart w:id="257" w:name="_Toc78803398"/>
      <w:bookmarkStart w:id="258" w:name="_Toc15058934"/>
      <w:bookmarkStart w:id="259" w:name="_Toc152042575"/>
      <w:bookmarkStart w:id="260" w:name="_Toc246997097"/>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35BC8576">
      <w:pPr>
        <w:pStyle w:val="2"/>
        <w:numPr>
          <w:ilvl w:val="0"/>
          <w:numId w:val="0"/>
        </w:numPr>
        <w:spacing w:before="156" w:beforeLines="50" w:after="156" w:afterLines="50"/>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rPr>
        <w:t>一、项目概况</w:t>
      </w:r>
    </w:p>
    <w:p w14:paraId="1C58C5DA">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（1）项目名称：滁宁城际控制中心南侧地块规划方案研究</w:t>
      </w:r>
    </w:p>
    <w:p w14:paraId="2A32C2F1">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（2）用地性质：商务用地、其他服务设施用地</w:t>
      </w:r>
    </w:p>
    <w:p w14:paraId="060463EF">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（3）建设规模：滁宁城际控制中心南侧预留用地和城轨高架线下部分空地，场地面积约10900平方米。</w:t>
      </w:r>
    </w:p>
    <w:p w14:paraId="577382B3">
      <w:pPr>
        <w:pStyle w:val="2"/>
        <w:spacing w:before="120" w:after="0" w:line="360" w:lineRule="auto"/>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rPr>
        <w:t>二、研究内容</w:t>
      </w:r>
    </w:p>
    <w:p w14:paraId="49238C9E">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（1）现状分析</w:t>
      </w:r>
    </w:p>
    <w:p w14:paraId="40EC7A16">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明确项目区位，解读中新苏滁高新技术产业开发区规划，分析场地周边现状用地和交通条件。核对规划条件包括：用地性质、容积率、建筑密度、绿地率、建筑高度、出入口要求等。</w:t>
      </w:r>
    </w:p>
    <w:p w14:paraId="3C5E6154">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）项目定位</w:t>
      </w:r>
    </w:p>
    <w:p w14:paraId="0CCD3FF8">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坚持高效便民、绿色低碳、交通顺畅、经济实用的原则，满足充电、停车、光伏、储能、小型商超、配套餐饮、汽车服务等多种功能需求，提出符合要求的高品质项目定位。</w:t>
      </w:r>
    </w:p>
    <w:p w14:paraId="79BF6B0A">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）总平面规划</w:t>
      </w:r>
    </w:p>
    <w:p w14:paraId="164C8232">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完成总平面布局规划方案，包括：建筑、道路、绿化、光伏车棚、充电桩、消防通道。明确出入口功能定位，满足车辆进出、消防、配送需求。合理布置电动车、货车的快慢充电车位，布置普通停车位。</w:t>
      </w:r>
    </w:p>
    <w:p w14:paraId="15D356B6">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）建筑概念方案</w:t>
      </w:r>
    </w:p>
    <w:p w14:paraId="2E76966D">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规划设计条件中建筑退让要求，合理布置二层建筑形体。一层布置停车充电站、洗车区、商超、辅助用房、卫生间、疏散楼梯。二层布置食堂餐厅、后厨、洗消、库房、办公、疏散、排烟、隔油设施。屋顶布置光伏布置范围、荷载条件、检修通道、设备基础。完成建筑分层平面图、立面图、剖面图、鸟瞰图、透视图。</w:t>
      </w:r>
    </w:p>
    <w:p w14:paraId="368D496C">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）光伏与充电系统规划</w:t>
      </w:r>
    </w:p>
    <w:p w14:paraId="7AAA05FF">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提出屋顶光伏、充电停车棚、快充车位、慢充车位的布置范围和规模，提出储能、箱式变压器布局位置。</w:t>
      </w:r>
    </w:p>
    <w:p w14:paraId="008C8618">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）交通组织</w:t>
      </w:r>
    </w:p>
    <w:p w14:paraId="0EDC7C28">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坚持人车分离、内部分流的原则，合理组织机动车充电、配送、洗车、停车流线组织，合理设置消防车扑救流线，设置环形消防车道，满足消防扑救要求。</w:t>
      </w:r>
    </w:p>
    <w:p w14:paraId="2E885CA0">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）分期建设</w:t>
      </w:r>
    </w:p>
    <w:p w14:paraId="6EA822AF">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一期工程建设内容包括：40个快充车位和光伏车棚，5个慢充车位，4台储能柜；城际高架线下布置普通停车位，布置满足简餐、休息的临时建筑。提出一期工程概念方案，完成总平面图、效果图和方案说明。</w:t>
      </w:r>
    </w:p>
    <w:p w14:paraId="1D7930A5">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）投资估算</w:t>
      </w:r>
    </w:p>
    <w:p w14:paraId="1A3D99F4">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对地块总体方案和一期工程方案分别进行投资估算。</w:t>
      </w:r>
    </w:p>
    <w:p w14:paraId="6A89F9B4">
      <w:pPr>
        <w:pStyle w:val="2"/>
        <w:spacing w:before="120" w:after="0" w:line="360" w:lineRule="auto"/>
        <w:jc w:val="both"/>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三</w:t>
      </w:r>
      <w:r>
        <w:rPr>
          <w:rFonts w:hint="eastAsia" w:ascii="宋体" w:hAnsi="宋体" w:cs="宋体"/>
          <w:b/>
          <w:bCs/>
          <w:color w:val="auto"/>
          <w:sz w:val="21"/>
          <w:szCs w:val="21"/>
          <w:lang w:val="en-US" w:eastAsia="zh-CN"/>
        </w:rPr>
        <w:t>、</w:t>
      </w:r>
      <w:r>
        <w:rPr>
          <w:rFonts w:hint="eastAsia" w:ascii="宋体" w:hAnsi="宋体" w:eastAsia="宋体" w:cs="宋体"/>
          <w:b/>
          <w:bCs/>
          <w:color w:val="auto"/>
          <w:sz w:val="21"/>
          <w:szCs w:val="21"/>
          <w:lang w:val="en-US" w:eastAsia="zh-CN"/>
        </w:rPr>
        <w:t>成果要求</w:t>
      </w:r>
    </w:p>
    <w:p w14:paraId="1F8F7E28">
      <w:pPr>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完成《滁宁城际控制中心南侧地块规划方案研究》文本和相关图纸。</w:t>
      </w:r>
    </w:p>
    <w:p w14:paraId="52E5D799">
      <w:pPr>
        <w:pStyle w:val="2"/>
        <w:spacing w:before="120" w:after="0" w:line="360" w:lineRule="auto"/>
        <w:jc w:val="both"/>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三</w:t>
      </w:r>
      <w:r>
        <w:rPr>
          <w:rFonts w:hint="eastAsia" w:ascii="宋体" w:hAnsi="宋体" w:eastAsia="宋体" w:cs="宋体"/>
          <w:b/>
          <w:bCs/>
          <w:color w:val="auto"/>
          <w:sz w:val="21"/>
          <w:szCs w:val="21"/>
        </w:rPr>
        <w:t>、编制进度计划</w:t>
      </w:r>
    </w:p>
    <w:p w14:paraId="011F05DB">
      <w:pPr>
        <w:spacing w:after="0" w:line="360" w:lineRule="auto"/>
        <w:ind w:firstLine="420" w:firstLineChars="20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总服务周期20个日历天。合同签订后10个日历天内完成《滁宁城际控制中心南侧地块规划方案研究》初步成果，合同签订后20个日历天内完成最终成果并提交全部成果文件。</w:t>
      </w:r>
    </w:p>
    <w:p w14:paraId="28B493C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lang w:val="en-US" w:eastAsia="zh-CN"/>
        </w:rPr>
      </w:pPr>
    </w:p>
    <w:p w14:paraId="48288666">
      <w:pPr>
        <w:rPr>
          <w:rFonts w:hint="eastAsia" w:ascii="宋体" w:hAnsi="Times New Roman" w:eastAsia="宋体" w:cs="Times New Roman"/>
          <w:b/>
          <w:bCs w:val="0"/>
          <w:color w:val="auto"/>
          <w:kern w:val="2"/>
          <w:sz w:val="32"/>
          <w:szCs w:val="32"/>
          <w:highlight w:val="none"/>
          <w:lang w:val="en-US" w:eastAsia="zh-CN" w:bidi="ar-SA"/>
        </w:rPr>
      </w:pPr>
    </w:p>
    <w:p w14:paraId="1C4E31AB">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14:textFill>
            <w14:solidFill>
              <w14:schemeClr w14:val="tx1"/>
            </w14:solidFill>
          </w14:textFill>
        </w:rPr>
      </w:pPr>
      <w:r>
        <w:rPr>
          <w:rFonts w:hint="eastAsia" w:eastAsia="微软雅黑" w:cs="Times New Roman"/>
          <w:b/>
          <w:bCs/>
          <w:color w:val="000000" w:themeColor="text1"/>
          <w:sz w:val="44"/>
          <w:szCs w:val="44"/>
          <w:lang w:eastAsia="zh-CN"/>
          <w14:textFill>
            <w14:solidFill>
              <w14:schemeClr w14:val="tx1"/>
            </w14:solidFill>
          </w14:textFill>
        </w:rPr>
        <w:t>滁宁城际控制中心南侧地块规划方案研究项目</w:t>
      </w:r>
      <w:r>
        <w:rPr>
          <w:rFonts w:ascii="Times New Roman" w:hAnsi="Times New Roman" w:eastAsia="微软雅黑" w:cs="Times New Roman"/>
          <w:b/>
          <w:bCs/>
          <w:color w:val="000000" w:themeColor="text1"/>
          <w:sz w:val="44"/>
          <w:szCs w:val="44"/>
          <w14:textFill>
            <w14:solidFill>
              <w14:schemeClr w14:val="tx1"/>
            </w14:solidFill>
          </w14:textFill>
        </w:rPr>
        <w:t>合同</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bookmarkStart w:id="276" w:name="_GoBack"/>
      <w:bookmarkEnd w:id="276"/>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3"/>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3"/>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02FBAB6D">
      <w:pPr>
        <w:rPr>
          <w:rFonts w:hint="eastAsia" w:ascii="宋体" w:hAnsi="宋体" w:eastAsia="宋体" w:cs="宋体"/>
          <w:color w:val="000000" w:themeColor="text1"/>
          <w:sz w:val="21"/>
          <w:szCs w:val="21"/>
          <w14:textFill>
            <w14:solidFill>
              <w14:schemeClr w14:val="tx1"/>
            </w14:solidFill>
          </w14:textFill>
        </w:rPr>
      </w:pPr>
    </w:p>
    <w:p w14:paraId="186A2F9F">
      <w:pPr>
        <w:rPr>
          <w:rFonts w:hint="eastAsia" w:ascii="宋体" w:hAnsi="宋体" w:eastAsia="宋体" w:cs="宋体"/>
          <w:color w:val="000000" w:themeColor="text1"/>
          <w:sz w:val="21"/>
          <w:szCs w:val="21"/>
          <w14:textFill>
            <w14:solidFill>
              <w14:schemeClr w14:val="tx1"/>
            </w14:solidFill>
          </w14:textFill>
        </w:rPr>
      </w:pPr>
    </w:p>
    <w:p w14:paraId="11308ED5">
      <w:pPr>
        <w:rPr>
          <w:rFonts w:hint="eastAsia" w:ascii="宋体" w:hAnsi="宋体" w:eastAsia="宋体" w:cs="宋体"/>
          <w:color w:val="000000" w:themeColor="text1"/>
          <w:sz w:val="21"/>
          <w:szCs w:val="21"/>
          <w14:textFill>
            <w14:solidFill>
              <w14:schemeClr w14:val="tx1"/>
            </w14:solidFill>
          </w14:textFill>
        </w:rPr>
      </w:pPr>
    </w:p>
    <w:p w14:paraId="45DAB94D">
      <w:pPr>
        <w:rPr>
          <w:rFonts w:hint="eastAsia" w:ascii="宋体" w:hAnsi="宋体" w:eastAsia="宋体" w:cs="宋体"/>
          <w:color w:val="000000" w:themeColor="text1"/>
          <w:sz w:val="21"/>
          <w:szCs w:val="21"/>
          <w14:textFill>
            <w14:solidFill>
              <w14:schemeClr w14:val="tx1"/>
            </w14:solidFill>
          </w14:textFill>
        </w:rPr>
      </w:pPr>
    </w:p>
    <w:p w14:paraId="5725CD8C">
      <w:pPr>
        <w:rPr>
          <w:rFonts w:hint="eastAsia" w:ascii="宋体" w:hAnsi="宋体" w:eastAsia="宋体" w:cs="宋体"/>
          <w:color w:val="000000" w:themeColor="text1"/>
          <w:sz w:val="21"/>
          <w:szCs w:val="21"/>
          <w14:textFill>
            <w14:solidFill>
              <w14:schemeClr w14:val="tx1"/>
            </w14:solidFill>
          </w14:textFill>
        </w:rPr>
      </w:pPr>
    </w:p>
    <w:p w14:paraId="7BED9A09">
      <w:pPr>
        <w:pStyle w:val="3"/>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215"/>
          <w:rFonts w:hint="eastAsia" w:ascii="宋体" w:hAnsi="宋体" w:eastAsia="宋体" w:cs="宋体"/>
          <w:color w:val="000000" w:themeColor="text1"/>
          <w:sz w:val="21"/>
          <w:szCs w:val="21"/>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br w:type="page"/>
      </w:r>
    </w:p>
    <w:p w14:paraId="23350FAC">
      <w:pPr>
        <w:spacing w:line="520" w:lineRule="exact"/>
        <w:ind w:right="-433" w:rightChars="-206" w:firstLine="630" w:firstLineChars="3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招标</w:t>
      </w:r>
      <w:r>
        <w:rPr>
          <w:rFonts w:hint="eastAsia" w:ascii="宋体" w:hAnsi="宋体" w:eastAsia="宋体" w:cs="宋体"/>
          <w:szCs w:val="21"/>
          <w:highlight w:val="none"/>
        </w:rPr>
        <w:t>单位（全称）</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滁州市滁宁城际铁路开发建设有限公司</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（以下简称甲方）</w:t>
      </w:r>
    </w:p>
    <w:p w14:paraId="75A1E721">
      <w:pPr>
        <w:spacing w:line="520" w:lineRule="exact"/>
        <w:ind w:right="-433" w:rightChars="-206"/>
        <w:jc w:val="left"/>
        <w:rPr>
          <w:rFonts w:hint="eastAsia" w:ascii="宋体" w:hAnsi="宋体" w:eastAsia="宋体" w:cs="宋体"/>
          <w:szCs w:val="21"/>
          <w:highlight w:val="none"/>
        </w:rPr>
      </w:pPr>
      <w:r>
        <w:rPr>
          <w:rFonts w:hint="eastAsia" w:ascii="宋体" w:hAnsi="宋体" w:eastAsia="宋体" w:cs="宋体"/>
          <w:szCs w:val="21"/>
          <w:highlight w:val="none"/>
        </w:rPr>
        <w:t xml:space="preserve">      服务单位（全称）</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（以下简称乙方）</w:t>
      </w:r>
    </w:p>
    <w:p w14:paraId="24C17E21">
      <w:pPr>
        <w:spacing w:line="400" w:lineRule="exact"/>
        <w:ind w:right="-433" w:rightChars="-206"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依照《中华人民共和国民法典》及其他有关法律、法规，遵循平等、自愿、公平和诚实信用的原则，双方就本此采购服务事项协商一致，订立本合同。</w:t>
      </w:r>
    </w:p>
    <w:p w14:paraId="3F1C39BC">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themeColor="text1"/>
          <w:kern w:val="0"/>
          <w:szCs w:val="21"/>
          <w:highlight w:val="none"/>
          <w:lang w:bidi="en-US"/>
          <w14:textFill>
            <w14:solidFill>
              <w14:schemeClr w14:val="tx1"/>
            </w14:solidFill>
          </w14:textFill>
        </w:rPr>
      </w:pPr>
      <w:r>
        <w:rPr>
          <w:rFonts w:hint="eastAsia" w:ascii="宋体" w:hAnsi="宋体" w:eastAsia="宋体" w:cs="宋体"/>
          <w:color w:val="000000" w:themeColor="text1"/>
          <w:kern w:val="0"/>
          <w:szCs w:val="21"/>
          <w:highlight w:val="none"/>
          <w:lang w:bidi="en-US"/>
          <w14:textFill>
            <w14:solidFill>
              <w14:schemeClr w14:val="tx1"/>
            </w14:solidFill>
          </w14:textFill>
        </w:rPr>
        <w:t>1、项目名称：</w:t>
      </w:r>
      <w:r>
        <w:rPr>
          <w:rFonts w:hint="eastAsia" w:ascii="宋体" w:hAnsi="宋体" w:eastAsia="宋体" w:cs="宋体"/>
          <w:color w:val="000000" w:themeColor="text1"/>
          <w:kern w:val="0"/>
          <w:szCs w:val="21"/>
          <w:highlight w:val="none"/>
          <w:lang w:val="en-US" w:eastAsia="zh-CN" w:bidi="en-US"/>
          <w14:textFill>
            <w14:solidFill>
              <w14:schemeClr w14:val="tx1"/>
            </w14:solidFill>
          </w14:textFill>
        </w:rPr>
        <w:t>滁宁城际控制中心南侧地块规划方案研究项目</w:t>
      </w:r>
    </w:p>
    <w:p w14:paraId="2F58B247">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themeColor="text1"/>
          <w:kern w:val="0"/>
          <w:szCs w:val="21"/>
          <w:highlight w:val="none"/>
          <w:lang w:val="en-US" w:eastAsia="zh-CN" w:bidi="en-US"/>
          <w14:textFill>
            <w14:solidFill>
              <w14:schemeClr w14:val="tx1"/>
            </w14:solidFill>
          </w14:textFill>
        </w:rPr>
      </w:pPr>
      <w:r>
        <w:rPr>
          <w:rFonts w:hint="eastAsia" w:ascii="宋体" w:hAnsi="宋体" w:eastAsia="宋体" w:cs="宋体"/>
          <w:color w:val="000000" w:themeColor="text1"/>
          <w:kern w:val="0"/>
          <w:szCs w:val="21"/>
          <w:highlight w:val="none"/>
          <w:lang w:val="en-US" w:eastAsia="zh-CN" w:bidi="en-US"/>
          <w14:textFill>
            <w14:solidFill>
              <w14:schemeClr w14:val="tx1"/>
            </w14:solidFill>
          </w14:textFill>
        </w:rPr>
        <w:t>2、服务范围及内容：详见第五章采购需求。</w:t>
      </w:r>
    </w:p>
    <w:p w14:paraId="39FC8C13">
      <w:pPr>
        <w:spacing w:after="0" w:line="360" w:lineRule="auto"/>
        <w:ind w:firstLine="420" w:firstLineChars="200"/>
        <w:jc w:val="both"/>
        <w:rPr>
          <w:rFonts w:hint="eastAsia" w:ascii="宋体" w:hAnsi="宋体" w:eastAsia="宋体" w:cs="宋体"/>
          <w:color w:val="000000" w:themeColor="text1"/>
          <w:kern w:val="0"/>
          <w:szCs w:val="21"/>
          <w:highlight w:val="none"/>
          <w:lang w:val="en-US" w:eastAsia="zh-CN" w:bidi="en-US"/>
          <w14:textFill>
            <w14:solidFill>
              <w14:schemeClr w14:val="tx1"/>
            </w14:solidFill>
          </w14:textFill>
        </w:rPr>
      </w:pPr>
      <w:r>
        <w:rPr>
          <w:rFonts w:hint="eastAsia" w:ascii="宋体" w:hAnsi="宋体" w:eastAsia="宋体" w:cs="宋体"/>
          <w:color w:val="000000" w:themeColor="text1"/>
          <w:kern w:val="0"/>
          <w:szCs w:val="21"/>
          <w:highlight w:val="none"/>
          <w:lang w:val="en-US" w:eastAsia="zh-CN" w:bidi="en-US"/>
          <w14:textFill>
            <w14:solidFill>
              <w14:schemeClr w14:val="tx1"/>
            </w14:solidFill>
          </w14:textFill>
        </w:rPr>
        <w:t>3、编制周期：</w:t>
      </w:r>
      <w:r>
        <w:rPr>
          <w:rFonts w:hint="eastAsia" w:ascii="宋体" w:hAnsi="宋体" w:eastAsia="宋体" w:cs="宋体"/>
          <w:sz w:val="21"/>
          <w:szCs w:val="21"/>
          <w:highlight w:val="none"/>
          <w:lang w:val="en-US" w:eastAsia="zh-CN"/>
        </w:rPr>
        <w:t>总服务周期20个日历天。合同签订后10个日历天内完成《滁宁城际控制中心南侧地块规划方案研究》初步成果，合同签订后20个日历天内完成最终成果并提交全部成果文件。</w:t>
      </w:r>
    </w:p>
    <w:p w14:paraId="447D3A77">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themeColor="text1"/>
          <w:kern w:val="0"/>
          <w:szCs w:val="21"/>
          <w:highlight w:val="none"/>
          <w:lang w:val="en-US" w:eastAsia="zh-CN" w:bidi="en-US"/>
          <w14:textFill>
            <w14:solidFill>
              <w14:schemeClr w14:val="tx1"/>
            </w14:solidFill>
          </w14:textFill>
        </w:rPr>
      </w:pPr>
      <w:r>
        <w:rPr>
          <w:rFonts w:hint="eastAsia" w:ascii="宋体" w:hAnsi="宋体" w:eastAsia="宋体" w:cs="宋体"/>
          <w:color w:val="000000" w:themeColor="text1"/>
          <w:kern w:val="0"/>
          <w:szCs w:val="21"/>
          <w:highlight w:val="none"/>
          <w:lang w:val="en-US" w:eastAsia="zh-CN" w:bidi="en-US"/>
          <w14:textFill>
            <w14:solidFill>
              <w14:schemeClr w14:val="tx1"/>
            </w14:solidFill>
          </w14:textFill>
        </w:rPr>
        <w:t>4、合同价款及支付</w:t>
      </w:r>
    </w:p>
    <w:p w14:paraId="0D375A12">
      <w:pPr>
        <w:pStyle w:val="26"/>
        <w:spacing w:line="520" w:lineRule="exact"/>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rPr>
        <w:t>.1本工程合同价为：</w:t>
      </w:r>
      <w:r>
        <w:rPr>
          <w:rFonts w:hint="eastAsia" w:ascii="宋体" w:hAnsi="宋体" w:eastAsia="宋体" w:cs="宋体"/>
          <w:b/>
          <w:bCs/>
          <w:szCs w:val="21"/>
          <w:highlight w:val="none"/>
          <w:u w:val="single"/>
        </w:rPr>
        <w:t xml:space="preserve">大写：             小写：       元 </w:t>
      </w:r>
      <w:r>
        <w:rPr>
          <w:rFonts w:hint="eastAsia" w:ascii="宋体" w:hAnsi="宋体" w:eastAsia="宋体" w:cs="宋体"/>
          <w:b/>
          <w:bCs/>
          <w:szCs w:val="21"/>
          <w:highlight w:val="none"/>
        </w:rPr>
        <w:t>。</w:t>
      </w:r>
    </w:p>
    <w:p w14:paraId="4B8972DB">
      <w:pPr>
        <w:pStyle w:val="26"/>
        <w:spacing w:line="520" w:lineRule="exact"/>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rPr>
        <w:t xml:space="preserve">.2本项目合同计价方式为固定总价。                </w:t>
      </w:r>
    </w:p>
    <w:p w14:paraId="184F0C20">
      <w:pPr>
        <w:pStyle w:val="26"/>
        <w:spacing w:line="520" w:lineRule="exact"/>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rPr>
        <w:t>.3付款方式：</w:t>
      </w:r>
    </w:p>
    <w:p w14:paraId="2A575038">
      <w:pPr>
        <w:spacing w:line="52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5</w:t>
      </w:r>
      <w:r>
        <w:rPr>
          <w:rFonts w:hint="eastAsia" w:ascii="宋体" w:hAnsi="宋体" w:eastAsia="宋体" w:cs="宋体"/>
          <w:b/>
          <w:bCs/>
          <w:szCs w:val="21"/>
          <w:highlight w:val="none"/>
        </w:rPr>
        <w:t>、双方一般权利和义务</w:t>
      </w:r>
    </w:p>
    <w:p w14:paraId="68A69392">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  甲方权利和义务</w:t>
      </w:r>
    </w:p>
    <w:p w14:paraId="6C652D82">
      <w:pPr>
        <w:pStyle w:val="26"/>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 xml:space="preserve">.1.1 </w:t>
      </w:r>
      <w:r>
        <w:rPr>
          <w:rFonts w:hint="eastAsia" w:ascii="宋体" w:hAnsi="宋体" w:eastAsia="宋体" w:cs="宋体"/>
          <w:kern w:val="0"/>
          <w:szCs w:val="21"/>
          <w:highlight w:val="none"/>
          <w:lang w:bidi="en-US"/>
        </w:rPr>
        <w:t>负责对乙方服务管理的检查指导、监督与考核</w:t>
      </w:r>
      <w:r>
        <w:rPr>
          <w:rFonts w:hint="eastAsia" w:ascii="宋体" w:hAnsi="宋体" w:eastAsia="宋体" w:cs="宋体"/>
          <w:szCs w:val="21"/>
          <w:highlight w:val="none"/>
          <w:lang w:eastAsia="zh-CN"/>
        </w:rPr>
        <w:t>；</w:t>
      </w:r>
    </w:p>
    <w:p w14:paraId="56E421D5">
      <w:pPr>
        <w:pStyle w:val="26"/>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.1.2</w:t>
      </w:r>
      <w:r>
        <w:rPr>
          <w:rFonts w:hint="eastAsia" w:ascii="宋体" w:hAnsi="宋体" w:eastAsia="宋体" w:cs="宋体"/>
          <w:kern w:val="0"/>
          <w:szCs w:val="21"/>
          <w:highlight w:val="none"/>
          <w:lang w:bidi="en-US"/>
        </w:rPr>
        <w:t>负责制定并向乙方提供相关服务标准及其它相关资料</w:t>
      </w:r>
      <w:r>
        <w:rPr>
          <w:rFonts w:hint="eastAsia" w:ascii="宋体" w:hAnsi="宋体" w:eastAsia="宋体" w:cs="宋体"/>
          <w:kern w:val="0"/>
          <w:szCs w:val="21"/>
          <w:highlight w:val="none"/>
          <w:lang w:eastAsia="zh-CN" w:bidi="en-US"/>
        </w:rPr>
        <w:t>；</w:t>
      </w:r>
    </w:p>
    <w:p w14:paraId="0C3F49F3">
      <w:pPr>
        <w:pStyle w:val="26"/>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.1.3</w:t>
      </w:r>
      <w:r>
        <w:rPr>
          <w:rFonts w:hint="eastAsia" w:ascii="宋体" w:hAnsi="宋体" w:eastAsia="宋体" w:cs="宋体"/>
          <w:kern w:val="0"/>
          <w:szCs w:val="21"/>
          <w:highlight w:val="none"/>
          <w:lang w:bidi="en-US"/>
        </w:rPr>
        <w:t>负责审核乙方提供的服务计划</w:t>
      </w:r>
      <w:r>
        <w:rPr>
          <w:rFonts w:hint="eastAsia" w:ascii="宋体" w:hAnsi="宋体" w:eastAsia="宋体" w:cs="宋体"/>
          <w:kern w:val="0"/>
          <w:szCs w:val="21"/>
          <w:highlight w:val="none"/>
          <w:lang w:eastAsia="zh-CN" w:bidi="en-US"/>
        </w:rPr>
        <w:t>；</w:t>
      </w:r>
    </w:p>
    <w:p w14:paraId="701F0AAC">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.1.4</w:t>
      </w:r>
      <w:r>
        <w:rPr>
          <w:rFonts w:hint="eastAsia" w:ascii="宋体" w:hAnsi="宋体" w:eastAsia="宋体" w:cs="宋体"/>
          <w:kern w:val="0"/>
          <w:szCs w:val="21"/>
          <w:highlight w:val="none"/>
          <w:lang w:bidi="en-US"/>
        </w:rPr>
        <w:t>负责乙方与其它相关单位的工作协调</w:t>
      </w:r>
      <w:r>
        <w:rPr>
          <w:rFonts w:hint="eastAsia" w:ascii="宋体" w:hAnsi="宋体" w:eastAsia="宋体" w:cs="宋体"/>
          <w:szCs w:val="21"/>
          <w:highlight w:val="none"/>
        </w:rPr>
        <w:t>。</w:t>
      </w:r>
    </w:p>
    <w:p w14:paraId="1A1EED58">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.1.5 甲方有义务按时支付咨询款。</w:t>
      </w:r>
    </w:p>
    <w:p w14:paraId="7D807795">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   乙方权利和义务</w:t>
      </w:r>
    </w:p>
    <w:p w14:paraId="2499DDA2">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.2.1 乙方应保证方案编制</w:t>
      </w:r>
      <w:r>
        <w:rPr>
          <w:rFonts w:hint="eastAsia" w:ascii="宋体" w:hAnsi="宋体" w:eastAsia="宋体" w:cs="宋体"/>
          <w:kern w:val="0"/>
          <w:szCs w:val="21"/>
          <w:highlight w:val="none"/>
          <w:lang w:bidi="en-US"/>
        </w:rPr>
        <w:t>严格执行甲方对可行性研究报告编制的工期、深度、进度等要求</w:t>
      </w:r>
      <w:r>
        <w:rPr>
          <w:rFonts w:hint="eastAsia" w:ascii="宋体" w:hAnsi="宋体" w:eastAsia="宋体" w:cs="宋体"/>
          <w:szCs w:val="21"/>
          <w:highlight w:val="none"/>
        </w:rPr>
        <w:t>，并确保编制质量和</w:t>
      </w:r>
      <w:r>
        <w:rPr>
          <w:rFonts w:hint="eastAsia" w:ascii="宋体" w:hAnsi="宋体" w:eastAsia="宋体" w:cs="宋体"/>
          <w:szCs w:val="21"/>
          <w:highlight w:val="none"/>
          <w:lang w:val="en-US" w:eastAsia="zh-CN"/>
        </w:rPr>
        <w:t>通过专家评审</w:t>
      </w:r>
      <w:r>
        <w:rPr>
          <w:rFonts w:hint="eastAsia" w:ascii="宋体" w:hAnsi="宋体" w:eastAsia="宋体" w:cs="宋体"/>
          <w:szCs w:val="21"/>
          <w:highlight w:val="none"/>
        </w:rPr>
        <w:t>；负责技术咨询过程中组织专家评审、会务等技术咨询相关事项；</w:t>
      </w:r>
    </w:p>
    <w:p w14:paraId="17B80C24">
      <w:pPr>
        <w:pStyle w:val="26"/>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 xml:space="preserve">.2.2 </w:t>
      </w:r>
      <w:r>
        <w:rPr>
          <w:rFonts w:hint="eastAsia" w:ascii="宋体" w:hAnsi="宋体" w:eastAsia="宋体" w:cs="宋体"/>
          <w:kern w:val="0"/>
          <w:szCs w:val="21"/>
          <w:highlight w:val="none"/>
          <w:lang w:bidi="en-US"/>
        </w:rPr>
        <w:t>遵守甲方现场管理要求</w:t>
      </w:r>
      <w:r>
        <w:rPr>
          <w:rFonts w:hint="eastAsia" w:ascii="宋体" w:hAnsi="宋体" w:eastAsia="宋体" w:cs="宋体"/>
          <w:kern w:val="0"/>
          <w:szCs w:val="21"/>
          <w:highlight w:val="none"/>
          <w:lang w:eastAsia="zh-CN" w:bidi="en-US"/>
        </w:rPr>
        <w:t>；</w:t>
      </w:r>
    </w:p>
    <w:p w14:paraId="2EA96F96">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5.2.3</w:t>
      </w:r>
      <w:r>
        <w:rPr>
          <w:rFonts w:hint="eastAsia" w:ascii="宋体" w:hAnsi="宋体" w:eastAsia="宋体" w:cs="宋体"/>
          <w:szCs w:val="21"/>
          <w:highlight w:val="none"/>
        </w:rPr>
        <w:t>承担因方案编制不合格而返工费用，因乙方的责任而造成工期延误，承担违约责任；</w:t>
      </w:r>
    </w:p>
    <w:p w14:paraId="517683B0">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 xml:space="preserve"> 乙方对未尽事宜应提前两天向甲方提出；</w:t>
      </w:r>
    </w:p>
    <w:p w14:paraId="6BAE39B5">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 xml:space="preserve"> 乙方选派项目负责人</w:t>
      </w:r>
      <w:r>
        <w:rPr>
          <w:rFonts w:hint="eastAsia" w:ascii="宋体" w:hAnsi="宋体" w:eastAsia="宋体" w:cs="宋体"/>
          <w:szCs w:val="21"/>
          <w:highlight w:val="none"/>
          <w:u w:val="single"/>
        </w:rPr>
        <w:t xml:space="preserve">      （电话：        ）</w:t>
      </w:r>
      <w:r>
        <w:rPr>
          <w:rFonts w:hint="eastAsia" w:ascii="宋体" w:hAnsi="宋体" w:eastAsia="宋体" w:cs="宋体"/>
          <w:szCs w:val="21"/>
          <w:highlight w:val="none"/>
        </w:rPr>
        <w:t>负责协调相关事宜；</w:t>
      </w:r>
    </w:p>
    <w:p w14:paraId="51816E2C">
      <w:pPr>
        <w:spacing w:line="52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6、</w:t>
      </w:r>
      <w:r>
        <w:rPr>
          <w:rFonts w:hint="eastAsia" w:ascii="宋体" w:hAnsi="宋体" w:eastAsia="宋体" w:cs="宋体"/>
          <w:b/>
          <w:bCs/>
          <w:szCs w:val="21"/>
          <w:highlight w:val="none"/>
        </w:rPr>
        <w:t>安全责任</w:t>
      </w:r>
    </w:p>
    <w:p w14:paraId="293BDFA4">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  甲方不得要求乙方违反安全管理的规定，因甲方原因等导致安全事故由甲方承担相应的责任及发生的费用。</w:t>
      </w:r>
    </w:p>
    <w:p w14:paraId="75188EC8">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.2  乙方应遵守有关管理制度，采取必要的安全措施，消除事故隐患，由于乙方安全措施不力造成事故责任和因此发生的费用由乙方承担。</w:t>
      </w:r>
    </w:p>
    <w:p w14:paraId="4AAA53F8">
      <w:pPr>
        <w:spacing w:line="52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7</w:t>
      </w:r>
      <w:r>
        <w:rPr>
          <w:rFonts w:hint="eastAsia" w:ascii="宋体" w:hAnsi="宋体" w:eastAsia="宋体" w:cs="宋体"/>
          <w:b/>
          <w:bCs/>
          <w:szCs w:val="21"/>
          <w:highlight w:val="none"/>
        </w:rPr>
        <w:t>、违约责任</w:t>
      </w:r>
    </w:p>
    <w:p w14:paraId="4DCF9193">
      <w:pPr>
        <w:pStyle w:val="26"/>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.1   甲方违约：当发生下列情况时：</w:t>
      </w:r>
    </w:p>
    <w:p w14:paraId="32B26B26">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.1.1  甲方不履行合同义务或不按合同约定履行义务的其他情况；</w:t>
      </w:r>
    </w:p>
    <w:p w14:paraId="1B534063">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   乙方违约：当发生下列情况时</w:t>
      </w:r>
    </w:p>
    <w:p w14:paraId="2B7DF2E7">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.2.1  由于乙方原因质量达不到协议书约定的质量标准，乙方无条件返工并承担损失和违约责任；</w:t>
      </w:r>
    </w:p>
    <w:p w14:paraId="0D486A00">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.2.2  由于乙方不履行合同义务或不按合同约定履行义务的其他情况；</w:t>
      </w:r>
    </w:p>
    <w:p w14:paraId="0AD1444D">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.2.3  乙方承担违约责任，赔偿其因其违约给甲方造成的直接经济损失。</w:t>
      </w:r>
    </w:p>
    <w:p w14:paraId="1D12DD53">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一方违约后， 另一方要求违约方继续履行合同时，违约方承担上述违约责任后，仍继续履行合同。</w:t>
      </w:r>
    </w:p>
    <w:p w14:paraId="5D8E201D">
      <w:pPr>
        <w:spacing w:line="480" w:lineRule="exact"/>
        <w:ind w:right="-433" w:rightChars="-206" w:firstLine="422" w:firstLineChars="200"/>
        <w:jc w:val="left"/>
        <w:rPr>
          <w:rFonts w:hint="eastAsia" w:ascii="宋体" w:hAnsi="宋体" w:eastAsia="宋体" w:cs="宋体"/>
          <w:b/>
          <w:bCs/>
          <w:szCs w:val="21"/>
          <w:highlight w:val="none"/>
          <w:lang w:val="zh-CN"/>
        </w:rPr>
      </w:pPr>
      <w:bookmarkStart w:id="261" w:name="_Toc28375"/>
      <w:bookmarkStart w:id="262" w:name="_Toc16021"/>
      <w:bookmarkStart w:id="263" w:name="_Toc15583"/>
      <w:r>
        <w:rPr>
          <w:rFonts w:hint="eastAsia" w:ascii="宋体" w:hAnsi="宋体" w:eastAsia="宋体" w:cs="宋体"/>
          <w:b/>
          <w:bCs/>
          <w:szCs w:val="21"/>
          <w:highlight w:val="none"/>
          <w:lang w:val="en-US" w:eastAsia="zh-CN"/>
        </w:rPr>
        <w:t>8、</w:t>
      </w:r>
      <w:r>
        <w:rPr>
          <w:rFonts w:hint="eastAsia" w:ascii="宋体" w:hAnsi="宋体" w:eastAsia="宋体" w:cs="宋体"/>
          <w:b/>
          <w:bCs/>
          <w:szCs w:val="21"/>
          <w:highlight w:val="none"/>
          <w:lang w:val="zh-CN"/>
        </w:rPr>
        <w:t>合同争议的解决</w:t>
      </w:r>
      <w:bookmarkEnd w:id="261"/>
      <w:bookmarkEnd w:id="262"/>
      <w:bookmarkEnd w:id="263"/>
    </w:p>
    <w:p w14:paraId="1B498CD4">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本合同履行过程中发生的任何争议，双方当事人均可通过和解或者调解解决；不愿和解、调解或者和解、调解不成的，可以选择下列第</w:t>
      </w:r>
      <w:r>
        <w:rPr>
          <w:rFonts w:hint="eastAsia" w:ascii="宋体" w:hAnsi="宋体" w:eastAsia="宋体" w:cs="宋体"/>
          <w:szCs w:val="21"/>
          <w:highlight w:val="none"/>
          <w:u w:val="single"/>
        </w:rPr>
        <w:t>1</w:t>
      </w:r>
      <w:r>
        <w:rPr>
          <w:rFonts w:hint="eastAsia" w:ascii="宋体" w:hAnsi="宋体" w:eastAsia="宋体" w:cs="宋体"/>
          <w:szCs w:val="21"/>
          <w:highlight w:val="none"/>
        </w:rPr>
        <w:t>种方式解决：</w:t>
      </w:r>
    </w:p>
    <w:p w14:paraId="6E6CFAC6">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8.1</w:t>
      </w:r>
      <w:r>
        <w:rPr>
          <w:rFonts w:hint="eastAsia" w:ascii="宋体" w:hAnsi="宋体" w:eastAsia="宋体" w:cs="宋体"/>
          <w:szCs w:val="21"/>
          <w:highlight w:val="none"/>
        </w:rPr>
        <w:t>.1将争议提交滁州仲裁委员会依申请仲裁时其现行有效的仲裁规则裁决；</w:t>
      </w:r>
    </w:p>
    <w:p w14:paraId="2D382E78">
      <w:pPr>
        <w:pStyle w:val="26"/>
        <w:spacing w:line="48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8.1</w:t>
      </w:r>
      <w:r>
        <w:rPr>
          <w:rFonts w:hint="eastAsia" w:ascii="宋体" w:hAnsi="宋体" w:eastAsia="宋体" w:cs="宋体"/>
          <w:szCs w:val="21"/>
          <w:highlight w:val="none"/>
        </w:rPr>
        <w:t>.1向甲方（</w:t>
      </w:r>
      <w:r>
        <w:rPr>
          <w:rFonts w:hint="eastAsia" w:ascii="宋体" w:hAnsi="宋体" w:eastAsia="宋体" w:cs="宋体"/>
          <w:szCs w:val="21"/>
          <w:highlight w:val="none"/>
          <w:lang w:val="en-US" w:eastAsia="zh-CN"/>
        </w:rPr>
        <w:t>招标</w:t>
      </w:r>
      <w:r>
        <w:rPr>
          <w:rFonts w:hint="eastAsia" w:ascii="宋体" w:hAnsi="宋体" w:eastAsia="宋体" w:cs="宋体"/>
          <w:szCs w:val="21"/>
          <w:highlight w:val="none"/>
        </w:rPr>
        <w:t>人）所在地人民法院起诉。</w:t>
      </w:r>
    </w:p>
    <w:p w14:paraId="608EC44F">
      <w:pPr>
        <w:spacing w:line="48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9</w:t>
      </w:r>
      <w:r>
        <w:rPr>
          <w:rFonts w:hint="eastAsia" w:ascii="宋体" w:hAnsi="宋体" w:eastAsia="宋体" w:cs="宋体"/>
          <w:b/>
          <w:bCs/>
          <w:szCs w:val="21"/>
          <w:highlight w:val="none"/>
        </w:rPr>
        <w:t>、合同生效及其它</w:t>
      </w:r>
    </w:p>
    <w:p w14:paraId="4FC97A61">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.1  本合同发生的相关图纸、技术资料、传真等纸质材料是本合同的组成部分，与本合同具有同等法律效力。</w:t>
      </w:r>
    </w:p>
    <w:p w14:paraId="2E472614">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.2   未尽事宜，双方在合同执行时协商解决。</w:t>
      </w:r>
    </w:p>
    <w:p w14:paraId="1C14CE5A">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 xml:space="preserve">   本合同规定的责任和义务、付款结清后，本合同及告终止。</w:t>
      </w:r>
    </w:p>
    <w:p w14:paraId="0CF1D10A">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 xml:space="preserve">4 </w:t>
      </w:r>
      <w:r>
        <w:rPr>
          <w:rFonts w:hint="eastAsia" w:ascii="宋体" w:hAnsi="宋体" w:eastAsia="宋体" w:cs="宋体"/>
          <w:szCs w:val="21"/>
          <w:highlight w:val="none"/>
        </w:rPr>
        <w:t xml:space="preserve">  甲乙双方法定代表人或其委托代理人在合同书上签名并盖单位公章后合同生效。</w:t>
      </w:r>
    </w:p>
    <w:p w14:paraId="69526E3B">
      <w:pPr>
        <w:pStyle w:val="26"/>
        <w:spacing w:line="48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eastAsia="zh-CN"/>
        </w:rPr>
        <w:t xml:space="preserve">   本合同正本一式</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u w:val="single"/>
          <w:lang w:val="en-US" w:eastAsia="zh-CN"/>
        </w:rPr>
        <w:t>捌</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份，甲乙双方各执</w:t>
      </w:r>
      <w:r>
        <w:rPr>
          <w:rFonts w:hint="eastAsia" w:ascii="宋体" w:hAnsi="宋体" w:eastAsia="宋体" w:cs="宋体"/>
          <w:szCs w:val="21"/>
          <w:highlight w:val="none"/>
          <w:u w:val="single"/>
          <w:lang w:eastAsia="zh-CN"/>
        </w:rPr>
        <w:t xml:space="preserve"> 肆 </w:t>
      </w:r>
      <w:r>
        <w:rPr>
          <w:rFonts w:hint="eastAsia" w:ascii="宋体" w:hAnsi="宋体" w:eastAsia="宋体" w:cs="宋体"/>
          <w:szCs w:val="21"/>
          <w:highlight w:val="none"/>
          <w:lang w:eastAsia="zh-CN"/>
        </w:rPr>
        <w:t>份。</w:t>
      </w:r>
    </w:p>
    <w:p w14:paraId="40FCF05E">
      <w:pPr>
        <w:pStyle w:val="26"/>
        <w:spacing w:line="480" w:lineRule="exact"/>
        <w:ind w:firstLine="420" w:firstLineChars="200"/>
        <w:jc w:val="left"/>
        <w:rPr>
          <w:rFonts w:hint="eastAsia" w:ascii="宋体" w:hAnsi="宋体" w:eastAsia="宋体" w:cs="宋体"/>
          <w:szCs w:val="21"/>
          <w:highlight w:val="none"/>
        </w:rPr>
      </w:pPr>
    </w:p>
    <w:p w14:paraId="1C5CD054">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甲 方：  (公章)                       乙 方：  (公章)                                 </w:t>
      </w:r>
    </w:p>
    <w:p w14:paraId="07C4D0E0">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法定代表人或其委托代理人：            法定代表人或其委托代理人：</w:t>
      </w:r>
    </w:p>
    <w:p w14:paraId="148714BB">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（签字）                             （签字）</w:t>
      </w:r>
    </w:p>
    <w:p w14:paraId="3331C79D">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组织机构代码：</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组织机构代码：             </w:t>
      </w:r>
    </w:p>
    <w:p w14:paraId="4D44EE9E">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地  址：</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地  址：                  </w:t>
      </w:r>
    </w:p>
    <w:p w14:paraId="3355CE3A">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邮政编码：</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邮政编码：                  </w:t>
      </w:r>
    </w:p>
    <w:p w14:paraId="413C0B2E">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电  话：</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电  话：                     </w:t>
      </w:r>
    </w:p>
    <w:p w14:paraId="49054B09">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                                      开户银行：                   </w:t>
      </w:r>
    </w:p>
    <w:p w14:paraId="1F9DA331">
      <w:pPr>
        <w:spacing w:line="480" w:lineRule="exact"/>
        <w:ind w:firstLine="420" w:firstLineChars="200"/>
        <w:rPr>
          <w:rFonts w:hint="eastAsia" w:ascii="宋体" w:hAnsi="宋体" w:eastAsia="宋体" w:cs="宋体"/>
          <w:highlight w:val="none"/>
        </w:rPr>
      </w:pPr>
      <w:r>
        <w:rPr>
          <w:rFonts w:hint="eastAsia" w:ascii="宋体" w:hAnsi="宋体" w:eastAsia="宋体" w:cs="宋体"/>
          <w:szCs w:val="21"/>
          <w:highlight w:val="none"/>
        </w:rPr>
        <w:t xml:space="preserve">                                    账   号：</w:t>
      </w:r>
    </w:p>
    <w:p w14:paraId="171082C3">
      <w:pPr>
        <w:pStyle w:val="44"/>
        <w:spacing w:beforeLines="50" w:afterLines="50" w:line="440" w:lineRule="exact"/>
        <w:rPr>
          <w:rFonts w:hint="eastAsia"/>
          <w:bCs/>
          <w:szCs w:val="32"/>
          <w:highlight w:val="none"/>
        </w:rPr>
      </w:pPr>
    </w:p>
    <w:p w14:paraId="62E9F071">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14"/>
        <w:ind w:firstLine="420"/>
        <w:rPr>
          <w:rFonts w:ascii="Times New Roman"/>
          <w:szCs w:val="24"/>
          <w:highlight w:val="none"/>
        </w:rPr>
      </w:pPr>
    </w:p>
    <w:p w14:paraId="3062FE47">
      <w:pPr>
        <w:rPr>
          <w:rFonts w:ascii="Times New Roman"/>
          <w:szCs w:val="24"/>
          <w:highlight w:val="none"/>
        </w:rPr>
      </w:pPr>
    </w:p>
    <w:p w14:paraId="78F93F73">
      <w:pPr>
        <w:pStyle w:val="14"/>
        <w:rPr>
          <w:rFonts w:ascii="Times New Roman"/>
          <w:szCs w:val="24"/>
          <w:highlight w:val="none"/>
        </w:rPr>
      </w:pPr>
    </w:p>
    <w:p w14:paraId="1E9D0BD8">
      <w:pPr>
        <w:rPr>
          <w:rFonts w:ascii="Times New Roman"/>
          <w:szCs w:val="24"/>
          <w:highlight w:val="none"/>
        </w:rPr>
      </w:pPr>
    </w:p>
    <w:p w14:paraId="13AFD6AD">
      <w:pPr>
        <w:pStyle w:val="14"/>
      </w:pPr>
    </w:p>
    <w:p w14:paraId="0799C826">
      <w:pPr>
        <w:pStyle w:val="14"/>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097218CB">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64" w:name="_Toc35424971"/>
      <w:bookmarkStart w:id="265" w:name="_Toc35425137"/>
      <w:bookmarkStart w:id="266" w:name="_Toc12683"/>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67" w:name="_Toc78803399"/>
      <w:r>
        <w:rPr>
          <w:rStyle w:val="121"/>
          <w:rFonts w:hint="eastAsia" w:ascii="宋体" w:hAnsi="宋体" w:cs="宋体"/>
          <w:sz w:val="32"/>
          <w:highlight w:val="none"/>
        </w:rPr>
        <w:br w:type="page"/>
      </w:r>
      <w:bookmarkEnd w:id="264"/>
      <w:bookmarkEnd w:id="265"/>
      <w:bookmarkEnd w:id="266"/>
      <w:bookmarkEnd w:id="267"/>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1E096A4B">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）企业资质证书；</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8" w:name="_Toc506107356"/>
      <w:bookmarkStart w:id="269" w:name="_Toc503196197"/>
      <w:bookmarkStart w:id="270" w:name="_Toc26598"/>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68"/>
      <w:bookmarkEnd w:id="269"/>
      <w:bookmarkEnd w:id="270"/>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14"/>
        <w:ind w:firstLine="560"/>
        <w:rPr>
          <w:rFonts w:eastAsia="黑体"/>
          <w:sz w:val="28"/>
          <w:szCs w:val="28"/>
          <w:highlight w:val="none"/>
        </w:rPr>
      </w:pPr>
    </w:p>
    <w:p w14:paraId="1D0BEC5C">
      <w:pPr>
        <w:rPr>
          <w:rFonts w:eastAsia="黑体"/>
          <w:sz w:val="28"/>
          <w:szCs w:val="28"/>
          <w:highlight w:val="none"/>
        </w:rPr>
      </w:pPr>
    </w:p>
    <w:p w14:paraId="28D93157">
      <w:pPr>
        <w:pStyle w:val="14"/>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3B6C62B9">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5045D6E2">
      <w:pPr>
        <w:numPr>
          <w:ilvl w:val="0"/>
          <w:numId w:val="1"/>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cs="Times New Roman"/>
          <w:color w:val="auto"/>
          <w:szCs w:val="21"/>
          <w:highlight w:val="none"/>
          <w:lang w:val="en-US" w:eastAsia="zh-CN"/>
        </w:rPr>
        <w:t>规划</w:t>
      </w:r>
      <w:r>
        <w:rPr>
          <w:rFonts w:hint="eastAsia" w:ascii="宋体" w:hAnsi="Times New Roman" w:eastAsia="宋体" w:cs="Times New Roman"/>
          <w:color w:val="auto"/>
          <w:szCs w:val="21"/>
          <w:highlight w:val="none"/>
          <w:lang w:val="en-US" w:eastAsia="zh-CN"/>
        </w:rPr>
        <w:t>设计方案；</w:t>
      </w:r>
    </w:p>
    <w:p w14:paraId="14093959">
      <w:pPr>
        <w:numPr>
          <w:ilvl w:val="0"/>
          <w:numId w:val="1"/>
        </w:numPr>
        <w:spacing w:line="360" w:lineRule="auto"/>
        <w:ind w:firstLine="420" w:firstLineChars="200"/>
        <w:rPr>
          <w:rFonts w:hint="eastAsia" w:ascii="宋体" w:hAnsi="宋体" w:eastAsia="宋体" w:cs="宋体"/>
          <w:szCs w:val="21"/>
          <w:highlight w:val="none"/>
          <w:lang w:val="en-US" w:eastAsia="zh-CN"/>
        </w:rPr>
      </w:pPr>
      <w:r>
        <w:rPr>
          <w:rFonts w:hint="eastAsia" w:ascii="宋体" w:hAnsi="Times New Roman" w:eastAsia="宋体" w:cs="Times New Roman"/>
          <w:color w:val="auto"/>
          <w:szCs w:val="21"/>
          <w:highlight w:val="none"/>
          <w:lang w:val="en-US" w:eastAsia="zh-CN"/>
        </w:rPr>
        <w:t>项目质量保证措施</w:t>
      </w:r>
      <w:r>
        <w:rPr>
          <w:rFonts w:hint="eastAsia" w:ascii="宋体" w:hAnsi="宋体" w:eastAsia="宋体" w:cs="宋体"/>
          <w:szCs w:val="21"/>
          <w:highlight w:val="none"/>
          <w:lang w:val="en-US" w:eastAsia="zh-CN"/>
        </w:rPr>
        <w:t>。</w:t>
      </w:r>
    </w:p>
    <w:p w14:paraId="3EC023F2">
      <w:pPr>
        <w:spacing w:line="440" w:lineRule="exact"/>
        <w:ind w:firstLine="420" w:firstLineChars="200"/>
        <w:jc w:val="left"/>
        <w:rPr>
          <w:rFonts w:hint="eastAsia" w:ascii="宋体" w:hAnsi="宋体" w:eastAsia="宋体" w:cs="宋体"/>
          <w:szCs w:val="21"/>
          <w:highlight w:val="none"/>
          <w:lang w:eastAsia="zh-CN"/>
        </w:rPr>
      </w:pPr>
    </w:p>
    <w:p w14:paraId="2EEC4B9E">
      <w:pPr>
        <w:pStyle w:val="14"/>
        <w:rPr>
          <w:rFonts w:hint="eastAsia"/>
        </w:rPr>
      </w:pPr>
    </w:p>
    <w:p w14:paraId="19A10BDE">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4CAB06D8">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4E33EC57">
      <w:pPr>
        <w:numPr>
          <w:ilvl w:val="0"/>
          <w:numId w:val="2"/>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704909D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2</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bookmarkEnd w:id="7"/>
    <w:bookmarkEnd w:id="8"/>
    <w:bookmarkEnd w:id="9"/>
    <w:bookmarkEnd w:id="10"/>
    <w:bookmarkEnd w:id="11"/>
    <w:p w14:paraId="793ADD9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71" w:name="_Toc15058950"/>
      <w:bookmarkStart w:id="272" w:name="_Toc35424974"/>
      <w:bookmarkStart w:id="273" w:name="_Toc506107366"/>
      <w:bookmarkStart w:id="274" w:name="_Toc35425140"/>
      <w:bookmarkStart w:id="275" w:name="_Toc78803402"/>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w:t>
      </w:r>
      <w:r>
        <w:rPr>
          <w:rFonts w:hint="eastAsia" w:ascii="宋体" w:hAnsi="宋体" w:cs="宋体"/>
          <w:color w:val="000000"/>
          <w:kern w:val="0"/>
          <w:sz w:val="24"/>
          <w:szCs w:val="24"/>
          <w:highlight w:val="none"/>
          <w:u w:val="single" w:color="auto"/>
          <w:lang w:val="en-US" w:eastAsia="zh-CN" w:bidi="ar"/>
        </w:rPr>
        <w:t>6</w:t>
      </w:r>
      <w:r>
        <w:rPr>
          <w:rFonts w:hint="eastAsia" w:ascii="宋体" w:hAnsi="宋体" w:eastAsia="宋体" w:cs="宋体"/>
          <w:color w:val="000000"/>
          <w:kern w:val="0"/>
          <w:sz w:val="24"/>
          <w:szCs w:val="24"/>
          <w:highlight w:val="none"/>
          <w:u w:val="single" w:color="auto"/>
          <w:lang w:val="en-US" w:eastAsia="zh-CN" w:bidi="ar"/>
        </w:rPr>
        <w:t xml:space="preserve">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000000"/>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7.我单位提供如下通讯地址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12C4D7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4BDA05C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20EBE8C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4C120B6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E52222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189D42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271"/>
    <w:bookmarkEnd w:id="272"/>
    <w:bookmarkEnd w:id="273"/>
    <w:bookmarkEnd w:id="274"/>
    <w:p w14:paraId="1D237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p>
    <w:p w14:paraId="24B2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p>
    <w:p w14:paraId="3EA83AD1">
      <w:pPr>
        <w:rPr>
          <w:rFonts w:hint="eastAsia" w:ascii="Times New Roman" w:hAnsi="Times New Roman" w:eastAsia="宋体" w:cs="Times New Roman"/>
          <w:b/>
          <w:color w:val="000000"/>
          <w:sz w:val="28"/>
          <w:szCs w:val="28"/>
          <w:highlight w:val="none"/>
          <w:lang w:eastAsia="zh-CN"/>
        </w:rPr>
      </w:pPr>
      <w:r>
        <w:rPr>
          <w:rFonts w:hint="eastAsia" w:ascii="Times New Roman" w:hAnsi="Times New Roman" w:eastAsia="宋体" w:cs="Times New Roman"/>
          <w:b/>
          <w:color w:val="000000"/>
          <w:sz w:val="28"/>
          <w:szCs w:val="28"/>
          <w:highlight w:val="none"/>
          <w:lang w:eastAsia="zh-CN"/>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275"/>
    </w:p>
    <w:p w14:paraId="7D391125">
      <w:pPr>
        <w:pStyle w:val="21"/>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滁宁城际控制中心南侧地块规划方案研究项目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cs="宋体"/>
                <w:color w:val="000000"/>
                <w:sz w:val="28"/>
                <w:szCs w:val="28"/>
                <w:highlight w:val="none"/>
                <w:u w:color="000000"/>
                <w:lang w:val="en-US"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5</w:t>
            </w:r>
            <w:r>
              <w:rPr>
                <w:rFonts w:hint="eastAsia" w:ascii="宋体" w:hAnsi="宋体"/>
                <w:sz w:val="28"/>
                <w:szCs w:val="28"/>
                <w:highlight w:val="none"/>
              </w:rPr>
              <w:t>月</w:t>
            </w:r>
          </w:p>
          <w:p w14:paraId="72A7FF77">
            <w:pPr>
              <w:pStyle w:val="14"/>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5</w:t>
            </w:r>
            <w:r>
              <w:rPr>
                <w:rFonts w:hint="eastAsia" w:ascii="宋体" w:hAnsi="宋体"/>
                <w:sz w:val="28"/>
                <w:szCs w:val="28"/>
                <w:highlight w:val="none"/>
              </w:rPr>
              <w:t>月</w:t>
            </w:r>
          </w:p>
          <w:p w14:paraId="4EDF8AEB">
            <w:pPr>
              <w:pStyle w:val="14"/>
              <w:ind w:firstLine="420"/>
              <w:rPr>
                <w:highlight w:val="none"/>
              </w:rPr>
            </w:pPr>
          </w:p>
        </w:tc>
      </w:tr>
    </w:tbl>
    <w:p w14:paraId="2D7DD9E9"/>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1"/>
      <w:rPr>
        <w:rStyle w:val="51"/>
      </w:rPr>
    </w:pPr>
  </w:p>
  <w:p w14:paraId="53435915">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1"/>
      <w:rPr>
        <w:rStyle w:val="51"/>
      </w:rPr>
    </w:pPr>
  </w:p>
  <w:p w14:paraId="78B0040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1"/>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1"/>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55867"/>
    <w:multiLevelType w:val="singleLevel"/>
    <w:tmpl w:val="E4B55867"/>
    <w:lvl w:ilvl="0" w:tentative="0">
      <w:start w:val="1"/>
      <w:numFmt w:val="decimal"/>
      <w:suff w:val="nothing"/>
      <w:lvlText w:val="（%1）"/>
      <w:lvlJc w:val="left"/>
    </w:lvl>
  </w:abstractNum>
  <w:abstractNum w:abstractNumId="1">
    <w:nsid w:val="41BBF03D"/>
    <w:multiLevelType w:val="singleLevel"/>
    <w:tmpl w:val="41BBF03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6751D"/>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1C675D"/>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AC34BC"/>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27178"/>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C254C"/>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CC21C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115F"/>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85E1F"/>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57CC9"/>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12B1E"/>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02C6A"/>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1"/>
    <w:qFormat/>
    <w:uiPriority w:val="0"/>
    <w:pPr>
      <w:keepNext/>
      <w:keepLines/>
      <w:spacing w:line="440" w:lineRule="exact"/>
      <w:jc w:val="center"/>
      <w:outlineLvl w:val="0"/>
    </w:pPr>
    <w:rPr>
      <w:b/>
      <w:bCs/>
      <w:kern w:val="44"/>
      <w:sz w:val="44"/>
      <w:szCs w:val="44"/>
    </w:rPr>
  </w:style>
  <w:style w:type="paragraph" w:styleId="3">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4"/>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30"/>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7"/>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styleId="16">
    <w:name w:val="toc 1"/>
    <w:basedOn w:val="1"/>
    <w:next w:val="1"/>
    <w:qFormat/>
    <w:uiPriority w:val="39"/>
    <w:pPr>
      <w:jc w:val="left"/>
    </w:pPr>
    <w:rPr>
      <w:b/>
      <w:bCs/>
      <w:caps/>
      <w:sz w:val="20"/>
      <w:szCs w:val="20"/>
    </w:rPr>
  </w:style>
  <w:style w:type="paragraph" w:styleId="17">
    <w:name w:val="List"/>
    <w:basedOn w:val="1"/>
    <w:qFormat/>
    <w:uiPriority w:val="0"/>
    <w:pPr>
      <w:ind w:left="420" w:hanging="420"/>
    </w:pPr>
  </w:style>
  <w:style w:type="paragraph" w:styleId="18">
    <w:name w:val="Document Map"/>
    <w:basedOn w:val="1"/>
    <w:qFormat/>
    <w:uiPriority w:val="0"/>
    <w:pPr>
      <w:shd w:val="clear" w:color="auto" w:fill="000080"/>
    </w:pPr>
  </w:style>
  <w:style w:type="paragraph" w:styleId="19">
    <w:name w:val="annotation text"/>
    <w:basedOn w:val="1"/>
    <w:link w:val="113"/>
    <w:qFormat/>
    <w:uiPriority w:val="0"/>
    <w:pPr>
      <w:jc w:val="left"/>
    </w:pPr>
  </w:style>
  <w:style w:type="paragraph" w:styleId="20">
    <w:name w:val="Body Text 3"/>
    <w:basedOn w:val="1"/>
    <w:qFormat/>
    <w:uiPriority w:val="0"/>
    <w:rPr>
      <w:rFonts w:ascii="宋体"/>
      <w:sz w:val="24"/>
      <w:szCs w:val="20"/>
    </w:rPr>
  </w:style>
  <w:style w:type="paragraph" w:styleId="21">
    <w:name w:val="Body Text"/>
    <w:basedOn w:val="1"/>
    <w:next w:val="22"/>
    <w:link w:val="143"/>
    <w:qFormat/>
    <w:uiPriority w:val="0"/>
  </w:style>
  <w:style w:type="paragraph" w:customStyle="1" w:styleId="2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3">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4">
    <w:name w:val="toc 5"/>
    <w:basedOn w:val="1"/>
    <w:next w:val="1"/>
    <w:qFormat/>
    <w:uiPriority w:val="39"/>
    <w:pPr>
      <w:ind w:left="840"/>
      <w:jc w:val="left"/>
    </w:pPr>
    <w:rPr>
      <w:sz w:val="18"/>
      <w:szCs w:val="18"/>
    </w:rPr>
  </w:style>
  <w:style w:type="paragraph" w:styleId="25">
    <w:name w:val="toc 3"/>
    <w:basedOn w:val="1"/>
    <w:next w:val="1"/>
    <w:qFormat/>
    <w:uiPriority w:val="39"/>
    <w:pPr>
      <w:ind w:left="420"/>
      <w:jc w:val="left"/>
    </w:pPr>
    <w:rPr>
      <w:i/>
      <w:iCs/>
      <w:sz w:val="20"/>
      <w:szCs w:val="20"/>
    </w:rPr>
  </w:style>
  <w:style w:type="paragraph" w:styleId="26">
    <w:name w:val="Plain Text"/>
    <w:basedOn w:val="1"/>
    <w:next w:val="1"/>
    <w:link w:val="137"/>
    <w:qFormat/>
    <w:uiPriority w:val="0"/>
    <w:rPr>
      <w:rFonts w:ascii="Courier New" w:hAnsi="Courier New"/>
      <w:szCs w:val="20"/>
    </w:rPr>
  </w:style>
  <w:style w:type="paragraph" w:styleId="27">
    <w:name w:val="toc 8"/>
    <w:basedOn w:val="1"/>
    <w:next w:val="1"/>
    <w:qFormat/>
    <w:uiPriority w:val="39"/>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line="360" w:lineRule="exact"/>
      <w:ind w:firstLine="600" w:firstLineChars="250"/>
      <w:jc w:val="left"/>
    </w:pPr>
    <w:rPr>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envelope return"/>
    <w:basedOn w:val="1"/>
    <w:qFormat/>
    <w:uiPriority w:val="0"/>
    <w:pPr>
      <w:snapToGrid w:val="0"/>
    </w:pPr>
    <w:rPr>
      <w:rFonts w:ascii="Arial" w:hAnsi="Arial"/>
    </w:rPr>
  </w:style>
  <w:style w:type="paragraph" w:styleId="3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4">
    <w:name w:val="toc 4"/>
    <w:basedOn w:val="1"/>
    <w:next w:val="1"/>
    <w:qFormat/>
    <w:uiPriority w:val="39"/>
    <w:pPr>
      <w:ind w:left="630"/>
      <w:jc w:val="left"/>
    </w:pPr>
    <w:rPr>
      <w:sz w:val="18"/>
      <w:szCs w:val="18"/>
    </w:r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9"/>
    <w:next w:val="19"/>
    <w:qFormat/>
    <w:uiPriority w:val="0"/>
    <w:rPr>
      <w:b/>
      <w:bCs/>
    </w:rPr>
  </w:style>
  <w:style w:type="paragraph" w:styleId="46">
    <w:name w:val="Body Text First Indent"/>
    <w:basedOn w:val="21"/>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4"/>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2"/>
    <w:qFormat/>
    <w:uiPriority w:val="0"/>
    <w:pPr>
      <w:jc w:val="left"/>
    </w:pPr>
    <w:rPr>
      <w:rFonts w:ascii="黑体" w:hAnsi="黑体" w:eastAsia="黑体"/>
      <w:sz w:val="21"/>
    </w:rPr>
  </w:style>
  <w:style w:type="paragraph" w:customStyle="1" w:styleId="78">
    <w:name w:val="样式4"/>
    <w:basedOn w:val="4"/>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3">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4"/>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4"/>
    <w:qFormat/>
    <w:uiPriority w:val="0"/>
    <w:rPr>
      <w:rFonts w:eastAsia="Arial"/>
    </w:rPr>
  </w:style>
  <w:style w:type="paragraph" w:customStyle="1" w:styleId="96">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19"/>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2"/>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6"/>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6"/>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1"/>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4"/>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3"/>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39</Pages>
  <Words>15795</Words>
  <Characters>16722</Characters>
  <Lines>411</Lines>
  <Paragraphs>115</Paragraphs>
  <TotalTime>213</TotalTime>
  <ScaleCrop>false</ScaleCrop>
  <LinksUpToDate>false</LinksUpToDate>
  <CharactersWithSpaces>17778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2026-05-15T03:40:00Z</cp:lastPrinted>
  <dcterms:modified xsi:type="dcterms:W3CDTF">2026-05-15T07:26:09Z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0D1F7A13CD574BBC8AB27A25BF14EE47_13</vt:lpwstr>
  </property>
  <property fmtid="{D5CDD505-2E9C-101B-9397-08002B2CF9AE}" pid="4" name="KSOTemplateDocerSaveRecord">
    <vt:lpwstr>eyJoZGlkIjoiMTljMDcwYWJmYjExZWQzNTVmZDAzZTYwM2JlMzJmZDYiLCJ1c2VySWQiOiIzODU2Mzk2OTQifQ==</vt:lpwstr>
  </property>
</Properties>
</file>