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96"/>
          <w:szCs w:val="96"/>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2026年滁州轨道运营市级综合应急演练项目（二次）</w:t>
      </w:r>
    </w:p>
    <w:p w14:paraId="5285093D">
      <w:pPr>
        <w:pStyle w:val="6"/>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51074F7">
      <w:pPr>
        <w:pStyle w:val="3"/>
        <w:rPr>
          <w:rFonts w:hint="eastAsia"/>
          <w:highlight w:val="none"/>
          <w:lang w:val="en-US" w:eastAsia="zh-CN"/>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7"/>
        <w:widowControl/>
        <w:rPr>
          <w:highlight w:val="none"/>
          <w:lang w:val="en-US"/>
        </w:rPr>
      </w:pPr>
      <w:r>
        <w:rPr>
          <w:highlight w:val="none"/>
          <w:lang w:val="en-US"/>
        </w:rPr>
        <w:t xml:space="preserve"> </w:t>
      </w:r>
    </w:p>
    <w:p w14:paraId="535485A3">
      <w:pPr>
        <w:pStyle w:val="17"/>
        <w:widowControl/>
        <w:rPr>
          <w:highlight w:val="none"/>
          <w:lang w:val="en-US"/>
        </w:rPr>
      </w:pPr>
      <w:r>
        <w:rPr>
          <w:highlight w:val="none"/>
          <w:lang w:val="en-US"/>
        </w:rPr>
        <w:t xml:space="preserve"> </w:t>
      </w:r>
    </w:p>
    <w:p w14:paraId="46A6B0BB">
      <w:pPr>
        <w:pStyle w:val="17"/>
        <w:widowControl/>
        <w:rPr>
          <w:highlight w:val="none"/>
          <w:lang w:val="en-US"/>
        </w:rPr>
      </w:pPr>
      <w:r>
        <w:rPr>
          <w:highlight w:val="none"/>
          <w:lang w:val="en-US"/>
        </w:rPr>
        <w:t xml:space="preserve"> </w:t>
      </w:r>
    </w:p>
    <w:p w14:paraId="0BBCE16F">
      <w:pPr>
        <w:pStyle w:val="17"/>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4</w:t>
      </w:r>
      <w:r>
        <w:rPr>
          <w:rFonts w:hint="eastAsia" w:ascii="宋体" w:hAnsi="宋体"/>
          <w:b/>
          <w:sz w:val="32"/>
          <w:highlight w:val="none"/>
          <w:u w:val="thick"/>
        </w:rPr>
        <w:t xml:space="preserve">月            </w:t>
      </w:r>
    </w:p>
    <w:p w14:paraId="4A525C9A">
      <w:pPr>
        <w:pStyle w:val="6"/>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………………………………………………………………4</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评标办法…………………………………………………………………18</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用户需求书………………………………………………………………22</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合同条款及格式…………………………………………………………29</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投标文件格式……………………………………………………………40</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招标人、招标代理机构对本招标文件的确认…………………………47</w:t>
      </w:r>
    </w:p>
    <w:p w14:paraId="135A59E9">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35393621"/>
      <w:bookmarkEnd w:id="6"/>
      <w:bookmarkStart w:id="7" w:name="_Toc58430305"/>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05D5757A">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2026年滁州轨道运营市级综合应急演练项目（</w:t>
      </w:r>
      <w:r>
        <w:rPr>
          <w:rFonts w:hint="eastAsia" w:ascii="宋体" w:hAnsi="宋体" w:eastAsia="宋体" w:cs="宋体"/>
          <w:color w:val="000000"/>
          <w:kern w:val="0"/>
          <w:sz w:val="24"/>
          <w:highlight w:val="none"/>
          <w:u w:color="000000"/>
          <w:lang w:val="en-US" w:eastAsia="zh-CN" w:bidi="ar"/>
        </w:rPr>
        <w:t>二次）</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http://www.infobidding.com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采购与招标网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https://www.chinabidding.cn</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val="en-US" w:eastAsia="zh-CN" w:bidi="ar"/>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获取招标文件，并于202</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年</w:t>
      </w:r>
      <w:r>
        <w:rPr>
          <w:rFonts w:hint="eastAsia" w:ascii="宋体" w:hAnsi="宋体" w:eastAsia="宋体" w:cs="宋体"/>
          <w:color w:val="000000"/>
          <w:kern w:val="0"/>
          <w:sz w:val="24"/>
          <w:highlight w:val="none"/>
          <w:u w:color="000000"/>
          <w:lang w:val="en-US" w:eastAsia="zh-CN" w:bidi="ar"/>
        </w:rPr>
        <w:t>4</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29</w:t>
      </w:r>
      <w:r>
        <w:rPr>
          <w:rFonts w:hint="eastAsia" w:ascii="宋体" w:hAnsi="宋体" w:eastAsia="宋体" w:cs="宋体"/>
          <w:color w:val="000000"/>
          <w:kern w:val="0"/>
          <w:sz w:val="24"/>
          <w:highlight w:val="none"/>
          <w:u w:color="000000"/>
          <w:lang w:bidi="ar"/>
        </w:rPr>
        <w:t>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项目名称：2026年滁州轨道运营市级综合应急演练项目（二次）</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预算金额：150000元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150000元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w:t>
      </w:r>
      <w:r>
        <w:rPr>
          <w:rFonts w:hint="eastAsia" w:ascii="宋体" w:hAnsi="宋体" w:eastAsia="宋体" w:cs="Times New Roman"/>
          <w:b w:val="0"/>
          <w:bCs w:val="0"/>
          <w:color w:val="auto"/>
          <w:kern w:val="0"/>
          <w:sz w:val="24"/>
          <w:szCs w:val="24"/>
          <w:highlight w:val="none"/>
          <w:lang w:val="en-US" w:eastAsia="zh-CN" w:bidi="ar-SA"/>
        </w:rPr>
        <w:t>滁州轨道运营市级综合应急演练服务</w:t>
      </w:r>
      <w:r>
        <w:rPr>
          <w:rFonts w:hint="eastAsia" w:ascii="宋体" w:hAnsi="宋体" w:eastAsia="宋体" w:cs="宋体"/>
          <w:color w:val="000000"/>
          <w:kern w:val="0"/>
          <w:sz w:val="24"/>
          <w:szCs w:val="24"/>
          <w:highlight w:val="none"/>
          <w:u w:color="000000"/>
          <w:lang w:val="en-US" w:eastAsia="zh-CN" w:bidi="ar"/>
        </w:rPr>
        <w:t>，详见《用户需求书》</w:t>
      </w:r>
    </w:p>
    <w:p w14:paraId="62C373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服务期：按招标人要求按时启动项目，演练项目结束后，5个工作日内按招标人相关要求提交演练资料。</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Theme="minorEastAsia"/>
          <w:kern w:val="0"/>
          <w:sz w:val="24"/>
          <w:szCs w:val="24"/>
          <w:highlight w:val="none"/>
          <w:lang w:eastAsia="zh-CN"/>
        </w:rPr>
      </w:pPr>
      <w:r>
        <w:rPr>
          <w:rFonts w:hint="eastAsia" w:ascii="宋体" w:hAnsi="宋体"/>
          <w:kern w:val="0"/>
          <w:sz w:val="24"/>
          <w:szCs w:val="24"/>
          <w:highlight w:val="none"/>
        </w:rPr>
        <w:t>投标人须在中华人民共和国境内注册（不含港澳台）并取得营业执照且具有相应服务能力</w:t>
      </w:r>
      <w:r>
        <w:rPr>
          <w:rFonts w:hint="eastAsia" w:ascii="宋体" w:hAnsi="宋体"/>
          <w:kern w:val="0"/>
          <w:sz w:val="24"/>
          <w:szCs w:val="24"/>
          <w:highlight w:val="none"/>
          <w:lang w:eastAsia="zh-CN"/>
        </w:rPr>
        <w:t>。</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2026年4月8日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2026年4月29日</w:t>
      </w:r>
    </w:p>
    <w:p w14:paraId="14C47C27">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w:t>
      </w:r>
      <w:r>
        <w:rPr>
          <w:rFonts w:hint="eastAsia" w:ascii="宋体" w:hAnsi="宋体" w:cs="宋体"/>
          <w:sz w:val="24"/>
          <w:highlight w:val="none"/>
          <w:lang w:eastAsia="zh-CN"/>
        </w:rPr>
        <w:t>（</w:t>
      </w:r>
      <w:r>
        <w:rPr>
          <w:rFonts w:hint="eastAsia" w:ascii="宋体" w:hAnsi="宋体" w:cs="宋体"/>
          <w:sz w:val="24"/>
          <w:highlight w:val="none"/>
        </w:rPr>
        <w:t>http://www.infobidding.com/</w:t>
      </w:r>
      <w:r>
        <w:rPr>
          <w:rFonts w:hint="eastAsia" w:ascii="宋体" w:hAnsi="宋体" w:cs="宋体"/>
          <w:sz w:val="24"/>
          <w:highlight w:val="none"/>
          <w:lang w:eastAsia="zh-CN"/>
        </w:rPr>
        <w:t>）、</w:t>
      </w:r>
      <w:r>
        <w:rPr>
          <w:rFonts w:hint="eastAsia" w:ascii="宋体" w:hAnsi="宋体" w:cs="宋体"/>
          <w:sz w:val="24"/>
          <w:highlight w:val="none"/>
        </w:rPr>
        <w:t>采购与招标网</w:t>
      </w:r>
      <w:r>
        <w:rPr>
          <w:rFonts w:hint="eastAsia" w:ascii="宋体" w:hAnsi="宋体" w:cs="宋体"/>
          <w:sz w:val="24"/>
          <w:highlight w:val="none"/>
          <w:lang w:eastAsia="zh-CN"/>
        </w:rPr>
        <w:t>（</w:t>
      </w:r>
      <w:r>
        <w:rPr>
          <w:rFonts w:hint="eastAsia" w:ascii="宋体" w:hAnsi="宋体" w:cs="宋体"/>
          <w:sz w:val="24"/>
          <w:highlight w:val="none"/>
        </w:rPr>
        <w:t>https://www.chinabidding.cn/</w:t>
      </w:r>
      <w:r>
        <w:rPr>
          <w:rFonts w:hint="eastAsia" w:ascii="宋体" w:hAnsi="宋体" w:cs="宋体"/>
          <w:sz w:val="24"/>
          <w:highlight w:val="none"/>
          <w:lang w:eastAsia="zh-CN"/>
        </w:rPr>
        <w:t>）</w:t>
      </w:r>
      <w:r>
        <w:rPr>
          <w:rFonts w:hint="eastAsia" w:ascii="宋体" w:hAnsi="宋体" w:cs="宋体"/>
          <w:sz w:val="24"/>
          <w:highlight w:val="none"/>
          <w:lang w:val="en-US" w:eastAsia="zh-CN"/>
        </w:rPr>
        <w:t>或</w:t>
      </w:r>
      <w:r>
        <w:rPr>
          <w:rFonts w:hint="eastAsia" w:ascii="宋体" w:hAnsi="宋体" w:eastAsia="宋体" w:cs="宋体"/>
          <w:color w:val="000000"/>
          <w:kern w:val="0"/>
          <w:sz w:val="24"/>
          <w:highlight w:val="none"/>
          <w:u w:color="000000"/>
          <w:lang w:bidi="ar"/>
        </w:rPr>
        <w:t>e车网</w:t>
      </w:r>
      <w:r>
        <w:rPr>
          <w:rFonts w:hint="eastAsia" w:ascii="宋体" w:hAnsi="宋体" w:eastAsia="宋体" w:cs="宋体"/>
          <w:color w:val="000000"/>
          <w:kern w:val="0"/>
          <w:sz w:val="24"/>
          <w:highlight w:val="none"/>
          <w:u w:color="000000"/>
          <w:lang w:eastAsia="zh-CN" w:bidi="ar"/>
        </w:rPr>
        <w:t>（</w:t>
      </w:r>
      <w:r>
        <w:rPr>
          <w:rFonts w:hint="eastAsia" w:ascii="宋体" w:hAnsi="宋体" w:eastAsia="宋体" w:cs="宋体"/>
          <w:color w:val="000000"/>
          <w:kern w:val="0"/>
          <w:sz w:val="24"/>
          <w:highlight w:val="none"/>
          <w:u w:color="000000"/>
          <w:lang w:bidi="ar"/>
        </w:rPr>
        <w:t>http://www.ecrrc.com</w:t>
      </w:r>
      <w:r>
        <w:rPr>
          <w:rFonts w:hint="eastAsia" w:ascii="宋体" w:hAnsi="宋体" w:eastAsia="宋体" w:cs="宋体"/>
          <w:color w:val="000000"/>
          <w:kern w:val="0"/>
          <w:sz w:val="24"/>
          <w:highlight w:val="none"/>
          <w:u w:color="000000"/>
          <w:lang w:eastAsia="zh-CN" w:bidi="ar"/>
        </w:rPr>
        <w:t>）。</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35393793"/>
      <w:bookmarkEnd w:id="12"/>
      <w:bookmarkStart w:id="13" w:name="_Toc28359082"/>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17C02B5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年</w:t>
      </w:r>
      <w:r>
        <w:rPr>
          <w:rFonts w:hint="eastAsia" w:ascii="宋体" w:hAnsi="宋体" w:eastAsia="宋体" w:cs="宋体"/>
          <w:bCs/>
          <w:color w:val="000000"/>
          <w:kern w:val="0"/>
          <w:sz w:val="24"/>
          <w:highlight w:val="none"/>
          <w:u w:val="single" w:color="000000"/>
          <w:lang w:val="en-US" w:eastAsia="zh-CN" w:bidi="ar"/>
        </w:rPr>
        <w:t>4</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29</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14:paraId="00C3C045">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地点：滁州市轨道交通运营有限公司五楼514开评标室 (徽州路与扬子路交叉口东南侧)</w:t>
      </w:r>
    </w:p>
    <w:p w14:paraId="5337DB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cs="宋体"/>
          <w:sz w:val="24"/>
          <w:highlight w:val="none"/>
        </w:rPr>
      </w:pPr>
      <w:r>
        <w:rPr>
          <w:rFonts w:hint="eastAsia" w:ascii="宋体" w:hAnsi="宋体" w:cs="宋体"/>
          <w:sz w:val="24"/>
          <w:highlight w:val="none"/>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hint="eastAsia" w:ascii="宋体" w:hAnsi="宋体" w:cs="宋体"/>
          <w:sz w:val="24"/>
          <w:highlight w:val="none"/>
        </w:rPr>
        <w:t>②在投标截止时间后30分钟内，将投标文件密码通过邮箱发送至滁州市城投工程咨询管理有限公司邮箱（czsctzx@163.com）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3</w:t>
      </w:r>
      <w:r>
        <w:rPr>
          <w:rFonts w:hint="eastAsia" w:ascii="宋体" w:hAnsi="宋体" w:eastAsia="宋体" w:cs="宋体"/>
          <w:bCs/>
          <w:color w:val="auto"/>
          <w:kern w:val="0"/>
          <w:sz w:val="24"/>
          <w:highlight w:val="none"/>
          <w:u w:color="000000"/>
          <w:lang w:bidi="ar"/>
        </w:rPr>
        <w:t>万元。</w:t>
      </w:r>
    </w:p>
    <w:p w14:paraId="4B3AFA3B">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2026年滁州轨道运营市级综合应急演练项目（</w:t>
      </w:r>
      <w:r>
        <w:rPr>
          <w:rFonts w:hint="eastAsia" w:ascii="宋体" w:hAnsi="宋体" w:eastAsia="宋体" w:cs="宋体"/>
          <w:bCs/>
          <w:color w:val="auto"/>
          <w:kern w:val="0"/>
          <w:sz w:val="24"/>
          <w:highlight w:val="none"/>
          <w:u w:color="000000"/>
          <w:lang w:val="en-US" w:eastAsia="zh-CN" w:bidi="ar"/>
        </w:rPr>
        <w:t>二次）</w:t>
      </w:r>
      <w:r>
        <w:rPr>
          <w:rFonts w:hint="eastAsia" w:ascii="宋体" w:hAnsi="宋体" w:eastAsia="宋体" w:cs="宋体"/>
          <w:bCs/>
          <w:color w:val="auto"/>
          <w:kern w:val="0"/>
          <w:sz w:val="24"/>
          <w:highlight w:val="none"/>
          <w:u w:color="000000"/>
          <w:lang w:bidi="ar"/>
        </w:rPr>
        <w:t xml:space="preserve">”投标保证金。 </w:t>
      </w:r>
    </w:p>
    <w:p w14:paraId="0323F4E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76166177">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联系方式：0550-3352128 </w:t>
      </w:r>
      <w:bookmarkStart w:id="15" w:name="_Toc28359086"/>
      <w:bookmarkStart w:id="16" w:name="_Toc28359009"/>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1418D49E">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14:paraId="3AAED904">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0550-3352128</w:t>
      </w:r>
      <w:r>
        <w:rPr>
          <w:rFonts w:hint="eastAsia" w:ascii="宋体" w:hAnsi="宋体" w:eastAsia="宋体" w:cs="宋体"/>
          <w:bCs/>
          <w:color w:val="000000"/>
          <w:kern w:val="0"/>
          <w:sz w:val="24"/>
          <w:highlight w:val="none"/>
          <w:u w:color="000000"/>
          <w:lang w:bidi="ar"/>
        </w:rPr>
        <w:t>、18005505728</w:t>
      </w:r>
    </w:p>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bookmarkStart w:id="187" w:name="_GoBack"/>
            <w:r>
              <w:rPr>
                <w:rFonts w:hint="eastAsia" w:cs="Times New Roman"/>
                <w:bCs/>
                <w:highlight w:val="none"/>
                <w:lang w:eastAsia="zh-CN"/>
              </w:rPr>
              <w:t>2026年滁州轨道运营市级综合应急演练项目</w:t>
            </w:r>
            <w:bookmarkEnd w:id="187"/>
            <w:r>
              <w:rPr>
                <w:rFonts w:hint="eastAsia" w:cs="Times New Roman"/>
                <w:bCs/>
                <w:highlight w:val="none"/>
                <w:lang w:eastAsia="zh-CN"/>
              </w:rPr>
              <w:t>（</w:t>
            </w:r>
            <w:r>
              <w:rPr>
                <w:rFonts w:hint="eastAsia" w:cs="Times New Roman"/>
                <w:bCs/>
                <w:highlight w:val="none"/>
                <w:lang w:val="en-US" w:eastAsia="zh-CN"/>
              </w:rPr>
              <w:t>二次）</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eastAsia="zh-CN"/>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cs="Times New Roman"/>
                <w:b w:val="0"/>
                <w:bCs w:val="0"/>
                <w:highlight w:val="none"/>
                <w:lang w:val="en-US"/>
              </w:rPr>
            </w:pPr>
            <w:r>
              <w:rPr>
                <w:highlight w:val="none"/>
              </w:rPr>
              <w:t>如投标人对招标文件有疑问，请于202</w:t>
            </w:r>
            <w:r>
              <w:rPr>
                <w:rFonts w:hint="eastAsia"/>
                <w:highlight w:val="none"/>
                <w:lang w:val="en-US" w:eastAsia="zh-CN"/>
              </w:rPr>
              <w:t>6</w:t>
            </w:r>
            <w:r>
              <w:rPr>
                <w:highlight w:val="none"/>
              </w:rPr>
              <w:t>年</w:t>
            </w:r>
            <w:r>
              <w:rPr>
                <w:rFonts w:hint="eastAsia"/>
                <w:highlight w:val="none"/>
                <w:lang w:val="en-US" w:eastAsia="zh-CN"/>
              </w:rPr>
              <w:t>4</w:t>
            </w:r>
            <w:r>
              <w:rPr>
                <w:highlight w:val="none"/>
              </w:rPr>
              <w:t>月</w:t>
            </w:r>
            <w:r>
              <w:rPr>
                <w:rFonts w:hint="eastAsia"/>
                <w:highlight w:val="none"/>
                <w:lang w:val="en-US" w:eastAsia="zh-CN"/>
              </w:rPr>
              <w:t>19</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cs="Times New Roman"/>
                <w:highlight w:val="none"/>
                <w:lang w:val="en-US"/>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kern w:val="2"/>
                <w:highlight w:val="none"/>
                <w:lang w:val="en-US"/>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年</w:t>
            </w:r>
            <w:r>
              <w:rPr>
                <w:rFonts w:hint="eastAsia" w:ascii="宋体" w:hAnsi="宋体" w:eastAsia="宋体" w:cs="Times New Roman"/>
                <w:szCs w:val="21"/>
                <w:highlight w:val="none"/>
                <w:lang w:val="en-US" w:eastAsia="zh-CN" w:bidi="ar"/>
              </w:rPr>
              <w:t>4</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20</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开标时间：2026年4月29日15时00分（北京时间）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cs="宋体"/>
                <w:highlight w:val="none"/>
              </w:rPr>
              <w:t>是，推荐的中标候选人数3名，并标明排序。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4AC84A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textAlignment w:val="auto"/>
              <w:rPr>
                <w:rFonts w:hint="default" w:ascii="宋体" w:hAnsi="宋体" w:eastAsia="宋体" w:cs="宋体"/>
                <w:szCs w:val="21"/>
                <w:highlight w:val="none"/>
              </w:rPr>
            </w:pPr>
            <w:r>
              <w:rPr>
                <w:rFonts w:hint="eastAsia" w:ascii="宋体" w:hAnsi="宋体" w:eastAsia="宋体" w:cs="宋体"/>
                <w:szCs w:val="21"/>
                <w:highlight w:val="none"/>
              </w:rPr>
              <w:t>公示媒介：同招标公告发布媒介</w:t>
            </w:r>
          </w:p>
          <w:p w14:paraId="28607FE6">
            <w:pPr>
              <w:pStyle w:val="13"/>
              <w:keepNext w:val="0"/>
              <w:keepLines w:val="0"/>
              <w:pageBreakBefore w:val="0"/>
              <w:widowControl/>
              <w:kinsoku/>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cs="宋体"/>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3847AF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40EF027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14:paraId="1B44180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14:paraId="33704CD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12F45EC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068076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00D957C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w:t>
            </w:r>
            <w:r>
              <w:rPr>
                <w:rFonts w:hint="eastAsia" w:ascii="Times New Roman" w:hAnsi="Times New Roman" w:eastAsia="宋体" w:cs="Times New Roman"/>
                <w:highlight w:val="none"/>
                <w:lang w:val="en-US" w:eastAsia="zh-CN"/>
              </w:rPr>
              <w:t>日</w:t>
            </w:r>
            <w:r>
              <w:rPr>
                <w:rFonts w:hint="eastAsia" w:ascii="Times New Roman" w:hAnsi="Times New Roman" w:eastAsia="宋体" w:cs="Times New Roman"/>
                <w:highlight w:val="none"/>
              </w:rPr>
              <w:t>内完成履约保证金缴纳及合同签订。否则，取消中标资格，投标保证金不予退还。(注：投标保证金不能转为履约保证金。)</w:t>
            </w:r>
          </w:p>
          <w:p w14:paraId="34EE616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703A90C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宋体" w:hAnsi="宋体" w:eastAsia="宋体" w:cs="宋体"/>
                <w:color w:val="000000"/>
                <w:kern w:val="0"/>
                <w:sz w:val="21"/>
                <w:szCs w:val="21"/>
                <w:highlight w:val="none"/>
                <w:lang w:val="en-US" w:eastAsia="zh-CN" w:bidi="ar"/>
              </w:rPr>
              <w:t>中标人在本合同约定的服务期限届满并经招标人验收合格后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p>
          <w:p w14:paraId="325D25B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4DCB326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39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1438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color w:val="000000"/>
                <w:kern w:val="2"/>
                <w:sz w:val="21"/>
                <w:szCs w:val="21"/>
                <w:highlight w:val="none"/>
                <w:u w:color="000000"/>
                <w:lang w:val="en-US" w:eastAsia="zh-CN" w:bidi="ar"/>
              </w:rPr>
              <w:t>在本合同服务期限届满，中标人提交的所有工作成果均通过招标人验收，且中标人向招标人提供符合要求的增值税发票后30个工作日内，一次性付清全部服务费用。</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suppressLineNumbers w:val="0"/>
              <w:autoSpaceDE w:val="0"/>
              <w:spacing w:before="0" w:beforeAutospacing="0" w:after="0" w:afterAutospacing="0" w:line="360" w:lineRule="exact"/>
              <w:ind w:left="0" w:right="0"/>
              <w:jc w:val="left"/>
              <w:rPr>
                <w:rFonts w:hint="eastAsia" w:ascii="宋体" w:hAnsi="宋体" w:eastAsia="宋体" w:cs="宋体"/>
                <w:kern w:val="2"/>
                <w:highlight w:val="none"/>
                <w:lang w:val="en-US"/>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1DDFBE1">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20ECCEBA">
            <w:pPr>
              <w:keepNext w:val="0"/>
              <w:keepLines w:val="0"/>
              <w:suppressLineNumbers w:val="0"/>
              <w:spacing w:before="0" w:beforeAutospacing="0" w:after="0" w:afterAutospacing="0" w:line="360" w:lineRule="exact"/>
              <w:ind w:left="0" w:right="0"/>
              <w:jc w:val="left"/>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727A20A7">
            <w:pPr>
              <w:keepNext w:val="0"/>
              <w:keepLines w:val="0"/>
              <w:suppressLineNumbers w:val="0"/>
              <w:spacing w:before="0" w:beforeAutospacing="0" w:after="0" w:afterAutospacing="0" w:line="360" w:lineRule="exact"/>
              <w:ind w:left="0" w:right="0"/>
              <w:jc w:val="left"/>
              <w:rPr>
                <w:rFonts w:hint="eastAsia" w:eastAsia="宋体"/>
                <w:highlight w:val="none"/>
                <w:lang w:val="en-US" w:eastAsia="zh-CN"/>
              </w:rPr>
            </w:pPr>
            <w:r>
              <w:rPr>
                <w:rFonts w:hint="eastAsia" w:ascii="宋体" w:hAnsi="Times New Roman" w:eastAsia="宋体" w:cs="Times New Roman"/>
                <w:szCs w:val="21"/>
                <w:highlight w:val="none"/>
              </w:rPr>
              <w:t>3、本项目严禁非法转包，一经发现，招标人依法处理。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47513962"/>
      <w:bookmarkEnd w:id="23"/>
      <w:bookmarkStart w:id="24" w:name="_Toc247527563"/>
      <w:bookmarkEnd w:id="24"/>
      <w:bookmarkStart w:id="25" w:name="_Toc144974507"/>
      <w:bookmarkEnd w:id="25"/>
      <w:bookmarkStart w:id="26" w:name="_Toc152042315"/>
      <w:bookmarkEnd w:id="26"/>
      <w:bookmarkStart w:id="27" w:name="_Toc29660242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29" w:name="_Toc24655"/>
      <w:bookmarkEnd w:id="29"/>
      <w:bookmarkStart w:id="30" w:name="_Toc10668_WPSOffice_Level3"/>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22.3投标报价包括完成本项目全部服务的一切费用：</w:t>
      </w:r>
      <w:r>
        <w:rPr>
          <w:rFonts w:hint="eastAsia" w:ascii="宋体" w:hAnsi="Times New Roman" w:eastAsia="宋体" w:cs="Times New Roman"/>
          <w:color w:val="000000"/>
          <w:szCs w:val="21"/>
          <w:highlight w:val="none"/>
          <w:lang w:val="en-US" w:eastAsia="zh-CN"/>
        </w:rPr>
        <w:t>市级综合应急演练服务发生的所有费用（包括</w:t>
      </w:r>
      <w:r>
        <w:rPr>
          <w:rFonts w:hint="eastAsia" w:ascii="宋体" w:hAnsi="宋体" w:eastAsia="宋体" w:cs="宋体"/>
          <w:b w:val="0"/>
          <w:color w:val="000000"/>
          <w:kern w:val="2"/>
          <w:sz w:val="21"/>
          <w:szCs w:val="21"/>
          <w:highlight w:val="none"/>
          <w:lang w:val="en-US" w:eastAsia="zh-CN" w:bidi="ar"/>
        </w:rPr>
        <w:t>提供全部设备与用品等所付出的所有费用）</w:t>
      </w:r>
      <w:r>
        <w:rPr>
          <w:rFonts w:hint="eastAsia" w:ascii="宋体" w:hAnsi="Times New Roman" w:eastAsia="宋体" w:cs="Times New Roman"/>
          <w:color w:val="000000"/>
          <w:szCs w:val="21"/>
          <w:highlight w:val="none"/>
          <w:lang w:val="en-US" w:eastAsia="zh-CN"/>
        </w:rPr>
        <w:t>、交通费(如有)、利润、招标代理费、</w:t>
      </w:r>
      <w:r>
        <w:rPr>
          <w:rFonts w:hint="eastAsia" w:ascii="宋体" w:hAnsi="Times New Roman" w:eastAsia="宋体" w:cs="Times New Roman"/>
          <w:color w:val="auto"/>
          <w:szCs w:val="21"/>
          <w:highlight w:val="none"/>
          <w:lang w:val="en-US" w:eastAsia="zh-CN"/>
        </w:rPr>
        <w:t>安全文化宣传费</w:t>
      </w:r>
      <w:r>
        <w:rPr>
          <w:rFonts w:hint="eastAsia" w:ascii="宋体" w:hAnsi="Times New Roman" w:eastAsia="宋体" w:cs="Times New Roman"/>
          <w:color w:val="000000"/>
          <w:szCs w:val="21"/>
          <w:highlight w:val="none"/>
          <w:lang w:val="en-US" w:eastAsia="zh-CN"/>
        </w:rPr>
        <w:t>、履约过程中所产生的全部专家劳务费用（包括但不限于运营公司应急预案评审所需的专家劳务费用及相关辅导费用）、税金、政策性文件规定及合同包含的所有风险和责任等。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2" w:name="_Toc217446068"/>
      <w:r>
        <w:rPr>
          <w:rFonts w:hint="eastAsia" w:ascii="宋体" w:hAnsi="宋体" w:eastAsia="宋体" w:cs="宋体"/>
          <w:b/>
          <w:color w:val="000000"/>
          <w:kern w:val="0"/>
          <w:szCs w:val="21"/>
          <w:highlight w:val="none"/>
          <w:u w:color="000000"/>
          <w:lang w:bidi="ar"/>
        </w:rPr>
        <w:t>履约保证金</w:t>
      </w:r>
      <w:bookmarkEnd w:id="42"/>
    </w:p>
    <w:p w14:paraId="1331EEB6">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9AD1FB6">
      <w:pPr>
        <w:keepNext w:val="0"/>
        <w:keepLines w:val="0"/>
        <w:widowControl w:val="0"/>
        <w:suppressLineNumbers w:val="0"/>
        <w:autoSpaceDE w:val="0"/>
        <w:autoSpaceDN/>
        <w:spacing w:before="0" w:beforeAutospacing="0" w:after="0" w:afterAutospacing="0" w:line="400" w:lineRule="exact"/>
        <w:ind w:left="0" w:right="0" w:firstLine="315" w:firstLineChars="150"/>
        <w:jc w:val="left"/>
        <w:rPr>
          <w:rFonts w:hint="eastAsia" w:ascii="黑体" w:hAnsi="宋体" w:eastAsia="黑体" w:cs="黑体"/>
          <w:sz w:val="30"/>
          <w:szCs w:val="30"/>
          <w:highlight w:val="none"/>
          <w:lang w:val="en-US"/>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r w14:paraId="5812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E1F13BF">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bookmarkStart w:id="45" w:name="_Toc95223395"/>
            <w:bookmarkStart w:id="46" w:name="_Toc60061492"/>
            <w:bookmarkStart w:id="47" w:name="_Toc506107320"/>
            <w:bookmarkStart w:id="48" w:name="_Toc15058909"/>
          </w:p>
        </w:tc>
        <w:tc>
          <w:tcPr>
            <w:tcW w:w="1235" w:type="dxa"/>
            <w:vMerge w:val="continue"/>
            <w:noWrap w:val="0"/>
            <w:vAlign w:val="center"/>
          </w:tcPr>
          <w:p w14:paraId="4E5308B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1F585618">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eastAsia="zh-CN"/>
              </w:rPr>
              <w:t>（</w:t>
            </w:r>
            <w:r>
              <w:rPr>
                <w:rFonts w:hint="eastAsia" w:ascii="宋体" w:hAnsi="宋体" w:eastAsia="宋体" w:cs="Times New Roman"/>
                <w:color w:val="000000"/>
                <w:szCs w:val="21"/>
                <w:highlight w:val="none"/>
                <w:lang w:val="en-US" w:eastAsia="zh-CN"/>
              </w:rPr>
              <w:t>5）项目负责人要求（仅限1人）：具备道路交通行业中级或以上职称证书（或中级或以上注册安全工程师证书（道路交通安全或其他安全）），且从事安全技术管理或咨询相关工作经验不少于3年</w:t>
            </w:r>
          </w:p>
        </w:tc>
        <w:tc>
          <w:tcPr>
            <w:tcW w:w="3111" w:type="dxa"/>
            <w:vMerge w:val="restart"/>
            <w:noWrap w:val="0"/>
            <w:vAlign w:val="center"/>
          </w:tcPr>
          <w:p w14:paraId="2D99563D">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投标文件中须同时提供以下证明材料：项目负责人和组其他成员人员配备表（格式自拟）、人员有效身份证扫描件、相应证书扫描件、工作经验证明（格式自拟）和本单位为上述人员缴纳的近三个月的社保证明材料扫描件。</w:t>
            </w:r>
          </w:p>
          <w:p w14:paraId="3C027249">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p>
        </w:tc>
      </w:tr>
      <w:tr w14:paraId="7A35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0895FFB9">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14D78D02">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4592673A">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（6）项目组其他成员要求（不含项目负责人）：不少于3名具备道路交通行业初级或以上职称证书，且从事安全技术管理相关工作经验不少于1年</w:t>
            </w:r>
          </w:p>
        </w:tc>
        <w:tc>
          <w:tcPr>
            <w:tcW w:w="3111" w:type="dxa"/>
            <w:vMerge w:val="continue"/>
            <w:noWrap w:val="0"/>
            <w:vAlign w:val="center"/>
          </w:tcPr>
          <w:p w14:paraId="12012197">
            <w:pPr>
              <w:keepNext w:val="0"/>
              <w:keepLines w:val="0"/>
              <w:suppressLineNumbers w:val="0"/>
              <w:spacing w:before="0" w:beforeAutospacing="0" w:after="0" w:afterAutospacing="0" w:line="360" w:lineRule="exact"/>
              <w:ind w:left="0" w:right="0"/>
              <w:rPr>
                <w:rFonts w:hint="eastAsia"/>
                <w:color w:val="000000"/>
                <w:highlight w:val="none"/>
              </w:rPr>
            </w:pP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60061493"/>
      <w:bookmarkStart w:id="50" w:name="_Toc324404868"/>
      <w:bookmarkStart w:id="51" w:name="_Toc15058910"/>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506107322"/>
      <w:bookmarkStart w:id="55" w:name="_Toc324404869"/>
      <w:bookmarkStart w:id="56" w:name="_Toc60061494"/>
      <w:bookmarkStart w:id="57" w:name="_Toc95223397"/>
      <w:bookmarkStart w:id="58" w:name="_Toc15058911"/>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221FC2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267320058"/>
            <w:bookmarkStart w:id="62" w:name="_Toc449028878"/>
            <w:bookmarkStart w:id="63" w:name="_Toc362983802"/>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6"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6"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60061504"/>
      <w:bookmarkStart w:id="75" w:name="_Toc15058921"/>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一、项目背景</w:t>
      </w:r>
    </w:p>
    <w:p w14:paraId="2B73743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市级综合应急演练是提高轨道交通应急响应能力的重要手段，对保障轨道交通安全稳定运行具有重要意义。通过演练可以检验应急预案的有效性，发现预案中存在的问题和漏洞，及时调整和完善应急响应机制，提高应对危机事件的能力和水平。</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二、线路概况</w:t>
      </w:r>
    </w:p>
    <w:p w14:paraId="1D571B3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滁宁城际铁路（滁州段）全长49.663千米，设站14座（地下2座、高架12座），开通10站。线路西起滁州市滁州站，途经滁州市市区、苏滁产业园、来安县，止于汊河站。</w:t>
      </w:r>
    </w:p>
    <w:p w14:paraId="63D75535">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三、工作内容</w:t>
      </w:r>
    </w:p>
    <w:p w14:paraId="2F21F89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中标人须完成但不限于以下演练工作，具体工作可根据招标人要求和本项目的实际情况做必要调整和补充，但合同总价不作调整。</w:t>
      </w:r>
    </w:p>
    <w:p w14:paraId="4082B09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1.编制综合演练项目的实施方案，演练脚本；</w:t>
      </w:r>
    </w:p>
    <w:p w14:paraId="1EC60DB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2.协助招标人协调公司内外关系；</w:t>
      </w:r>
    </w:p>
    <w:p w14:paraId="14B770F6">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根据《城市轨道交通运营突发事件应急预案编制规范》等国家法规规范、滁州轨道交通运营实际运营情况、行业专家实践经验，从预案编写格式、响应与处置流程等内容上，提前开展辅导工作，以便顺利通过专家评审。</w:t>
      </w:r>
    </w:p>
    <w:p w14:paraId="1D0628C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4.牵头组织开展综合演练，工作内容包括但不限于组织召开演练前、演练中、演练后各项会议，培训宣贯演练方案；</w:t>
      </w:r>
    </w:p>
    <w:p w14:paraId="6AFACE3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5.针对市级综合演练，应委托专业传媒公司开展布置、拍摄和剪辑的相关工作，并组织专家对演练情况进行评审。</w:t>
      </w:r>
    </w:p>
    <w:p w14:paraId="06B5C55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6.组织至少五名行业内专家对运营公司的31项应急预案进行评审，相关辅导、预案概括、评审标准详见附件：评审预案内容清单。</w:t>
      </w:r>
    </w:p>
    <w:p w14:paraId="6F41D11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7.开展安全文化宣传，采购2块1.2*2M、材质8MM的亚克力展板（中标人提供），含设计施工安装，具体以招标人要求制作。</w:t>
      </w:r>
    </w:p>
    <w:p w14:paraId="382AF67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8.负责演练资料的归档整理。演练项目结束后，5个工作日内按招标人相关要求提交演练资料（包含演练实施方案、培训记录、签到表、岗位评估表、总体评估表、演练问题记录、现场照片、现场评估声像资料等〉；</w:t>
      </w:r>
    </w:p>
    <w:p w14:paraId="779FB53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9.总结演练开展情况，形成演练总结报告；</w:t>
      </w:r>
    </w:p>
    <w:p w14:paraId="7F48E59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10.在需要完成的演练项目基础上，招标人根据实际需要有权对演练项目进行适当的调整，中标人应无条件服从。</w:t>
      </w:r>
    </w:p>
    <w:p w14:paraId="46A830B1">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14:paraId="318C54A9">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kern w:val="0"/>
          <w:sz w:val="21"/>
          <w:szCs w:val="21"/>
          <w:highlight w:val="none"/>
          <w:lang w:eastAsia="zh-CN"/>
        </w:rPr>
        <w:t>★</w:t>
      </w:r>
      <w:r>
        <w:rPr>
          <w:rFonts w:hint="eastAsia" w:ascii="宋体" w:hAnsi="宋体" w:eastAsia="宋体" w:cs="宋体"/>
          <w:b w:val="0"/>
          <w:color w:val="000000"/>
          <w:kern w:val="2"/>
          <w:sz w:val="21"/>
          <w:szCs w:val="21"/>
          <w:highlight w:val="none"/>
          <w:lang w:val="en-US" w:eastAsia="zh-CN" w:bidi="ar"/>
        </w:rPr>
        <w:t>1.项目负责人要求（仅限1人）：具备道路交通行业中级或以上职称证书（或中级或以上注册安全工程师证书（道路交通安全或其他安全）），且从事安全技术管理或咨询相关工作经验不少于3年；</w:t>
      </w:r>
    </w:p>
    <w:p w14:paraId="3F2E68B7">
      <w:pPr>
        <w:pStyle w:val="4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kern w:val="0"/>
          <w:sz w:val="21"/>
          <w:szCs w:val="21"/>
          <w:highlight w:val="none"/>
          <w:lang w:eastAsia="zh-CN"/>
        </w:rPr>
        <w:t>★</w:t>
      </w:r>
      <w:r>
        <w:rPr>
          <w:rFonts w:hint="eastAsia" w:ascii="宋体" w:hAnsi="宋体" w:eastAsia="宋体" w:cs="宋体"/>
          <w:b w:val="0"/>
          <w:color w:val="000000"/>
          <w:kern w:val="2"/>
          <w:sz w:val="21"/>
          <w:szCs w:val="21"/>
          <w:highlight w:val="none"/>
          <w:lang w:val="en-US" w:eastAsia="zh-CN" w:bidi="ar"/>
        </w:rPr>
        <w:t>2.项目组其他成员要求（不含项目负责人）：不少于3名具备道路交通行业初级或以上职称证书，且从事安全技术管理相关工作经验不少于1年。</w:t>
      </w:r>
    </w:p>
    <w:p w14:paraId="0D73960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注：投标文件中须同时提供以下证明材料：项目负责人和组其他成员人员配备表（格式自拟）、人员有效身份证扫描件、相应证书扫描件、工作经验证明（格式自拟）和本单位为上述人员缴纳的近三个月的社保证明材料扫描件。以上材料缺一不可，否则按无效标处理。</w:t>
      </w:r>
    </w:p>
    <w:p w14:paraId="57D4C84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3.中标人需提供演练方案，经运营单位审查审批并组织专家评审论证后进行实施。</w:t>
      </w:r>
    </w:p>
    <w:p w14:paraId="4A03387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4.中标人应指定人员在项目所在地负责与招标人代表及相关方进行沟通联系。</w:t>
      </w:r>
    </w:p>
    <w:p w14:paraId="0205FE38">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五、成果文件</w:t>
      </w:r>
    </w:p>
    <w:p w14:paraId="795C50E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中标人须提供但不限于以下作为本项目的工作成果，具体文件可根据招标人和本项目的实际情况做必要的调整和补充。</w:t>
      </w:r>
    </w:p>
    <w:p w14:paraId="3D85F57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1.准备阶段</w:t>
      </w:r>
    </w:p>
    <w:p w14:paraId="3FD9BDE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1.1市级综合应急演练专项方案；</w:t>
      </w:r>
    </w:p>
    <w:p w14:paraId="28CD992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2.实施阶段</w:t>
      </w:r>
    </w:p>
    <w:p w14:paraId="06F8071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2.1《滁州市轨道交通运营有限公司应急预案》综合评审意见表；</w:t>
      </w:r>
    </w:p>
    <w:p w14:paraId="606133A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2.2安全文化宣传展板；</w:t>
      </w:r>
    </w:p>
    <w:p w14:paraId="1030267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2.3市级综合应急演练脚本；</w:t>
      </w:r>
    </w:p>
    <w:p w14:paraId="6D5FF1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2.4演练相关会议材料（含培训）；</w:t>
      </w:r>
    </w:p>
    <w:p w14:paraId="2193641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2.5市级综合应急演练记录（含演练记录片、专家意见等）；</w:t>
      </w:r>
    </w:p>
    <w:p w14:paraId="56F522E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3总结完善阶段</w:t>
      </w:r>
    </w:p>
    <w:p w14:paraId="3EA33C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3.1演练总结报告（含专家意见）；</w:t>
      </w:r>
    </w:p>
    <w:p w14:paraId="408F5FA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3.2演练成果会议评审材料（至少包含会务手册、会议材料、专家意见等）。</w:t>
      </w:r>
    </w:p>
    <w:p w14:paraId="3865BE32">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六、费用说明</w:t>
      </w:r>
    </w:p>
    <w:p w14:paraId="721419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1.招标人不组织踏勘，中标人可自行实地勘察并承担相关费用、风险。</w:t>
      </w:r>
    </w:p>
    <w:p w14:paraId="0965E9D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投标报价包括完成本项目全部服务的一切费用：市级综合应急演练服务发生的所有费用（包括提供全部设备与用品等所付出的所有费用）、交通费(如有)、利润、招标代理费、安全文化宣传费、履约过程中所产生的全部专家劳务费用（包括但不限于运营公司应急预案评审所需的专家劳务费用及相关辅导费用）、税金、政策性文件规定及合同包含的所有风险和责任等。投标时投标人必须保证报价的完整性，如有漏报，则视为优惠，中标后不允许追加费用。</w:t>
      </w:r>
    </w:p>
    <w:p w14:paraId="5EFF8915">
      <w:pPr>
        <w:keepNext w:val="0"/>
        <w:keepLines w:val="0"/>
        <w:pageBreakBefore w:val="0"/>
        <w:numPr>
          <w:ilvl w:val="0"/>
          <w:numId w:val="0"/>
        </w:numPr>
        <w:kinsoku/>
        <w:wordWrap/>
        <w:overflowPunct/>
        <w:topLinePunct w:val="0"/>
        <w:autoSpaceDE/>
        <w:autoSpaceDN/>
        <w:bidi w:val="0"/>
        <w:adjustRightInd/>
        <w:snapToGrid w:val="0"/>
        <w:spacing w:line="360" w:lineRule="auto"/>
        <w:ind w:left="420" w:left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七、服务期限</w:t>
      </w:r>
    </w:p>
    <w:p w14:paraId="329FAAE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服务期限：按招标人要求按时启动项目，演练项目结束后，5个工作日内按招标人相关要求提交演练资料。</w:t>
      </w:r>
    </w:p>
    <w:p w14:paraId="47F4E283">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420" w:left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附件：评审预案内容清单</w:t>
      </w:r>
    </w:p>
    <w:p w14:paraId="146415B8">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left="420" w:leftChars="0"/>
        <w:jc w:val="center"/>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评审预案内容清单</w:t>
      </w:r>
    </w:p>
    <w:tbl>
      <w:tblPr>
        <w:tblStyle w:val="21"/>
        <w:tblpPr w:leftFromText="180" w:rightFromText="180" w:vertAnchor="page" w:horzAnchor="page" w:tblpX="1459" w:tblpY="5915"/>
        <w:tblOverlap w:val="never"/>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604"/>
        <w:gridCol w:w="4128"/>
        <w:gridCol w:w="1812"/>
      </w:tblGrid>
      <w:tr w14:paraId="37AC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16" w:type="dxa"/>
            <w:vAlign w:val="center"/>
          </w:tcPr>
          <w:p w14:paraId="07320FFD">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序号</w:t>
            </w:r>
          </w:p>
        </w:tc>
        <w:tc>
          <w:tcPr>
            <w:tcW w:w="2604" w:type="dxa"/>
            <w:vAlign w:val="center"/>
          </w:tcPr>
          <w:p w14:paraId="046B7F2A">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名称</w:t>
            </w:r>
          </w:p>
        </w:tc>
        <w:tc>
          <w:tcPr>
            <w:tcW w:w="4128" w:type="dxa"/>
            <w:vAlign w:val="center"/>
          </w:tcPr>
          <w:p w14:paraId="2952C201">
            <w:pPr>
              <w:keepNext w:val="0"/>
              <w:keepLines w:val="0"/>
              <w:suppressLineNumbers w:val="0"/>
              <w:spacing w:before="0" w:beforeAutospacing="0" w:after="0" w:afterAutospacing="0"/>
              <w:ind w:left="0" w:right="0"/>
              <w:jc w:val="center"/>
              <w:rPr>
                <w:rFonts w:hint="eastAsia" w:eastAsiaTheme="minorEastAsia"/>
                <w:b/>
                <w:bCs/>
                <w:highlight w:val="none"/>
                <w:vertAlign w:val="baseline"/>
                <w:lang w:val="en-US" w:eastAsia="zh-CN"/>
              </w:rPr>
            </w:pPr>
            <w:r>
              <w:rPr>
                <w:rFonts w:hint="eastAsia"/>
                <w:b/>
                <w:bCs/>
                <w:highlight w:val="none"/>
                <w:vertAlign w:val="baseline"/>
                <w:lang w:val="en-US" w:eastAsia="zh-CN"/>
              </w:rPr>
              <w:t>内容</w:t>
            </w:r>
          </w:p>
        </w:tc>
        <w:tc>
          <w:tcPr>
            <w:tcW w:w="1812" w:type="dxa"/>
            <w:vAlign w:val="center"/>
          </w:tcPr>
          <w:p w14:paraId="317A70F3">
            <w:pPr>
              <w:keepNext w:val="0"/>
              <w:keepLines w:val="0"/>
              <w:suppressLineNumbers w:val="0"/>
              <w:spacing w:before="0" w:beforeAutospacing="0" w:after="0" w:afterAutospacing="0"/>
              <w:ind w:left="0" w:right="0"/>
              <w:jc w:val="center"/>
              <w:rPr>
                <w:rFonts w:hint="default" w:eastAsiaTheme="minorEastAsia"/>
                <w:b/>
                <w:bCs/>
                <w:highlight w:val="none"/>
                <w:vertAlign w:val="baseline"/>
                <w:lang w:val="en-US" w:eastAsia="zh-CN"/>
              </w:rPr>
            </w:pPr>
            <w:r>
              <w:rPr>
                <w:rFonts w:hint="eastAsia"/>
                <w:b/>
                <w:bCs/>
                <w:highlight w:val="none"/>
                <w:vertAlign w:val="baseline"/>
                <w:lang w:val="en-US" w:eastAsia="zh-CN"/>
              </w:rPr>
              <w:t>评审标准</w:t>
            </w:r>
          </w:p>
        </w:tc>
      </w:tr>
      <w:tr w14:paraId="0D89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trPr>
        <w:tc>
          <w:tcPr>
            <w:tcW w:w="816" w:type="dxa"/>
            <w:vAlign w:val="center"/>
          </w:tcPr>
          <w:p w14:paraId="3F43B98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w:t>
            </w:r>
          </w:p>
        </w:tc>
        <w:tc>
          <w:tcPr>
            <w:tcW w:w="2604" w:type="dxa"/>
            <w:vAlign w:val="center"/>
          </w:tcPr>
          <w:p w14:paraId="4658B5C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运营公司突发事件综合应急预案</w:t>
            </w:r>
          </w:p>
        </w:tc>
        <w:tc>
          <w:tcPr>
            <w:tcW w:w="4128" w:type="dxa"/>
            <w:vAlign w:val="top"/>
          </w:tcPr>
          <w:p w14:paraId="6D3BA83A">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规定了滁州市轨道交通运营有限公司突发事件的防范与处置的工作职责、管理内容与方法、检查与考核、报告与记录。</w:t>
            </w:r>
          </w:p>
          <w:p w14:paraId="715E83AD">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规定了滁州市轨道交通运营有限公司管辖范围内发生的各类轨道交通运营突发事件的预防、监测、预警、响应和应急处置等工作内容。</w:t>
            </w:r>
          </w:p>
        </w:tc>
        <w:tc>
          <w:tcPr>
            <w:tcW w:w="1812" w:type="dxa"/>
            <w:vMerge w:val="restart"/>
          </w:tcPr>
          <w:p w14:paraId="2D21E340">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依据《城市轨道交通运营突发事件应急预案编制规范》等相关法律法规要求，对运营公司的预案文本语言与格式进行审核，确认文字简洁准确，避免歧义。</w:t>
            </w:r>
          </w:p>
          <w:p w14:paraId="3E1FB05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结合滁州市轨道交通运营的实际情况，审查预案的完整性、针对性、可操作性，适应性。确保预案步骤清晰，流程简洁明了，职责落实，覆盖预防、准备、响应、恢复应急管理全过程。</w:t>
            </w:r>
          </w:p>
          <w:p w14:paraId="32BE6CD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指导和帮助运营公司根据评审结果，完善预案内容。</w:t>
            </w:r>
          </w:p>
        </w:tc>
      </w:tr>
      <w:tr w14:paraId="3266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816" w:type="dxa"/>
            <w:vAlign w:val="center"/>
          </w:tcPr>
          <w:p w14:paraId="5171031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w:t>
            </w:r>
          </w:p>
        </w:tc>
        <w:tc>
          <w:tcPr>
            <w:tcW w:w="2604" w:type="dxa"/>
            <w:vAlign w:val="center"/>
          </w:tcPr>
          <w:p w14:paraId="4696F79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防汛专项应急预案</w:t>
            </w:r>
          </w:p>
        </w:tc>
        <w:tc>
          <w:tcPr>
            <w:tcW w:w="4128" w:type="dxa"/>
            <w:vAlign w:val="top"/>
          </w:tcPr>
          <w:p w14:paraId="2B4CCB81">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规定了滁州轨道交通防汛抗洪时的事故类型和危害程度分析、工作原则、组织机构及职责、预防与预警、信息报告程序、应急响应、应急物资及装备保障。</w:t>
            </w:r>
          </w:p>
          <w:p w14:paraId="336166A4">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规定于运营公司防汛抗洪时的预防和应急处置工作。</w:t>
            </w:r>
          </w:p>
        </w:tc>
        <w:tc>
          <w:tcPr>
            <w:tcW w:w="1812" w:type="dxa"/>
            <w:vMerge w:val="continue"/>
          </w:tcPr>
          <w:p w14:paraId="4CAA7044">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2E7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6" w:hRule="atLeast"/>
        </w:trPr>
        <w:tc>
          <w:tcPr>
            <w:tcW w:w="816" w:type="dxa"/>
            <w:vAlign w:val="center"/>
          </w:tcPr>
          <w:p w14:paraId="6015DA9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w:t>
            </w:r>
          </w:p>
        </w:tc>
        <w:tc>
          <w:tcPr>
            <w:tcW w:w="2604" w:type="dxa"/>
            <w:vAlign w:val="center"/>
          </w:tcPr>
          <w:p w14:paraId="52D52AD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恐怖及治安事件专项应急预案</w:t>
            </w:r>
          </w:p>
        </w:tc>
        <w:tc>
          <w:tcPr>
            <w:tcW w:w="4128" w:type="dxa"/>
            <w:vAlign w:val="top"/>
          </w:tcPr>
          <w:p w14:paraId="1BF61842">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规定了滁州轨道恐怖与治安事件发生的事故类型和危害程度分析、工作原则、组织机构及职责、预防与预警、信息报告程序、应急响应、应急物资及装备保障。</w:t>
            </w:r>
          </w:p>
          <w:p w14:paraId="0BD6142F">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规定于运营公司反恐与防止时的预防和应急处置工作。</w:t>
            </w:r>
          </w:p>
        </w:tc>
        <w:tc>
          <w:tcPr>
            <w:tcW w:w="1812" w:type="dxa"/>
            <w:vMerge w:val="continue"/>
          </w:tcPr>
          <w:p w14:paraId="3174F3B6">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408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816" w:type="dxa"/>
            <w:vAlign w:val="center"/>
          </w:tcPr>
          <w:p w14:paraId="66256FD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w:t>
            </w:r>
          </w:p>
        </w:tc>
        <w:tc>
          <w:tcPr>
            <w:tcW w:w="2604" w:type="dxa"/>
            <w:vAlign w:val="center"/>
          </w:tcPr>
          <w:p w14:paraId="724E4CC0">
            <w:pPr>
              <w:pStyle w:val="47"/>
              <w:keepNext w:val="0"/>
              <w:keepLines w:val="0"/>
              <w:widowControl w:val="0"/>
              <w:suppressLineNumbers w:val="0"/>
              <w:spacing w:before="0" w:beforeAutospacing="0" w:after="0" w:afterAutospacing="0"/>
              <w:ind w:left="0" w:leftChars="0" w:right="0" w:firstLine="0" w:firstLineChars="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公共卫生突发事件专项应急预案</w:t>
            </w:r>
          </w:p>
          <w:p w14:paraId="23145ED8">
            <w:pPr>
              <w:pStyle w:val="47"/>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p>
        </w:tc>
        <w:tc>
          <w:tcPr>
            <w:tcW w:w="4128" w:type="dxa"/>
            <w:vAlign w:val="top"/>
          </w:tcPr>
          <w:p w14:paraId="47552A36">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规定了滁州轨道公共卫生突发的事故类型和危害程度分析、工作原则、组织机构及职责、预防与预警、信息报告程序、应急响应、应急物资及装备保障。</w:t>
            </w:r>
          </w:p>
          <w:p w14:paraId="67921715">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规定于运营公司反恐与防止时的预防和应急处置工作。</w:t>
            </w:r>
          </w:p>
        </w:tc>
        <w:tc>
          <w:tcPr>
            <w:tcW w:w="1812" w:type="dxa"/>
            <w:vMerge w:val="continue"/>
          </w:tcPr>
          <w:p w14:paraId="48CF940D">
            <w:pPr>
              <w:pStyle w:val="47"/>
              <w:keepNext w:val="0"/>
              <w:keepLines w:val="0"/>
              <w:widowControl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882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816" w:type="dxa"/>
            <w:vAlign w:val="center"/>
          </w:tcPr>
          <w:p w14:paraId="4CB97E4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w:t>
            </w:r>
          </w:p>
        </w:tc>
        <w:tc>
          <w:tcPr>
            <w:tcW w:w="2604" w:type="dxa"/>
            <w:vAlign w:val="center"/>
          </w:tcPr>
          <w:p w14:paraId="7448B7F5">
            <w:pPr>
              <w:pStyle w:val="47"/>
              <w:keepNext w:val="0"/>
              <w:keepLines w:val="0"/>
              <w:widowControl w:val="0"/>
              <w:suppressLineNumbers w:val="0"/>
              <w:spacing w:before="0" w:beforeAutospacing="0" w:after="0" w:afterAutospacing="0"/>
              <w:ind w:left="0" w:leftChars="0" w:right="0" w:firstLine="0" w:firstLineChars="0"/>
              <w:jc w:val="center"/>
              <w:rPr>
                <w:rFonts w:hint="eastAsia" w:ascii="宋体" w:hAnsi="宋体" w:eastAsia="宋体" w:cs="宋体"/>
                <w:kern w:val="0"/>
                <w:sz w:val="21"/>
                <w:szCs w:val="21"/>
                <w:highlight w:val="none"/>
                <w:lang w:val="en-US" w:eastAsia="zh-CN" w:bidi="ar-SA"/>
              </w:rPr>
            </w:pPr>
            <w:bookmarkStart w:id="80" w:name="_Toc9135"/>
            <w:r>
              <w:rPr>
                <w:rFonts w:hint="eastAsia" w:ascii="宋体" w:hAnsi="宋体" w:eastAsia="宋体" w:cs="宋体"/>
                <w:kern w:val="0"/>
                <w:sz w:val="21"/>
                <w:szCs w:val="21"/>
                <w:highlight w:val="none"/>
                <w:lang w:val="en-US" w:eastAsia="zh-CN" w:bidi="ar-SA"/>
              </w:rPr>
              <w:t>仓库危险化学品泄露专项应急预案</w:t>
            </w:r>
            <w:bookmarkEnd w:id="80"/>
          </w:p>
        </w:tc>
        <w:tc>
          <w:tcPr>
            <w:tcW w:w="4128" w:type="dxa"/>
            <w:vAlign w:val="top"/>
          </w:tcPr>
          <w:p w14:paraId="149E4AA9">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防止危险化学品泄漏造成事故损失，提高应对危险化学品泄漏应急处置能力,减少危险化学品泄漏对企业生产的影响，最大限度地减少危险化学品泄漏造成的损失，确保特种物品库安全生产。</w:t>
            </w:r>
          </w:p>
        </w:tc>
        <w:tc>
          <w:tcPr>
            <w:tcW w:w="1812" w:type="dxa"/>
            <w:vMerge w:val="continue"/>
          </w:tcPr>
          <w:p w14:paraId="7A6C9AC7">
            <w:pPr>
              <w:pStyle w:val="47"/>
              <w:keepNext w:val="0"/>
              <w:keepLines w:val="0"/>
              <w:widowControl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2DB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96902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w:t>
            </w:r>
          </w:p>
        </w:tc>
        <w:tc>
          <w:tcPr>
            <w:tcW w:w="2604" w:type="dxa"/>
            <w:vAlign w:val="center"/>
          </w:tcPr>
          <w:p w14:paraId="6374216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bookmarkStart w:id="81" w:name="_Toc31759"/>
            <w:bookmarkStart w:id="82" w:name="_Toc28748"/>
            <w:r>
              <w:rPr>
                <w:rFonts w:hint="eastAsia" w:ascii="宋体" w:hAnsi="宋体" w:eastAsia="宋体" w:cs="宋体"/>
                <w:kern w:val="0"/>
                <w:sz w:val="21"/>
                <w:szCs w:val="21"/>
                <w:highlight w:val="none"/>
                <w:lang w:val="en-US" w:eastAsia="zh-CN" w:bidi="ar-SA"/>
              </w:rPr>
              <w:t>气象灾害专项应急预案</w:t>
            </w:r>
            <w:bookmarkEnd w:id="81"/>
            <w:bookmarkEnd w:id="82"/>
          </w:p>
        </w:tc>
        <w:tc>
          <w:tcPr>
            <w:tcW w:w="4128" w:type="dxa"/>
            <w:vAlign w:val="top"/>
          </w:tcPr>
          <w:p w14:paraId="4250263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气象灾害情况下的应急机构组成及职责、信息报告程序、应急处置、应急物资与装备保障。发生台风、大风、暴雨、暴雪、高温、大雾、霾、强对流等气象灾害情况下，运营公司预防预警、应急处置工作。</w:t>
            </w:r>
          </w:p>
        </w:tc>
        <w:tc>
          <w:tcPr>
            <w:tcW w:w="1812" w:type="dxa"/>
            <w:vMerge w:val="continue"/>
          </w:tcPr>
          <w:p w14:paraId="764A58E5">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122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816" w:type="dxa"/>
            <w:vAlign w:val="center"/>
          </w:tcPr>
          <w:p w14:paraId="6EE75C5B">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w:t>
            </w:r>
          </w:p>
        </w:tc>
        <w:tc>
          <w:tcPr>
            <w:tcW w:w="2604" w:type="dxa"/>
            <w:vAlign w:val="center"/>
          </w:tcPr>
          <w:p w14:paraId="0EA3D6E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异物侵入限界专项应急预案</w:t>
            </w:r>
          </w:p>
        </w:tc>
        <w:tc>
          <w:tcPr>
            <w:tcW w:w="4128" w:type="dxa"/>
            <w:vAlign w:val="top"/>
          </w:tcPr>
          <w:p w14:paraId="6272A3F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规定了运营公司异物侵入限界影响列车运行时的事故类型和危害程度分析、应急处置原则、组织机构及职责、信息报告程序、应急处置。适用于运营公司异物侵入限界影响列车运行时的应急处置工作。</w:t>
            </w:r>
          </w:p>
        </w:tc>
        <w:tc>
          <w:tcPr>
            <w:tcW w:w="1812" w:type="dxa"/>
            <w:vMerge w:val="continue"/>
          </w:tcPr>
          <w:p w14:paraId="5EAA39FA">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2DF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2827D35A">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w:t>
            </w:r>
          </w:p>
        </w:tc>
        <w:tc>
          <w:tcPr>
            <w:tcW w:w="2604" w:type="dxa"/>
            <w:vAlign w:val="center"/>
          </w:tcPr>
          <w:p w14:paraId="595CB99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网络安全事件应急预案</w:t>
            </w:r>
          </w:p>
        </w:tc>
        <w:tc>
          <w:tcPr>
            <w:tcW w:w="4128" w:type="dxa"/>
            <w:vAlign w:val="top"/>
          </w:tcPr>
          <w:p w14:paraId="68121C68">
            <w:pPr>
              <w:pStyle w:val="47"/>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网络安全事件的事故类型和危害程度分析、应急处置原则、组织机构及职责、信息报告程序、应急处置。适用于运营公司管辖计算机系统发生网络安全事件的预防、监测、预警、响应和应急处置等工作。</w:t>
            </w:r>
          </w:p>
        </w:tc>
        <w:tc>
          <w:tcPr>
            <w:tcW w:w="1812" w:type="dxa"/>
            <w:vMerge w:val="continue"/>
          </w:tcPr>
          <w:p w14:paraId="06C8309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53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A2A934A">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9</w:t>
            </w:r>
          </w:p>
        </w:tc>
        <w:tc>
          <w:tcPr>
            <w:tcW w:w="2604" w:type="dxa"/>
            <w:vAlign w:val="center"/>
          </w:tcPr>
          <w:p w14:paraId="161ACAD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消防事故专项应急预案</w:t>
            </w:r>
          </w:p>
        </w:tc>
        <w:tc>
          <w:tcPr>
            <w:tcW w:w="4128" w:type="dxa"/>
            <w:vAlign w:val="top"/>
          </w:tcPr>
          <w:p w14:paraId="5C8BB94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规定了运营公司所管辖区域内发生火灾事件时的组织机构及职责、预防及预警、信息报告程序、应急处置、应急物资与装备保障。</w:t>
            </w:r>
          </w:p>
        </w:tc>
        <w:tc>
          <w:tcPr>
            <w:tcW w:w="1812" w:type="dxa"/>
            <w:vMerge w:val="continue"/>
          </w:tcPr>
          <w:p w14:paraId="1BA89E1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F12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99DEF0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10</w:t>
            </w:r>
          </w:p>
        </w:tc>
        <w:tc>
          <w:tcPr>
            <w:tcW w:w="2604" w:type="dxa"/>
            <w:vAlign w:val="center"/>
          </w:tcPr>
          <w:p w14:paraId="12DCF9A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正线大面积停电专项应急预案</w:t>
            </w:r>
          </w:p>
        </w:tc>
        <w:tc>
          <w:tcPr>
            <w:tcW w:w="4128" w:type="dxa"/>
            <w:vAlign w:val="top"/>
          </w:tcPr>
          <w:p w14:paraId="06474B0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规定了正线大面积停电时的事故类型和危害程度分析、预防与预警、组织机构及职责、信息报告程序、故障影响、应急处置、应急物资与装备保障</w:t>
            </w:r>
          </w:p>
        </w:tc>
        <w:tc>
          <w:tcPr>
            <w:tcW w:w="1812" w:type="dxa"/>
            <w:vMerge w:val="continue"/>
          </w:tcPr>
          <w:p w14:paraId="7333E8B2">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79D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vAlign w:val="center"/>
          </w:tcPr>
          <w:p w14:paraId="338B0D5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11</w:t>
            </w:r>
          </w:p>
        </w:tc>
        <w:tc>
          <w:tcPr>
            <w:tcW w:w="2604" w:type="dxa"/>
            <w:vAlign w:val="center"/>
          </w:tcPr>
          <w:p w14:paraId="1AEF932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AFC系统故障专项应急预案</w:t>
            </w:r>
          </w:p>
        </w:tc>
        <w:tc>
          <w:tcPr>
            <w:tcW w:w="4128" w:type="dxa"/>
            <w:vAlign w:val="top"/>
          </w:tcPr>
          <w:p w14:paraId="49677E9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规定了运营公司发生AFC系统故障时，运营公司相关专业风险分析、应急响应、现场处置等 </w:t>
            </w:r>
          </w:p>
          <w:p w14:paraId="472C348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工作的标准和要求。</w:t>
            </w:r>
          </w:p>
        </w:tc>
        <w:tc>
          <w:tcPr>
            <w:tcW w:w="1812" w:type="dxa"/>
            <w:vMerge w:val="continue"/>
          </w:tcPr>
          <w:p w14:paraId="4F56678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D1C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816" w:type="dxa"/>
            <w:vAlign w:val="center"/>
          </w:tcPr>
          <w:p w14:paraId="26B33C4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12</w:t>
            </w:r>
          </w:p>
        </w:tc>
        <w:tc>
          <w:tcPr>
            <w:tcW w:w="2604" w:type="dxa"/>
            <w:vAlign w:val="center"/>
          </w:tcPr>
          <w:p w14:paraId="3871C9F8">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突发性事件客运组织专项应急预案</w:t>
            </w:r>
          </w:p>
        </w:tc>
        <w:tc>
          <w:tcPr>
            <w:tcW w:w="4128" w:type="dxa"/>
            <w:vAlign w:val="top"/>
          </w:tcPr>
          <w:p w14:paraId="6B35DA0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规定了运营公司车站发生突发性大客流、乘客滞留、踩踏事件时的风险分析、应急组织机构及职责、响应启动、处置措施、应急保障、信息报告、特殊程序、注意事项等内容。</w:t>
            </w:r>
          </w:p>
        </w:tc>
        <w:tc>
          <w:tcPr>
            <w:tcW w:w="1812" w:type="dxa"/>
            <w:vMerge w:val="continue"/>
          </w:tcPr>
          <w:p w14:paraId="4D6C61CB">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67B1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8630978">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13</w:t>
            </w:r>
          </w:p>
        </w:tc>
        <w:tc>
          <w:tcPr>
            <w:tcW w:w="2604" w:type="dxa"/>
            <w:vAlign w:val="center"/>
          </w:tcPr>
          <w:p w14:paraId="76FB92A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站台门夹人、夹物专项应急预案</w:t>
            </w:r>
          </w:p>
        </w:tc>
        <w:tc>
          <w:tcPr>
            <w:tcW w:w="4128" w:type="dxa"/>
            <w:vAlign w:val="top"/>
          </w:tcPr>
          <w:p w14:paraId="1E6278A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规定了运营公司地铁车站站台门夹人、夹物时的风险分析、应急组织机构及职责、处置原则、信息报告、预防预警、响应启动、处置措施、特殊程序、注意事项及应急保障等内容。</w:t>
            </w:r>
          </w:p>
        </w:tc>
        <w:tc>
          <w:tcPr>
            <w:tcW w:w="1812" w:type="dxa"/>
            <w:vMerge w:val="continue"/>
          </w:tcPr>
          <w:p w14:paraId="695FDF9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54C0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348FD6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14</w:t>
            </w:r>
          </w:p>
        </w:tc>
        <w:tc>
          <w:tcPr>
            <w:tcW w:w="2604" w:type="dxa"/>
            <w:vAlign w:val="center"/>
          </w:tcPr>
          <w:p w14:paraId="23D3F3D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人员侵入轨行区专项应急预案</w:t>
            </w:r>
          </w:p>
        </w:tc>
        <w:tc>
          <w:tcPr>
            <w:tcW w:w="4128" w:type="dxa"/>
            <w:vAlign w:val="top"/>
          </w:tcPr>
          <w:p w14:paraId="63869EA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规定了运营公司道床伤亡时的风险分析、应急组织机构及职责、处置原则、信息报告、预防预警、响应启动、处置措施、特殊程序、注意事项及应急保障等内容。</w:t>
            </w:r>
          </w:p>
        </w:tc>
        <w:tc>
          <w:tcPr>
            <w:tcW w:w="1812" w:type="dxa"/>
            <w:vMerge w:val="continue"/>
          </w:tcPr>
          <w:p w14:paraId="2A4D5AA9">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775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6CA388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15</w:t>
            </w:r>
          </w:p>
        </w:tc>
        <w:tc>
          <w:tcPr>
            <w:tcW w:w="2604" w:type="dxa"/>
            <w:vAlign w:val="center"/>
          </w:tcPr>
          <w:p w14:paraId="55B0165F">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车站暴恐事件专项应急预案</w:t>
            </w:r>
          </w:p>
        </w:tc>
        <w:tc>
          <w:tcPr>
            <w:tcW w:w="4128" w:type="dxa"/>
            <w:vAlign w:val="top"/>
          </w:tcPr>
          <w:p w14:paraId="7E0DE72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规定了运营公司车站发生暴恐事件时的风险分析、应急组织机构及职责、处置原则、信息报告、预防预警、响应启动、处置措施、特殊程序、注意事项及应急保障等内容。</w:t>
            </w:r>
          </w:p>
        </w:tc>
        <w:tc>
          <w:tcPr>
            <w:tcW w:w="1812" w:type="dxa"/>
            <w:vMerge w:val="continue"/>
          </w:tcPr>
          <w:p w14:paraId="39BB66F2">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7984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816" w:type="dxa"/>
            <w:vAlign w:val="center"/>
          </w:tcPr>
          <w:p w14:paraId="4FE39209">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16</w:t>
            </w:r>
          </w:p>
        </w:tc>
        <w:tc>
          <w:tcPr>
            <w:tcW w:w="2604" w:type="dxa"/>
            <w:vAlign w:val="center"/>
          </w:tcPr>
          <w:p w14:paraId="18B853D2">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车辆段、区间及车站水淹专项应急预案</w:t>
            </w:r>
          </w:p>
        </w:tc>
        <w:tc>
          <w:tcPr>
            <w:tcW w:w="4128" w:type="dxa"/>
            <w:vAlign w:val="top"/>
          </w:tcPr>
          <w:p w14:paraId="06B0768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规定了运营公司车辆段、区间及车站水淹倒灌应急的事故类型和危害程度、处置基本原则、 </w:t>
            </w:r>
          </w:p>
          <w:p w14:paraId="04D306E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组织机构及职责、预防及预警、信息报告程序、应急处置、应急物资与装备保障。</w:t>
            </w:r>
          </w:p>
          <w:p w14:paraId="3D2BA8D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p>
        </w:tc>
        <w:tc>
          <w:tcPr>
            <w:tcW w:w="1812" w:type="dxa"/>
            <w:vMerge w:val="continue"/>
          </w:tcPr>
          <w:p w14:paraId="48DEBCE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DB5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B9AE03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17</w:t>
            </w:r>
          </w:p>
        </w:tc>
        <w:tc>
          <w:tcPr>
            <w:tcW w:w="2604" w:type="dxa"/>
            <w:vAlign w:val="center"/>
          </w:tcPr>
          <w:p w14:paraId="1A7DEC0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机电设备故障专项应急预案</w:t>
            </w:r>
          </w:p>
        </w:tc>
        <w:tc>
          <w:tcPr>
            <w:tcW w:w="4128" w:type="dxa"/>
            <w:vAlign w:val="top"/>
          </w:tcPr>
          <w:p w14:paraId="5681B06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规定了运营公司电（扶）梯设备故障、站台门设备故障、通风空调系统故障、防火卷帘设备 </w:t>
            </w:r>
          </w:p>
          <w:p w14:paraId="13866B9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故障、通风空调系统压力容器设备故障的事故类型和危害程度、处置基本原则、组织机构及职责、预防 及预警、信息报告程序、应急处置、应急物资与装备保障。</w:t>
            </w:r>
          </w:p>
        </w:tc>
        <w:tc>
          <w:tcPr>
            <w:tcW w:w="1812" w:type="dxa"/>
            <w:vMerge w:val="continue"/>
          </w:tcPr>
          <w:p w14:paraId="0D978D0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622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AF1E4B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18</w:t>
            </w:r>
          </w:p>
        </w:tc>
        <w:tc>
          <w:tcPr>
            <w:tcW w:w="2604" w:type="dxa"/>
            <w:vAlign w:val="center"/>
          </w:tcPr>
          <w:p w14:paraId="53022B5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通信设备故障专项应急预案</w:t>
            </w:r>
          </w:p>
        </w:tc>
        <w:tc>
          <w:tcPr>
            <w:tcW w:w="4128" w:type="dxa"/>
            <w:vAlign w:val="top"/>
          </w:tcPr>
          <w:p w14:paraId="7C2511A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规定了运营公司通信设备故障时的危害程度分析、应急处置原则、预防与预警、组织机构及职责、 </w:t>
            </w:r>
          </w:p>
          <w:p w14:paraId="326B74A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信息报告程序、故障影响、应急处置、应急物资与装备保障。</w:t>
            </w:r>
          </w:p>
        </w:tc>
        <w:tc>
          <w:tcPr>
            <w:tcW w:w="1812" w:type="dxa"/>
            <w:vMerge w:val="continue"/>
          </w:tcPr>
          <w:p w14:paraId="1CDDE801">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7DEF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3C4616F">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19</w:t>
            </w:r>
          </w:p>
        </w:tc>
        <w:tc>
          <w:tcPr>
            <w:tcW w:w="2604" w:type="dxa"/>
            <w:vAlign w:val="center"/>
          </w:tcPr>
          <w:p w14:paraId="3333717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信号设备故障专项应急预案</w:t>
            </w:r>
          </w:p>
        </w:tc>
        <w:tc>
          <w:tcPr>
            <w:tcW w:w="4128" w:type="dxa"/>
            <w:vAlign w:val="top"/>
          </w:tcPr>
          <w:p w14:paraId="2B12EF6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规定了运营公司信号设备故障的应急处置原则、组织机构及职责、预防与预警、信息报告程 </w:t>
            </w:r>
          </w:p>
          <w:p w14:paraId="3D954B7D">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序、应急处置、应急保障与日常管理。</w:t>
            </w:r>
          </w:p>
        </w:tc>
        <w:tc>
          <w:tcPr>
            <w:tcW w:w="1812" w:type="dxa"/>
            <w:vMerge w:val="continue"/>
          </w:tcPr>
          <w:p w14:paraId="546451D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69F5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816" w:type="dxa"/>
            <w:vAlign w:val="center"/>
          </w:tcPr>
          <w:p w14:paraId="49EA86D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20</w:t>
            </w:r>
          </w:p>
        </w:tc>
        <w:tc>
          <w:tcPr>
            <w:tcW w:w="2604" w:type="dxa"/>
            <w:vAlign w:val="center"/>
          </w:tcPr>
          <w:p w14:paraId="1A0B983B">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主变电所故障专项应急预案</w:t>
            </w:r>
          </w:p>
        </w:tc>
        <w:tc>
          <w:tcPr>
            <w:tcW w:w="4128" w:type="dxa"/>
            <w:vAlign w:val="top"/>
          </w:tcPr>
          <w:p w14:paraId="19B60E5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规定了运营公司主变电所故障时的事故类型和危害程度分析、预防与预警、组织机构及职责、信息报告程序、应急处置、应急物资与装备保障。</w:t>
            </w:r>
          </w:p>
        </w:tc>
        <w:tc>
          <w:tcPr>
            <w:tcW w:w="1812" w:type="dxa"/>
            <w:vMerge w:val="continue"/>
          </w:tcPr>
          <w:p w14:paraId="3449B6F7">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917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816" w:type="dxa"/>
            <w:vAlign w:val="center"/>
          </w:tcPr>
          <w:p w14:paraId="32B8C02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21</w:t>
            </w:r>
          </w:p>
        </w:tc>
        <w:tc>
          <w:tcPr>
            <w:tcW w:w="2604" w:type="dxa"/>
            <w:vAlign w:val="center"/>
          </w:tcPr>
          <w:p w14:paraId="27C487E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弓网故障专项应急预案</w:t>
            </w:r>
          </w:p>
        </w:tc>
        <w:tc>
          <w:tcPr>
            <w:tcW w:w="4128" w:type="dxa"/>
            <w:vAlign w:val="top"/>
          </w:tcPr>
          <w:p w14:paraId="5E2333D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规定了运营公司弓网故障时的事故类型和危害程度分析、预防与预警、组织机构及职责、信息报告程序、应急处置、应急保障。</w:t>
            </w:r>
          </w:p>
        </w:tc>
        <w:tc>
          <w:tcPr>
            <w:tcW w:w="1812" w:type="dxa"/>
            <w:vMerge w:val="continue"/>
          </w:tcPr>
          <w:p w14:paraId="31591F7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190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816" w:type="dxa"/>
            <w:vAlign w:val="center"/>
          </w:tcPr>
          <w:p w14:paraId="6FAC64B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22</w:t>
            </w:r>
          </w:p>
        </w:tc>
        <w:tc>
          <w:tcPr>
            <w:tcW w:w="2604" w:type="dxa"/>
            <w:vAlign w:val="center"/>
          </w:tcPr>
          <w:p w14:paraId="7F216F3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地震及地质灾害专项应急预案</w:t>
            </w:r>
          </w:p>
        </w:tc>
        <w:tc>
          <w:tcPr>
            <w:tcW w:w="4128" w:type="dxa"/>
            <w:vAlign w:val="top"/>
          </w:tcPr>
          <w:p w14:paraId="76BFCDA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规定了运营公司所辖范围遭受地震及地质灾害情况下的应急机构组成及职责、信息报告程序、应急处置、应急物资与装备保障。</w:t>
            </w:r>
          </w:p>
        </w:tc>
        <w:tc>
          <w:tcPr>
            <w:tcW w:w="1812" w:type="dxa"/>
            <w:vMerge w:val="continue"/>
          </w:tcPr>
          <w:p w14:paraId="5ACEEFCF">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D88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16" w:type="dxa"/>
            <w:vAlign w:val="center"/>
          </w:tcPr>
          <w:p w14:paraId="033DCC7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23</w:t>
            </w:r>
          </w:p>
        </w:tc>
        <w:tc>
          <w:tcPr>
            <w:tcW w:w="2604" w:type="dxa"/>
            <w:vAlign w:val="center"/>
          </w:tcPr>
          <w:p w14:paraId="4EA54B3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列车挤岔专项应急预案</w:t>
            </w:r>
          </w:p>
        </w:tc>
        <w:tc>
          <w:tcPr>
            <w:tcW w:w="4128" w:type="dxa"/>
            <w:vAlign w:val="top"/>
          </w:tcPr>
          <w:p w14:paraId="71F34451">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运营公司所管辖线路发生列车挤岔事故时的应急机构组成及职责、信息报告程序、应急处置、应急物资与装备保障。</w:t>
            </w:r>
          </w:p>
        </w:tc>
        <w:tc>
          <w:tcPr>
            <w:tcW w:w="1812" w:type="dxa"/>
            <w:vMerge w:val="continue"/>
          </w:tcPr>
          <w:p w14:paraId="366C440D">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496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A6C673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24</w:t>
            </w:r>
          </w:p>
        </w:tc>
        <w:tc>
          <w:tcPr>
            <w:tcW w:w="2604" w:type="dxa"/>
            <w:vAlign w:val="center"/>
          </w:tcPr>
          <w:p w14:paraId="2FBC7464">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轨道线路故障专项应急预案</w:t>
            </w:r>
          </w:p>
        </w:tc>
        <w:tc>
          <w:tcPr>
            <w:tcW w:w="4128" w:type="dxa"/>
            <w:vAlign w:val="top"/>
          </w:tcPr>
          <w:p w14:paraId="02F9350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规定了运营公司所管辖线路发生断轨、胀轨、隆起、下沉事故时的应急机构组成及职责、信息报告程序、应急处置、应急物资与装备保障。</w:t>
            </w:r>
          </w:p>
        </w:tc>
        <w:tc>
          <w:tcPr>
            <w:tcW w:w="1812" w:type="dxa"/>
            <w:vMerge w:val="continue"/>
          </w:tcPr>
          <w:p w14:paraId="0F51924A">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23D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3D8EEF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25</w:t>
            </w:r>
          </w:p>
        </w:tc>
        <w:tc>
          <w:tcPr>
            <w:tcW w:w="2604" w:type="dxa"/>
            <w:vAlign w:val="center"/>
          </w:tcPr>
          <w:p w14:paraId="6FB3A61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结构故障专项应急预案</w:t>
            </w:r>
          </w:p>
        </w:tc>
        <w:tc>
          <w:tcPr>
            <w:tcW w:w="4128" w:type="dxa"/>
            <w:vAlign w:val="top"/>
          </w:tcPr>
          <w:p w14:paraId="5F7946C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规定了运营公司所管辖线路发生结构故障时的应急机构组成及职责、信息报告程序、应急处置、应急物资与装备保障。</w:t>
            </w:r>
          </w:p>
        </w:tc>
        <w:tc>
          <w:tcPr>
            <w:tcW w:w="1812" w:type="dxa"/>
            <w:vMerge w:val="continue"/>
          </w:tcPr>
          <w:p w14:paraId="3BA99883">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86F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FB800D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26</w:t>
            </w:r>
          </w:p>
        </w:tc>
        <w:tc>
          <w:tcPr>
            <w:tcW w:w="2604" w:type="dxa"/>
            <w:vAlign w:val="center"/>
          </w:tcPr>
          <w:p w14:paraId="4260A866">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列车事故处置专项应急预案</w:t>
            </w:r>
          </w:p>
        </w:tc>
        <w:tc>
          <w:tcPr>
            <w:tcW w:w="4128" w:type="dxa"/>
            <w:vAlign w:val="top"/>
          </w:tcPr>
          <w:p w14:paraId="0D7A1BA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规定了运营公司列车发生事故时的类型和风险分析、应急机构及职责、处置原则、信息报告、处置措施和注意事项等。</w:t>
            </w:r>
          </w:p>
        </w:tc>
        <w:tc>
          <w:tcPr>
            <w:tcW w:w="1812" w:type="dxa"/>
            <w:vMerge w:val="continue"/>
          </w:tcPr>
          <w:p w14:paraId="3DA4EA64">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075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170036C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27</w:t>
            </w:r>
          </w:p>
        </w:tc>
        <w:tc>
          <w:tcPr>
            <w:tcW w:w="2604" w:type="dxa"/>
            <w:vAlign w:val="center"/>
          </w:tcPr>
          <w:p w14:paraId="4446621C">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特种设备（叉车、起重机）突发事件专项应急预案</w:t>
            </w:r>
          </w:p>
        </w:tc>
        <w:tc>
          <w:tcPr>
            <w:tcW w:w="4128" w:type="dxa"/>
            <w:vAlign w:val="top"/>
          </w:tcPr>
          <w:p w14:paraId="476E3D4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规定了运营公司范围内发生特种设备（叉车、起重机）突发事件时的应急机构组成及职责、信息报告程序、应急处置、应急物资与装备保障。</w:t>
            </w:r>
          </w:p>
        </w:tc>
        <w:tc>
          <w:tcPr>
            <w:tcW w:w="1812" w:type="dxa"/>
            <w:vMerge w:val="continue"/>
          </w:tcPr>
          <w:p w14:paraId="36B036BB">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0A68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816" w:type="dxa"/>
            <w:vAlign w:val="center"/>
          </w:tcPr>
          <w:p w14:paraId="5461A1D5">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28</w:t>
            </w:r>
          </w:p>
        </w:tc>
        <w:tc>
          <w:tcPr>
            <w:tcW w:w="2604" w:type="dxa"/>
            <w:vAlign w:val="center"/>
          </w:tcPr>
          <w:p w14:paraId="4EF44AF0">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列车故障救援专项应急预案</w:t>
            </w:r>
          </w:p>
        </w:tc>
        <w:tc>
          <w:tcPr>
            <w:tcW w:w="4128" w:type="dxa"/>
            <w:vAlign w:val="top"/>
          </w:tcPr>
          <w:p w14:paraId="71E6276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规定了运营公司在运营期间发生列车故障救援时的风险分析、应急机构及职责、处置原则、信息报送、预防预警、应急处置及注意事项。</w:t>
            </w:r>
          </w:p>
        </w:tc>
        <w:tc>
          <w:tcPr>
            <w:tcW w:w="1812" w:type="dxa"/>
            <w:vMerge w:val="continue"/>
          </w:tcPr>
          <w:p w14:paraId="2D044E43">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3B59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 w:type="dxa"/>
            <w:vAlign w:val="center"/>
          </w:tcPr>
          <w:p w14:paraId="3FB94E37">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29</w:t>
            </w:r>
          </w:p>
        </w:tc>
        <w:tc>
          <w:tcPr>
            <w:tcW w:w="2604" w:type="dxa"/>
            <w:vAlign w:val="center"/>
          </w:tcPr>
          <w:p w14:paraId="375CDEFD">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电客车车门事件专项应急预案</w:t>
            </w:r>
          </w:p>
        </w:tc>
        <w:tc>
          <w:tcPr>
            <w:tcW w:w="4128" w:type="dxa"/>
            <w:vAlign w:val="top"/>
          </w:tcPr>
          <w:p w14:paraId="73C34E1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规定了运营公司在运营期间乘客解锁车门、电客车车门错开时的应急处理的风险分析、应急机构及职责、处置原则、信息报送、预防预警、应急处置及注意事项。</w:t>
            </w:r>
          </w:p>
        </w:tc>
        <w:tc>
          <w:tcPr>
            <w:tcW w:w="1812" w:type="dxa"/>
            <w:vMerge w:val="continue"/>
          </w:tcPr>
          <w:p w14:paraId="61E16E98">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428A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03F14F3">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30</w:t>
            </w:r>
          </w:p>
        </w:tc>
        <w:tc>
          <w:tcPr>
            <w:tcW w:w="2604" w:type="dxa"/>
            <w:vAlign w:val="center"/>
          </w:tcPr>
          <w:p w14:paraId="2FAF2ECE">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乘客区间疏散专项应急预案</w:t>
            </w:r>
          </w:p>
        </w:tc>
        <w:tc>
          <w:tcPr>
            <w:tcW w:w="4128" w:type="dxa"/>
            <w:vAlign w:val="top"/>
          </w:tcPr>
          <w:p w14:paraId="1BCA2F4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规定了运营公司在运营期间需组织乘客区间疏散时的风险分析、应急机构及职责、处置原则、信息报送、应急处置、特殊程序及应急处理等内容。</w:t>
            </w:r>
          </w:p>
        </w:tc>
        <w:tc>
          <w:tcPr>
            <w:tcW w:w="1812" w:type="dxa"/>
            <w:vMerge w:val="continue"/>
          </w:tcPr>
          <w:p w14:paraId="057279FC">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r w14:paraId="1AF2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816" w:type="dxa"/>
            <w:vAlign w:val="center"/>
          </w:tcPr>
          <w:p w14:paraId="1B09D36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31</w:t>
            </w:r>
          </w:p>
        </w:tc>
        <w:tc>
          <w:tcPr>
            <w:tcW w:w="2604" w:type="dxa"/>
            <w:vAlign w:val="center"/>
          </w:tcPr>
          <w:p w14:paraId="3F744601">
            <w:pPr>
              <w:keepNext w:val="0"/>
              <w:keepLines w:val="0"/>
              <w:suppressLineNumbers w:val="0"/>
              <w:spacing w:before="0" w:beforeAutospacing="0" w:after="0" w:afterAutospacing="0"/>
              <w:ind w:left="0" w:right="0"/>
              <w:jc w:val="center"/>
              <w:rPr>
                <w:rFonts w:hint="eastAsia" w:ascii="宋体" w:hAnsi="宋体" w:eastAsia="宋体" w:cs="宋体"/>
                <w:kern w:val="0"/>
                <w:sz w:val="21"/>
                <w:szCs w:val="21"/>
                <w:highlight w:val="none"/>
                <w:lang w:val="en-US" w:eastAsia="zh-CN" w:bidi="ar-SA"/>
              </w:rPr>
            </w:pPr>
            <w:bookmarkStart w:id="83" w:name="_Toc4549"/>
            <w:bookmarkStart w:id="84" w:name="_Toc7526"/>
            <w:bookmarkStart w:id="85" w:name="_Toc27274"/>
            <w:bookmarkStart w:id="86" w:name="_Toc13915"/>
            <w:r>
              <w:rPr>
                <w:rFonts w:hint="eastAsia" w:ascii="宋体" w:hAnsi="宋体" w:eastAsia="宋体" w:cs="宋体"/>
                <w:kern w:val="0"/>
                <w:sz w:val="21"/>
                <w:szCs w:val="21"/>
                <w:highlight w:val="none"/>
                <w:lang w:val="en-US" w:eastAsia="zh-CN" w:bidi="ar-SA"/>
              </w:rPr>
              <w:t>列车迫停分相区专项应急预案</w:t>
            </w:r>
            <w:bookmarkEnd w:id="83"/>
            <w:bookmarkEnd w:id="84"/>
            <w:bookmarkEnd w:id="85"/>
            <w:bookmarkEnd w:id="86"/>
          </w:p>
        </w:tc>
        <w:tc>
          <w:tcPr>
            <w:tcW w:w="4128" w:type="dxa"/>
            <w:vAlign w:val="top"/>
          </w:tcPr>
          <w:p w14:paraId="44897F0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规定了列车迫停分相区时的事件类型和危害程度分析、预防与预警、组织机构及职责、信息报告程序、故障影响、应急处置、应急物资与装备保障。</w:t>
            </w:r>
          </w:p>
        </w:tc>
        <w:tc>
          <w:tcPr>
            <w:tcW w:w="1812" w:type="dxa"/>
            <w:vMerge w:val="continue"/>
          </w:tcPr>
          <w:p w14:paraId="3055E475">
            <w:pPr>
              <w:keepNext w:val="0"/>
              <w:keepLines w:val="0"/>
              <w:suppressLineNumbers w:val="0"/>
              <w:spacing w:before="0" w:beforeAutospacing="0" w:after="0" w:afterAutospacing="0"/>
              <w:ind w:left="0" w:right="0"/>
              <w:rPr>
                <w:rFonts w:hint="eastAsia" w:ascii="宋体" w:hAnsi="宋体" w:eastAsia="宋体" w:cs="宋体"/>
                <w:kern w:val="0"/>
                <w:sz w:val="21"/>
                <w:szCs w:val="21"/>
                <w:highlight w:val="none"/>
                <w:lang w:val="en-US" w:eastAsia="zh-CN" w:bidi="ar-SA"/>
              </w:rPr>
            </w:pPr>
          </w:p>
        </w:tc>
      </w:tr>
    </w:tbl>
    <w:p w14:paraId="21DDA0FB">
      <w:pPr>
        <w:pStyle w:val="46"/>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560" w:lineRule="exact"/>
        <w:ind w:firstLine="420" w:firstLineChars="200"/>
        <w:textAlignment w:val="auto"/>
        <w:rPr>
          <w:rFonts w:hint="eastAsia" w:ascii="宋体" w:hAnsi="宋体" w:eastAsia="宋体" w:cs="宋体"/>
          <w:b w:val="0"/>
          <w:bCs w:val="0"/>
          <w:sz w:val="21"/>
          <w:szCs w:val="21"/>
          <w:highlight w:val="none"/>
          <w:lang w:val="en-US" w:eastAsia="zh-CN"/>
        </w:rPr>
      </w:pPr>
    </w:p>
    <w:p w14:paraId="35AA6CA5">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p>
    <w:p w14:paraId="624364E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p>
    <w:p w14:paraId="14833A03">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val="en-US" w:eastAsia="zh-CN"/>
        </w:rPr>
      </w:pPr>
    </w:p>
    <w:p w14:paraId="5492B268">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87" w:name="_Toc152571734"/>
      <w:bookmarkStart w:id="88" w:name="_Toc376824481"/>
      <w:bookmarkStart w:id="89" w:name="_Toc376824508"/>
      <w:bookmarkStart w:id="90" w:name="_Toc376824381"/>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68148EBF">
      <w:pPr>
        <w:spacing w:line="360" w:lineRule="auto"/>
        <w:ind w:firstLine="536"/>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bookmarkStart w:id="91" w:name="_Toc424651533"/>
      <w:bookmarkStart w:id="92" w:name="_Toc297806527"/>
      <w:bookmarkStart w:id="93" w:name="_Toc297806550"/>
      <w:bookmarkStart w:id="94" w:name="_Toc298258571"/>
      <w:bookmarkStart w:id="95" w:name="_Toc221503541"/>
    </w:p>
    <w:p w14:paraId="7EFC8CBD">
      <w:pPr>
        <w:spacing w:line="360" w:lineRule="auto"/>
        <w:rPr>
          <w:rFonts w:hint="eastAsia" w:ascii="宋体" w:hAnsi="宋体" w:eastAsia="宋体" w:cs="宋体"/>
          <w:b/>
          <w:spacing w:val="0"/>
          <w:sz w:val="21"/>
          <w:szCs w:val="21"/>
          <w:highlight w:val="none"/>
          <w:lang w:eastAsia="zh-CN"/>
        </w:rPr>
      </w:pPr>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91"/>
      <w:bookmarkEnd w:id="92"/>
      <w:bookmarkEnd w:id="93"/>
      <w:bookmarkEnd w:id="94"/>
      <w:bookmarkEnd w:id="95"/>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96" w:name="_Toc297806528"/>
      <w:bookmarkStart w:id="97" w:name="_Toc297806551"/>
      <w:r>
        <w:rPr>
          <w:rFonts w:hint="eastAsia" w:ascii="宋体" w:hAnsi="宋体" w:eastAsia="宋体" w:cs="宋体"/>
          <w:b/>
          <w:spacing w:val="0"/>
          <w:sz w:val="21"/>
          <w:szCs w:val="21"/>
          <w:highlight w:val="none"/>
          <w:lang w:eastAsia="zh-CN"/>
        </w:rPr>
        <w:t>2.2 乙方承诺及保证</w:t>
      </w:r>
      <w:bookmarkEnd w:id="96"/>
      <w:bookmarkEnd w:id="97"/>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default" w:ascii="宋体" w:hAnsi="宋体" w:eastAsia="宋体" w:cs="宋体"/>
          <w:b/>
          <w:color w:val="auto"/>
          <w:spacing w:val="0"/>
          <w:sz w:val="21"/>
          <w:szCs w:val="21"/>
          <w:highlight w:val="none"/>
          <w:lang w:val="en-US" w:eastAsia="zh-CN"/>
        </w:rPr>
      </w:pPr>
      <w:r>
        <w:rPr>
          <w:rFonts w:hint="eastAsia" w:ascii="宋体" w:hAnsi="宋体" w:eastAsia="宋体" w:cs="宋体"/>
          <w:spacing w:val="0"/>
          <w:sz w:val="21"/>
          <w:szCs w:val="21"/>
          <w:highlight w:val="none"/>
          <w:lang w:eastAsia="zh-CN"/>
        </w:rPr>
        <w:t>5.其他承诺与保证：__________。</w:t>
      </w:r>
      <w:bookmarkStart w:id="98" w:name="_Toc298258572"/>
      <w:bookmarkStart w:id="99" w:name="_Toc297806552"/>
      <w:bookmarkStart w:id="100" w:name="_Toc297806529"/>
      <w:bookmarkStart w:id="101" w:name="_Toc221503542"/>
      <w:bookmarkStart w:id="102" w:name="_Toc424651534"/>
      <w:r>
        <w:rPr>
          <w:rFonts w:hint="eastAsia" w:ascii="宋体" w:hAnsi="宋体" w:eastAsia="宋体" w:cs="宋体"/>
          <w:color w:val="auto"/>
          <w:spacing w:val="0"/>
          <w:sz w:val="21"/>
          <w:szCs w:val="21"/>
          <w:highlight w:val="none"/>
          <w:lang w:val="en-US" w:eastAsia="zh-CN"/>
        </w:rPr>
        <w:t xml:space="preserve"> </w:t>
      </w:r>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8"/>
      <w:bookmarkEnd w:id="99"/>
      <w:bookmarkEnd w:id="100"/>
      <w:bookmarkEnd w:id="101"/>
      <w:bookmarkEnd w:id="102"/>
    </w:p>
    <w:p w14:paraId="7550C12B">
      <w:pPr>
        <w:spacing w:line="360" w:lineRule="auto"/>
        <w:rPr>
          <w:rFonts w:hint="eastAsia" w:ascii="宋体" w:hAnsi="宋体" w:eastAsia="宋体" w:cs="宋体"/>
          <w:spacing w:val="0"/>
          <w:sz w:val="21"/>
          <w:szCs w:val="21"/>
          <w:highlight w:val="none"/>
          <w:lang w:eastAsia="zh-CN"/>
        </w:rPr>
      </w:pPr>
      <w:bookmarkStart w:id="103" w:name="_Toc297806530"/>
      <w:bookmarkStart w:id="104" w:name="_Toc297806553"/>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03"/>
      <w:bookmarkEnd w:id="104"/>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105" w:name="_Toc297806554"/>
      <w:bookmarkStart w:id="106"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05"/>
      <w:bookmarkEnd w:id="106"/>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107" w:name="_Toc221503543"/>
      <w:bookmarkStart w:id="108" w:name="_Toc424651535"/>
      <w:bookmarkStart w:id="109" w:name="_Toc297806557"/>
      <w:bookmarkStart w:id="110" w:name="_Toc298258573"/>
      <w:bookmarkStart w:id="111" w:name="_Toc297806534"/>
      <w:r>
        <w:rPr>
          <w:rFonts w:hint="eastAsia" w:ascii="宋体" w:hAnsi="宋体" w:eastAsia="宋体" w:cs="宋体"/>
          <w:b/>
          <w:spacing w:val="0"/>
          <w:sz w:val="21"/>
          <w:szCs w:val="21"/>
          <w:highlight w:val="none"/>
          <w:lang w:eastAsia="zh-CN"/>
        </w:rPr>
        <w:t>第四条  服务费用</w:t>
      </w:r>
      <w:bookmarkEnd w:id="107"/>
      <w:bookmarkEnd w:id="108"/>
      <w:bookmarkEnd w:id="109"/>
      <w:bookmarkEnd w:id="110"/>
      <w:bookmarkEnd w:id="111"/>
      <w:r>
        <w:rPr>
          <w:rFonts w:hint="eastAsia" w:ascii="宋体" w:hAnsi="宋体" w:eastAsia="宋体" w:cs="宋体"/>
          <w:b/>
          <w:spacing w:val="0"/>
          <w:sz w:val="21"/>
          <w:szCs w:val="21"/>
          <w:highlight w:val="none"/>
          <w:lang w:eastAsia="zh-CN"/>
        </w:rPr>
        <w:t>及支付方式</w:t>
      </w:r>
    </w:p>
    <w:p w14:paraId="721853FF">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29F9CA2B">
      <w:pPr>
        <w:spacing w:line="360" w:lineRule="auto"/>
        <w:ind w:firstLine="420" w:firstLineChars="20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在本合同服务期限届满，乙方提交的所有工作成果均通过甲方验收，且乙方向甲方提供符合要求的增值税发票后30个工作日内，一次性付清全部服务费用。</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b w:val="0"/>
          <w:color w:val="000000"/>
          <w:kern w:val="2"/>
          <w:sz w:val="21"/>
          <w:szCs w:val="21"/>
          <w:highlight w:val="none"/>
          <w:lang w:val="en-US" w:eastAsia="zh-CN" w:bidi="ar"/>
        </w:rPr>
        <w:t>市级综合应急演练服务发生的所有费用（包括提供全部设备与用品等所付出的所有费用）、交通费(如有)、利润、招标代理费、安全文化宣传费、履约过程中所产生的全部专家劳务费用（包括但不限于运营公司应急预案评审所需的专家劳务费用及相关辅导费用）、税金、政策性文件规定及合同包含的所有风险和责任等）。</w:t>
      </w:r>
      <w:r>
        <w:rPr>
          <w:rFonts w:hint="eastAsia" w:ascii="宋体" w:hAnsi="宋体" w:eastAsia="宋体" w:cs="宋体"/>
          <w:spacing w:val="0"/>
          <w:sz w:val="21"/>
          <w:szCs w:val="21"/>
          <w:highlight w:val="none"/>
          <w:lang w:eastAsia="zh-CN"/>
        </w:rPr>
        <w:t>除另有约定外，甲方无需向乙方另行支付其他任何费用。</w:t>
      </w:r>
      <w:bookmarkStart w:id="112" w:name="_Toc298258574"/>
      <w:bookmarkStart w:id="113" w:name="_Toc221503544"/>
      <w:bookmarkStart w:id="114" w:name="_Toc297806558"/>
      <w:bookmarkStart w:id="115" w:name="_Toc297806535"/>
      <w:bookmarkStart w:id="116" w:name="_Toc424651536"/>
    </w:p>
    <w:p w14:paraId="7AFC92A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本合同约定的为含税合同价款。在合同履行期间，如遇国家的税率调整或其他政策影响税率的，税率随变化而变化，则合同价款不做调整。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7"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8"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7"/>
      <w:bookmarkEnd w:id="118"/>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5.3 </w:t>
      </w:r>
      <w:r>
        <w:rPr>
          <w:rFonts w:hint="eastAsia" w:ascii="宋体" w:hAnsi="宋体" w:eastAsia="宋体" w:cs="宋体"/>
          <w:color w:val="000000"/>
          <w:kern w:val="0"/>
          <w:sz w:val="21"/>
          <w:szCs w:val="21"/>
          <w:highlight w:val="none"/>
          <w:lang w:val="en-US" w:eastAsia="zh-CN" w:bidi="ar"/>
        </w:rPr>
        <w:t>乙方在本合同约定的服务期限届满并经甲方验收合格后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r>
        <w:rPr>
          <w:rFonts w:hint="eastAsia" w:ascii="宋体" w:hAnsi="宋体" w:cs="宋体"/>
          <w:color w:val="000000"/>
          <w:kern w:val="0"/>
          <w:sz w:val="21"/>
          <w:szCs w:val="21"/>
          <w:highlight w:val="none"/>
          <w:lang w:val="en-US" w:eastAsia="zh-CN" w:bidi="ar"/>
        </w:rPr>
        <w:t>。</w:t>
      </w: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12"/>
      <w:bookmarkEnd w:id="113"/>
      <w:bookmarkEnd w:id="114"/>
      <w:bookmarkEnd w:id="115"/>
      <w:bookmarkEnd w:id="116"/>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712214A6">
      <w:pPr>
        <w:spacing w:line="360" w:lineRule="auto"/>
        <w:jc w:val="left"/>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spacing w:val="0"/>
          <w:sz w:val="21"/>
          <w:szCs w:val="21"/>
          <w:highlight w:val="none"/>
          <w:lang w:val="en-US" w:eastAsia="zh-CN"/>
        </w:rPr>
        <w:t xml:space="preserve"> </w:t>
      </w:r>
    </w:p>
    <w:p w14:paraId="7740DC8F">
      <w:pPr>
        <w:spacing w:line="360" w:lineRule="auto"/>
        <w:ind w:firstLine="420" w:firstLineChars="200"/>
        <w:jc w:val="left"/>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19" w:name="_Toc298258575"/>
      <w:bookmarkEnd w:id="119"/>
      <w:bookmarkStart w:id="120" w:name="_Toc424651537"/>
      <w:bookmarkStart w:id="121" w:name="_Toc297806559"/>
      <w:bookmarkStart w:id="122" w:name="_Toc297806536"/>
      <w:bookmarkStart w:id="123" w:name="_Toc221503545"/>
      <w:bookmarkStart w:id="124" w:name="_Toc298258576"/>
      <w:r>
        <w:rPr>
          <w:rFonts w:hint="eastAsia" w:ascii="宋体" w:hAnsi="宋体" w:eastAsia="宋体" w:cs="宋体"/>
          <w:b/>
          <w:spacing w:val="0"/>
          <w:sz w:val="21"/>
          <w:szCs w:val="21"/>
          <w:highlight w:val="none"/>
          <w:lang w:eastAsia="zh-CN"/>
        </w:rPr>
        <w:t>第七条  乙方权利与义务</w:t>
      </w:r>
      <w:bookmarkEnd w:id="120"/>
      <w:bookmarkEnd w:id="121"/>
      <w:bookmarkEnd w:id="122"/>
      <w:bookmarkEnd w:id="123"/>
      <w:bookmarkEnd w:id="124"/>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25" w:name="_Toc297808125"/>
      <w:bookmarkEnd w:id="125"/>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w:t>
      </w:r>
      <w:r>
        <w:rPr>
          <w:rFonts w:hint="eastAsia" w:ascii="宋体" w:hAnsi="宋体" w:eastAsia="宋体" w:cs="宋体"/>
          <w:spacing w:val="0"/>
          <w:sz w:val="21"/>
          <w:szCs w:val="21"/>
          <w:highlight w:val="none"/>
          <w:lang w:val="en-US" w:eastAsia="zh-CN"/>
        </w:rPr>
        <w:t>15</w:t>
      </w:r>
      <w:r>
        <w:rPr>
          <w:rFonts w:hint="eastAsia" w:ascii="宋体" w:hAnsi="宋体" w:eastAsia="宋体" w:cs="宋体"/>
          <w:spacing w:val="0"/>
          <w:sz w:val="21"/>
          <w:szCs w:val="21"/>
          <w:highlight w:val="none"/>
          <w:lang w:eastAsia="zh-CN"/>
        </w:rPr>
        <w:t>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6" w:name="_Toc424651538"/>
      <w:bookmarkStart w:id="127" w:name="_Toc298258577"/>
      <w:bookmarkStart w:id="128" w:name="_Toc297806537"/>
      <w:bookmarkStart w:id="129" w:name="_Toc221503546"/>
      <w:bookmarkStart w:id="130" w:name="_Toc297806560"/>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6"/>
      <w:bookmarkEnd w:id="127"/>
      <w:bookmarkEnd w:id="128"/>
      <w:bookmarkEnd w:id="129"/>
      <w:bookmarkEnd w:id="130"/>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w:t>
      </w:r>
      <w:r>
        <w:rPr>
          <w:rFonts w:hint="eastAsia" w:ascii="宋体" w:hAnsi="宋体" w:eastAsia="宋体" w:cs="宋体"/>
          <w:spacing w:val="0"/>
          <w:sz w:val="21"/>
          <w:szCs w:val="21"/>
          <w:highlight w:val="none"/>
          <w:lang w:val="en-US" w:eastAsia="zh-CN"/>
        </w:rPr>
        <w:t>10</w:t>
      </w:r>
      <w:r>
        <w:rPr>
          <w:rFonts w:hint="eastAsia" w:ascii="宋体" w:hAnsi="宋体" w:eastAsia="宋体" w:cs="宋体"/>
          <w:spacing w:val="0"/>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pacing w:val="0"/>
          <w:sz w:val="21"/>
          <w:szCs w:val="21"/>
          <w:highlight w:val="none"/>
          <w:lang w:val="en-US" w:eastAsia="zh-CN"/>
        </w:rPr>
        <w:t>10</w:t>
      </w:r>
      <w:r>
        <w:rPr>
          <w:rFonts w:hint="eastAsia" w:ascii="宋体" w:hAnsi="宋体" w:eastAsia="宋体" w:cs="宋体"/>
          <w:spacing w:val="0"/>
          <w:sz w:val="21"/>
          <w:szCs w:val="21"/>
          <w:highlight w:val="none"/>
          <w:lang w:eastAsia="zh-CN"/>
        </w:rPr>
        <w:t>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w:t>
      </w:r>
      <w:r>
        <w:rPr>
          <w:rFonts w:hint="eastAsia" w:ascii="宋体" w:hAnsi="宋体" w:eastAsia="宋体" w:cs="宋体"/>
          <w:spacing w:val="0"/>
          <w:sz w:val="21"/>
          <w:szCs w:val="21"/>
          <w:highlight w:val="none"/>
          <w:lang w:val="en-US" w:eastAsia="zh-CN"/>
        </w:rPr>
        <w:t>3</w:t>
      </w:r>
      <w:r>
        <w:rPr>
          <w:rFonts w:hint="eastAsia" w:ascii="宋体" w:hAnsi="宋体" w:eastAsia="宋体" w:cs="宋体"/>
          <w:spacing w:val="0"/>
          <w:sz w:val="21"/>
          <w:szCs w:val="21"/>
          <w:highlight w:val="none"/>
          <w:lang w:eastAsia="zh-CN"/>
        </w:rPr>
        <w:t>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31" w:name="_Toc424651539"/>
      <w:bookmarkStart w:id="132" w:name="_Toc297806561"/>
      <w:bookmarkStart w:id="133" w:name="_Toc297806538"/>
      <w:bookmarkStart w:id="134" w:name="_Toc298258578"/>
      <w:bookmarkStart w:id="135" w:name="_Toc221503547"/>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31"/>
      <w:bookmarkEnd w:id="132"/>
      <w:bookmarkEnd w:id="133"/>
      <w:bookmarkEnd w:id="134"/>
      <w:bookmarkEnd w:id="135"/>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36" w:name="_Toc424651541"/>
      <w:bookmarkStart w:id="137" w:name="_Toc424648874"/>
      <w:r>
        <w:rPr>
          <w:rFonts w:hint="eastAsia" w:ascii="宋体" w:hAnsi="宋体" w:eastAsia="宋体" w:cs="宋体"/>
          <w:b/>
          <w:spacing w:val="0"/>
          <w:sz w:val="21"/>
          <w:szCs w:val="21"/>
          <w:highlight w:val="none"/>
          <w:lang w:eastAsia="zh-CN"/>
        </w:rPr>
        <w:t>第十条  保密</w:t>
      </w:r>
      <w:bookmarkEnd w:id="136"/>
      <w:bookmarkEnd w:id="137"/>
    </w:p>
    <w:p w14:paraId="6E8F244A">
      <w:pPr>
        <w:spacing w:line="360" w:lineRule="auto"/>
        <w:rPr>
          <w:rFonts w:hint="eastAsia" w:ascii="宋体" w:hAnsi="宋体" w:eastAsia="宋体" w:cs="宋体"/>
          <w:spacing w:val="0"/>
          <w:sz w:val="21"/>
          <w:szCs w:val="21"/>
          <w:highlight w:val="none"/>
          <w:lang w:eastAsia="zh-CN"/>
        </w:rPr>
      </w:pPr>
      <w:bookmarkStart w:id="138" w:name="_Toc424651542"/>
      <w:bookmarkStart w:id="139"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8"/>
      <w:bookmarkEnd w:id="139"/>
    </w:p>
    <w:p w14:paraId="312C0D2D">
      <w:pPr>
        <w:spacing w:line="360" w:lineRule="auto"/>
        <w:rPr>
          <w:rFonts w:hint="eastAsia" w:ascii="宋体" w:hAnsi="宋体" w:eastAsia="宋体" w:cs="宋体"/>
          <w:spacing w:val="0"/>
          <w:sz w:val="21"/>
          <w:szCs w:val="21"/>
          <w:highlight w:val="none"/>
          <w:lang w:eastAsia="zh-CN"/>
        </w:rPr>
      </w:pPr>
      <w:bookmarkStart w:id="140" w:name="_Toc424648876"/>
      <w:bookmarkStart w:id="141" w:name="_Toc424651543"/>
      <w:r>
        <w:rPr>
          <w:rFonts w:hint="eastAsia" w:ascii="宋体" w:hAnsi="宋体" w:eastAsia="宋体" w:cs="宋体"/>
          <w:spacing w:val="0"/>
          <w:sz w:val="21"/>
          <w:szCs w:val="21"/>
          <w:highlight w:val="none"/>
          <w:lang w:eastAsia="zh-CN"/>
        </w:rPr>
        <w:t>10.2 本合同规定的保密信息不包括以下信息：</w:t>
      </w:r>
      <w:bookmarkEnd w:id="140"/>
      <w:bookmarkEnd w:id="141"/>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42" w:name="_DV_C27"/>
      <w:r>
        <w:rPr>
          <w:rFonts w:hint="eastAsia" w:ascii="宋体" w:hAnsi="宋体" w:eastAsia="宋体" w:cs="宋体"/>
          <w:spacing w:val="0"/>
          <w:sz w:val="21"/>
          <w:szCs w:val="21"/>
          <w:highlight w:val="none"/>
          <w:lang w:eastAsia="zh-CN"/>
        </w:rPr>
        <w:t>对</w:t>
      </w:r>
      <w:bookmarkEnd w:id="142"/>
      <w:bookmarkStart w:id="143" w:name="_DV_M38"/>
      <w:bookmarkEnd w:id="143"/>
      <w:r>
        <w:rPr>
          <w:rFonts w:hint="eastAsia" w:ascii="宋体" w:hAnsi="宋体" w:eastAsia="宋体" w:cs="宋体"/>
          <w:spacing w:val="0"/>
          <w:sz w:val="21"/>
          <w:szCs w:val="21"/>
          <w:highlight w:val="none"/>
          <w:lang w:eastAsia="zh-CN"/>
        </w:rPr>
        <w:t>保密</w:t>
      </w:r>
      <w:bookmarkStart w:id="144" w:name="_DV_C29"/>
      <w:r>
        <w:rPr>
          <w:rFonts w:hint="eastAsia" w:ascii="宋体" w:hAnsi="宋体" w:eastAsia="宋体" w:cs="宋体"/>
          <w:spacing w:val="0"/>
          <w:sz w:val="21"/>
          <w:szCs w:val="21"/>
          <w:highlight w:val="none"/>
          <w:lang w:eastAsia="zh-CN"/>
        </w:rPr>
        <w:t>信息保密</w:t>
      </w:r>
      <w:bookmarkEnd w:id="144"/>
      <w:bookmarkStart w:id="145" w:name="_DV_M39"/>
      <w:bookmarkEnd w:id="145"/>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4C71CC94">
      <w:pPr>
        <w:spacing w:line="360" w:lineRule="auto"/>
        <w:rPr>
          <w:rFonts w:hint="eastAsia" w:ascii="宋体" w:hAnsi="宋体" w:eastAsia="宋体" w:cs="宋体"/>
          <w:b/>
          <w:spacing w:val="0"/>
          <w:sz w:val="21"/>
          <w:szCs w:val="21"/>
          <w:highlight w:val="none"/>
          <w:lang w:eastAsia="zh-CN"/>
        </w:rPr>
      </w:pPr>
      <w:bookmarkStart w:id="146" w:name="_Toc298258579"/>
      <w:bookmarkStart w:id="147" w:name="_Toc297806539"/>
      <w:bookmarkStart w:id="148" w:name="_Toc297806562"/>
      <w:bookmarkStart w:id="149" w:name="_Toc424651540"/>
    </w:p>
    <w:p w14:paraId="29424CA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第十一条  合同的变更和终止</w:t>
      </w:r>
      <w:bookmarkEnd w:id="146"/>
      <w:bookmarkEnd w:id="147"/>
      <w:bookmarkEnd w:id="148"/>
      <w:bookmarkEnd w:id="149"/>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50" w:name="_Toc297806540"/>
      <w:bookmarkStart w:id="151" w:name="_Toc298258580"/>
      <w:bookmarkStart w:id="152" w:name="_Toc424651544"/>
      <w:bookmarkStart w:id="153" w:name="_Toc297806563"/>
      <w:r>
        <w:rPr>
          <w:rFonts w:hint="eastAsia" w:ascii="宋体" w:hAnsi="宋体" w:eastAsia="宋体" w:cs="宋体"/>
          <w:b/>
          <w:spacing w:val="0"/>
          <w:sz w:val="21"/>
          <w:szCs w:val="21"/>
          <w:highlight w:val="none"/>
          <w:lang w:eastAsia="zh-CN"/>
        </w:rPr>
        <w:t>第十二条  违约责任</w:t>
      </w:r>
      <w:bookmarkEnd w:id="150"/>
      <w:bookmarkEnd w:id="151"/>
      <w:bookmarkEnd w:id="152"/>
      <w:bookmarkEnd w:id="153"/>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w:t>
      </w:r>
      <w:r>
        <w:rPr>
          <w:rFonts w:hint="eastAsia" w:ascii="宋体" w:hAnsi="宋体" w:eastAsia="宋体" w:cs="宋体"/>
          <w:spacing w:val="0"/>
          <w:sz w:val="21"/>
          <w:szCs w:val="21"/>
          <w:highlight w:val="none"/>
          <w:u w:val="single"/>
          <w:lang w:eastAsia="zh-CN"/>
        </w:rPr>
        <w:t>十</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w:t>
      </w:r>
      <w:r>
        <w:rPr>
          <w:rFonts w:hint="eastAsia" w:ascii="宋体" w:hAnsi="宋体" w:eastAsia="宋体" w:cs="宋体"/>
          <w:spacing w:val="0"/>
          <w:sz w:val="21"/>
          <w:szCs w:val="21"/>
          <w:highlight w:val="none"/>
          <w:u w:val="single"/>
          <w:lang w:eastAsia="zh-CN"/>
        </w:rPr>
        <w:t>三十</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w:t>
      </w:r>
      <w:r>
        <w:rPr>
          <w:rFonts w:hint="eastAsia" w:ascii="宋体" w:hAnsi="宋体" w:eastAsia="宋体" w:cs="宋体"/>
          <w:spacing w:val="0"/>
          <w:sz w:val="21"/>
          <w:szCs w:val="21"/>
          <w:highlight w:val="none"/>
          <w:lang w:val="en-US" w:eastAsia="zh-CN"/>
        </w:rPr>
        <w:t>2500</w:t>
      </w:r>
      <w:r>
        <w:rPr>
          <w:rFonts w:hint="eastAsia" w:ascii="宋体" w:hAnsi="宋体" w:eastAsia="宋体" w:cs="宋体"/>
          <w:spacing w:val="0"/>
          <w:sz w:val="21"/>
          <w:szCs w:val="21"/>
          <w:highlight w:val="none"/>
          <w:lang w:eastAsia="zh-CN"/>
        </w:rPr>
        <w:t>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54" w:name="_Toc424651545"/>
      <w:bookmarkStart w:id="155" w:name="_Toc298258581"/>
      <w:bookmarkStart w:id="156" w:name="_Toc297806564"/>
      <w:bookmarkStart w:id="157" w:name="_Toc297806541"/>
      <w:r>
        <w:rPr>
          <w:rFonts w:hint="eastAsia" w:ascii="宋体" w:hAnsi="宋体" w:eastAsia="宋体" w:cs="宋体"/>
          <w:b/>
          <w:spacing w:val="0"/>
          <w:sz w:val="21"/>
          <w:szCs w:val="21"/>
          <w:highlight w:val="none"/>
          <w:lang w:eastAsia="zh-CN"/>
        </w:rPr>
        <w:t>第十三条  不可抗力</w:t>
      </w:r>
      <w:bookmarkEnd w:id="154"/>
      <w:bookmarkEnd w:id="155"/>
      <w:bookmarkEnd w:id="156"/>
      <w:bookmarkEnd w:id="157"/>
    </w:p>
    <w:p w14:paraId="09CA1A00">
      <w:pPr>
        <w:spacing w:line="360" w:lineRule="auto"/>
        <w:rPr>
          <w:rFonts w:hint="eastAsia" w:ascii="宋体" w:hAnsi="宋体" w:eastAsia="宋体" w:cs="宋体"/>
          <w:spacing w:val="0"/>
          <w:sz w:val="21"/>
          <w:szCs w:val="21"/>
          <w:highlight w:val="none"/>
          <w:lang w:eastAsia="zh-CN"/>
        </w:rPr>
      </w:pPr>
      <w:bookmarkStart w:id="158" w:name="_Toc169968033"/>
      <w:r>
        <w:rPr>
          <w:rFonts w:hint="eastAsia" w:ascii="宋体" w:hAnsi="宋体" w:eastAsia="宋体" w:cs="宋体"/>
          <w:spacing w:val="0"/>
          <w:sz w:val="21"/>
          <w:szCs w:val="21"/>
          <w:highlight w:val="none"/>
          <w:lang w:eastAsia="zh-CN"/>
        </w:rPr>
        <w:t>13.1</w:t>
      </w:r>
      <w:bookmarkEnd w:id="158"/>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59" w:name="_Toc424651546"/>
      <w:bookmarkStart w:id="160" w:name="_Toc297806542"/>
      <w:bookmarkStart w:id="161" w:name="_Toc298258582"/>
      <w:bookmarkStart w:id="162" w:name="_Toc297806565"/>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9"/>
      <w:bookmarkEnd w:id="160"/>
      <w:bookmarkEnd w:id="161"/>
      <w:bookmarkEnd w:id="162"/>
    </w:p>
    <w:p w14:paraId="108062BF">
      <w:pPr>
        <w:spacing w:line="360" w:lineRule="auto"/>
        <w:rPr>
          <w:rFonts w:hint="eastAsia" w:ascii="宋体" w:hAnsi="宋体" w:eastAsia="宋体" w:cs="宋体"/>
          <w:spacing w:val="0"/>
          <w:sz w:val="21"/>
          <w:szCs w:val="21"/>
          <w:highlight w:val="none"/>
          <w:lang w:eastAsia="zh-CN"/>
        </w:rPr>
      </w:pPr>
      <w:bookmarkStart w:id="163"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63"/>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64" w:name="_Toc298258585"/>
      <w:bookmarkEnd w:id="164"/>
      <w:bookmarkStart w:id="165" w:name="_Toc298258584"/>
      <w:bookmarkEnd w:id="165"/>
      <w:bookmarkStart w:id="166" w:name="_Toc298258583"/>
      <w:bookmarkEnd w:id="166"/>
      <w:bookmarkStart w:id="167" w:name="_Toc298258586"/>
      <w:bookmarkEnd w:id="167"/>
      <w:bookmarkStart w:id="168" w:name="_Toc424651548"/>
      <w:bookmarkStart w:id="169" w:name="_Toc297806569"/>
      <w:bookmarkStart w:id="170" w:name="_Toc297806546"/>
      <w:bookmarkStart w:id="171" w:name="_Toc298258587"/>
      <w:r>
        <w:rPr>
          <w:rFonts w:hint="eastAsia" w:ascii="宋体" w:hAnsi="宋体" w:eastAsia="宋体" w:cs="宋体"/>
          <w:b/>
          <w:spacing w:val="0"/>
          <w:sz w:val="21"/>
          <w:szCs w:val="21"/>
          <w:highlight w:val="none"/>
          <w:lang w:eastAsia="zh-CN"/>
        </w:rPr>
        <w:t>第十六条  通知</w:t>
      </w:r>
      <w:bookmarkEnd w:id="168"/>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72"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9"/>
      <w:bookmarkEnd w:id="170"/>
      <w:bookmarkEnd w:id="171"/>
      <w:bookmarkEnd w:id="172"/>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7"/>
      <w:bookmarkEnd w:id="88"/>
      <w:bookmarkEnd w:id="89"/>
      <w:bookmarkEnd w:id="90"/>
    </w:p>
    <w:p w14:paraId="63010789">
      <w:pPr>
        <w:spacing w:line="360" w:lineRule="auto"/>
        <w:rPr>
          <w:rFonts w:hint="eastAsia" w:ascii="宋体" w:hAnsi="宋体" w:eastAsia="宋体" w:cs="宋体"/>
          <w:b/>
          <w:bCs/>
          <w:spacing w:val="0"/>
          <w:sz w:val="21"/>
          <w:szCs w:val="21"/>
          <w:highlight w:val="none"/>
          <w:lang w:eastAsia="zh-CN"/>
        </w:rPr>
      </w:pPr>
      <w:bookmarkStart w:id="173"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73"/>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0F31E1D8">
      <w:pPr>
        <w:spacing w:line="360" w:lineRule="auto"/>
        <w:ind w:firstLine="420" w:firstLineChars="200"/>
        <w:rPr>
          <w:rFonts w:cs="宋体"/>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0A1B3E1E">
      <w:pPr>
        <w:rPr>
          <w:rFonts w:hint="eastAsia" w:hAnsi="宋体"/>
          <w:b/>
          <w:spacing w:val="0"/>
          <w:sz w:val="21"/>
          <w:szCs w:val="21"/>
          <w:highlight w:val="none"/>
          <w:lang w:eastAsia="zh-CN"/>
        </w:rPr>
      </w:pPr>
      <w:r>
        <w:rPr>
          <w:rFonts w:hint="eastAsia" w:hAnsi="宋体"/>
          <w:b/>
          <w:spacing w:val="0"/>
          <w:sz w:val="21"/>
          <w:szCs w:val="21"/>
          <w:highlight w:val="none"/>
          <w:lang w:eastAsia="zh-CN"/>
        </w:rPr>
        <w:br w:type="page"/>
      </w:r>
    </w:p>
    <w:p w14:paraId="428DB307">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3"/>
        <w:rPr>
          <w:rFonts w:hAnsi="宋体"/>
          <w:b/>
          <w:spacing w:val="0"/>
          <w:sz w:val="21"/>
          <w:szCs w:val="21"/>
          <w:highlight w:val="none"/>
          <w:lang w:eastAsia="zh-CN"/>
        </w:rPr>
      </w:pPr>
    </w:p>
    <w:p w14:paraId="356BA390">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3"/>
        <w:rPr>
          <w:rFonts w:hAnsi="宋体"/>
          <w:b/>
          <w:spacing w:val="0"/>
          <w:sz w:val="21"/>
          <w:szCs w:val="21"/>
          <w:highlight w:val="none"/>
          <w:lang w:eastAsia="zh-CN"/>
        </w:rPr>
      </w:pPr>
    </w:p>
    <w:p w14:paraId="57E17899">
      <w:pPr>
        <w:pStyle w:val="13"/>
        <w:rPr>
          <w:rFonts w:hAnsi="宋体"/>
          <w:b/>
          <w:spacing w:val="0"/>
          <w:sz w:val="21"/>
          <w:szCs w:val="21"/>
          <w:highlight w:val="none"/>
          <w:lang w:eastAsia="zh-CN"/>
        </w:rPr>
      </w:pPr>
    </w:p>
    <w:p w14:paraId="4CE02DF5">
      <w:pPr>
        <w:pStyle w:val="13"/>
        <w:spacing w:line="360" w:lineRule="auto"/>
        <w:rPr>
          <w:spacing w:val="0"/>
          <w:sz w:val="21"/>
          <w:highlight w:val="none"/>
          <w:lang w:eastAsia="zh-CN"/>
        </w:rPr>
        <w:sectPr>
          <w:footerReference r:id="rId4" w:type="default"/>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6"/>
        <w:rPr>
          <w:rFonts w:hint="eastAsia"/>
          <w:highlight w:val="none"/>
          <w:lang w:val="en-US"/>
        </w:rPr>
      </w:pPr>
    </w:p>
    <w:p w14:paraId="57848661">
      <w:pPr>
        <w:pStyle w:val="17"/>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74" w:name="_Toc21573"/>
      <w:bookmarkEnd w:id="174"/>
      <w:bookmarkStart w:id="175"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75"/>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6" w:name="_Toc19336_WPSOffice_Level2"/>
      <w:bookmarkEnd w:id="176"/>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7" w:name="_Toc7180_WPSOffice_Level3"/>
      <w:bookmarkEnd w:id="177"/>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7"/>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8" w:name="_Toc14710_WPSOffice_Level1"/>
      <w:bookmarkEnd w:id="178"/>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eastAsia="宋体"/>
          <w:color w:val="auto"/>
          <w:szCs w:val="21"/>
          <w:highlight w:val="none"/>
          <w:lang w:val="en-US" w:eastAsia="zh-CN"/>
        </w:rPr>
        <w:t>企业法人营业执照</w:t>
      </w:r>
      <w:r>
        <w:rPr>
          <w:rFonts w:hint="eastAsia" w:ascii="宋体"/>
          <w:szCs w:val="21"/>
          <w:highlight w:val="none"/>
          <w:lang w:eastAsia="zh-CN"/>
        </w:rPr>
        <w:t>；</w:t>
      </w:r>
    </w:p>
    <w:p w14:paraId="0B27B494">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hAnsi="宋体" w:eastAsia="宋体" w:cs="宋体"/>
          <w:b w:val="0"/>
          <w:color w:val="000000"/>
          <w:kern w:val="2"/>
          <w:sz w:val="21"/>
          <w:szCs w:val="21"/>
          <w:highlight w:val="none"/>
          <w:lang w:val="en-US" w:eastAsia="zh-CN" w:bidi="ar"/>
        </w:rPr>
        <w:t>项目负责人和组其他成员人员配备表（格式自拟）、人员有效身份证扫描件、相应证书扫描件、工作经验证明（格式自拟）和本单位为上述人员缴纳的近三个月的社保证明材料扫描件</w:t>
      </w:r>
      <w:r>
        <w:rPr>
          <w:rFonts w:hint="eastAsia" w:ascii="宋体"/>
          <w:color w:val="000000"/>
          <w:szCs w:val="21"/>
          <w:highlight w:val="none"/>
          <w:lang w:val="en-US"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（6）开标一览表（格式见附件）；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（7）投标函（格式见附件）；</w:t>
      </w:r>
    </w:p>
    <w:p w14:paraId="0309732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9" w:name="_Toc451384148"/>
      <w:bookmarkStart w:id="180" w:name="_Toc425084385"/>
      <w:r>
        <w:rPr>
          <w:rFonts w:hint="eastAsia" w:ascii="宋体" w:hAnsi="宋体"/>
          <w:color w:val="000000"/>
          <w:szCs w:val="21"/>
          <w:highlight w:val="none"/>
        </w:rPr>
        <w:t>一、将遵循公</w:t>
      </w:r>
      <w:bookmarkStart w:id="181" w:name="_Toc503196197"/>
      <w:bookmarkStart w:id="182" w:name="_Toc506107356"/>
      <w:bookmarkStart w:id="183" w:name="_Toc26598"/>
      <w:r>
        <w:rPr>
          <w:rFonts w:hint="eastAsia" w:ascii="宋体" w:hAnsi="宋体"/>
          <w:color w:val="000000"/>
          <w:szCs w:val="21"/>
          <w:highlight w:val="none"/>
        </w:rPr>
        <w:t>开、公正和诚实信用</w:t>
      </w:r>
      <w:bookmarkEnd w:id="181"/>
      <w:bookmarkEnd w:id="182"/>
      <w:r>
        <w:rPr>
          <w:rFonts w:hint="eastAsia" w:ascii="宋体" w:hAnsi="宋体"/>
          <w:color w:val="000000"/>
          <w:szCs w:val="21"/>
          <w:highlight w:val="none"/>
        </w:rPr>
        <w:t>的</w:t>
      </w:r>
      <w:bookmarkEnd w:id="183"/>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84" w:name="OLE_LINK134"/>
      <w:bookmarkStart w:id="185"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84"/>
      <w:bookmarkEnd w:id="185"/>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9"/>
    <w:bookmarkEnd w:id="180"/>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4"/>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186" w:name="_Toc6275_WPSOffice_Level1"/>
      <w:bookmarkEnd w:id="186"/>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5992FE08">
      <w:pPr>
        <w:pStyle w:val="18"/>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2026年滁州轨道运营市级综合应急演练项目（二次）</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2026年4月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2026年4月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3714">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4308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C43084">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54D7A">
                          <w:pPr>
                            <w:pStyle w:val="15"/>
                          </w:pPr>
                          <w:r>
                            <w:t xml:space="preserve">第 </w:t>
                          </w:r>
                          <w:r>
                            <w:fldChar w:fldCharType="begin"/>
                          </w:r>
                          <w:r>
                            <w:instrText xml:space="preserve"> PAGE  \* MERGEFORMAT </w:instrText>
                          </w:r>
                          <w:r>
                            <w:fldChar w:fldCharType="separate"/>
                          </w:r>
                          <w:r>
                            <w:t>29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A54D7A">
                    <w:pPr>
                      <w:pStyle w:val="15"/>
                    </w:pPr>
                    <w:r>
                      <w:t xml:space="preserve">第 </w:t>
                    </w:r>
                    <w:r>
                      <w:fldChar w:fldCharType="begin"/>
                    </w:r>
                    <w:r>
                      <w:instrText xml:space="preserve"> PAGE  \* MERGEFORMAT </w:instrText>
                    </w:r>
                    <w:r>
                      <w:fldChar w:fldCharType="separate"/>
                    </w:r>
                    <w:r>
                      <w:t>29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1DB7F">
                          <w:pPr>
                            <w:pStyle w:val="15"/>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51DB7F">
                    <w:pPr>
                      <w:pStyle w:val="15"/>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ED0D13"/>
    <w:rsid w:val="06D54ED0"/>
    <w:rsid w:val="0A4E2FDB"/>
    <w:rsid w:val="0AFF501E"/>
    <w:rsid w:val="0CEF01A1"/>
    <w:rsid w:val="0EBB3464"/>
    <w:rsid w:val="0F5A3543"/>
    <w:rsid w:val="11273F56"/>
    <w:rsid w:val="12431559"/>
    <w:rsid w:val="13480586"/>
    <w:rsid w:val="14102AD3"/>
    <w:rsid w:val="14234CF6"/>
    <w:rsid w:val="14334ED5"/>
    <w:rsid w:val="14FD7704"/>
    <w:rsid w:val="162403C8"/>
    <w:rsid w:val="165958AD"/>
    <w:rsid w:val="19C2340B"/>
    <w:rsid w:val="1A2C0203"/>
    <w:rsid w:val="1AFF1DF1"/>
    <w:rsid w:val="1B0B6A26"/>
    <w:rsid w:val="1B56742D"/>
    <w:rsid w:val="1B855F93"/>
    <w:rsid w:val="1BE83977"/>
    <w:rsid w:val="1CB20585"/>
    <w:rsid w:val="1DD7722D"/>
    <w:rsid w:val="1E0200DF"/>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07E6E87"/>
    <w:rsid w:val="34033D28"/>
    <w:rsid w:val="35E820B0"/>
    <w:rsid w:val="379A4E56"/>
    <w:rsid w:val="39447D88"/>
    <w:rsid w:val="3CE35A45"/>
    <w:rsid w:val="3D7F110E"/>
    <w:rsid w:val="3D8B68BD"/>
    <w:rsid w:val="40585B1F"/>
    <w:rsid w:val="41C76417"/>
    <w:rsid w:val="426A2148"/>
    <w:rsid w:val="42AB7679"/>
    <w:rsid w:val="440F4D94"/>
    <w:rsid w:val="44121234"/>
    <w:rsid w:val="45C02C36"/>
    <w:rsid w:val="46236D21"/>
    <w:rsid w:val="46623AC8"/>
    <w:rsid w:val="47DC16A5"/>
    <w:rsid w:val="48BD5FD9"/>
    <w:rsid w:val="48C925D0"/>
    <w:rsid w:val="493A02D3"/>
    <w:rsid w:val="49560276"/>
    <w:rsid w:val="49D20DB3"/>
    <w:rsid w:val="4AA57A76"/>
    <w:rsid w:val="4B8A2C90"/>
    <w:rsid w:val="4C1866E9"/>
    <w:rsid w:val="4C3857CB"/>
    <w:rsid w:val="4F522371"/>
    <w:rsid w:val="4FA422F6"/>
    <w:rsid w:val="50031241"/>
    <w:rsid w:val="510E11AC"/>
    <w:rsid w:val="51D84CC9"/>
    <w:rsid w:val="52195103"/>
    <w:rsid w:val="53F246C0"/>
    <w:rsid w:val="551453B2"/>
    <w:rsid w:val="5523352E"/>
    <w:rsid w:val="55B51F78"/>
    <w:rsid w:val="55F12072"/>
    <w:rsid w:val="577B334F"/>
    <w:rsid w:val="59BB6342"/>
    <w:rsid w:val="5AB972A9"/>
    <w:rsid w:val="5AC41FE9"/>
    <w:rsid w:val="5C5D2AC1"/>
    <w:rsid w:val="5D13683D"/>
    <w:rsid w:val="5D2B5019"/>
    <w:rsid w:val="5D5C2E72"/>
    <w:rsid w:val="5D7002D3"/>
    <w:rsid w:val="5D925249"/>
    <w:rsid w:val="5F7E5C27"/>
    <w:rsid w:val="604D11B9"/>
    <w:rsid w:val="60B87BF7"/>
    <w:rsid w:val="61032703"/>
    <w:rsid w:val="61891CD7"/>
    <w:rsid w:val="62751AFB"/>
    <w:rsid w:val="62C47C43"/>
    <w:rsid w:val="6509245E"/>
    <w:rsid w:val="656257FB"/>
    <w:rsid w:val="66527E86"/>
    <w:rsid w:val="668A652A"/>
    <w:rsid w:val="69954A88"/>
    <w:rsid w:val="69F27FE3"/>
    <w:rsid w:val="6AF33AC3"/>
    <w:rsid w:val="6BCF3821"/>
    <w:rsid w:val="6CEA68FB"/>
    <w:rsid w:val="6EA934B6"/>
    <w:rsid w:val="6EB74F7E"/>
    <w:rsid w:val="6FEA05C0"/>
    <w:rsid w:val="706E041E"/>
    <w:rsid w:val="721B0DBA"/>
    <w:rsid w:val="729F4041"/>
    <w:rsid w:val="74C262FC"/>
    <w:rsid w:val="75843174"/>
    <w:rsid w:val="76B7003F"/>
    <w:rsid w:val="76D812DE"/>
    <w:rsid w:val="7706450F"/>
    <w:rsid w:val="771A30E5"/>
    <w:rsid w:val="77E03419"/>
    <w:rsid w:val="78072CF4"/>
    <w:rsid w:val="79757E4E"/>
    <w:rsid w:val="7A165EE4"/>
    <w:rsid w:val="7A2A6204"/>
    <w:rsid w:val="7AF5326F"/>
    <w:rsid w:val="7CA5671C"/>
    <w:rsid w:val="7D256A57"/>
    <w:rsid w:val="7E3B565D"/>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25"/>
    <w:qFormat/>
    <w:uiPriority w:val="0"/>
    <w:pPr>
      <w:spacing w:after="120" w:afterLines="0" w:afterAutospacing="0"/>
      <w:ind w:left="420" w:leftChars="200"/>
    </w:pPr>
  </w:style>
  <w:style w:type="paragraph" w:styleId="8">
    <w:name w:val="envelope return"/>
    <w:basedOn w:val="1"/>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1"/>
    <w:qFormat/>
    <w:uiPriority w:val="0"/>
    <w:pPr>
      <w:tabs>
        <w:tab w:val="center" w:pos="4153"/>
        <w:tab w:val="right" w:pos="8306"/>
      </w:tabs>
      <w:snapToGrid w:val="0"/>
      <w:jc w:val="left"/>
    </w:pPr>
    <w:rPr>
      <w:sz w:val="18"/>
    </w:rPr>
  </w:style>
  <w:style w:type="paragraph" w:styleId="16">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2"/>
    <w:link w:val="7"/>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6"/>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2"/>
    <w:link w:val="14"/>
    <w:qFormat/>
    <w:uiPriority w:val="0"/>
    <w:rPr>
      <w:rFonts w:ascii="Arial" w:hAnsi="Arial" w:eastAsia="仿宋_GB2312" w:cs="Arial"/>
      <w:color w:val="000000"/>
      <w:sz w:val="32"/>
      <w:szCs w:val="32"/>
      <w:u w:color="000000"/>
    </w:rPr>
  </w:style>
  <w:style w:type="character" w:customStyle="1" w:styleId="28">
    <w:name w:val="标题 2 Char"/>
    <w:basedOn w:val="22"/>
    <w:link w:val="2"/>
    <w:qFormat/>
    <w:uiPriority w:val="0"/>
    <w:rPr>
      <w:rFonts w:hint="default" w:ascii="Times New Roman" w:hAnsi="Times New Roman" w:eastAsia="宋体" w:cs="Times New Roman"/>
      <w:kern w:val="0"/>
      <w:sz w:val="24"/>
      <w:szCs w:val="24"/>
    </w:rPr>
  </w:style>
  <w:style w:type="character" w:customStyle="1" w:styleId="29">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2"/>
    <w:link w:val="13"/>
    <w:qFormat/>
    <w:uiPriority w:val="0"/>
    <w:rPr>
      <w:rFonts w:hint="eastAsia" w:ascii="宋体" w:hAnsi="宋体" w:eastAsia="宋体" w:cs="宋体"/>
      <w:szCs w:val="21"/>
    </w:rPr>
  </w:style>
  <w:style w:type="character" w:customStyle="1" w:styleId="31">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character" w:customStyle="1" w:styleId="41">
    <w:name w:val="font11"/>
    <w:basedOn w:val="22"/>
    <w:qFormat/>
    <w:uiPriority w:val="0"/>
    <w:rPr>
      <w:rFonts w:hint="eastAsia" w:ascii="宋体" w:hAnsi="宋体" w:eastAsia="宋体" w:cs="宋体"/>
      <w:color w:val="000000"/>
      <w:sz w:val="21"/>
      <w:szCs w:val="21"/>
      <w:u w:val="none"/>
    </w:rPr>
  </w:style>
  <w:style w:type="character" w:customStyle="1" w:styleId="42">
    <w:name w:val="font41"/>
    <w:basedOn w:val="22"/>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 w:type="paragraph" w:customStyle="1" w:styleId="46">
    <w:name w:val="普通(网站) Char"/>
    <w:basedOn w:val="1"/>
    <w:autoRedefine/>
    <w:qFormat/>
    <w:uiPriority w:val="0"/>
    <w:pPr>
      <w:widowControl/>
      <w:spacing w:before="100" w:beforeAutospacing="1" w:after="100" w:afterAutospacing="1"/>
      <w:jc w:val="left"/>
    </w:pPr>
    <w:rPr>
      <w:kern w:val="0"/>
      <w:sz w:val="24"/>
    </w:rPr>
  </w:style>
  <w:style w:type="paragraph" w:customStyle="1" w:styleId="4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15498</Words>
  <Characters>16467</Characters>
  <Lines>0</Lines>
  <Paragraphs>0</Paragraphs>
  <TotalTime>56</TotalTime>
  <ScaleCrop>false</ScaleCrop>
  <LinksUpToDate>false</LinksUpToDate>
  <CharactersWithSpaces>16890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2026-04-07T09:16:19Z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583E0D1E2232442BBA2E69D0B7B71FA4_13</vt:lpwstr>
  </property>
  <property fmtid="{D5CDD505-2E9C-101B-9397-08002B2CF9AE}" pid="4" name="KSOTemplateDocerSaveRecord">
    <vt:lpwstr>eyJoZGlkIjoiMTljMDcwYWJmYjExZWQzNTVmZDAzZTYwM2JlMzJmZDYiLCJ1c2VySWQiOiIzODU2Mzk2OTQifQ==</vt:lpwstr>
  </property>
</Properties>
</file>