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169204B7">
      <w:pPr>
        <w:widowControl/>
        <w:spacing w:line="357" w:lineRule="atLeast"/>
        <w:jc w:val="center"/>
        <w:rPr>
          <w:rFonts w:hint="eastAsia" w:ascii="宋体" w:hAnsi="宋体" w:eastAsia="宋体" w:cs="宋体"/>
          <w:b/>
          <w:color w:val="000000"/>
          <w:kern w:val="0"/>
          <w:sz w:val="96"/>
          <w:szCs w:val="96"/>
          <w:highlight w:val="none"/>
          <w:u w:color="000000"/>
          <w:lang w:bidi="ar"/>
        </w:rPr>
      </w:pPr>
      <w:r>
        <w:rPr>
          <w:rFonts w:hint="eastAsia" w:cs="宋体"/>
          <w:b/>
          <w:sz w:val="56"/>
          <w:szCs w:val="36"/>
          <w:highlight w:val="none"/>
          <w:lang w:eastAsia="zh-CN" w:bidi="ar"/>
        </w:rPr>
        <w:t>2026年滁州轨道运营班组长能力提升培训项目</w:t>
      </w:r>
    </w:p>
    <w:p w14:paraId="259881A6">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420CF5D2">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6"/>
        <w:widowControl/>
        <w:rPr>
          <w:highlight w:val="none"/>
        </w:rPr>
      </w:pPr>
      <w:r>
        <w:rPr>
          <w:highlight w:val="none"/>
        </w:rPr>
        <w:t xml:space="preserve"> </w:t>
      </w:r>
    </w:p>
    <w:p w14:paraId="09AF654A">
      <w:pPr>
        <w:pStyle w:val="16"/>
        <w:widowControl/>
        <w:rPr>
          <w:highlight w:val="none"/>
        </w:rPr>
      </w:pPr>
      <w:r>
        <w:rPr>
          <w:highlight w:val="none"/>
        </w:rPr>
        <w:t xml:space="preserve"> </w:t>
      </w:r>
    </w:p>
    <w:p w14:paraId="1F7468B8">
      <w:pPr>
        <w:pStyle w:val="16"/>
        <w:widowControl/>
        <w:rPr>
          <w:highlight w:val="none"/>
        </w:rPr>
      </w:pPr>
      <w:r>
        <w:rPr>
          <w:highlight w:val="none"/>
        </w:rPr>
        <w:t xml:space="preserve"> </w:t>
      </w:r>
    </w:p>
    <w:p w14:paraId="0A2C4C47">
      <w:pPr>
        <w:pStyle w:val="16"/>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14:paraId="01E06774">
      <w:pPr>
        <w:pStyle w:val="6"/>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4</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5</w:t>
      </w:r>
    </w:p>
    <w:p w14:paraId="1E5DC742">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第五章  用户需求书………………………………………………………………</w:t>
      </w:r>
      <w:r>
        <w:rPr>
          <w:rFonts w:hint="eastAsia" w:ascii="宋体" w:hAnsi="宋体" w:eastAsia="宋体" w:cs="宋体"/>
          <w:color w:val="000000"/>
          <w:kern w:val="0"/>
          <w:sz w:val="24"/>
          <w:highlight w:val="none"/>
          <w:u w:color="000000"/>
          <w:lang w:val="en-US" w:eastAsia="zh-CN" w:bidi="ar"/>
        </w:rPr>
        <w:t>19</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23</w:t>
      </w:r>
    </w:p>
    <w:p w14:paraId="25B73F88">
      <w:pPr>
        <w:widowControl/>
        <w:spacing w:line="720" w:lineRule="auto"/>
        <w:rPr>
          <w:rFonts w:hint="default" w:ascii="宋体" w:hAnsi="宋体" w:eastAsia="宋体" w:cs="宋体"/>
          <w:color w:val="000000"/>
          <w:kern w:val="0"/>
          <w:sz w:val="22"/>
          <w:szCs w:val="22"/>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31</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39</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6"/>
        <w:widowControl/>
        <w:spacing w:beforeAutospacing="0" w:afterAutospacing="0" w:line="480" w:lineRule="exact"/>
        <w:jc w:val="center"/>
        <w:rPr>
          <w:rFonts w:ascii="宋体" w:hAnsi="宋体" w:eastAsia="宋体" w:cs="宋体"/>
          <w:b/>
          <w:bCs/>
          <w:highlight w:val="none"/>
        </w:rPr>
      </w:pPr>
      <w:bookmarkStart w:id="1" w:name="_Toc29214"/>
      <w:bookmarkEnd w:id="1"/>
      <w:bookmarkStart w:id="2" w:name="_Toc23741_WPSOffice_Level1"/>
      <w:bookmarkEnd w:id="2"/>
      <w:bookmarkStart w:id="117" w:name="_GoBack"/>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keepNext w:val="0"/>
        <w:keepLines w:val="0"/>
        <w:pageBreakBefore w:val="0"/>
        <w:widowControl/>
        <w:kinsoku/>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bookmarkStart w:id="5" w:name="_Toc28359002"/>
      <w:bookmarkEnd w:id="5"/>
      <w:bookmarkStart w:id="6" w:name="_Toc28359079"/>
      <w:bookmarkEnd w:id="6"/>
      <w:bookmarkStart w:id="7" w:name="_Toc35393621"/>
      <w:bookmarkEnd w:id="7"/>
      <w:bookmarkStart w:id="8" w:name="_Toc58430305"/>
      <w:bookmarkEnd w:id="8"/>
      <w:bookmarkStart w:id="9" w:name="_Toc35393790"/>
      <w:r>
        <w:rPr>
          <w:rFonts w:hint="eastAsia" w:ascii="宋体" w:hAnsi="宋体" w:eastAsia="宋体" w:cs="宋体"/>
          <w:color w:val="000000"/>
          <w:kern w:val="0"/>
          <w:sz w:val="24"/>
          <w:highlight w:val="none"/>
          <w:u w:color="000000"/>
          <w:lang w:bidi="ar"/>
        </w:rPr>
        <w:t>项目概况</w:t>
      </w:r>
    </w:p>
    <w:p w14:paraId="05D5757A">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2026年滁州轨道运营班组长能力提升培训项目</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6</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4</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3</w:t>
      </w:r>
      <w:r>
        <w:rPr>
          <w:rFonts w:hint="eastAsia" w:ascii="宋体" w:hAnsi="宋体" w:eastAsia="宋体" w:cs="宋体"/>
          <w:color w:val="000000"/>
          <w:kern w:val="0"/>
          <w:sz w:val="24"/>
          <w:highlight w:val="none"/>
          <w:u w:color="000000"/>
          <w:lang w:bidi="ar"/>
        </w:rPr>
        <w:t>日15时00分（北京时间）前递交投标文件。</w:t>
      </w:r>
    </w:p>
    <w:p w14:paraId="05A36908">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0E45E2D1">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2026年滁州轨道运营班组长能力提升培训项目</w:t>
      </w:r>
    </w:p>
    <w:p w14:paraId="6E200529">
      <w:pPr>
        <w:keepNext w:val="0"/>
        <w:keepLines w:val="0"/>
        <w:pageBreakBefore w:val="0"/>
        <w:widowControl/>
        <w:kinsoku/>
        <w:overflowPunct/>
        <w:topLinePunct w:val="0"/>
        <w:autoSpaceDE w:val="0"/>
        <w:autoSpaceDN/>
        <w:bidi w:val="0"/>
        <w:adjustRightInd/>
        <w:snapToGrid/>
        <w:spacing w:line="440" w:lineRule="exact"/>
        <w:ind w:left="478" w:leftChars="228"/>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180000</w:t>
      </w:r>
      <w:r>
        <w:rPr>
          <w:rFonts w:hint="eastAsia" w:ascii="宋体" w:hAnsi="宋体" w:eastAsia="宋体" w:cs="宋体"/>
          <w:color w:val="000000"/>
          <w:kern w:val="0"/>
          <w:sz w:val="24"/>
          <w:highlight w:val="none"/>
          <w:u w:color="000000"/>
          <w:lang w:bidi="ar"/>
        </w:rPr>
        <w:t>元</w:t>
      </w:r>
    </w:p>
    <w:p w14:paraId="1CEF683E">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最高限价：本项目最高限价为（人民币）</w:t>
      </w:r>
      <w:r>
        <w:rPr>
          <w:rFonts w:hint="eastAsia" w:ascii="宋体" w:hAnsi="宋体" w:eastAsia="宋体" w:cs="宋体"/>
          <w:color w:val="000000"/>
          <w:kern w:val="0"/>
          <w:sz w:val="24"/>
          <w:highlight w:val="none"/>
          <w:u w:color="000000"/>
          <w:lang w:val="en-US" w:eastAsia="zh-CN" w:bidi="ar"/>
        </w:rPr>
        <w:t>180000</w:t>
      </w:r>
      <w:r>
        <w:rPr>
          <w:rFonts w:hint="eastAsia" w:ascii="宋体" w:hAnsi="宋体" w:eastAsia="宋体" w:cs="宋体"/>
          <w:color w:val="000000"/>
          <w:kern w:val="0"/>
          <w:sz w:val="24"/>
          <w:highlight w:val="none"/>
          <w:u w:color="000000"/>
          <w:lang w:bidi="ar"/>
        </w:rPr>
        <w:t>元</w:t>
      </w:r>
      <w:r>
        <w:rPr>
          <w:rFonts w:hint="eastAsia" w:ascii="宋体" w:hAnsi="宋体" w:eastAsia="宋体" w:cs="宋体"/>
          <w:color w:val="000000"/>
          <w:kern w:val="0"/>
          <w:sz w:val="24"/>
          <w:highlight w:val="none"/>
          <w:u w:color="000000"/>
          <w:lang w:eastAsia="zh-CN" w:bidi="ar"/>
        </w:rPr>
        <w:t>。</w:t>
      </w:r>
    </w:p>
    <w:p w14:paraId="5B3B4E58">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采购需求：滁州轨道运营班组长能力提升培训。详见用户需求书。</w:t>
      </w:r>
    </w:p>
    <w:p w14:paraId="13CD5518">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服务期：本项目服务期为1年，具体起始时间以合同签订时间为准。</w:t>
      </w:r>
    </w:p>
    <w:p w14:paraId="65D3AAE2">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本项目不接受联合体投标</w:t>
      </w:r>
      <w:r>
        <w:rPr>
          <w:rFonts w:hint="eastAsia" w:ascii="宋体" w:hAnsi="宋体" w:eastAsia="宋体" w:cs="宋体"/>
          <w:color w:val="000000"/>
          <w:kern w:val="0"/>
          <w:sz w:val="24"/>
          <w:highlight w:val="none"/>
          <w:u w:color="000000"/>
          <w:lang w:eastAsia="zh-CN" w:bidi="ar"/>
        </w:rPr>
        <w:t>。</w:t>
      </w:r>
    </w:p>
    <w:p w14:paraId="289A76E2">
      <w:pPr>
        <w:keepNext w:val="0"/>
        <w:keepLines w:val="0"/>
        <w:pageBreakBefore w:val="0"/>
        <w:widowControl/>
        <w:kinsoku/>
        <w:wordWrap w:val="0"/>
        <w:overflowPunct/>
        <w:topLinePunct w:val="0"/>
        <w:autoSpaceDE w:val="0"/>
        <w:autoSpaceDN/>
        <w:bidi w:val="0"/>
        <w:adjustRightInd/>
        <w:snapToGrid/>
        <w:spacing w:line="440" w:lineRule="exact"/>
        <w:ind w:firstLine="488"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23B4EBDB">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投标人须在中华人民共和国境内注册（不含港澳台）并具有相应服务能力。</w:t>
      </w:r>
    </w:p>
    <w:p w14:paraId="6057664A">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3</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13</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4</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3</w:t>
      </w:r>
      <w:r>
        <w:rPr>
          <w:rFonts w:hint="eastAsia" w:ascii="宋体" w:hAnsi="宋体" w:eastAsia="宋体" w:cs="宋体"/>
          <w:color w:val="000000"/>
          <w:kern w:val="0"/>
          <w:sz w:val="24"/>
          <w:highlight w:val="none"/>
          <w:u w:val="single" w:color="000000"/>
          <w:lang w:bidi="ar"/>
        </w:rPr>
        <w:t>日</w:t>
      </w:r>
    </w:p>
    <w:p w14:paraId="1FCBD714">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4BE221F6">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bookmarkStart w:id="10" w:name="_Toc28359082"/>
      <w:bookmarkEnd w:id="10"/>
      <w:bookmarkStart w:id="11" w:name="_Toc58430308"/>
      <w:bookmarkEnd w:id="11"/>
      <w:bookmarkStart w:id="12" w:name="_Toc28359005"/>
      <w:bookmarkEnd w:id="12"/>
      <w:bookmarkStart w:id="13" w:name="_Toc35393793"/>
      <w:bookmarkEnd w:id="13"/>
      <w:r>
        <w:rPr>
          <w:rFonts w:hint="eastAsia" w:ascii="宋体" w:hAnsi="宋体" w:cs="宋体"/>
          <w:b/>
          <w:sz w:val="24"/>
          <w:highlight w:val="none"/>
        </w:rPr>
        <w:t>四、提交投标文件截止时间、开标时间和地点</w:t>
      </w:r>
    </w:p>
    <w:p w14:paraId="17C02B5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4</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3</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cs="宋体"/>
          <w:sz w:val="24"/>
          <w:highlight w:val="none"/>
        </w:rPr>
      </w:pPr>
      <w:r>
        <w:rPr>
          <w:rFonts w:hint="eastAsia" w:ascii="宋体" w:hAnsi="宋体" w:cs="宋体"/>
          <w:sz w:val="24"/>
          <w:highlight w:val="none"/>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hint="eastAsia" w:ascii="宋体" w:hAnsi="宋体" w:cs="宋体"/>
          <w:sz w:val="24"/>
          <w:highlight w:val="none"/>
        </w:rPr>
        <w:t>②在投标截止时间后30分钟内，将投标文件密码通过邮箱发送至滁州市城投工程咨询管理有限公司邮箱（czsctzx@163.com）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36</w:t>
      </w:r>
      <w:r>
        <w:rPr>
          <w:rFonts w:hint="eastAsia" w:ascii="宋体" w:hAnsi="宋体" w:eastAsia="宋体" w:cs="宋体"/>
          <w:bCs/>
          <w:color w:val="auto"/>
          <w:kern w:val="0"/>
          <w:sz w:val="24"/>
          <w:highlight w:val="none"/>
          <w:u w:color="000000"/>
          <w:lang w:bidi="ar"/>
        </w:rPr>
        <w:t>万元。</w:t>
      </w:r>
    </w:p>
    <w:p w14:paraId="4B3AFA3B">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2026年滁州轨道运营班组长能力提升培训项目</w:t>
      </w:r>
      <w:r>
        <w:rPr>
          <w:rFonts w:hint="eastAsia" w:ascii="宋体" w:hAnsi="宋体" w:eastAsia="宋体" w:cs="宋体"/>
          <w:bCs/>
          <w:color w:val="auto"/>
          <w:kern w:val="0"/>
          <w:sz w:val="24"/>
          <w:highlight w:val="none"/>
          <w:u w:color="000000"/>
          <w:lang w:bidi="ar"/>
        </w:rPr>
        <w:t xml:space="preserve">”投标保证金。 </w:t>
      </w:r>
    </w:p>
    <w:p w14:paraId="0323F4E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keepNext w:val="0"/>
        <w:keepLines w:val="0"/>
        <w:pageBreakBefore w:val="0"/>
        <w:widowControl/>
        <w:kinsoku/>
        <w:wordWrap w:val="0"/>
        <w:overflowPunct/>
        <w:topLinePunct w:val="0"/>
        <w:autoSpaceDE w:val="0"/>
        <w:autoSpaceDN/>
        <w:bidi w:val="0"/>
        <w:adjustRightInd/>
        <w:snapToGrid/>
        <w:spacing w:line="440" w:lineRule="exact"/>
        <w:ind w:firstLine="488"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09"/>
      <w:bookmarkStart w:id="16" w:name="_Toc28359086"/>
    </w:p>
    <w:bookmarkEnd w:id="15"/>
    <w:bookmarkEnd w:id="16"/>
    <w:p w14:paraId="75CB189C">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3AAED904">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电话：0550-3352129、18005505728</w:t>
      </w:r>
    </w:p>
    <w:bookmarkEnd w:id="117"/>
    <w:p w14:paraId="319872B2">
      <w:pPr>
        <w:keepNext w:val="0"/>
        <w:keepLines w:val="0"/>
        <w:pageBreakBefore w:val="0"/>
        <w:widowControl/>
        <w:kinsoku/>
        <w:overflowPunct/>
        <w:topLinePunct w:val="0"/>
        <w:autoSpaceDE w:val="0"/>
        <w:autoSpaceDN/>
        <w:bidi w:val="0"/>
        <w:adjustRightInd/>
        <w:snapToGrid/>
        <w:spacing w:line="440" w:lineRule="exact"/>
        <w:ind w:firstLine="560" w:firstLineChars="200"/>
        <w:jc w:val="center"/>
        <w:textAlignment w:val="auto"/>
        <w:rPr>
          <w:rFonts w:ascii="宋体" w:hAnsi="宋体" w:eastAsia="宋体" w:cs="宋体"/>
          <w:b/>
          <w:bCs/>
          <w:kern w:val="0"/>
          <w:sz w:val="28"/>
          <w:szCs w:val="28"/>
          <w:highlight w:val="none"/>
          <w:u w:color="000000"/>
          <w:lang w:bidi="ar"/>
        </w:rPr>
      </w:pP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2"/>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2"/>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2"/>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2"/>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2"/>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2"/>
              <w:widowControl/>
              <w:autoSpaceDE w:val="0"/>
              <w:spacing w:line="360" w:lineRule="exact"/>
              <w:rPr>
                <w:rFonts w:hint="eastAsia" w:eastAsia="宋体"/>
                <w:bCs/>
                <w:highlight w:val="none"/>
                <w:lang w:eastAsia="zh-CN"/>
              </w:rPr>
            </w:pPr>
            <w:r>
              <w:rPr>
                <w:rFonts w:hint="eastAsia"/>
                <w:bCs/>
                <w:highlight w:val="none"/>
                <w:lang w:eastAsia="zh-CN"/>
              </w:rPr>
              <w:t>2026年滁州轨道运营班组长能力提升培训项目</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2"/>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2"/>
              <w:widowControl/>
              <w:autoSpaceDE w:val="0"/>
              <w:spacing w:line="360" w:lineRule="exact"/>
              <w:jc w:val="left"/>
              <w:rPr>
                <w:rFonts w:hint="default"/>
                <w:highlight w:val="none"/>
              </w:rPr>
            </w:pPr>
            <w:r>
              <w:rPr>
                <w:rFonts w:hint="eastAsia"/>
                <w:highlight w:val="none"/>
                <w:lang w:val="en-US" w:eastAsia="zh-CN"/>
              </w:rPr>
              <w:t>服务</w:t>
            </w:r>
            <w:r>
              <w:rPr>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2"/>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2"/>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2"/>
              <w:widowControl/>
              <w:autoSpaceDE w:val="0"/>
              <w:spacing w:line="360" w:lineRule="exact"/>
              <w:jc w:val="left"/>
              <w:rPr>
                <w:rFonts w:hint="default"/>
                <w:highlight w:val="none"/>
              </w:rPr>
            </w:pPr>
            <w:r>
              <w:rPr>
                <w:rFonts w:hint="eastAsia"/>
                <w:highlight w:val="none"/>
                <w:lang w:val="en-US" w:eastAsia="zh-CN"/>
              </w:rPr>
              <w:t>服务</w:t>
            </w:r>
            <w:r>
              <w:rPr>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2"/>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2"/>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2"/>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2"/>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2"/>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2"/>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2"/>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2"/>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2"/>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2"/>
              <w:widowControl/>
              <w:autoSpaceDE w:val="0"/>
              <w:spacing w:line="360" w:lineRule="exact"/>
              <w:rPr>
                <w:rFonts w:hint="default" w:ascii="宋体" w:hAnsi="宋体" w:eastAsia="宋体" w:cs="宋体"/>
                <w:bCs/>
                <w:color w:val="000000"/>
                <w:highlight w:val="none"/>
              </w:rPr>
            </w:pPr>
            <w:r>
              <w:rPr>
                <w:rFonts w:ascii="宋体" w:hAnsi="宋体" w:eastAsia="宋体" w:cs="宋体"/>
                <w:bCs/>
                <w:color w:val="000000"/>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2"/>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2"/>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2"/>
              <w:widowControl/>
              <w:autoSpaceDE w:val="0"/>
              <w:spacing w:line="360" w:lineRule="exact"/>
              <w:rPr>
                <w:rFonts w:hint="default" w:ascii="宋体" w:hAnsi="宋体" w:eastAsia="宋体" w:cs="宋体"/>
                <w:bCs/>
                <w:color w:val="000000"/>
                <w:highlight w:val="none"/>
              </w:rPr>
            </w:pPr>
            <w:r>
              <w:rPr>
                <w:rFonts w:hint="eastAsia" w:cs="宋体"/>
                <w:bCs/>
                <w:color w:val="000000"/>
                <w:highlight w:val="none"/>
                <w:lang w:val="en-US" w:eastAsia="zh-CN"/>
              </w:rPr>
              <w:t>180000</w:t>
            </w:r>
            <w:r>
              <w:rPr>
                <w:rFonts w:hint="eastAsia" w:ascii="宋体" w:hAnsi="宋体" w:eastAsia="宋体"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2"/>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2"/>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2"/>
              <w:widowControl/>
              <w:autoSpaceDE w:val="0"/>
              <w:spacing w:line="360" w:lineRule="exact"/>
              <w:rPr>
                <w:rFonts w:hint="default" w:ascii="宋体" w:hAnsi="宋体" w:eastAsia="宋体" w:cs="宋体"/>
                <w:bCs/>
                <w:color w:val="000000"/>
                <w:highlight w:val="none"/>
              </w:rPr>
            </w:pPr>
            <w:r>
              <w:rPr>
                <w:rFonts w:hint="eastAsia" w:ascii="宋体" w:hAnsi="宋体" w:eastAsia="宋体" w:cs="宋体"/>
                <w:bCs/>
                <w:color w:val="000000"/>
                <w:highlight w:val="none"/>
              </w:rPr>
              <w:t>本项目最高限价为（人民币）</w:t>
            </w:r>
            <w:r>
              <w:rPr>
                <w:rFonts w:hint="eastAsia" w:cs="宋体"/>
                <w:bCs/>
                <w:color w:val="000000"/>
                <w:highlight w:val="none"/>
                <w:lang w:val="en-US" w:eastAsia="zh-CN"/>
              </w:rPr>
              <w:t>180000</w:t>
            </w:r>
            <w:r>
              <w:rPr>
                <w:rFonts w:hint="eastAsia" w:ascii="宋体" w:hAnsi="宋体" w:eastAsia="宋体" w:cs="宋体"/>
                <w:bCs/>
                <w:color w:val="000000"/>
                <w:highlight w:val="none"/>
              </w:rPr>
              <w:t>元</w:t>
            </w:r>
            <w:r>
              <w:rPr>
                <w:rFonts w:ascii="宋体" w:hAnsi="宋体" w:eastAsia="宋体" w:cs="宋体"/>
                <w:bCs/>
                <w:color w:val="000000"/>
                <w:highlight w:val="none"/>
              </w:rPr>
              <w:t>，投标报价不得超过各最高限价，否则按无效投标处理。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2"/>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2"/>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2"/>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2"/>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2"/>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2"/>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2"/>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2"/>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2"/>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2"/>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2"/>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2"/>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2"/>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2"/>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2"/>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2"/>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2"/>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2"/>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2"/>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2"/>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6</w:t>
            </w:r>
            <w:r>
              <w:rPr>
                <w:highlight w:val="none"/>
              </w:rPr>
              <w:t>年</w:t>
            </w:r>
            <w:r>
              <w:rPr>
                <w:rFonts w:hint="eastAsia"/>
                <w:highlight w:val="none"/>
                <w:lang w:val="en-US" w:eastAsia="zh-CN"/>
              </w:rPr>
              <w:t>3</w:t>
            </w:r>
            <w:r>
              <w:rPr>
                <w:highlight w:val="none"/>
              </w:rPr>
              <w:t>月</w:t>
            </w:r>
            <w:r>
              <w:rPr>
                <w:rFonts w:hint="eastAsia"/>
                <w:highlight w:val="none"/>
                <w:lang w:val="en-US" w:eastAsia="zh-CN"/>
              </w:rPr>
              <w:t>24</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2"/>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2"/>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3</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25</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2"/>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2"/>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2"/>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20</w:t>
            </w:r>
            <w:r>
              <w:rPr>
                <w:rFonts w:hint="eastAsia" w:ascii="宋体" w:hAnsi="宋体" w:eastAsia="宋体" w:cs="宋体"/>
                <w:color w:val="000000"/>
                <w:szCs w:val="21"/>
                <w:highlight w:val="none"/>
                <w:u w:color="000000"/>
                <w:lang w:bidi="ar"/>
              </w:rPr>
              <w:t>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2"/>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2"/>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2"/>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6</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4</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3</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2"/>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2"/>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2"/>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2"/>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2"/>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2"/>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2"/>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2"/>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06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B0CD8B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分批次付款：每批次培训结束后，中标人须向招标人提交符合要求的增值税专用发票作为付款凭据，招标人在收到该发票并确认无误后</w:t>
            </w:r>
            <w:r>
              <w:rPr>
                <w:rFonts w:hint="eastAsia" w:ascii="宋体" w:hAnsi="宋体" w:cs="宋体"/>
                <w:color w:val="000000"/>
                <w:kern w:val="0"/>
                <w:sz w:val="21"/>
                <w:szCs w:val="21"/>
                <w:highlight w:val="none"/>
                <w:u w:val="none"/>
                <w:lang w:val="en-US" w:eastAsia="zh-CN" w:bidi="ar"/>
              </w:rPr>
              <w:t>30</w:t>
            </w:r>
            <w:r>
              <w:rPr>
                <w:rFonts w:hint="eastAsia" w:ascii="宋体" w:hAnsi="宋体" w:cs="宋体"/>
                <w:color w:val="000000"/>
                <w:kern w:val="0"/>
                <w:sz w:val="21"/>
                <w:szCs w:val="21"/>
                <w:highlight w:val="none"/>
                <w:lang w:val="en-US" w:eastAsia="zh-CN" w:bidi="ar"/>
              </w:rPr>
              <w:t>个工作日内，按该批次实际发生的培训人数向中标人支付相应款项。</w:t>
            </w:r>
          </w:p>
          <w:p w14:paraId="1571E5A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highlight w:val="none"/>
              </w:rPr>
            </w:pPr>
            <w:r>
              <w:rPr>
                <w:rFonts w:hint="eastAsia" w:ascii="宋体" w:hAnsi="宋体" w:cs="宋体"/>
                <w:color w:val="000000"/>
                <w:kern w:val="0"/>
                <w:sz w:val="21"/>
                <w:szCs w:val="21"/>
                <w:highlight w:val="none"/>
                <w:lang w:val="en-US" w:eastAsia="zh-CN" w:bidi="ar"/>
              </w:rPr>
              <w:t>注：每批次培训结束后，由招标人组织参训人员填写《培训效果评估表》，并以该批次评估平均分作为付款依据，评估平均分达到85分（含）以上的，招标人按该批次培训费用全额支付；评估平均分低于85分但不低于60分的，每减少5分（不足5分按5分计），扣减该批次培训费用的5%；评估平均分低于60分（不含）的，招标人有权不予支付该批次培训费用。</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w:t>
      </w:r>
      <w:r>
        <w:rPr>
          <w:rFonts w:hint="eastAsia" w:ascii="宋体" w:hAnsi="宋体" w:eastAsia="宋体" w:cs="宋体"/>
          <w:color w:val="000000"/>
          <w:kern w:val="0"/>
          <w:szCs w:val="21"/>
          <w:highlight w:val="none"/>
          <w:u w:color="000000"/>
          <w:lang w:eastAsia="zh-CN" w:bidi="ar"/>
        </w:rPr>
        <w:t>：</w:t>
      </w:r>
      <w:r>
        <w:rPr>
          <w:rFonts w:hint="eastAsia" w:ascii="宋体" w:hAnsi="宋体" w:eastAsia="宋体" w:cs="宋体"/>
          <w:color w:val="000000"/>
          <w:kern w:val="0"/>
          <w:szCs w:val="21"/>
          <w:highlight w:val="none"/>
          <w:u w:color="000000"/>
          <w:lang w:bidi="ar"/>
        </w:rPr>
        <w:t xml:space="preserve">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w:t>
      </w:r>
      <w:r>
        <w:rPr>
          <w:rFonts w:hint="eastAsia" w:ascii="宋体" w:hAnsi="宋体" w:eastAsia="宋体" w:cs="宋体"/>
          <w:color w:val="000000"/>
          <w:kern w:val="0"/>
          <w:szCs w:val="21"/>
          <w:highlight w:val="none"/>
          <w:u w:color="000000"/>
          <w:lang w:eastAsia="zh-CN" w:bidi="ar"/>
        </w:rPr>
        <w:t>：</w:t>
      </w:r>
      <w:r>
        <w:rPr>
          <w:rFonts w:hint="eastAsia" w:ascii="宋体" w:hAnsi="宋体" w:eastAsia="宋体" w:cs="宋体"/>
          <w:color w:val="000000"/>
          <w:kern w:val="0"/>
          <w:szCs w:val="21"/>
          <w:highlight w:val="none"/>
          <w:u w:color="000000"/>
          <w:lang w:bidi="ar"/>
        </w:rPr>
        <w:t>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单</w:t>
      </w:r>
      <w:r>
        <w:rPr>
          <w:rFonts w:hint="eastAsia" w:ascii="宋体" w:hAnsi="宋体" w:eastAsia="宋体" w:cs="宋体"/>
          <w:color w:val="000000"/>
          <w:kern w:val="0"/>
          <w:szCs w:val="21"/>
          <w:highlight w:val="none"/>
          <w:u w:val="single" w:color="000000"/>
          <w:lang w:bidi="ar"/>
        </w:rPr>
        <w:t xml:space="preserve">价 。  </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52045539"/>
      <w:bookmarkEnd w:id="22"/>
      <w:bookmarkStart w:id="23" w:name="_Toc247527563"/>
      <w:bookmarkEnd w:id="23"/>
      <w:bookmarkStart w:id="24" w:name="_Toc152042315"/>
      <w:bookmarkEnd w:id="24"/>
      <w:bookmarkStart w:id="25" w:name="_Toc296602429"/>
      <w:bookmarkEnd w:id="25"/>
      <w:bookmarkStart w:id="26" w:name="_Toc247513962"/>
      <w:bookmarkEnd w:id="26"/>
      <w:bookmarkStart w:id="27" w:name="_Toc144974507"/>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5ADFF988">
      <w:pPr>
        <w:widowControl/>
        <w:spacing w:line="400" w:lineRule="exact"/>
        <w:ind w:firstLine="420" w:firstLineChars="200"/>
        <w:rPr>
          <w:rFonts w:hint="eastAsia" w:ascii="宋体" w:hAnsi="宋体" w:eastAsia="宋体" w:cs="宋体"/>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w:t>
      </w:r>
      <w:r>
        <w:rPr>
          <w:rFonts w:hint="eastAsia" w:ascii="宋体" w:hAnsi="宋体" w:eastAsia="宋体" w:cs="宋体"/>
          <w:bCs/>
          <w:color w:val="000000"/>
          <w:kern w:val="0"/>
          <w:szCs w:val="21"/>
          <w:highlight w:val="none"/>
          <w:u w:color="000000"/>
          <w:lang w:val="en-US" w:eastAsia="zh-CN" w:bidi="ar"/>
        </w:rPr>
        <w:t>综合单价</w:t>
      </w:r>
      <w:r>
        <w:rPr>
          <w:rFonts w:hint="eastAsia" w:ascii="宋体" w:hAnsi="宋体" w:eastAsia="宋体" w:cs="宋体"/>
          <w:bCs/>
          <w:color w:val="000000"/>
          <w:kern w:val="0"/>
          <w:szCs w:val="21"/>
          <w:highlight w:val="none"/>
          <w:u w:color="000000"/>
          <w:lang w:bidi="ar"/>
        </w:rPr>
        <w:t>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 w:val="21"/>
          <w:szCs w:val="21"/>
          <w:highlight w:val="none"/>
          <w:lang w:val="en-US" w:eastAsia="zh-CN" w:bidi="ar"/>
        </w:rPr>
        <w:t>包括但不限于：承担本项目所需的人员和专家顾问的薪金、现场服务、福利、交通、食宿和通讯费用、办公设备、文件（或</w:t>
      </w:r>
      <w:r>
        <w:rPr>
          <w:rFonts w:hint="eastAsia" w:ascii="宋体" w:hAnsi="宋体" w:eastAsia="宋体" w:cs="宋体"/>
          <w:b w:val="0"/>
          <w:kern w:val="2"/>
          <w:sz w:val="21"/>
          <w:szCs w:val="21"/>
          <w:highlight w:val="none"/>
          <w:lang w:val="en-US" w:eastAsia="zh-CN" w:bidi="ar-SA"/>
        </w:rPr>
        <w:t>证书）</w:t>
      </w:r>
      <w:r>
        <w:rPr>
          <w:rFonts w:hint="eastAsia" w:ascii="宋体" w:hAnsi="宋体" w:eastAsia="宋体" w:cs="宋体"/>
          <w:color w:val="000000"/>
          <w:kern w:val="0"/>
          <w:sz w:val="21"/>
          <w:szCs w:val="21"/>
          <w:highlight w:val="none"/>
          <w:lang w:val="en-US" w:eastAsia="zh-CN" w:bidi="ar"/>
        </w:rPr>
        <w:t>制作费用及相应各项杂费等费用（含茶歇、奖品）</w:t>
      </w:r>
      <w:r>
        <w:rPr>
          <w:rFonts w:hint="eastAsia" w:ascii="宋体" w:hAnsi="宋体" w:eastAsia="宋体" w:cs="宋体"/>
          <w:color w:val="000000"/>
          <w:kern w:val="0"/>
          <w:szCs w:val="21"/>
          <w:highlight w:val="none"/>
          <w:u w:color="000000"/>
          <w:lang w:bidi="ar"/>
        </w:rPr>
        <w:t>、利润、招标代理费、售后服务费、税金、政策性文件规定及合同包含的所有风险和责任等各项应有费用。</w:t>
      </w:r>
    </w:p>
    <w:p w14:paraId="018FB52B">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Cs/>
          <w:color w:val="000000"/>
          <w:kern w:val="0"/>
          <w:szCs w:val="21"/>
          <w:highlight w:val="none"/>
          <w:u w:color="000000"/>
          <w:lang w:eastAsia="zh-CN"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单</w:t>
      </w:r>
      <w:r>
        <w:rPr>
          <w:rFonts w:hint="eastAsia" w:ascii="宋体" w:hAnsi="宋体" w:eastAsia="宋体" w:cs="宋体"/>
          <w:bCs/>
          <w:color w:val="000000"/>
          <w:kern w:val="0"/>
          <w:szCs w:val="21"/>
          <w:highlight w:val="none"/>
          <w:u w:color="000000"/>
          <w:lang w:bidi="ar"/>
        </w:rPr>
        <w:t>价即为履行合同的固定</w:t>
      </w:r>
      <w:r>
        <w:rPr>
          <w:rFonts w:hint="eastAsia" w:ascii="宋体" w:hAnsi="宋体" w:eastAsia="宋体" w:cs="宋体"/>
          <w:bCs/>
          <w:color w:val="000000"/>
          <w:kern w:val="0"/>
          <w:szCs w:val="21"/>
          <w:highlight w:val="none"/>
          <w:u w:color="000000"/>
          <w:lang w:val="en-US" w:eastAsia="zh-CN" w:bidi="ar"/>
        </w:rPr>
        <w:t>单</w:t>
      </w:r>
      <w:r>
        <w:rPr>
          <w:rFonts w:hint="eastAsia" w:ascii="宋体" w:hAnsi="宋体" w:eastAsia="宋体" w:cs="宋体"/>
          <w:bCs/>
          <w:color w:val="000000"/>
          <w:kern w:val="0"/>
          <w:szCs w:val="21"/>
          <w:highlight w:val="none"/>
          <w:u w:color="000000"/>
          <w:lang w:bidi="ar"/>
        </w:rPr>
        <w:t>价。</w:t>
      </w:r>
      <w:r>
        <w:rPr>
          <w:rFonts w:hint="eastAsia" w:ascii="宋体" w:hAnsi="宋体" w:eastAsia="宋体" w:cs="宋体"/>
          <w:bCs/>
          <w:color w:val="auto"/>
          <w:kern w:val="0"/>
          <w:szCs w:val="21"/>
          <w:highlight w:val="none"/>
          <w:u w:color="000000"/>
          <w:lang w:bidi="ar"/>
        </w:rPr>
        <w:t>在合同履行期间，如遇国家的税率调整或其他政策影响税率的，税率随变化而变化，则合同价款不做调整。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w:t>
            </w:r>
            <w:r>
              <w:rPr>
                <w:rFonts w:hint="eastAsia" w:ascii="宋体" w:hAnsi="宋体" w:eastAsia="宋体" w:cs="Times New Roman"/>
                <w:color w:val="000000"/>
                <w:szCs w:val="21"/>
                <w:highlight w:val="none"/>
                <w:lang w:val="en-US" w:eastAsia="zh-CN"/>
              </w:rPr>
              <w:t>相应服务</w:t>
            </w:r>
            <w:r>
              <w:rPr>
                <w:rFonts w:hint="eastAsia" w:ascii="宋体" w:hAnsi="宋体" w:eastAsia="宋体" w:cs="Times New Roman"/>
                <w:color w:val="000000"/>
                <w:szCs w:val="21"/>
                <w:highlight w:val="none"/>
              </w:rPr>
              <w:t>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hint="default" w:ascii="宋体" w:eastAsiaTheme="minorEastAsia"/>
                <w:color w:val="000000"/>
                <w:szCs w:val="21"/>
                <w:highlight w:val="none"/>
                <w:lang w:val="en-US" w:eastAsia="zh-CN"/>
              </w:rPr>
            </w:pPr>
            <w:r>
              <w:rPr>
                <w:rFonts w:hint="eastAsia" w:ascii="宋体"/>
                <w:color w:val="000000"/>
                <w:szCs w:val="21"/>
                <w:highlight w:val="none"/>
              </w:rPr>
              <w:t>投标人有效的</w:t>
            </w:r>
            <w:r>
              <w:rPr>
                <w:rFonts w:hint="eastAsia" w:ascii="宋体"/>
                <w:color w:val="000000"/>
                <w:szCs w:val="21"/>
                <w:highlight w:val="none"/>
                <w:lang w:val="en-US" w:eastAsia="zh-CN"/>
              </w:rPr>
              <w:t>企业</w:t>
            </w:r>
            <w:r>
              <w:rPr>
                <w:rFonts w:hint="eastAsia" w:ascii="宋体"/>
                <w:color w:val="000000"/>
                <w:szCs w:val="21"/>
                <w:highlight w:val="none"/>
              </w:rPr>
              <w:t>营业执照</w:t>
            </w:r>
            <w:r>
              <w:rPr>
                <w:rFonts w:hint="eastAsia" w:ascii="宋体"/>
                <w:color w:val="000000"/>
                <w:szCs w:val="21"/>
                <w:highlight w:val="none"/>
                <w:lang w:val="en-US" w:eastAsia="zh-CN"/>
              </w:rPr>
              <w:t>或其他证明材料</w:t>
            </w:r>
          </w:p>
        </w:tc>
      </w:tr>
      <w:tr w14:paraId="2BDA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2758BC71">
            <w:pPr>
              <w:spacing w:line="320" w:lineRule="exact"/>
              <w:jc w:val="center"/>
              <w:rPr>
                <w:rFonts w:ascii="宋体" w:hAnsi="宋体"/>
                <w:color w:val="000000"/>
                <w:szCs w:val="21"/>
                <w:highlight w:val="none"/>
              </w:rPr>
            </w:pPr>
          </w:p>
        </w:tc>
        <w:tc>
          <w:tcPr>
            <w:tcW w:w="1235" w:type="dxa"/>
            <w:vMerge w:val="continue"/>
            <w:vAlign w:val="center"/>
          </w:tcPr>
          <w:p w14:paraId="475BDBCB">
            <w:pPr>
              <w:spacing w:line="320" w:lineRule="exact"/>
              <w:rPr>
                <w:rFonts w:ascii="宋体" w:hAnsi="宋体"/>
                <w:color w:val="000000"/>
                <w:szCs w:val="21"/>
                <w:highlight w:val="none"/>
              </w:rPr>
            </w:pPr>
          </w:p>
        </w:tc>
        <w:tc>
          <w:tcPr>
            <w:tcW w:w="3008" w:type="dxa"/>
            <w:shd w:val="clear" w:color="auto" w:fill="auto"/>
            <w:vAlign w:val="top"/>
          </w:tcPr>
          <w:p w14:paraId="4E553887">
            <w:pPr>
              <w:widowControl/>
              <w:autoSpaceDE w:val="0"/>
              <w:spacing w:line="480" w:lineRule="exac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shd w:val="clear" w:color="auto" w:fill="auto"/>
            <w:vAlign w:val="top"/>
          </w:tcPr>
          <w:p w14:paraId="6BE5CDC2">
            <w:pPr>
              <w:spacing w:line="360" w:lineRule="exact"/>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68D8A2FB">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95223395"/>
      <w:bookmarkStart w:id="46" w:name="_Toc60061492"/>
      <w:bookmarkStart w:id="47" w:name="_Toc15058909"/>
      <w:bookmarkStart w:id="48" w:name="_Toc506107320"/>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324404868"/>
      <w:bookmarkStart w:id="50" w:name="_Toc60061493"/>
      <w:bookmarkStart w:id="51" w:name="_Toc506107321"/>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15058911"/>
      <w:bookmarkStart w:id="55" w:name="_Toc60061494"/>
      <w:bookmarkStart w:id="56" w:name="_Toc324404869"/>
      <w:bookmarkStart w:id="57" w:name="_Toc95223397"/>
      <w:bookmarkStart w:id="58" w:name="_Toc506107322"/>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2"/>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6"/>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267320058"/>
            <w:bookmarkStart w:id="61" w:name="_Toc362983802"/>
            <w:bookmarkStart w:id="62" w:name="_Toc449028878"/>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7E6078C6">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宋体" w:hAnsi="宋体" w:cs="宋体" w:eastAsiaTheme="minorEastAsia"/>
          <w:b/>
          <w:bCs/>
          <w:color w:val="000000"/>
          <w:szCs w:val="21"/>
          <w:highlight w:val="none"/>
          <w:lang w:eastAsia="zh-CN"/>
        </w:rPr>
      </w:pPr>
      <w:r>
        <w:rPr>
          <w:rFonts w:hint="eastAsia" w:ascii="宋体" w:hAnsi="宋体" w:cs="宋体"/>
          <w:b/>
          <w:bCs/>
          <w:color w:val="000000"/>
          <w:szCs w:val="21"/>
          <w:highlight w:val="none"/>
        </w:rPr>
        <w:t>一、项目</w:t>
      </w:r>
      <w:r>
        <w:rPr>
          <w:rFonts w:hint="eastAsia" w:ascii="宋体" w:hAnsi="宋体" w:cs="宋体"/>
          <w:b/>
          <w:bCs/>
          <w:color w:val="000000"/>
          <w:szCs w:val="21"/>
          <w:highlight w:val="none"/>
          <w:lang w:val="en-US" w:eastAsia="zh-CN"/>
        </w:rPr>
        <w:t>概况</w:t>
      </w:r>
    </w:p>
    <w:p w14:paraId="41B05284">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项目旨在通过系统化、实战化的培训，提升轨道交通运营一线班组长的综合管理能力、安全生产组织能力、团队建设与沟通能力、应急处置能力等，打造一支高素质、专业化、能打硬仗的班组长队伍。培训内容应紧密结合轨道交通运营实际，注重案例教学与现场实操，确保培训成果可转化、可应用。</w:t>
      </w:r>
    </w:p>
    <w:p w14:paraId="196A4F6B">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二、项目目标</w:t>
      </w:r>
    </w:p>
    <w:p w14:paraId="2A6A18E8">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依据《国家职业技能标准》《企业安全生产标准化基本规范》等要求，通过本项目培训，提升班组长现场安全管理与风险管控能力；增强班组长团队协调与员工激励能力；培养班组长应急处置与事故先期处置能力；强化班组长生产组织与效率提升能力；提升整体班组管理水平。</w:t>
      </w:r>
    </w:p>
    <w:p w14:paraId="1C1FB523">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三、采购内容</w:t>
      </w:r>
    </w:p>
    <w:p w14:paraId="3F95CA30">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（1）服务期限：本项目服务期为1年，具体起始时间以合同签订时间为准。</w:t>
      </w:r>
    </w:p>
    <w:p w14:paraId="05280F4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（2）培训对象：公司各部门班组长（含后备班组长）。  </w:t>
      </w:r>
    </w:p>
    <w:p w14:paraId="0ABF5032">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（3）预计培训人数：90-100人。  </w:t>
      </w:r>
    </w:p>
    <w:p w14:paraId="6D255EC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（4）培训批次：具体批次和人数根据招标人实际需求结算。  </w:t>
      </w:r>
    </w:p>
    <w:p w14:paraId="4B3DCD13">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（5）培训时长：根据培训需要安排课程时长，每批培训安排3天。总体课程安排授课时长不少于18小时。  </w:t>
      </w:r>
    </w:p>
    <w:p w14:paraId="26F55205">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b w:val="0"/>
          <w:kern w:val="2"/>
          <w:sz w:val="21"/>
          <w:szCs w:val="21"/>
          <w:highlight w:val="none"/>
          <w:lang w:val="en-US" w:eastAsia="zh-CN" w:bidi="ar-SA"/>
        </w:rPr>
        <w:t>（6）投标报价综合单价包括但不限于：承担本项目所需的人员和专家顾问的薪金、现场服务、福利、交通、食宿和通讯费用、办公设备、文件（或证书）制作费用及相应各项杂费等费用（含茶歇、奖品）、利润、招标代理费、售后服务费、税金、政策性文件规定及合同包含的所有风险和责任等各项应有费用。</w:t>
      </w:r>
    </w:p>
    <w:p w14:paraId="19C8523A">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四、人员要求</w:t>
      </w:r>
    </w:p>
    <w:p w14:paraId="1E985AA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（1）团队要求：培训团队应具备轨道交通或大型国有企业班组长培训经验；项目团队不少于5人，包括项目负责人、课程研发讲师、实训教练、班主任、后勤支持等。  </w:t>
      </w:r>
    </w:p>
    <w:p w14:paraId="4EF9E1DD">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（2）授课讲师应具有5年以上轨道交通、安全生产或现场管理培训经验，相关专业中级以上职称。  </w:t>
      </w:r>
    </w:p>
    <w:p w14:paraId="6FA4094B">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3）如有需要，培训机构须根据公司要求外请相关专业背景师资，外聘师资须为名企高管、高校教授或该专业领域资深从业者、讲师、培训师（邀请专家以本地或就近地区的行政部门、相关专业资深专家优先）。  </w:t>
      </w:r>
    </w:p>
    <w:p w14:paraId="2443B9B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（4）每批培训开展前，培训机构须提供外请师资信息、业绩、专业背景等资料报公司审核，经认可后方可开展培训。</w:t>
      </w:r>
    </w:p>
    <w:p w14:paraId="6E9D4018">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五、项目需求</w:t>
      </w:r>
    </w:p>
    <w:p w14:paraId="3764E37D">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（1）培训服务应包括：培训需求调研与分析；定制化课程设计与教材开发；组织培训实施与班级管理；培训效果评估与总结报告；培训合格证书发放与管理台账。  </w:t>
      </w:r>
    </w:p>
    <w:p w14:paraId="4011634B">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（2）培训内容应基于公司班组长队伍建设的实际需求，设计涵盖角色认知、安全管理、团队建设、生产组织、应急处置、情绪管理、文化创新等模块的课程体系。</w:t>
      </w:r>
    </w:p>
    <w:p w14:paraId="04ED3C32">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六、技术要求</w:t>
      </w:r>
    </w:p>
    <w:p w14:paraId="335122B9">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（1）培训形式：采用理论授课、案例分析、情景模拟、现场实操、小组研讨相结合的方式，培训结束后需进行现场提问环节及培训评估环节。  </w:t>
      </w:r>
    </w:p>
    <w:p w14:paraId="362582B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（2）培训地点与教学设备：公司提供培训教室及基础教学设备；如需单独租赁其他培训场所，由中标人租赁并承担费用，招标人不再另行支付费用。  </w:t>
      </w:r>
    </w:p>
    <w:p w14:paraId="5148198C">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（3）培训时间安排：由中标人与招标人协商，灵活组织安排。  </w:t>
      </w:r>
    </w:p>
    <w:p w14:paraId="7E82FADF">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（4）培训资料：为每位学员提供配套教材、手册、电子资料等。  </w:t>
      </w:r>
    </w:p>
    <w:p w14:paraId="2EC06777">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（5）证书发放：培训结束后15个工作日内发放培训合格证书。</w:t>
      </w:r>
    </w:p>
    <w:p w14:paraId="6709E142">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七、服务要求</w:t>
      </w:r>
    </w:p>
    <w:p w14:paraId="5576AEB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（1）中标人需提前制定并提交项目总体实施方案与计划。  </w:t>
      </w:r>
    </w:p>
    <w:p w14:paraId="17C2F8B9">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（2）每批培训前，招标人提前15日通知中标人准备培训方案，中标人需在培训前至少7天提交当次培训资料供招标人审核。  </w:t>
      </w:r>
    </w:p>
    <w:p w14:paraId="41A96C5B">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（3）培训方案、课件等需内容专业、逻辑清晰、图文并茂，经招标人审核通过后方可实施。  </w:t>
      </w:r>
    </w:p>
    <w:p w14:paraId="54FC5AE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（4）中标人负责培训期间茶歇安排，并承担相应费用，此项费用已包含在合同价款中，招标人不再另行支付费用。  </w:t>
      </w:r>
    </w:p>
    <w:p w14:paraId="4473C1A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（5）如培训项目设有名次评比，中标人需提供奖品，获奖人数不低于参训人数10%，人均奖品价值不低于人民币100元。此项费用已包含在合同价款中，招标人不再另行支付费用。  </w:t>
      </w:r>
    </w:p>
    <w:p w14:paraId="1444535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（6）每次培训结束后，中标人需提供培训风采照片、视频、课件、评估报告、案例汇编等材料，供公司招标人使用。  </w:t>
      </w:r>
    </w:p>
    <w:p w14:paraId="19E3A451">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（7）培训材料知识产权归招标人独家所有，未经许可不得传播使用。  </w:t>
      </w:r>
    </w:p>
    <w:p w14:paraId="57E6BF02">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（8）中标人应保证教材、课程内容不侵犯第三方知识产权，否则自行承担全部责任。</w:t>
      </w:r>
    </w:p>
    <w:p w14:paraId="5C91DF66">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 xml:space="preserve">八、评估与验收要求  </w:t>
      </w:r>
    </w:p>
    <w:p w14:paraId="1B022AEF">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（1）培训结束后提供学员满意度调查报告和培训效果评估报告（包括知识掌握、行为转变建议等）。  </w:t>
      </w:r>
    </w:p>
    <w:p w14:paraId="691299A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（2）整体培训合格率不低于98%。  </w:t>
      </w:r>
    </w:p>
    <w:p w14:paraId="604FB598">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b w:val="0"/>
          <w:kern w:val="2"/>
          <w:sz w:val="21"/>
          <w:szCs w:val="21"/>
          <w:highlight w:val="none"/>
          <w:lang w:val="en-US" w:eastAsia="zh-CN" w:bidi="ar-SA"/>
        </w:rPr>
        <w:t>（3）</w:t>
      </w:r>
      <w:r>
        <w:rPr>
          <w:rFonts w:hint="eastAsia" w:ascii="宋体" w:hAnsi="宋体" w:cs="宋体"/>
          <w:color w:val="000000"/>
          <w:kern w:val="0"/>
          <w:sz w:val="21"/>
          <w:szCs w:val="21"/>
          <w:highlight w:val="none"/>
          <w:lang w:val="en-US" w:eastAsia="zh-CN" w:bidi="ar"/>
        </w:rPr>
        <w:t>每批次培训结束后，</w:t>
      </w:r>
      <w:r>
        <w:rPr>
          <w:rFonts w:hint="eastAsia" w:ascii="宋体" w:hAnsi="宋体" w:eastAsia="宋体" w:cs="宋体"/>
          <w:color w:val="000000"/>
          <w:kern w:val="0"/>
          <w:sz w:val="21"/>
          <w:szCs w:val="21"/>
          <w:highlight w:val="none"/>
          <w:lang w:val="en-US" w:eastAsia="zh-CN" w:bidi="ar"/>
        </w:rPr>
        <w:t>由招标人组织参训人员填写《培训效果评估表》，并以该批次评估平均分作为付款依据，评估平均分达到85分（含）以上的，招标人按该批次培训费用全额支付；评估平均分低于85分但不低于60分的，每减少5分（不足5分按5分计），扣减该批次培训费用的5%；评估平均分低于60分（不含）的，招标人有权不予支付该批次培训费用。</w:t>
      </w:r>
    </w:p>
    <w:p w14:paraId="1A73B3E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 （4）每批培训安排3天，每批总体课程安排授课时长不少于18小时。培训时长不满足要求时长的，不予结算费用。  </w:t>
      </w:r>
    </w:p>
    <w:p w14:paraId="39F8C321">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（5）本项目不承诺最低或最高举办次数，按实际开展批次数结算。</w:t>
      </w:r>
    </w:p>
    <w:p w14:paraId="339BE1F7">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 xml:space="preserve">九、培训效果反馈机制  </w:t>
      </w:r>
    </w:p>
    <w:p w14:paraId="3944B28F">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（1）培训期间每日收集学员反馈，及时调整后续安排。  </w:t>
      </w:r>
    </w:p>
    <w:p w14:paraId="611A8F8C">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（2）培训结束后中标人应通过问卷、访谈等方式进行培训综合评估。  </w:t>
      </w:r>
    </w:p>
    <w:p w14:paraId="4647156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 xml:space="preserve">（3）培训后3个月内中标人须对部分学员及学员上级进行回访，评估培训应用情况。  </w:t>
      </w:r>
    </w:p>
    <w:p w14:paraId="29D74FC6">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（4）根据项目培训效果评估结果，制定持续改进计划，针对存在的问题和不足，提出改进措施，不断提升培训质量和效果，撰写《培训效果持续改进报告》，作为验收材料。</w:t>
      </w:r>
    </w:p>
    <w:p w14:paraId="3CB18CF5">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 xml:space="preserve">十、汇报与沟通  </w:t>
      </w:r>
    </w:p>
    <w:p w14:paraId="0403E92E">
      <w:pPr>
        <w:pStyle w:val="45"/>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本项目实施前需开展需求对接会，每批次培训结束后提交培训简报，项目全部结束后提交总结报告与成果汇编。</w:t>
      </w:r>
    </w:p>
    <w:p w14:paraId="3D7D5857">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5B87A3C5">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3517BBFF">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7A28B431">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661BBC46">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4645014F">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3AA37AFC">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4B1552AD">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1CCDAA4F">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79BFDB12">
      <w:pPr>
        <w:pStyle w:val="55"/>
        <w:numPr>
          <w:ilvl w:val="0"/>
          <w:numId w:val="0"/>
        </w:numPr>
        <w:spacing w:before="50" w:after="50"/>
        <w:jc w:val="right"/>
        <w:rPr>
          <w:rFonts w:hint="eastAsia" w:ascii="宋体" w:hAnsi="宋体" w:eastAsia="宋体" w:cs="宋体"/>
          <w:b w:val="0"/>
          <w:kern w:val="2"/>
          <w:sz w:val="21"/>
          <w:szCs w:val="21"/>
          <w:highlight w:val="none"/>
          <w:lang w:val="en-US" w:eastAsia="zh-CN" w:bidi="ar-SA"/>
        </w:rPr>
      </w:pPr>
    </w:p>
    <w:p w14:paraId="6106632D">
      <w:pPr>
        <w:pStyle w:val="55"/>
        <w:numPr>
          <w:ilvl w:val="0"/>
          <w:numId w:val="0"/>
        </w:numPr>
        <w:spacing w:before="50" w:after="50"/>
        <w:jc w:val="right"/>
        <w:rPr>
          <w:rFonts w:hint="eastAsia" w:ascii="黑体" w:hAnsi="宋体" w:eastAsia="黑体"/>
          <w:sz w:val="36"/>
          <w:szCs w:val="36"/>
          <w:highlight w:val="none"/>
        </w:rPr>
      </w:pPr>
      <w:r>
        <w:rPr>
          <w:rFonts w:hint="eastAsia" w:ascii="宋体" w:hAnsi="宋体" w:eastAsia="宋体" w:cs="宋体"/>
          <w:b w:val="0"/>
          <w:kern w:val="2"/>
          <w:sz w:val="21"/>
          <w:szCs w:val="21"/>
          <w:highlight w:val="none"/>
          <w:lang w:val="en-US" w:eastAsia="zh-CN" w:bidi="ar-SA"/>
        </w:rPr>
        <w:t>附件1：</w:t>
      </w:r>
      <w:bookmarkStart w:id="80" w:name="_Toc17853"/>
      <w:r>
        <w:rPr>
          <w:rFonts w:hint="eastAsia" w:ascii="黑体" w:hAnsi="黑体" w:eastAsia="黑体" w:cs="黑体"/>
          <w:highlight w:val="none"/>
        </w:rPr>
        <w:t>CGYR-102人资-00</w:t>
      </w:r>
      <w:r>
        <w:rPr>
          <w:rFonts w:hint="eastAsia" w:ascii="黑体" w:hAnsi="黑体" w:eastAsia="黑体" w:cs="黑体"/>
          <w:highlight w:val="none"/>
          <w:lang w:val="en-US" w:eastAsia="zh-CN"/>
        </w:rPr>
        <w:t>6</w:t>
      </w:r>
      <w:bookmarkEnd w:id="80"/>
      <w:r>
        <w:rPr>
          <w:rFonts w:hint="eastAsia" w:ascii="黑体" w:hAnsi="黑体" w:eastAsia="黑体" w:cs="黑体"/>
          <w:highlight w:val="none"/>
          <w:lang w:val="en-US" w:eastAsia="zh-CN"/>
        </w:rPr>
        <w:t>9</w:t>
      </w:r>
    </w:p>
    <w:p w14:paraId="3291B0ED">
      <w:pPr>
        <w:spacing w:line="360" w:lineRule="auto"/>
        <w:jc w:val="center"/>
        <w:rPr>
          <w:rFonts w:hint="eastAsia" w:ascii="黑体" w:hAnsi="宋体" w:eastAsia="黑体"/>
          <w:sz w:val="36"/>
          <w:szCs w:val="36"/>
          <w:highlight w:val="none"/>
        </w:rPr>
      </w:pPr>
      <w:r>
        <w:rPr>
          <w:rFonts w:hint="eastAsia" w:ascii="黑体" w:hAnsi="宋体" w:eastAsia="黑体"/>
          <w:sz w:val="36"/>
          <w:szCs w:val="36"/>
          <w:highlight w:val="none"/>
        </w:rPr>
        <w:t>培训效果调查表</w:t>
      </w:r>
    </w:p>
    <w:p w14:paraId="2CB4956C">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_GB2312" w:hAnsi="宋体" w:eastAsia="仿宋_GB2312"/>
          <w:sz w:val="22"/>
          <w:szCs w:val="22"/>
          <w:highlight w:val="none"/>
        </w:rPr>
      </w:pPr>
      <w:r>
        <w:rPr>
          <w:rFonts w:hint="eastAsia" w:ascii="仿宋_GB2312" w:hAnsi="宋体" w:eastAsia="仿宋_GB2312"/>
          <w:b/>
          <w:sz w:val="22"/>
          <w:szCs w:val="22"/>
          <w:highlight w:val="none"/>
        </w:rPr>
        <w:t>培训课程名称</w:t>
      </w:r>
      <w:r>
        <w:rPr>
          <w:rFonts w:hint="eastAsia" w:ascii="仿宋_GB2312" w:hAnsi="宋体" w:eastAsia="仿宋_GB2312"/>
          <w:b/>
          <w:sz w:val="22"/>
          <w:szCs w:val="22"/>
          <w:highlight w:val="none"/>
        </w:rPr>
        <w:tab/>
      </w:r>
      <w:r>
        <w:rPr>
          <w:rFonts w:hint="eastAsia" w:ascii="仿宋_GB2312" w:hAnsi="宋体" w:eastAsia="仿宋_GB2312"/>
          <w:b/>
          <w:sz w:val="22"/>
          <w:szCs w:val="22"/>
          <w:highlight w:val="none"/>
        </w:rPr>
        <w:t>:</w:t>
      </w:r>
      <w:r>
        <w:rPr>
          <w:rFonts w:hint="eastAsia" w:ascii="仿宋_GB2312" w:hAnsi="宋体" w:eastAsia="仿宋_GB2312"/>
          <w:b/>
          <w:sz w:val="22"/>
          <w:szCs w:val="22"/>
          <w:highlight w:val="none"/>
        </w:rPr>
        <w:tab/>
      </w:r>
      <w:r>
        <w:rPr>
          <w:rFonts w:hint="eastAsia" w:ascii="仿宋_GB2312" w:hAnsi="宋体" w:eastAsia="仿宋_GB2312"/>
          <w:b/>
          <w:sz w:val="22"/>
          <w:szCs w:val="22"/>
          <w:highlight w:val="none"/>
        </w:rPr>
        <w:tab/>
      </w:r>
      <w:r>
        <w:rPr>
          <w:rFonts w:hint="eastAsia" w:ascii="仿宋_GB2312" w:hAnsi="宋体" w:eastAsia="仿宋_GB2312"/>
          <w:b/>
          <w:sz w:val="22"/>
          <w:szCs w:val="22"/>
          <w:highlight w:val="none"/>
        </w:rPr>
        <w:tab/>
      </w:r>
      <w:r>
        <w:rPr>
          <w:rFonts w:hint="eastAsia" w:ascii="仿宋_GB2312" w:hAnsi="宋体" w:eastAsia="仿宋_GB2312"/>
          <w:b/>
          <w:sz w:val="22"/>
          <w:szCs w:val="22"/>
          <w:highlight w:val="none"/>
          <w:lang w:val="en-US" w:eastAsia="zh-CN"/>
        </w:rPr>
        <w:t xml:space="preserve">  培训讲师：</w:t>
      </w:r>
      <w:r>
        <w:rPr>
          <w:rFonts w:hint="eastAsia" w:ascii="仿宋_GB2312" w:hAnsi="宋体" w:eastAsia="仿宋_GB2312"/>
          <w:b/>
          <w:sz w:val="22"/>
          <w:szCs w:val="22"/>
          <w:highlight w:val="none"/>
        </w:rPr>
        <w:tab/>
      </w:r>
      <w:r>
        <w:rPr>
          <w:rFonts w:hint="eastAsia" w:ascii="仿宋_GB2312" w:hAnsi="宋体" w:eastAsia="仿宋_GB2312"/>
          <w:b/>
          <w:sz w:val="22"/>
          <w:szCs w:val="22"/>
          <w:highlight w:val="none"/>
          <w:lang w:val="en-US" w:eastAsia="zh-CN"/>
        </w:rPr>
        <w:t xml:space="preserve">        </w:t>
      </w:r>
      <w:r>
        <w:rPr>
          <w:rFonts w:hint="eastAsia" w:ascii="仿宋_GB2312" w:hAnsi="宋体" w:eastAsia="仿宋_GB2312" w:cs="Times New Roman"/>
          <w:b/>
          <w:sz w:val="22"/>
          <w:szCs w:val="22"/>
          <w:highlight w:val="none"/>
        </w:rPr>
        <w:tab/>
      </w:r>
      <w:r>
        <w:rPr>
          <w:rFonts w:hint="eastAsia" w:ascii="仿宋_GB2312" w:hAnsi="宋体" w:eastAsia="仿宋_GB2312" w:cs="Times New Roman"/>
          <w:b/>
          <w:sz w:val="22"/>
          <w:szCs w:val="22"/>
          <w:highlight w:val="none"/>
        </w:rPr>
        <w:t>培训日期</w:t>
      </w:r>
      <w:r>
        <w:rPr>
          <w:rFonts w:hint="eastAsia" w:ascii="仿宋_GB2312" w:hAnsi="宋体" w:eastAsia="仿宋_GB2312" w:cs="Times New Roman"/>
          <w:b/>
          <w:sz w:val="22"/>
          <w:szCs w:val="22"/>
          <w:highlight w:val="none"/>
          <w:lang w:eastAsia="zh-CN"/>
        </w:rPr>
        <w:t>：</w:t>
      </w:r>
      <w:r>
        <w:rPr>
          <w:rFonts w:hint="eastAsia" w:ascii="仿宋_GB2312" w:hAnsi="宋体" w:eastAsia="仿宋_GB2312"/>
          <w:sz w:val="22"/>
          <w:szCs w:val="22"/>
          <w:highlight w:val="none"/>
        </w:rPr>
        <w:t>（X月X日 XX:XX-XX:XX)</w:t>
      </w:r>
    </w:p>
    <w:p w14:paraId="2B543CDE">
      <w:pPr>
        <w:keepNext w:val="0"/>
        <w:keepLines w:val="0"/>
        <w:pageBreakBefore w:val="0"/>
        <w:widowControl w:val="0"/>
        <w:kinsoku/>
        <w:wordWrap/>
        <w:overflowPunct/>
        <w:topLinePunct w:val="0"/>
        <w:autoSpaceDE/>
        <w:autoSpaceDN/>
        <w:bidi w:val="0"/>
        <w:adjustRightInd/>
        <w:snapToGrid/>
        <w:spacing w:line="460" w:lineRule="exact"/>
        <w:ind w:left="210" w:leftChars="100"/>
        <w:textAlignment w:val="auto"/>
        <w:rPr>
          <w:rFonts w:ascii="仿宋_GB2312" w:hAnsi="宋体" w:eastAsia="仿宋_GB2312"/>
          <w:sz w:val="22"/>
          <w:szCs w:val="22"/>
          <w:highlight w:val="none"/>
        </w:rPr>
      </w:pPr>
      <w:r>
        <w:rPr>
          <w:rFonts w:hint="eastAsia" w:ascii="仿宋_GB2312" w:hAnsi="宋体" w:eastAsia="仿宋_GB2312"/>
          <w:b/>
          <w:sz w:val="22"/>
          <w:szCs w:val="22"/>
          <w:highlight w:val="none"/>
        </w:rPr>
        <w:t>组织单位:</w:t>
      </w:r>
      <w:r>
        <w:rPr>
          <w:rFonts w:hint="eastAsia" w:ascii="仿宋_GB2312" w:hAnsi="宋体" w:eastAsia="仿宋_GB2312"/>
          <w:sz w:val="22"/>
          <w:szCs w:val="22"/>
          <w:highlight w:val="none"/>
        </w:rPr>
        <w:tab/>
      </w:r>
      <w:r>
        <w:rPr>
          <w:rFonts w:hint="eastAsia" w:ascii="仿宋_GB2312" w:hAnsi="宋体" w:eastAsia="仿宋_GB2312"/>
          <w:sz w:val="22"/>
          <w:szCs w:val="22"/>
          <w:highlight w:val="none"/>
        </w:rPr>
        <w:tab/>
      </w:r>
      <w:r>
        <w:rPr>
          <w:rFonts w:hint="eastAsia" w:ascii="仿宋_GB2312" w:hAnsi="宋体" w:eastAsia="仿宋_GB2312"/>
          <w:sz w:val="22"/>
          <w:szCs w:val="22"/>
          <w:highlight w:val="none"/>
        </w:rPr>
        <w:tab/>
      </w:r>
      <w:r>
        <w:rPr>
          <w:rFonts w:hint="eastAsia" w:ascii="仿宋_GB2312" w:hAnsi="宋体" w:eastAsia="仿宋_GB2312"/>
          <w:sz w:val="22"/>
          <w:szCs w:val="22"/>
          <w:highlight w:val="none"/>
        </w:rPr>
        <w:tab/>
      </w:r>
      <w:r>
        <w:rPr>
          <w:rFonts w:hint="eastAsia" w:ascii="仿宋_GB2312" w:hAnsi="宋体" w:eastAsia="仿宋_GB2312"/>
          <w:sz w:val="22"/>
          <w:szCs w:val="22"/>
          <w:highlight w:val="none"/>
        </w:rPr>
        <w:tab/>
      </w:r>
      <w:r>
        <w:rPr>
          <w:rFonts w:hint="eastAsia" w:ascii="仿宋_GB2312" w:hAnsi="宋体" w:eastAsia="仿宋_GB2312"/>
          <w:sz w:val="22"/>
          <w:szCs w:val="22"/>
          <w:highlight w:val="none"/>
          <w:lang w:val="en-US" w:eastAsia="zh-CN"/>
        </w:rPr>
        <w:t xml:space="preserve">  </w:t>
      </w:r>
      <w:r>
        <w:rPr>
          <w:rFonts w:hint="eastAsia" w:ascii="仿宋_GB2312" w:hAnsi="宋体" w:eastAsia="仿宋_GB2312"/>
          <w:b/>
          <w:sz w:val="22"/>
          <w:szCs w:val="22"/>
          <w:highlight w:val="none"/>
          <w:lang w:val="en-US" w:eastAsia="zh-CN"/>
        </w:rPr>
        <w:t>填写人</w:t>
      </w:r>
      <w:r>
        <w:rPr>
          <w:rFonts w:hint="eastAsia" w:ascii="仿宋_GB2312" w:hAnsi="宋体" w:eastAsia="仿宋_GB2312"/>
          <w:b/>
          <w:sz w:val="22"/>
          <w:szCs w:val="22"/>
          <w:highlight w:val="none"/>
        </w:rPr>
        <w:t>姓名：</w:t>
      </w:r>
      <w:r>
        <w:rPr>
          <w:rFonts w:hint="eastAsia" w:ascii="仿宋_GB2312" w:hAnsi="宋体" w:eastAsia="仿宋_GB2312"/>
          <w:sz w:val="22"/>
          <w:szCs w:val="22"/>
          <w:highlight w:val="none"/>
        </w:rPr>
        <w:t>（可以不填）</w:t>
      </w:r>
    </w:p>
    <w:p w14:paraId="3F320FE7">
      <w:pPr>
        <w:keepNext w:val="0"/>
        <w:keepLines w:val="0"/>
        <w:pageBreakBefore w:val="0"/>
        <w:widowControl w:val="0"/>
        <w:kinsoku/>
        <w:wordWrap/>
        <w:overflowPunct/>
        <w:topLinePunct w:val="0"/>
        <w:autoSpaceDE/>
        <w:autoSpaceDN/>
        <w:bidi w:val="0"/>
        <w:adjustRightInd/>
        <w:snapToGrid/>
        <w:spacing w:line="460" w:lineRule="exact"/>
        <w:ind w:left="210" w:leftChars="100"/>
        <w:textAlignment w:val="auto"/>
        <w:rPr>
          <w:rFonts w:ascii="仿宋_GB2312" w:hAnsi="宋体" w:eastAsia="仿宋_GB2312"/>
          <w:sz w:val="22"/>
          <w:szCs w:val="22"/>
          <w:highlight w:val="none"/>
        </w:rPr>
      </w:pPr>
      <w:r>
        <w:rPr>
          <w:rFonts w:hint="eastAsia" w:ascii="仿宋_GB2312" w:hAnsi="宋体" w:eastAsia="仿宋_GB2312"/>
          <w:sz w:val="22"/>
          <w:szCs w:val="22"/>
          <w:highlight w:val="none"/>
        </w:rPr>
        <w:t>说明: 1.本表请</w:t>
      </w:r>
      <w:r>
        <w:rPr>
          <w:rFonts w:hint="default" w:ascii="仿宋_GB2312" w:hAnsi="宋体" w:eastAsia="仿宋_GB2312"/>
          <w:sz w:val="22"/>
          <w:szCs w:val="22"/>
          <w:highlight w:val="none"/>
          <w:lang w:val="zh-CN" w:eastAsia="zh-CN"/>
        </w:rPr>
        <w:t>参培</w:t>
      </w:r>
      <w:r>
        <w:rPr>
          <w:rFonts w:hint="eastAsia" w:ascii="仿宋_GB2312" w:hAnsi="宋体" w:eastAsia="仿宋_GB2312"/>
          <w:sz w:val="22"/>
          <w:szCs w:val="22"/>
          <w:highlight w:val="none"/>
        </w:rPr>
        <w:t>学员如实填写,并请填妥后交组织单位</w:t>
      </w:r>
      <w:r>
        <w:rPr>
          <w:rFonts w:hint="eastAsia" w:ascii="仿宋_GB2312" w:hAnsi="宋体" w:eastAsia="仿宋_GB2312"/>
          <w:sz w:val="22"/>
          <w:szCs w:val="22"/>
          <w:highlight w:val="none"/>
          <w:lang w:val="en-US" w:eastAsia="zh-CN"/>
        </w:rPr>
        <w:t>留存</w:t>
      </w:r>
      <w:r>
        <w:rPr>
          <w:rFonts w:hint="eastAsia" w:ascii="仿宋_GB2312" w:hAnsi="宋体" w:eastAsia="仿宋_GB2312"/>
          <w:sz w:val="22"/>
          <w:szCs w:val="22"/>
          <w:highlight w:val="none"/>
        </w:rPr>
        <w:t>。</w:t>
      </w:r>
    </w:p>
    <w:p w14:paraId="34D4ACA2">
      <w:pPr>
        <w:keepNext w:val="0"/>
        <w:keepLines w:val="0"/>
        <w:pageBreakBefore w:val="0"/>
        <w:widowControl w:val="0"/>
        <w:kinsoku/>
        <w:wordWrap/>
        <w:overflowPunct/>
        <w:topLinePunct w:val="0"/>
        <w:autoSpaceDE/>
        <w:autoSpaceDN/>
        <w:bidi w:val="0"/>
        <w:adjustRightInd/>
        <w:snapToGrid/>
        <w:spacing w:line="460" w:lineRule="exact"/>
        <w:ind w:left="210" w:leftChars="100"/>
        <w:textAlignment w:val="auto"/>
        <w:rPr>
          <w:rFonts w:ascii="仿宋_GB2312" w:hAnsi="宋体" w:eastAsia="仿宋_GB2312"/>
          <w:sz w:val="22"/>
          <w:szCs w:val="22"/>
          <w:highlight w:val="none"/>
        </w:rPr>
      </w:pPr>
      <w:r>
        <w:rPr>
          <w:rFonts w:hint="eastAsia" w:ascii="仿宋_GB2312" w:hAnsi="宋体" w:eastAsia="仿宋_GB2312"/>
          <w:sz w:val="22"/>
          <w:szCs w:val="22"/>
          <w:highlight w:val="none"/>
        </w:rPr>
        <w:t xml:space="preserve">      2.请在你认可的选项上打勾。</w:t>
      </w:r>
    </w:p>
    <w:p w14:paraId="4BB1FC2A">
      <w:pPr>
        <w:keepNext w:val="0"/>
        <w:keepLines w:val="0"/>
        <w:pageBreakBefore w:val="0"/>
        <w:widowControl w:val="0"/>
        <w:kinsoku/>
        <w:wordWrap/>
        <w:overflowPunct/>
        <w:topLinePunct w:val="0"/>
        <w:autoSpaceDE/>
        <w:autoSpaceDN/>
        <w:bidi w:val="0"/>
        <w:adjustRightInd/>
        <w:snapToGrid/>
        <w:spacing w:line="460" w:lineRule="exact"/>
        <w:ind w:left="210" w:leftChars="100"/>
        <w:textAlignment w:val="auto"/>
        <w:rPr>
          <w:rFonts w:ascii="仿宋_GB2312" w:hAnsi="宋体" w:eastAsia="仿宋_GB2312"/>
          <w:b/>
          <w:sz w:val="22"/>
          <w:szCs w:val="22"/>
          <w:highlight w:val="none"/>
        </w:rPr>
      </w:pPr>
      <w:r>
        <w:rPr>
          <w:rFonts w:hint="eastAsia" w:ascii="仿宋_GB2312" w:hAnsi="宋体" w:eastAsia="仿宋_GB2312"/>
          <w:sz w:val="22"/>
          <w:szCs w:val="22"/>
          <w:highlight w:val="none"/>
        </w:rPr>
        <w:t xml:space="preserve">      3.请你给予真实的反映批评,以帮助我们对将来的培训计划进行改进。</w:t>
      </w:r>
    </w:p>
    <w:tbl>
      <w:tblPr>
        <w:tblStyle w:val="20"/>
        <w:tblW w:w="9266"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815"/>
        <w:gridCol w:w="3731"/>
      </w:tblGrid>
      <w:tr w14:paraId="0515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720" w:type="dxa"/>
            <w:vMerge w:val="restart"/>
            <w:noWrap w:val="0"/>
            <w:vAlign w:val="center"/>
          </w:tcPr>
          <w:p w14:paraId="39BB1F06">
            <w:pPr>
              <w:keepNext w:val="0"/>
              <w:keepLines w:val="0"/>
              <w:widowControl/>
              <w:suppressLineNumbers w:val="0"/>
              <w:jc w:val="center"/>
              <w:textAlignment w:val="center"/>
              <w:rPr>
                <w:rFonts w:ascii="仿宋_GB2312" w:hAnsi="宋体" w:eastAsia="仿宋_GB2312"/>
                <w:b/>
                <w:sz w:val="22"/>
                <w:szCs w:val="22"/>
                <w:highlight w:val="none"/>
              </w:rPr>
            </w:pPr>
            <w:r>
              <w:rPr>
                <w:rStyle w:val="42"/>
                <w:rFonts w:hAnsi="宋体"/>
                <w:sz w:val="22"/>
                <w:szCs w:val="22"/>
                <w:highlight w:val="none"/>
                <w:lang w:val="en-US" w:eastAsia="zh-CN" w:bidi="ar"/>
              </w:rPr>
              <w:t>序号</w:t>
            </w:r>
          </w:p>
        </w:tc>
        <w:tc>
          <w:tcPr>
            <w:tcW w:w="4815" w:type="dxa"/>
            <w:vMerge w:val="restart"/>
            <w:noWrap w:val="0"/>
            <w:vAlign w:val="center"/>
          </w:tcPr>
          <w:p w14:paraId="25684718">
            <w:pPr>
              <w:keepNext w:val="0"/>
              <w:keepLines w:val="0"/>
              <w:widowControl/>
              <w:suppressLineNumbers w:val="0"/>
              <w:jc w:val="center"/>
              <w:textAlignment w:val="center"/>
              <w:rPr>
                <w:rFonts w:ascii="仿宋_GB2312" w:hAnsi="宋体" w:eastAsia="仿宋_GB2312"/>
                <w:b/>
                <w:sz w:val="22"/>
                <w:szCs w:val="22"/>
                <w:highlight w:val="none"/>
              </w:rPr>
            </w:pPr>
            <w:r>
              <w:rPr>
                <w:rStyle w:val="42"/>
                <w:rFonts w:hAnsi="宋体"/>
                <w:sz w:val="22"/>
                <w:szCs w:val="22"/>
                <w:highlight w:val="none"/>
                <w:lang w:val="en-US" w:eastAsia="zh-CN" w:bidi="ar"/>
              </w:rPr>
              <w:t>评估项目</w:t>
            </w:r>
          </w:p>
        </w:tc>
        <w:tc>
          <w:tcPr>
            <w:tcW w:w="3731" w:type="dxa"/>
            <w:noWrap w:val="0"/>
            <w:vAlign w:val="center"/>
          </w:tcPr>
          <w:p w14:paraId="399B55E5">
            <w:pPr>
              <w:keepNext w:val="0"/>
              <w:keepLines w:val="0"/>
              <w:widowControl/>
              <w:suppressLineNumbers w:val="0"/>
              <w:jc w:val="center"/>
              <w:textAlignment w:val="center"/>
              <w:rPr>
                <w:rFonts w:ascii="仿宋_GB2312" w:hAnsi="宋体" w:eastAsia="仿宋_GB2312"/>
                <w:b/>
                <w:sz w:val="22"/>
                <w:szCs w:val="22"/>
                <w:highlight w:val="none"/>
              </w:rPr>
            </w:pPr>
            <w:r>
              <w:rPr>
                <w:rStyle w:val="42"/>
                <w:rFonts w:hAnsi="宋体"/>
                <w:sz w:val="22"/>
                <w:szCs w:val="22"/>
                <w:highlight w:val="none"/>
                <w:lang w:val="en-US" w:eastAsia="zh-CN" w:bidi="ar"/>
              </w:rPr>
              <w:t>差      中       好</w:t>
            </w:r>
          </w:p>
        </w:tc>
      </w:tr>
      <w:tr w14:paraId="044C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720" w:type="dxa"/>
            <w:vMerge w:val="continue"/>
            <w:noWrap w:val="0"/>
            <w:vAlign w:val="center"/>
          </w:tcPr>
          <w:p w14:paraId="1048BC9A">
            <w:pPr>
              <w:jc w:val="center"/>
              <w:rPr>
                <w:rFonts w:ascii="仿宋_GB2312" w:hAnsi="宋体" w:eastAsia="仿宋_GB2312"/>
                <w:sz w:val="21"/>
                <w:szCs w:val="22"/>
                <w:highlight w:val="none"/>
              </w:rPr>
            </w:pPr>
          </w:p>
        </w:tc>
        <w:tc>
          <w:tcPr>
            <w:tcW w:w="4815" w:type="dxa"/>
            <w:vMerge w:val="continue"/>
            <w:noWrap w:val="0"/>
            <w:vAlign w:val="center"/>
          </w:tcPr>
          <w:p w14:paraId="4EB3E404">
            <w:pPr>
              <w:jc w:val="center"/>
              <w:rPr>
                <w:rFonts w:ascii="仿宋_GB2312" w:hAnsi="宋体" w:eastAsia="仿宋_GB2312"/>
                <w:sz w:val="21"/>
                <w:szCs w:val="22"/>
                <w:highlight w:val="none"/>
              </w:rPr>
            </w:pPr>
          </w:p>
        </w:tc>
        <w:tc>
          <w:tcPr>
            <w:tcW w:w="3731" w:type="dxa"/>
            <w:noWrap w:val="0"/>
            <w:vAlign w:val="center"/>
          </w:tcPr>
          <w:p w14:paraId="691D6822">
            <w:pPr>
              <w:keepNext w:val="0"/>
              <w:keepLines w:val="0"/>
              <w:widowControl/>
              <w:suppressLineNumbers w:val="0"/>
              <w:jc w:val="center"/>
              <w:textAlignment w:val="center"/>
              <w:rPr>
                <w:rFonts w:ascii="仿宋_GB2312" w:hAnsi="宋体" w:eastAsia="仿宋_GB2312"/>
                <w:sz w:val="22"/>
                <w:szCs w:val="22"/>
                <w:highlight w:val="none"/>
              </w:rPr>
            </w:pPr>
            <w:r>
              <w:rPr>
                <w:rStyle w:val="42"/>
                <w:rFonts w:hAnsi="宋体"/>
                <w:sz w:val="22"/>
                <w:szCs w:val="22"/>
                <w:highlight w:val="none"/>
                <w:lang w:val="en-US" w:eastAsia="zh-CN" w:bidi="ar"/>
              </w:rPr>
              <w:t>1 2  3  4  5  6  7</w:t>
            </w:r>
          </w:p>
        </w:tc>
      </w:tr>
      <w:tr w14:paraId="7662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20" w:type="dxa"/>
            <w:noWrap w:val="0"/>
            <w:vAlign w:val="center"/>
          </w:tcPr>
          <w:p w14:paraId="423577F3">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1</w:t>
            </w:r>
          </w:p>
        </w:tc>
        <w:tc>
          <w:tcPr>
            <w:tcW w:w="4815" w:type="dxa"/>
            <w:noWrap w:val="0"/>
            <w:vAlign w:val="center"/>
          </w:tcPr>
          <w:p w14:paraId="7E954062">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培训目标已达到？</w:t>
            </w:r>
          </w:p>
        </w:tc>
        <w:tc>
          <w:tcPr>
            <w:tcW w:w="3731" w:type="dxa"/>
            <w:noWrap w:val="0"/>
            <w:vAlign w:val="center"/>
          </w:tcPr>
          <w:p w14:paraId="3E2BDADB">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75A8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20" w:type="dxa"/>
            <w:noWrap w:val="0"/>
            <w:vAlign w:val="center"/>
          </w:tcPr>
          <w:p w14:paraId="64B8724F">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2</w:t>
            </w:r>
          </w:p>
        </w:tc>
        <w:tc>
          <w:tcPr>
            <w:tcW w:w="4815" w:type="dxa"/>
            <w:noWrap w:val="0"/>
            <w:vAlign w:val="center"/>
          </w:tcPr>
          <w:p w14:paraId="76455AF3">
            <w:pPr>
              <w:keepNext w:val="0"/>
              <w:keepLines w:val="0"/>
              <w:widowControl/>
              <w:suppressLineNumbers w:val="0"/>
              <w:jc w:val="both"/>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课程是否存在拖堂、早结束等现象？</w:t>
            </w:r>
          </w:p>
        </w:tc>
        <w:tc>
          <w:tcPr>
            <w:tcW w:w="3731" w:type="dxa"/>
            <w:noWrap w:val="0"/>
            <w:vAlign w:val="center"/>
          </w:tcPr>
          <w:p w14:paraId="411712DC">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4870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20" w:type="dxa"/>
            <w:noWrap w:val="0"/>
            <w:vAlign w:val="center"/>
          </w:tcPr>
          <w:p w14:paraId="1DFF56CA">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3</w:t>
            </w:r>
          </w:p>
        </w:tc>
        <w:tc>
          <w:tcPr>
            <w:tcW w:w="4815" w:type="dxa"/>
            <w:noWrap w:val="0"/>
            <w:vAlign w:val="center"/>
          </w:tcPr>
          <w:p w14:paraId="75884438">
            <w:pPr>
              <w:keepNext w:val="0"/>
              <w:keepLines w:val="0"/>
              <w:widowControl/>
              <w:suppressLineNumbers w:val="0"/>
              <w:jc w:val="both"/>
              <w:textAlignment w:val="center"/>
              <w:rPr>
                <w:rFonts w:ascii="仿宋_GB2312" w:hAnsi="宋体" w:eastAsia="仿宋_GB2312"/>
                <w:sz w:val="22"/>
                <w:szCs w:val="22"/>
                <w:highlight w:val="none"/>
              </w:rPr>
            </w:pPr>
            <w:r>
              <w:rPr>
                <w:rStyle w:val="59"/>
                <w:rFonts w:hint="eastAsia" w:hAnsi="宋体"/>
                <w:sz w:val="22"/>
                <w:szCs w:val="22"/>
                <w:highlight w:val="none"/>
                <w:lang w:val="en-US" w:eastAsia="zh-CN" w:bidi="ar"/>
              </w:rPr>
              <w:t>讲师</w:t>
            </w:r>
            <w:r>
              <w:rPr>
                <w:rStyle w:val="59"/>
                <w:rFonts w:hAnsi="宋体"/>
                <w:sz w:val="22"/>
                <w:szCs w:val="22"/>
                <w:highlight w:val="none"/>
                <w:lang w:val="en-US" w:eastAsia="zh-CN" w:bidi="ar"/>
              </w:rPr>
              <w:t>讲解技巧如何？</w:t>
            </w:r>
          </w:p>
        </w:tc>
        <w:tc>
          <w:tcPr>
            <w:tcW w:w="3731" w:type="dxa"/>
            <w:noWrap w:val="0"/>
            <w:vAlign w:val="center"/>
          </w:tcPr>
          <w:p w14:paraId="40E2E83C">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63FB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720" w:type="dxa"/>
            <w:noWrap w:val="0"/>
            <w:vAlign w:val="center"/>
          </w:tcPr>
          <w:p w14:paraId="00CA04B2">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4</w:t>
            </w:r>
          </w:p>
        </w:tc>
        <w:tc>
          <w:tcPr>
            <w:tcW w:w="4815" w:type="dxa"/>
            <w:noWrap w:val="0"/>
            <w:vAlign w:val="center"/>
          </w:tcPr>
          <w:p w14:paraId="4470D92B">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是否很好地回答学员的提问？</w:t>
            </w:r>
          </w:p>
        </w:tc>
        <w:tc>
          <w:tcPr>
            <w:tcW w:w="3731" w:type="dxa"/>
            <w:noWrap w:val="0"/>
            <w:vAlign w:val="center"/>
          </w:tcPr>
          <w:p w14:paraId="04D1462C">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5A0F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720" w:type="dxa"/>
            <w:noWrap w:val="0"/>
            <w:vAlign w:val="center"/>
          </w:tcPr>
          <w:p w14:paraId="5DB0E4AC">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5</w:t>
            </w:r>
          </w:p>
        </w:tc>
        <w:tc>
          <w:tcPr>
            <w:tcW w:w="4815" w:type="dxa"/>
            <w:noWrap w:val="0"/>
            <w:vAlign w:val="center"/>
          </w:tcPr>
          <w:p w14:paraId="2A792B70">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讲课内容是否丰富，吸引人？</w:t>
            </w:r>
          </w:p>
        </w:tc>
        <w:tc>
          <w:tcPr>
            <w:tcW w:w="3731" w:type="dxa"/>
            <w:noWrap w:val="0"/>
            <w:vAlign w:val="center"/>
          </w:tcPr>
          <w:p w14:paraId="7C6EE7C2">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57D1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720" w:type="dxa"/>
            <w:noWrap w:val="0"/>
            <w:vAlign w:val="center"/>
          </w:tcPr>
          <w:p w14:paraId="0E2AECC2">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6</w:t>
            </w:r>
          </w:p>
        </w:tc>
        <w:tc>
          <w:tcPr>
            <w:tcW w:w="4815" w:type="dxa"/>
            <w:noWrap w:val="0"/>
            <w:vAlign w:val="center"/>
          </w:tcPr>
          <w:p w14:paraId="1092DCF7">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知识面是否宽广？</w:t>
            </w:r>
          </w:p>
        </w:tc>
        <w:tc>
          <w:tcPr>
            <w:tcW w:w="3731" w:type="dxa"/>
            <w:noWrap w:val="0"/>
            <w:vAlign w:val="center"/>
          </w:tcPr>
          <w:p w14:paraId="2C5258F9">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5CE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20" w:type="dxa"/>
            <w:noWrap w:val="0"/>
            <w:vAlign w:val="center"/>
          </w:tcPr>
          <w:p w14:paraId="631B9BDA">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7</w:t>
            </w:r>
          </w:p>
        </w:tc>
        <w:tc>
          <w:tcPr>
            <w:tcW w:w="4815" w:type="dxa"/>
            <w:noWrap w:val="0"/>
            <w:vAlign w:val="center"/>
          </w:tcPr>
          <w:p w14:paraId="46F2FB4E">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所讲内容是否切题？</w:t>
            </w:r>
          </w:p>
        </w:tc>
        <w:tc>
          <w:tcPr>
            <w:tcW w:w="3731" w:type="dxa"/>
            <w:noWrap w:val="0"/>
            <w:vAlign w:val="center"/>
          </w:tcPr>
          <w:p w14:paraId="49448AD3">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21DC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720" w:type="dxa"/>
            <w:noWrap w:val="0"/>
            <w:vAlign w:val="center"/>
          </w:tcPr>
          <w:p w14:paraId="5469497D">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8</w:t>
            </w:r>
          </w:p>
        </w:tc>
        <w:tc>
          <w:tcPr>
            <w:tcW w:w="4815" w:type="dxa"/>
            <w:noWrap w:val="0"/>
            <w:vAlign w:val="center"/>
          </w:tcPr>
          <w:p w14:paraId="19FC266A">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培训内容对自身全面发展是否有启发？</w:t>
            </w:r>
          </w:p>
        </w:tc>
        <w:tc>
          <w:tcPr>
            <w:tcW w:w="3731" w:type="dxa"/>
            <w:noWrap w:val="0"/>
            <w:vAlign w:val="center"/>
          </w:tcPr>
          <w:p w14:paraId="5E911C10">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1505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720" w:type="dxa"/>
            <w:noWrap w:val="0"/>
            <w:vAlign w:val="center"/>
          </w:tcPr>
          <w:p w14:paraId="40F31C55">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9</w:t>
            </w:r>
          </w:p>
        </w:tc>
        <w:tc>
          <w:tcPr>
            <w:tcW w:w="4815" w:type="dxa"/>
            <w:noWrap w:val="0"/>
            <w:vAlign w:val="center"/>
          </w:tcPr>
          <w:p w14:paraId="057A4C23">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培训内容是否紧密结合实际？</w:t>
            </w:r>
          </w:p>
        </w:tc>
        <w:tc>
          <w:tcPr>
            <w:tcW w:w="3731" w:type="dxa"/>
            <w:noWrap w:val="0"/>
            <w:vAlign w:val="center"/>
          </w:tcPr>
          <w:p w14:paraId="5E40090D">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508F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720" w:type="dxa"/>
            <w:noWrap w:val="0"/>
            <w:vAlign w:val="center"/>
          </w:tcPr>
          <w:p w14:paraId="68FECDAE">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10</w:t>
            </w:r>
          </w:p>
        </w:tc>
        <w:tc>
          <w:tcPr>
            <w:tcW w:w="4815" w:type="dxa"/>
            <w:noWrap w:val="0"/>
            <w:vAlign w:val="center"/>
          </w:tcPr>
          <w:p w14:paraId="07AB7374">
            <w:pPr>
              <w:keepNext w:val="0"/>
              <w:keepLines w:val="0"/>
              <w:widowControl/>
              <w:suppressLineNumbers w:val="0"/>
              <w:jc w:val="both"/>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培训内容能应用到岗位上？</w:t>
            </w:r>
          </w:p>
        </w:tc>
        <w:tc>
          <w:tcPr>
            <w:tcW w:w="3731" w:type="dxa"/>
            <w:noWrap w:val="0"/>
            <w:vAlign w:val="center"/>
          </w:tcPr>
          <w:p w14:paraId="751BAF2E">
            <w:pPr>
              <w:keepNext w:val="0"/>
              <w:keepLines w:val="0"/>
              <w:widowControl/>
              <w:suppressLineNumbers w:val="0"/>
              <w:jc w:val="center"/>
              <w:textAlignment w:val="center"/>
              <w:rPr>
                <w:rFonts w:ascii="仿宋_GB2312" w:hAnsi="宋体" w:eastAsia="仿宋_GB2312"/>
                <w:sz w:val="22"/>
                <w:szCs w:val="22"/>
                <w:highlight w:val="none"/>
              </w:rPr>
            </w:pPr>
            <w:r>
              <w:rPr>
                <w:rStyle w:val="59"/>
                <w:rFonts w:hAnsi="宋体"/>
                <w:sz w:val="22"/>
                <w:szCs w:val="22"/>
                <w:highlight w:val="none"/>
                <w:lang w:val="en-US" w:eastAsia="zh-CN" w:bidi="ar"/>
              </w:rPr>
              <w:t>□ □ □ □ □ □ □</w:t>
            </w:r>
          </w:p>
        </w:tc>
      </w:tr>
      <w:tr w14:paraId="0895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 w:hRule="atLeast"/>
        </w:trPr>
        <w:tc>
          <w:tcPr>
            <w:tcW w:w="720" w:type="dxa"/>
            <w:vMerge w:val="restart"/>
            <w:noWrap w:val="0"/>
            <w:vAlign w:val="center"/>
          </w:tcPr>
          <w:p w14:paraId="61398FA4">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11</w:t>
            </w:r>
          </w:p>
        </w:tc>
        <w:tc>
          <w:tcPr>
            <w:tcW w:w="4815" w:type="dxa"/>
            <w:vMerge w:val="restart"/>
            <w:noWrap w:val="0"/>
            <w:vAlign w:val="center"/>
          </w:tcPr>
          <w:p w14:paraId="2CF2B26A">
            <w:pPr>
              <w:keepNext w:val="0"/>
              <w:keepLines w:val="0"/>
              <w:widowControl/>
              <w:suppressLineNumbers w:val="0"/>
              <w:jc w:val="both"/>
              <w:textAlignment w:val="center"/>
              <w:rPr>
                <w:rFonts w:ascii="仿宋_GB2312" w:hAnsi="宋体" w:eastAsia="仿宋_GB2312"/>
                <w:sz w:val="22"/>
                <w:szCs w:val="22"/>
                <w:highlight w:val="none"/>
              </w:rPr>
            </w:pPr>
            <w:r>
              <w:rPr>
                <w:rStyle w:val="59"/>
                <w:rFonts w:hint="eastAsia" w:hAnsi="宋体"/>
                <w:sz w:val="22"/>
                <w:szCs w:val="22"/>
                <w:highlight w:val="none"/>
                <w:lang w:val="en-US" w:eastAsia="zh-CN" w:bidi="ar"/>
              </w:rPr>
              <w:t>讲师</w:t>
            </w:r>
            <w:r>
              <w:rPr>
                <w:rStyle w:val="59"/>
                <w:rFonts w:hAnsi="宋体"/>
                <w:sz w:val="22"/>
                <w:szCs w:val="22"/>
                <w:highlight w:val="none"/>
                <w:lang w:val="en-US" w:eastAsia="zh-CN" w:bidi="ar"/>
              </w:rPr>
              <w:t>对所讲内容掌握得深、理解得透？</w:t>
            </w:r>
          </w:p>
        </w:tc>
        <w:tc>
          <w:tcPr>
            <w:tcW w:w="3731" w:type="dxa"/>
            <w:noWrap w:val="0"/>
            <w:vAlign w:val="center"/>
          </w:tcPr>
          <w:p w14:paraId="151B253A">
            <w:pPr>
              <w:keepNext w:val="0"/>
              <w:keepLines w:val="0"/>
              <w:widowControl/>
              <w:suppressLineNumbers w:val="0"/>
              <w:jc w:val="center"/>
              <w:textAlignment w:val="center"/>
              <w:rPr>
                <w:rFonts w:ascii="仿宋_GB2312" w:hAnsi="宋体" w:eastAsia="仿宋_GB2312"/>
                <w:sz w:val="22"/>
                <w:szCs w:val="22"/>
                <w:highlight w:val="none"/>
              </w:rPr>
            </w:pPr>
            <w:r>
              <w:rPr>
                <w:rStyle w:val="42"/>
                <w:rFonts w:hAnsi="宋体"/>
                <w:sz w:val="22"/>
                <w:szCs w:val="22"/>
                <w:highlight w:val="none"/>
                <w:lang w:val="en-US" w:eastAsia="zh-CN" w:bidi="ar"/>
              </w:rPr>
              <w:t>差    中    好</w:t>
            </w:r>
          </w:p>
        </w:tc>
      </w:tr>
      <w:tr w14:paraId="517B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trPr>
        <w:tc>
          <w:tcPr>
            <w:tcW w:w="720" w:type="dxa"/>
            <w:vMerge w:val="continue"/>
            <w:noWrap w:val="0"/>
            <w:vAlign w:val="center"/>
          </w:tcPr>
          <w:p w14:paraId="6DDE3C3B">
            <w:pPr>
              <w:jc w:val="center"/>
              <w:rPr>
                <w:rFonts w:ascii="仿宋_GB2312" w:hAnsi="宋体" w:eastAsia="仿宋_GB2312"/>
                <w:sz w:val="21"/>
                <w:szCs w:val="22"/>
                <w:highlight w:val="none"/>
              </w:rPr>
            </w:pPr>
          </w:p>
        </w:tc>
        <w:tc>
          <w:tcPr>
            <w:tcW w:w="4815" w:type="dxa"/>
            <w:vMerge w:val="continue"/>
            <w:noWrap w:val="0"/>
            <w:vAlign w:val="center"/>
          </w:tcPr>
          <w:p w14:paraId="41EF36B4">
            <w:pPr>
              <w:jc w:val="both"/>
              <w:rPr>
                <w:rFonts w:ascii="仿宋_GB2312" w:hAnsi="宋体" w:eastAsia="仿宋_GB2312"/>
                <w:sz w:val="21"/>
                <w:szCs w:val="22"/>
                <w:highlight w:val="none"/>
              </w:rPr>
            </w:pPr>
          </w:p>
        </w:tc>
        <w:tc>
          <w:tcPr>
            <w:tcW w:w="3731" w:type="dxa"/>
            <w:noWrap w:val="0"/>
            <w:vAlign w:val="center"/>
          </w:tcPr>
          <w:p w14:paraId="1FF61CDC">
            <w:pPr>
              <w:keepNext w:val="0"/>
              <w:keepLines w:val="0"/>
              <w:widowControl/>
              <w:suppressLineNumbers w:val="0"/>
              <w:jc w:val="center"/>
              <w:textAlignment w:val="center"/>
              <w:rPr>
                <w:rFonts w:ascii="仿宋_GB2312" w:hAnsi="宋体" w:eastAsia="仿宋_GB2312"/>
                <w:sz w:val="22"/>
                <w:szCs w:val="22"/>
                <w:highlight w:val="none"/>
              </w:rPr>
            </w:pPr>
            <w:r>
              <w:rPr>
                <w:rStyle w:val="42"/>
                <w:rFonts w:hAnsi="宋体"/>
                <w:sz w:val="22"/>
                <w:szCs w:val="22"/>
                <w:highlight w:val="none"/>
                <w:lang w:val="en-US" w:eastAsia="zh-CN" w:bidi="ar"/>
              </w:rPr>
              <w:t>2  4  6  8  10</w:t>
            </w:r>
          </w:p>
        </w:tc>
      </w:tr>
      <w:tr w14:paraId="38B8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trPr>
        <w:tc>
          <w:tcPr>
            <w:tcW w:w="720" w:type="dxa"/>
            <w:vMerge w:val="continue"/>
            <w:noWrap w:val="0"/>
            <w:vAlign w:val="center"/>
          </w:tcPr>
          <w:p w14:paraId="6D97256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highlight w:val="none"/>
                <w:u w:val="none"/>
                <w:lang w:val="en-US" w:eastAsia="zh-CN" w:bidi="ar"/>
              </w:rPr>
            </w:pPr>
          </w:p>
        </w:tc>
        <w:tc>
          <w:tcPr>
            <w:tcW w:w="4815" w:type="dxa"/>
            <w:vMerge w:val="continue"/>
            <w:noWrap w:val="0"/>
            <w:vAlign w:val="center"/>
          </w:tcPr>
          <w:p w14:paraId="0B8E98A8">
            <w:pPr>
              <w:keepNext w:val="0"/>
              <w:keepLines w:val="0"/>
              <w:widowControl/>
              <w:suppressLineNumbers w:val="0"/>
              <w:jc w:val="both"/>
              <w:textAlignment w:val="center"/>
              <w:rPr>
                <w:rFonts w:hint="default" w:ascii="仿宋_GB2312" w:hAnsi="宋体" w:eastAsia="仿宋_GB2312" w:cs="仿宋_GB2312"/>
                <w:i w:val="0"/>
                <w:iCs w:val="0"/>
                <w:color w:val="000000"/>
                <w:kern w:val="0"/>
                <w:sz w:val="22"/>
                <w:szCs w:val="22"/>
                <w:highlight w:val="none"/>
                <w:u w:val="none"/>
                <w:lang w:val="en-US" w:eastAsia="zh-CN" w:bidi="ar"/>
              </w:rPr>
            </w:pPr>
          </w:p>
        </w:tc>
        <w:tc>
          <w:tcPr>
            <w:tcW w:w="3731" w:type="dxa"/>
            <w:noWrap w:val="0"/>
            <w:vAlign w:val="center"/>
          </w:tcPr>
          <w:p w14:paraId="38A13DD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highlight w:val="none"/>
                <w:u w:val="none"/>
                <w:lang w:val="en-US" w:eastAsia="zh-CN" w:bidi="ar"/>
              </w:rPr>
            </w:pPr>
            <w:r>
              <w:rPr>
                <w:rFonts w:hint="default" w:ascii="仿宋_GB2312" w:hAnsi="宋体" w:eastAsia="仿宋_GB2312" w:cs="仿宋_GB2312"/>
                <w:i w:val="0"/>
                <w:iCs w:val="0"/>
                <w:color w:val="000000"/>
                <w:kern w:val="0"/>
                <w:sz w:val="22"/>
                <w:szCs w:val="22"/>
                <w:highlight w:val="none"/>
                <w:u w:val="none"/>
                <w:lang w:val="en-US" w:eastAsia="zh-CN" w:bidi="ar"/>
              </w:rPr>
              <w:t>□ □ □ □ □</w:t>
            </w:r>
          </w:p>
        </w:tc>
      </w:tr>
      <w:tr w14:paraId="34FE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720" w:type="dxa"/>
            <w:noWrap w:val="0"/>
            <w:vAlign w:val="center"/>
          </w:tcPr>
          <w:p w14:paraId="3119E190">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12</w:t>
            </w:r>
          </w:p>
        </w:tc>
        <w:tc>
          <w:tcPr>
            <w:tcW w:w="4815" w:type="dxa"/>
            <w:noWrap w:val="0"/>
            <w:vAlign w:val="center"/>
          </w:tcPr>
          <w:p w14:paraId="2E9F65C0">
            <w:pPr>
              <w:keepNext w:val="0"/>
              <w:keepLines w:val="0"/>
              <w:widowControl/>
              <w:suppressLineNumbers w:val="0"/>
              <w:jc w:val="both"/>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讲义编写质量？</w:t>
            </w:r>
          </w:p>
        </w:tc>
        <w:tc>
          <w:tcPr>
            <w:tcW w:w="3731" w:type="dxa"/>
            <w:noWrap w:val="0"/>
            <w:vAlign w:val="center"/>
          </w:tcPr>
          <w:p w14:paraId="54982AE7">
            <w:pPr>
              <w:keepNext w:val="0"/>
              <w:keepLines w:val="0"/>
              <w:widowControl/>
              <w:suppressLineNumbers w:val="0"/>
              <w:jc w:val="center"/>
              <w:textAlignment w:val="center"/>
              <w:rPr>
                <w:rStyle w:val="42"/>
                <w:rFonts w:hAnsi="宋体"/>
                <w:sz w:val="22"/>
                <w:szCs w:val="22"/>
                <w:highlight w:val="none"/>
                <w:lang w:val="en-US" w:eastAsia="zh-CN" w:bidi="ar"/>
              </w:rPr>
            </w:pPr>
            <w:r>
              <w:rPr>
                <w:rFonts w:hint="default" w:ascii="仿宋_GB2312" w:hAnsi="宋体" w:eastAsia="仿宋_GB2312" w:cs="仿宋_GB2312"/>
                <w:i w:val="0"/>
                <w:iCs w:val="0"/>
                <w:color w:val="000000"/>
                <w:kern w:val="0"/>
                <w:sz w:val="22"/>
                <w:szCs w:val="22"/>
                <w:highlight w:val="none"/>
                <w:u w:val="none"/>
                <w:lang w:val="en-US" w:eastAsia="zh-CN" w:bidi="ar"/>
              </w:rPr>
              <w:t>□ □ □ □ □</w:t>
            </w:r>
          </w:p>
        </w:tc>
      </w:tr>
      <w:tr w14:paraId="2414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trPr>
        <w:tc>
          <w:tcPr>
            <w:tcW w:w="720" w:type="dxa"/>
            <w:noWrap w:val="0"/>
            <w:vAlign w:val="center"/>
          </w:tcPr>
          <w:p w14:paraId="65BF13C9">
            <w:pPr>
              <w:keepNext w:val="0"/>
              <w:keepLines w:val="0"/>
              <w:widowControl/>
              <w:suppressLineNumbers w:val="0"/>
              <w:jc w:val="center"/>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13</w:t>
            </w:r>
          </w:p>
        </w:tc>
        <w:tc>
          <w:tcPr>
            <w:tcW w:w="4815" w:type="dxa"/>
            <w:noWrap w:val="0"/>
            <w:vAlign w:val="center"/>
          </w:tcPr>
          <w:p w14:paraId="12F23A23">
            <w:pPr>
              <w:keepNext w:val="0"/>
              <w:keepLines w:val="0"/>
              <w:widowControl/>
              <w:suppressLineNumbers w:val="0"/>
              <w:jc w:val="both"/>
              <w:textAlignment w:val="center"/>
              <w:rPr>
                <w:rFonts w:ascii="仿宋_GB2312" w:hAnsi="宋体" w:eastAsia="仿宋_GB2312"/>
                <w:sz w:val="22"/>
                <w:szCs w:val="22"/>
                <w:highlight w:val="none"/>
              </w:rPr>
            </w:pPr>
            <w:r>
              <w:rPr>
                <w:rFonts w:hint="default" w:ascii="仿宋_GB2312" w:hAnsi="宋体" w:eastAsia="仿宋_GB2312" w:cs="仿宋_GB2312"/>
                <w:i w:val="0"/>
                <w:iCs w:val="0"/>
                <w:color w:val="000000"/>
                <w:kern w:val="0"/>
                <w:sz w:val="22"/>
                <w:szCs w:val="22"/>
                <w:highlight w:val="none"/>
                <w:u w:val="none"/>
                <w:lang w:val="en-US" w:eastAsia="zh-CN" w:bidi="ar"/>
              </w:rPr>
              <w:t>整体上，您对这次课程的满意程度是？</w:t>
            </w:r>
          </w:p>
        </w:tc>
        <w:tc>
          <w:tcPr>
            <w:tcW w:w="3731" w:type="dxa"/>
            <w:noWrap w:val="0"/>
            <w:vAlign w:val="center"/>
          </w:tcPr>
          <w:p w14:paraId="1242842D">
            <w:pPr>
              <w:keepNext w:val="0"/>
              <w:keepLines w:val="0"/>
              <w:widowControl/>
              <w:suppressLineNumbers w:val="0"/>
              <w:jc w:val="center"/>
              <w:textAlignment w:val="center"/>
              <w:rPr>
                <w:rStyle w:val="42"/>
                <w:rFonts w:hAnsi="宋体"/>
                <w:sz w:val="22"/>
                <w:szCs w:val="22"/>
                <w:highlight w:val="none"/>
                <w:lang w:val="en-US" w:eastAsia="zh-CN" w:bidi="ar"/>
              </w:rPr>
            </w:pPr>
            <w:r>
              <w:rPr>
                <w:rFonts w:hint="default" w:ascii="仿宋_GB2312" w:hAnsi="宋体" w:eastAsia="仿宋_GB2312" w:cs="仿宋_GB2312"/>
                <w:i w:val="0"/>
                <w:iCs w:val="0"/>
                <w:color w:val="000000"/>
                <w:kern w:val="0"/>
                <w:sz w:val="22"/>
                <w:szCs w:val="22"/>
                <w:highlight w:val="none"/>
                <w:u w:val="none"/>
                <w:lang w:val="en-US" w:eastAsia="zh-CN" w:bidi="ar"/>
              </w:rPr>
              <w:t>□ □ □ □ □</w:t>
            </w:r>
          </w:p>
        </w:tc>
      </w:tr>
    </w:tbl>
    <w:p w14:paraId="2EB15977">
      <w:pPr>
        <w:keepNext w:val="0"/>
        <w:keepLines w:val="0"/>
        <w:pageBreakBefore w:val="0"/>
        <w:widowControl w:val="0"/>
        <w:kinsoku/>
        <w:wordWrap/>
        <w:overflowPunct/>
        <w:topLinePunct w:val="0"/>
        <w:autoSpaceDE/>
        <w:autoSpaceDN/>
        <w:bidi w:val="0"/>
        <w:adjustRightInd/>
        <w:snapToGrid/>
        <w:ind w:left="210" w:leftChars="100"/>
        <w:textAlignment w:val="auto"/>
        <w:rPr>
          <w:rFonts w:ascii="仿宋_GB2312" w:hAnsi="宋体" w:eastAsia="仿宋_GB2312"/>
          <w:b/>
          <w:sz w:val="22"/>
          <w:szCs w:val="22"/>
          <w:highlight w:val="none"/>
        </w:rPr>
      </w:pPr>
      <w:r>
        <w:rPr>
          <w:rFonts w:hint="eastAsia" w:ascii="仿宋_GB2312" w:hAnsi="宋体" w:eastAsia="仿宋_GB2312"/>
          <w:sz w:val="22"/>
          <w:szCs w:val="22"/>
          <w:highlight w:val="none"/>
        </w:rPr>
        <w:t>（注：满分100分，前十题满分7分，后三题满分10分，汇总后填入“讲师总得分”里）</w:t>
      </w:r>
    </w:p>
    <w:p w14:paraId="0C8FB45E">
      <w:pPr>
        <w:keepNext w:val="0"/>
        <w:keepLines w:val="0"/>
        <w:pageBreakBefore w:val="0"/>
        <w:widowControl w:val="0"/>
        <w:kinsoku/>
        <w:wordWrap/>
        <w:overflowPunct/>
        <w:topLinePunct w:val="0"/>
        <w:autoSpaceDE/>
        <w:autoSpaceDN/>
        <w:bidi w:val="0"/>
        <w:adjustRightInd/>
        <w:snapToGrid/>
        <w:ind w:left="210" w:leftChars="100"/>
        <w:textAlignment w:val="auto"/>
        <w:rPr>
          <w:rFonts w:ascii="仿宋_GB2312" w:hAnsi="宋体" w:eastAsia="仿宋_GB2312"/>
          <w:sz w:val="22"/>
          <w:szCs w:val="22"/>
          <w:highlight w:val="none"/>
          <w:u w:val="single"/>
        </w:rPr>
      </w:pPr>
      <w:r>
        <w:rPr>
          <w:rFonts w:hint="eastAsia" w:ascii="仿宋_GB2312" w:hAnsi="宋体" w:eastAsia="仿宋_GB2312"/>
          <w:sz w:val="22"/>
          <w:szCs w:val="22"/>
          <w:highlight w:val="none"/>
        </w:rPr>
        <w:t>您的其它意见：</w:t>
      </w:r>
      <w:r>
        <w:rPr>
          <w:rFonts w:hint="eastAsia" w:ascii="仿宋_GB2312" w:hAnsi="宋体" w:eastAsia="仿宋_GB2312"/>
          <w:sz w:val="22"/>
          <w:szCs w:val="22"/>
          <w:highlight w:val="none"/>
          <w:u w:val="single"/>
        </w:rPr>
        <w:t xml:space="preserve">                                                </w:t>
      </w:r>
    </w:p>
    <w:p w14:paraId="1199C4F1">
      <w:pPr>
        <w:keepNext w:val="0"/>
        <w:keepLines w:val="0"/>
        <w:pageBreakBefore w:val="0"/>
        <w:widowControl w:val="0"/>
        <w:kinsoku/>
        <w:wordWrap/>
        <w:overflowPunct/>
        <w:topLinePunct w:val="0"/>
        <w:autoSpaceDE/>
        <w:autoSpaceDN/>
        <w:bidi w:val="0"/>
        <w:adjustRightInd/>
        <w:snapToGrid/>
        <w:ind w:left="210" w:leftChars="100"/>
        <w:textAlignment w:val="auto"/>
        <w:rPr>
          <w:rFonts w:ascii="仿宋_GB2312" w:hAnsi="宋体" w:eastAsia="仿宋_GB2312"/>
          <w:sz w:val="22"/>
          <w:szCs w:val="22"/>
          <w:highlight w:val="none"/>
          <w:u w:val="single"/>
        </w:rPr>
      </w:pPr>
      <w:r>
        <w:rPr>
          <w:rFonts w:hint="eastAsia" w:ascii="仿宋_GB2312" w:hAnsi="宋体" w:eastAsia="仿宋_GB2312"/>
          <w:sz w:val="22"/>
          <w:szCs w:val="22"/>
          <w:highlight w:val="none"/>
          <w:u w:val="single"/>
        </w:rPr>
        <w:t xml:space="preserve">                                                              </w:t>
      </w:r>
    </w:p>
    <w:p w14:paraId="102A4176">
      <w:pPr>
        <w:keepNext w:val="0"/>
        <w:keepLines w:val="0"/>
        <w:pageBreakBefore w:val="0"/>
        <w:widowControl w:val="0"/>
        <w:kinsoku/>
        <w:wordWrap/>
        <w:overflowPunct/>
        <w:topLinePunct w:val="0"/>
        <w:autoSpaceDE/>
        <w:autoSpaceDN/>
        <w:bidi w:val="0"/>
        <w:adjustRightInd/>
        <w:snapToGrid/>
        <w:ind w:left="210" w:leftChars="100"/>
        <w:textAlignment w:val="auto"/>
        <w:rPr>
          <w:rFonts w:ascii="仿宋_GB2312" w:hAnsi="宋体" w:eastAsia="仿宋_GB2312"/>
          <w:sz w:val="22"/>
          <w:szCs w:val="22"/>
          <w:highlight w:val="none"/>
        </w:rPr>
      </w:pPr>
      <w:r>
        <w:rPr>
          <w:rFonts w:hint="eastAsia" w:ascii="仿宋_GB2312" w:hAnsi="宋体" w:eastAsia="仿宋_GB2312"/>
          <w:sz w:val="22"/>
          <w:szCs w:val="22"/>
          <w:highlight w:val="none"/>
        </w:rPr>
        <w:t>讲师总得分：</w:t>
      </w:r>
    </w:p>
    <w:p w14:paraId="651D8C5B">
      <w:pPr>
        <w:tabs>
          <w:tab w:val="center" w:pos="4677"/>
        </w:tabs>
        <w:ind w:left="210" w:leftChars="100"/>
        <w:rPr>
          <w:rFonts w:hint="eastAsia" w:ascii="仿宋_GB2312" w:hAnsi="宋体" w:eastAsia="仿宋_GB2312"/>
          <w:sz w:val="22"/>
          <w:szCs w:val="22"/>
          <w:highlight w:val="none"/>
          <w:lang w:val="en-US" w:eastAsia="zh-CN"/>
        </w:rPr>
      </w:pPr>
      <w:r>
        <w:rPr>
          <w:rFonts w:hint="eastAsia" w:ascii="仿宋_GB2312" w:hAnsi="宋体" w:eastAsia="仿宋_GB2312"/>
          <w:sz w:val="22"/>
          <w:szCs w:val="22"/>
          <w:highlight w:val="none"/>
        </w:rPr>
        <w:t>谢谢合作！</w:t>
      </w:r>
    </w:p>
    <w:p w14:paraId="1F01AAA4">
      <w:pPr>
        <w:rPr>
          <w:highlight w:val="none"/>
        </w:rPr>
      </w:pPr>
    </w:p>
    <w:p w14:paraId="41641219">
      <w:pPr>
        <w:pStyle w:val="45"/>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ascii="宋体" w:hAnsi="宋体" w:eastAsia="宋体" w:cs="宋体"/>
          <w:szCs w:val="21"/>
          <w:highlight w:val="none"/>
        </w:rPr>
      </w:pPr>
      <w:r>
        <w:rPr>
          <w:rFonts w:hint="eastAsia" w:ascii="宋体" w:hAnsi="宋体" w:eastAsia="宋体" w:cs="宋体"/>
          <w:b w:val="0"/>
          <w:kern w:val="2"/>
          <w:sz w:val="21"/>
          <w:szCs w:val="21"/>
          <w:highlight w:val="none"/>
          <w:lang w:val="en-US" w:eastAsia="zh-CN" w:bidi="ar-SA"/>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81" w:name="_Toc21484"/>
      <w:r>
        <w:rPr>
          <w:rFonts w:hint="eastAsia" w:ascii="宋体" w:hAnsi="Times New Roman" w:eastAsia="宋体" w:cs="Times New Roman"/>
          <w:b/>
          <w:sz w:val="32"/>
          <w:szCs w:val="32"/>
          <w:highlight w:val="none"/>
        </w:rPr>
        <w:t>第六章  合同条款及格式</w:t>
      </w:r>
      <w:bookmarkEnd w:id="81"/>
    </w:p>
    <w:p w14:paraId="1CE8E6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宋体" w:cs="宋体"/>
          <w:b w:val="0"/>
          <w:bCs w:val="0"/>
          <w:sz w:val="21"/>
          <w:szCs w:val="21"/>
          <w:highlight w:val="none"/>
          <w:u w:val="single"/>
          <w:lang w:eastAsia="zh-CN"/>
        </w:rPr>
      </w:pPr>
      <w:r>
        <w:rPr>
          <w:rFonts w:hint="eastAsia" w:ascii="Times New Roman" w:hAnsi="Times New Roman" w:eastAsia="宋体" w:cs="宋体"/>
          <w:b w:val="0"/>
          <w:bCs w:val="0"/>
          <w:sz w:val="21"/>
          <w:szCs w:val="21"/>
          <w:highlight w:val="none"/>
          <w:lang w:eastAsia="zh-CN"/>
        </w:rPr>
        <w:t>甲方：</w:t>
      </w:r>
      <w:r>
        <w:rPr>
          <w:rFonts w:hint="eastAsia" w:ascii="Times New Roman" w:hAnsi="Times New Roman" w:eastAsia="宋体" w:cs="宋体"/>
          <w:b w:val="0"/>
          <w:bCs w:val="0"/>
          <w:sz w:val="21"/>
          <w:szCs w:val="21"/>
          <w:highlight w:val="none"/>
          <w:u w:val="single"/>
          <w:lang w:eastAsia="zh-CN"/>
        </w:rPr>
        <w:t>滁州市轨道交通运营有限公司</w:t>
      </w:r>
    </w:p>
    <w:p w14:paraId="300C43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宋体" w:cs="宋体"/>
          <w:sz w:val="21"/>
          <w:szCs w:val="21"/>
          <w:highlight w:val="none"/>
          <w:lang w:eastAsia="zh-CN"/>
        </w:rPr>
      </w:pPr>
      <w:r>
        <w:rPr>
          <w:rFonts w:hint="eastAsia" w:ascii="Times New Roman" w:hAnsi="Times New Roman" w:eastAsia="宋体" w:cs="宋体"/>
          <w:b w:val="0"/>
          <w:bCs w:val="0"/>
          <w:sz w:val="21"/>
          <w:szCs w:val="21"/>
          <w:highlight w:val="none"/>
          <w:lang w:eastAsia="zh-CN"/>
        </w:rPr>
        <w:t>乙方：</w:t>
      </w:r>
      <w:r>
        <w:rPr>
          <w:rFonts w:hint="eastAsia" w:ascii="Times New Roman" w:hAnsi="Times New Roman" w:eastAsia="宋体" w:cs="宋体"/>
          <w:b w:val="0"/>
          <w:bCs w:val="0"/>
          <w:spacing w:val="0"/>
          <w:sz w:val="21"/>
          <w:szCs w:val="21"/>
          <w:highlight w:val="none"/>
          <w:u w:val="single"/>
          <w:lang w:val="en-US" w:eastAsia="zh-CN"/>
        </w:rPr>
        <w:t xml:space="preserve">                          </w:t>
      </w:r>
      <w:r>
        <w:rPr>
          <w:rFonts w:hint="eastAsia" w:ascii="Times New Roman" w:hAnsi="Times New Roman" w:eastAsia="宋体" w:cs="宋体"/>
          <w:b w:val="0"/>
          <w:bCs w:val="0"/>
          <w:spacing w:val="0"/>
          <w:sz w:val="21"/>
          <w:szCs w:val="21"/>
          <w:highlight w:val="none"/>
          <w:lang w:eastAsia="zh-CN"/>
        </w:rPr>
        <w:t xml:space="preserve"> </w:t>
      </w:r>
      <w:r>
        <w:rPr>
          <w:rFonts w:hint="eastAsia" w:ascii="Times New Roman" w:hAnsi="Times New Roman" w:eastAsia="宋体" w:cs="宋体"/>
          <w:b w:val="0"/>
          <w:bCs w:val="0"/>
          <w:sz w:val="21"/>
          <w:szCs w:val="21"/>
          <w:highlight w:val="none"/>
          <w:lang w:eastAsia="zh-CN"/>
        </w:rPr>
        <w:t xml:space="preserve">   </w:t>
      </w:r>
      <w:r>
        <w:rPr>
          <w:rFonts w:hint="eastAsia" w:ascii="Times New Roman" w:hAnsi="Times New Roman" w:eastAsia="宋体" w:cs="宋体"/>
          <w:sz w:val="21"/>
          <w:szCs w:val="21"/>
          <w:highlight w:val="none"/>
          <w:lang w:eastAsia="zh-CN"/>
        </w:rPr>
        <w:t xml:space="preserve"> </w:t>
      </w:r>
    </w:p>
    <w:p w14:paraId="56CDD3F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left"/>
        <w:textAlignment w:val="auto"/>
        <w:rPr>
          <w:rFonts w:hint="eastAsia" w:ascii="Times New Roman" w:hAnsi="Times New Roman" w:eastAsia="宋体" w:cs="宋体"/>
          <w:bCs/>
          <w:sz w:val="21"/>
          <w:szCs w:val="21"/>
          <w:highlight w:val="none"/>
        </w:rPr>
      </w:pPr>
      <w:r>
        <w:rPr>
          <w:rFonts w:hint="eastAsia" w:ascii="Times New Roman" w:hAnsi="Times New Roman" w:eastAsia="宋体" w:cs="宋体"/>
          <w:bCs/>
          <w:sz w:val="21"/>
          <w:szCs w:val="21"/>
          <w:highlight w:val="none"/>
        </w:rPr>
        <w:t>鉴于甲方为</w:t>
      </w:r>
      <w:r>
        <w:rPr>
          <w:rFonts w:hint="eastAsia" w:ascii="Times New Roman" w:hAnsi="Times New Roman" w:eastAsia="宋体" w:cs="宋体"/>
          <w:bCs/>
          <w:sz w:val="21"/>
          <w:szCs w:val="21"/>
          <w:highlight w:val="none"/>
          <w:lang w:val="en-US" w:eastAsia="zh-CN"/>
        </w:rPr>
        <w:t>城际铁路</w:t>
      </w:r>
      <w:r>
        <w:rPr>
          <w:rFonts w:hint="eastAsia" w:ascii="Times New Roman" w:hAnsi="Times New Roman" w:eastAsia="宋体" w:cs="宋体"/>
          <w:bCs/>
          <w:sz w:val="21"/>
          <w:szCs w:val="21"/>
          <w:highlight w:val="none"/>
        </w:rPr>
        <w:t>运营主体，具有特殊的生产经营的要求，乙方保证其具有专业资质和强大的师资力量，保证能按时按质为甲方提供本合同所述</w:t>
      </w:r>
      <w:r>
        <w:rPr>
          <w:rFonts w:hint="eastAsia" w:ascii="Times New Roman" w:hAnsi="Times New Roman" w:eastAsia="宋体" w:cs="宋体"/>
          <w:b w:val="0"/>
          <w:bCs w:val="0"/>
          <w:spacing w:val="0"/>
          <w:sz w:val="21"/>
          <w:szCs w:val="21"/>
          <w:highlight w:val="none"/>
          <w:u w:val="single"/>
          <w:lang w:val="en-US" w:eastAsia="zh-CN"/>
        </w:rPr>
        <w:t>2026年滁州轨道运营班组长能力提升</w:t>
      </w:r>
      <w:r>
        <w:rPr>
          <w:rFonts w:hint="eastAsia" w:ascii="Times New Roman" w:hAnsi="Times New Roman" w:eastAsia="宋体" w:cs="宋体"/>
          <w:bCs/>
          <w:sz w:val="21"/>
          <w:szCs w:val="21"/>
          <w:highlight w:val="none"/>
        </w:rPr>
        <w:t>的培训服务。</w:t>
      </w:r>
    </w:p>
    <w:p w14:paraId="4225DBF7">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left"/>
        <w:textAlignment w:val="auto"/>
        <w:rPr>
          <w:rFonts w:hint="eastAsia" w:ascii="Times New Roman" w:hAnsi="Times New Roman" w:eastAsia="宋体" w:cs="宋体"/>
          <w:sz w:val="21"/>
          <w:szCs w:val="21"/>
          <w:highlight w:val="none"/>
          <w:lang w:eastAsia="zh-CN"/>
        </w:rPr>
      </w:pPr>
      <w:r>
        <w:rPr>
          <w:rFonts w:hint="eastAsia" w:ascii="Times New Roman" w:hAnsi="Times New Roman" w:eastAsia="宋体" w:cs="宋体"/>
          <w:bCs/>
          <w:sz w:val="21"/>
          <w:szCs w:val="21"/>
          <w:highlight w:val="none"/>
        </w:rPr>
        <w:t>现依据相关法律、法规的规定，甲乙双方遵循平等、自愿、公平、诚信原则，经充分协商一致，订立本合同：</w:t>
      </w:r>
    </w:p>
    <w:p w14:paraId="0CB113ED">
      <w:pPr>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eastAsia="宋体" w:cs="仿宋"/>
          <w:b/>
          <w:sz w:val="21"/>
          <w:szCs w:val="21"/>
          <w:highlight w:val="none"/>
        </w:rPr>
      </w:pPr>
    </w:p>
    <w:p w14:paraId="53BF7FDA">
      <w:pPr>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第一条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培训范围及内容</w:t>
      </w:r>
    </w:p>
    <w:p w14:paraId="1D49124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宋体" w:cs="仿宋"/>
          <w:b/>
          <w:color w:val="000000"/>
          <w:sz w:val="21"/>
          <w:szCs w:val="21"/>
          <w:highlight w:val="none"/>
          <w:lang w:val="en-US" w:eastAsia="zh-CN"/>
        </w:rPr>
      </w:pPr>
      <w:r>
        <w:rPr>
          <w:rFonts w:hint="eastAsia" w:ascii="Times New Roman" w:hAnsi="Times New Roman" w:eastAsia="宋体" w:cs="仿宋"/>
          <w:b/>
          <w:color w:val="000000"/>
          <w:sz w:val="21"/>
          <w:szCs w:val="21"/>
          <w:highlight w:val="none"/>
        </w:rPr>
        <w:t>1.1培训项目与内容：</w:t>
      </w:r>
      <w:r>
        <w:rPr>
          <w:rFonts w:hint="eastAsia" w:ascii="Times New Roman" w:hAnsi="Times New Roman" w:eastAsia="宋体" w:cs="宋体"/>
          <w:b w:val="0"/>
          <w:bCs w:val="0"/>
          <w:spacing w:val="0"/>
          <w:sz w:val="21"/>
          <w:szCs w:val="21"/>
          <w:highlight w:val="none"/>
          <w:u w:val="single"/>
          <w:lang w:val="en-US" w:eastAsia="zh-CN"/>
        </w:rPr>
        <w:t>2026年滁州轨道运营班组长能力提升</w:t>
      </w:r>
      <w:r>
        <w:rPr>
          <w:rFonts w:hint="eastAsia" w:ascii="Times New Roman" w:hAnsi="Times New Roman" w:eastAsia="宋体" w:cs="仿宋"/>
          <w:b/>
          <w:bCs w:val="0"/>
          <w:color w:val="000000"/>
          <w:sz w:val="21"/>
          <w:szCs w:val="21"/>
          <w:highlight w:val="none"/>
          <w:u w:val="single"/>
          <w:lang w:val="en-US" w:eastAsia="zh-CN"/>
        </w:rPr>
        <w:t>培训</w:t>
      </w:r>
    </w:p>
    <w:p w14:paraId="0FF64AD0">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宋体" w:cs="仿宋"/>
          <w:b/>
          <w:color w:val="000000"/>
          <w:sz w:val="21"/>
          <w:szCs w:val="21"/>
          <w:highlight w:val="none"/>
          <w:lang w:val="en-US" w:eastAsia="zh-CN"/>
        </w:rPr>
      </w:pPr>
      <w:r>
        <w:rPr>
          <w:rFonts w:hint="eastAsia" w:ascii="Times New Roman" w:hAnsi="Times New Roman" w:eastAsia="宋体" w:cs="仿宋"/>
          <w:b/>
          <w:color w:val="000000"/>
          <w:sz w:val="21"/>
          <w:szCs w:val="21"/>
          <w:highlight w:val="none"/>
        </w:rPr>
        <w:t>1.2质量承诺：</w:t>
      </w:r>
      <w:r>
        <w:rPr>
          <w:rFonts w:hint="eastAsia" w:ascii="Times New Roman" w:hAnsi="Times New Roman" w:eastAsia="宋体" w:cs="仿宋"/>
          <w:b/>
          <w:color w:val="000000"/>
          <w:sz w:val="21"/>
          <w:szCs w:val="21"/>
          <w:highlight w:val="none"/>
          <w:u w:val="single"/>
          <w:lang w:val="en-US" w:eastAsia="zh-CN"/>
        </w:rPr>
        <w:t>提高参训人员综合素质，最终达到提升滁州轨道行业竞争力</w:t>
      </w:r>
    </w:p>
    <w:p w14:paraId="79A1234A">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宋体" w:cs="仿宋"/>
          <w:b/>
          <w:color w:val="000000"/>
          <w:sz w:val="21"/>
          <w:szCs w:val="21"/>
          <w:highlight w:val="none"/>
          <w:lang w:val="en-US" w:eastAsia="zh-CN"/>
        </w:rPr>
      </w:pPr>
      <w:r>
        <w:rPr>
          <w:rFonts w:hint="eastAsia" w:ascii="Times New Roman" w:hAnsi="Times New Roman" w:eastAsia="宋体" w:cs="仿宋"/>
          <w:b/>
          <w:color w:val="000000"/>
          <w:sz w:val="21"/>
          <w:szCs w:val="21"/>
          <w:highlight w:val="none"/>
        </w:rPr>
        <w:t>1.3培训期限：</w:t>
      </w:r>
      <w:r>
        <w:rPr>
          <w:rFonts w:hint="eastAsia" w:ascii="Times New Roman" w:hAnsi="Times New Roman" w:eastAsia="宋体" w:cs="仿宋"/>
          <w:b/>
          <w:bCs w:val="0"/>
          <w:color w:val="000000"/>
          <w:sz w:val="21"/>
          <w:szCs w:val="21"/>
          <w:highlight w:val="none"/>
          <w:u w:val="single"/>
          <w:lang w:val="en-US" w:eastAsia="zh-CN"/>
        </w:rPr>
        <w:t>本项目实施时间为合同签订之日起12个月</w:t>
      </w:r>
    </w:p>
    <w:p w14:paraId="4E914975">
      <w:pPr>
        <w:keepNext w:val="0"/>
        <w:keepLines w:val="0"/>
        <w:pageBreakBefore w:val="0"/>
        <w:widowControl w:val="0"/>
        <w:kinsoku/>
        <w:wordWrap/>
        <w:overflowPunct/>
        <w:topLinePunct w:val="0"/>
        <w:autoSpaceDE/>
        <w:autoSpaceDN/>
        <w:bidi w:val="0"/>
        <w:adjustRightInd w:val="0"/>
        <w:snapToGrid w:val="0"/>
        <w:spacing w:line="560" w:lineRule="exact"/>
        <w:ind w:firstLine="0"/>
        <w:jc w:val="left"/>
        <w:textAlignment w:val="auto"/>
        <w:rPr>
          <w:rFonts w:hint="eastAsia" w:ascii="Times New Roman" w:hAnsi="Times New Roman" w:eastAsia="宋体" w:cs="宋体"/>
          <w:b/>
          <w:bCs/>
          <w:sz w:val="21"/>
          <w:szCs w:val="21"/>
          <w:highlight w:val="none"/>
          <w:lang w:eastAsia="zh-CN"/>
        </w:rPr>
      </w:pPr>
      <w:r>
        <w:rPr>
          <w:rFonts w:hint="eastAsia" w:ascii="Times New Roman" w:hAnsi="Times New Roman" w:eastAsia="宋体" w:cs="仿宋"/>
          <w:b/>
          <w:color w:val="000000"/>
          <w:sz w:val="21"/>
          <w:szCs w:val="21"/>
          <w:highlight w:val="none"/>
        </w:rPr>
        <w:t>1.4时间安排：</w:t>
      </w:r>
    </w:p>
    <w:p w14:paraId="71851144">
      <w:pPr>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eastAsia="宋体" w:cs="仿宋"/>
          <w:b/>
          <w:sz w:val="21"/>
          <w:szCs w:val="21"/>
          <w:highlight w:val="none"/>
        </w:rPr>
      </w:pPr>
    </w:p>
    <w:p w14:paraId="2D46F023">
      <w:pPr>
        <w:keepNext w:val="0"/>
        <w:keepLines w:val="0"/>
        <w:pageBreakBefore w:val="0"/>
        <w:widowControl w:val="0"/>
        <w:kinsoku/>
        <w:wordWrap/>
        <w:overflowPunct/>
        <w:topLinePunct w:val="0"/>
        <w:autoSpaceDE/>
        <w:autoSpaceDN/>
        <w:bidi w:val="0"/>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第二条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合同费用及履约担保</w:t>
      </w:r>
    </w:p>
    <w:p w14:paraId="44D0A634">
      <w:pPr>
        <w:keepNext w:val="0"/>
        <w:keepLines w:val="0"/>
        <w:pageBreakBefore w:val="0"/>
        <w:widowControl w:val="0"/>
        <w:kinsoku/>
        <w:wordWrap/>
        <w:overflowPunct/>
        <w:topLinePunct w:val="0"/>
        <w:autoSpaceDE/>
        <w:autoSpaceDN/>
        <w:bidi w:val="0"/>
        <w:spacing w:line="560" w:lineRule="exact"/>
        <w:ind w:firstLine="0" w:firstLineChars="0"/>
        <w:textAlignment w:val="auto"/>
        <w:outlineLvl w:val="0"/>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2.1 合同费用</w:t>
      </w:r>
    </w:p>
    <w:p w14:paraId="547EB418">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Times New Roman" w:hAnsi="Times New Roman" w:eastAsia="宋体" w:cs="仿宋"/>
          <w:sz w:val="21"/>
          <w:szCs w:val="21"/>
          <w:highlight w:val="none"/>
          <w:u w:val="single"/>
          <w:lang w:val="en-US" w:eastAsia="zh-CN"/>
        </w:rPr>
      </w:pPr>
      <w:r>
        <w:rPr>
          <w:rFonts w:hint="eastAsia" w:ascii="Times New Roman" w:hAnsi="Times New Roman" w:eastAsia="宋体" w:cs="仿宋"/>
          <w:sz w:val="21"/>
          <w:szCs w:val="21"/>
          <w:highlight w:val="none"/>
        </w:rPr>
        <w:t>除合同另有规定外，乙方按合同约定提供全部培训服务的</w:t>
      </w:r>
      <w:r>
        <w:rPr>
          <w:rFonts w:hint="eastAsia" w:ascii="Times New Roman" w:hAnsi="Times New Roman" w:eastAsia="宋体" w:cs="仿宋"/>
          <w:sz w:val="21"/>
          <w:szCs w:val="21"/>
          <w:highlight w:val="none"/>
          <w:lang w:val="en-US" w:eastAsia="zh-CN"/>
        </w:rPr>
        <w:t>预估</w:t>
      </w:r>
      <w:r>
        <w:rPr>
          <w:rFonts w:hint="eastAsia" w:ascii="Times New Roman" w:hAnsi="Times New Roman" w:eastAsia="宋体" w:cs="仿宋"/>
          <w:sz w:val="21"/>
          <w:szCs w:val="21"/>
          <w:highlight w:val="none"/>
        </w:rPr>
        <w:t>费用</w:t>
      </w:r>
      <w:r>
        <w:rPr>
          <w:rFonts w:hint="eastAsia" w:ascii="Times New Roman" w:hAnsi="Times New Roman" w:eastAsia="宋体" w:cs="宋体"/>
          <w:color w:val="auto"/>
          <w:spacing w:val="0"/>
          <w:sz w:val="21"/>
          <w:szCs w:val="21"/>
          <w:highlight w:val="none"/>
          <w:lang w:eastAsia="zh-CN"/>
        </w:rPr>
        <w:t>（</w:t>
      </w:r>
      <w:r>
        <w:rPr>
          <w:rFonts w:hint="eastAsia" w:ascii="Times New Roman" w:hAnsi="Times New Roman" w:eastAsia="宋体" w:cs="宋体"/>
          <w:color w:val="auto"/>
          <w:spacing w:val="0"/>
          <w:sz w:val="21"/>
          <w:szCs w:val="21"/>
          <w:highlight w:val="none"/>
          <w:lang w:val="en-US" w:eastAsia="zh-CN"/>
        </w:rPr>
        <w:t>合同金额上限</w:t>
      </w:r>
      <w:r>
        <w:rPr>
          <w:rFonts w:hint="eastAsia" w:ascii="Times New Roman" w:hAnsi="Times New Roman" w:eastAsia="宋体" w:cs="宋体"/>
          <w:color w:val="auto"/>
          <w:spacing w:val="0"/>
          <w:sz w:val="21"/>
          <w:szCs w:val="21"/>
          <w:highlight w:val="none"/>
          <w:lang w:eastAsia="zh-CN"/>
        </w:rPr>
        <w:t>）为人民币（大写）</w:t>
      </w:r>
      <w:r>
        <w:rPr>
          <w:rFonts w:hint="eastAsia" w:ascii="Times New Roman" w:hAnsi="Times New Roman" w:eastAsia="宋体" w:cs="宋体"/>
          <w:b/>
          <w:bCs/>
          <w:color w:val="auto"/>
          <w:spacing w:val="0"/>
          <w:sz w:val="21"/>
          <w:szCs w:val="21"/>
          <w:highlight w:val="none"/>
          <w:u w:val="single"/>
          <w:lang w:val="en-US" w:eastAsia="zh-CN"/>
        </w:rPr>
        <w:t xml:space="preserve">      </w:t>
      </w:r>
      <w:r>
        <w:rPr>
          <w:rFonts w:hint="eastAsia" w:ascii="Times New Roman" w:hAnsi="Times New Roman" w:eastAsia="宋体" w:cs="宋体"/>
          <w:b/>
          <w:bCs/>
          <w:color w:val="auto"/>
          <w:spacing w:val="0"/>
          <w:sz w:val="21"/>
          <w:szCs w:val="21"/>
          <w:highlight w:val="none"/>
          <w:lang w:eastAsia="zh-CN"/>
        </w:rPr>
        <w:t>(</w:t>
      </w:r>
      <w:r>
        <w:rPr>
          <w:rFonts w:hint="default" w:ascii="Times New Roman" w:hAnsi="Times New Roman" w:eastAsia="宋体" w:cs="宋体"/>
          <w:b/>
          <w:bCs/>
          <w:color w:val="auto"/>
          <w:spacing w:val="0"/>
          <w:sz w:val="21"/>
          <w:szCs w:val="21"/>
          <w:highlight w:val="none"/>
          <w:lang w:eastAsia="zh-CN"/>
        </w:rPr>
        <w:t>¥</w:t>
      </w:r>
      <w:r>
        <w:rPr>
          <w:rFonts w:hint="eastAsia" w:ascii="Times New Roman" w:hAnsi="Times New Roman" w:eastAsia="宋体" w:cs="仿宋"/>
          <w:b/>
          <w:bCs/>
          <w:sz w:val="21"/>
          <w:szCs w:val="21"/>
          <w:highlight w:val="none"/>
          <w:u w:val="single"/>
          <w:lang w:val="en-US" w:eastAsia="zh-CN"/>
        </w:rPr>
        <w:t xml:space="preserve">        </w:t>
      </w:r>
      <w:r>
        <w:rPr>
          <w:rFonts w:hint="eastAsia" w:ascii="Times New Roman" w:hAnsi="Times New Roman" w:eastAsia="宋体" w:cs="宋体"/>
          <w:b/>
          <w:bCs/>
          <w:color w:val="auto"/>
          <w:spacing w:val="0"/>
          <w:sz w:val="21"/>
          <w:szCs w:val="21"/>
          <w:highlight w:val="none"/>
          <w:lang w:eastAsia="zh-CN"/>
        </w:rPr>
        <w:t>)（含税）</w:t>
      </w:r>
      <w:r>
        <w:rPr>
          <w:rFonts w:hint="eastAsia" w:ascii="Times New Roman" w:hAnsi="Times New Roman" w:eastAsia="宋体" w:cs="宋体"/>
          <w:color w:val="auto"/>
          <w:spacing w:val="0"/>
          <w:sz w:val="21"/>
          <w:szCs w:val="21"/>
          <w:highlight w:val="none"/>
          <w:lang w:eastAsia="zh-CN"/>
        </w:rPr>
        <w:t>，</w:t>
      </w:r>
      <w:r>
        <w:rPr>
          <w:rFonts w:hint="eastAsia" w:ascii="Times New Roman" w:hAnsi="Times New Roman" w:eastAsia="宋体" w:cs="宋体"/>
          <w:color w:val="auto"/>
          <w:spacing w:val="0"/>
          <w:sz w:val="21"/>
          <w:szCs w:val="21"/>
          <w:highlight w:val="none"/>
          <w:lang w:val="en-US" w:eastAsia="zh-CN"/>
        </w:rPr>
        <w:t>不</w:t>
      </w:r>
      <w:r>
        <w:rPr>
          <w:rFonts w:hint="eastAsia" w:ascii="Times New Roman" w:hAnsi="Times New Roman" w:eastAsia="宋体" w:cs="宋体"/>
          <w:color w:val="auto"/>
          <w:spacing w:val="0"/>
          <w:sz w:val="21"/>
          <w:szCs w:val="21"/>
          <w:highlight w:val="none"/>
          <w:lang w:eastAsia="zh-CN"/>
        </w:rPr>
        <w:t>含税价（</w:t>
      </w:r>
      <w:r>
        <w:rPr>
          <w:rFonts w:hint="eastAsia" w:ascii="Times New Roman" w:hAnsi="Times New Roman" w:eastAsia="宋体" w:cs="宋体"/>
          <w:color w:val="auto"/>
          <w:spacing w:val="0"/>
          <w:sz w:val="21"/>
          <w:szCs w:val="21"/>
          <w:highlight w:val="none"/>
          <w:lang w:val="en-US" w:eastAsia="zh-CN"/>
        </w:rPr>
        <w:t>合同金额上限</w:t>
      </w:r>
      <w:r>
        <w:rPr>
          <w:rFonts w:hint="eastAsia" w:ascii="Times New Roman" w:hAnsi="Times New Roman" w:eastAsia="宋体" w:cs="宋体"/>
          <w:color w:val="auto"/>
          <w:spacing w:val="0"/>
          <w:sz w:val="21"/>
          <w:szCs w:val="21"/>
          <w:highlight w:val="none"/>
          <w:lang w:eastAsia="zh-CN"/>
        </w:rPr>
        <w:t>）</w:t>
      </w:r>
      <w:r>
        <w:rPr>
          <w:rFonts w:hint="eastAsia" w:ascii="Times New Roman" w:hAnsi="Times New Roman" w:eastAsia="宋体" w:cs="宋体"/>
          <w:color w:val="auto"/>
          <w:spacing w:val="0"/>
          <w:sz w:val="21"/>
          <w:szCs w:val="21"/>
          <w:highlight w:val="none"/>
          <w:lang w:val="en-US" w:eastAsia="zh-CN"/>
        </w:rPr>
        <w:t>为人</w:t>
      </w:r>
      <w:r>
        <w:rPr>
          <w:rFonts w:hint="eastAsia" w:ascii="Times New Roman" w:hAnsi="Times New Roman" w:eastAsia="宋体" w:cs="宋体"/>
          <w:color w:val="auto"/>
          <w:spacing w:val="0"/>
          <w:sz w:val="21"/>
          <w:szCs w:val="21"/>
          <w:highlight w:val="none"/>
          <w:lang w:eastAsia="zh-CN"/>
        </w:rPr>
        <w:t>民币（大写）</w:t>
      </w:r>
      <w:r>
        <w:rPr>
          <w:rFonts w:hint="eastAsia" w:ascii="Times New Roman" w:hAnsi="Times New Roman" w:eastAsia="宋体" w:cs="宋体"/>
          <w:b/>
          <w:bCs/>
          <w:color w:val="auto"/>
          <w:spacing w:val="0"/>
          <w:sz w:val="21"/>
          <w:szCs w:val="21"/>
          <w:highlight w:val="none"/>
          <w:u w:val="single"/>
          <w:lang w:val="en-US" w:eastAsia="zh-CN"/>
        </w:rPr>
        <w:t xml:space="preserve">      (</w:t>
      </w:r>
      <w:r>
        <w:rPr>
          <w:rFonts w:hint="default" w:ascii="Times New Roman" w:hAnsi="Times New Roman" w:eastAsia="宋体" w:cs="宋体"/>
          <w:b/>
          <w:bCs/>
          <w:color w:val="auto"/>
          <w:spacing w:val="0"/>
          <w:sz w:val="21"/>
          <w:szCs w:val="21"/>
          <w:highlight w:val="none"/>
          <w:lang w:eastAsia="zh-CN"/>
        </w:rPr>
        <w:t>¥</w:t>
      </w:r>
      <w:r>
        <w:rPr>
          <w:rFonts w:hint="eastAsia" w:ascii="Times New Roman" w:hAnsi="Times New Roman" w:eastAsia="宋体" w:cs="仿宋"/>
          <w:b/>
          <w:bCs/>
          <w:sz w:val="21"/>
          <w:szCs w:val="21"/>
          <w:highlight w:val="none"/>
          <w:u w:val="single"/>
          <w:lang w:val="en-US" w:eastAsia="zh-CN"/>
        </w:rPr>
        <w:t xml:space="preserve">       </w:t>
      </w:r>
      <w:r>
        <w:rPr>
          <w:rFonts w:hint="eastAsia" w:ascii="Times New Roman" w:hAnsi="Times New Roman" w:eastAsia="宋体" w:cs="宋体"/>
          <w:b/>
          <w:bCs/>
          <w:color w:val="auto"/>
          <w:spacing w:val="0"/>
          <w:sz w:val="21"/>
          <w:szCs w:val="21"/>
          <w:highlight w:val="none"/>
          <w:lang w:eastAsia="zh-CN"/>
        </w:rPr>
        <w:t>)</w:t>
      </w:r>
      <w:r>
        <w:rPr>
          <w:rFonts w:hint="eastAsia" w:ascii="Times New Roman" w:hAnsi="Times New Roman" w:eastAsia="宋体" w:cs="宋体"/>
          <w:color w:val="auto"/>
          <w:spacing w:val="0"/>
          <w:sz w:val="21"/>
          <w:szCs w:val="21"/>
          <w:highlight w:val="none"/>
          <w:lang w:eastAsia="zh-CN"/>
        </w:rPr>
        <w:t>，税率为</w:t>
      </w:r>
      <w:r>
        <w:rPr>
          <w:rFonts w:hint="eastAsia" w:ascii="Times New Roman" w:hAnsi="Times New Roman" w:eastAsia="宋体" w:cs="宋体"/>
          <w:b/>
          <w:bCs/>
          <w:color w:val="auto"/>
          <w:spacing w:val="0"/>
          <w:sz w:val="21"/>
          <w:szCs w:val="21"/>
          <w:highlight w:val="none"/>
          <w:u w:val="single"/>
          <w:lang w:val="en-US" w:eastAsia="zh-CN"/>
        </w:rPr>
        <w:t xml:space="preserve">     </w:t>
      </w:r>
      <w:r>
        <w:rPr>
          <w:rFonts w:hint="eastAsia" w:ascii="Times New Roman" w:hAnsi="Times New Roman" w:eastAsia="宋体" w:cs="宋体"/>
          <w:b/>
          <w:bCs/>
          <w:color w:val="auto"/>
          <w:spacing w:val="0"/>
          <w:sz w:val="21"/>
          <w:szCs w:val="21"/>
          <w:highlight w:val="none"/>
          <w:lang w:eastAsia="zh-CN"/>
        </w:rPr>
        <w:t>%</w:t>
      </w:r>
      <w:r>
        <w:rPr>
          <w:rFonts w:hint="eastAsia" w:ascii="Times New Roman" w:hAnsi="Times New Roman" w:eastAsia="宋体" w:cs="宋体"/>
          <w:color w:val="auto"/>
          <w:spacing w:val="0"/>
          <w:sz w:val="21"/>
          <w:szCs w:val="21"/>
          <w:highlight w:val="none"/>
          <w:lang w:eastAsia="zh-CN"/>
        </w:rPr>
        <w:t>。</w:t>
      </w:r>
      <w:r>
        <w:rPr>
          <w:rFonts w:hint="eastAsia" w:ascii="Times New Roman" w:hAnsi="Times New Roman" w:eastAsia="宋体" w:cs="仿宋"/>
          <w:sz w:val="21"/>
          <w:szCs w:val="21"/>
          <w:highlight w:val="none"/>
          <w:lang w:val="en-US" w:eastAsia="zh-CN"/>
        </w:rPr>
        <w:t xml:space="preserve"> </w:t>
      </w:r>
    </w:p>
    <w:p w14:paraId="0C31F61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2.2合同费用组成</w:t>
      </w:r>
    </w:p>
    <w:p w14:paraId="0019ADD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sz w:val="21"/>
          <w:szCs w:val="21"/>
          <w:highlight w:val="none"/>
        </w:rPr>
      </w:pPr>
      <w:r>
        <w:rPr>
          <w:rFonts w:hint="eastAsia" w:ascii="Times New Roman" w:hAnsi="Times New Roman" w:eastAsia="宋体" w:cs="宋体"/>
          <w:sz w:val="21"/>
          <w:szCs w:val="21"/>
          <w:highlight w:val="none"/>
        </w:rPr>
        <w:t>合同费用包括：</w:t>
      </w:r>
      <w:r>
        <w:rPr>
          <w:rFonts w:hint="eastAsia" w:ascii="Times New Roman" w:hAnsi="Times New Roman" w:eastAsia="宋体" w:cs="宋体"/>
          <w:sz w:val="21"/>
          <w:szCs w:val="21"/>
          <w:highlight w:val="none"/>
          <w:u w:val="single"/>
          <w:lang w:val="en-US" w:eastAsia="zh-CN"/>
        </w:rPr>
        <w:t xml:space="preserve">       </w:t>
      </w:r>
      <w:r>
        <w:rPr>
          <w:rFonts w:hint="eastAsia" w:ascii="Times New Roman" w:hAnsi="Times New Roman" w:eastAsia="宋体" w:cs="宋体"/>
          <w:sz w:val="21"/>
          <w:szCs w:val="21"/>
          <w:highlight w:val="none"/>
        </w:rPr>
        <w:t>等全部费用，具体组成见合同附件二价格明细表。</w:t>
      </w:r>
    </w:p>
    <w:p w14:paraId="71D6E50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0"/>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 xml:space="preserve">2.3 </w:t>
      </w:r>
      <w:r>
        <w:rPr>
          <w:rFonts w:hint="eastAsia" w:ascii="宋体" w:hAnsi="宋体" w:cs="仿宋"/>
          <w:b/>
          <w:sz w:val="24"/>
          <w:highlight w:val="none"/>
        </w:rPr>
        <w:t>付款采用下列第</w:t>
      </w:r>
      <w:r>
        <w:rPr>
          <w:rFonts w:hint="eastAsia" w:ascii="宋体" w:hAnsi="宋体" w:cs="仿宋"/>
          <w:b/>
          <w:sz w:val="24"/>
          <w:highlight w:val="none"/>
          <w:u w:val="single"/>
          <w:lang w:val="en-US" w:eastAsia="zh-CN"/>
        </w:rPr>
        <w:t xml:space="preserve">  </w:t>
      </w:r>
      <w:r>
        <w:rPr>
          <w:rFonts w:ascii="宋体" w:hAnsi="宋体" w:cs="仿宋"/>
          <w:b/>
          <w:sz w:val="24"/>
          <w:highlight w:val="none"/>
          <w:u w:val="single"/>
        </w:rPr>
        <w:t>2</w:t>
      </w:r>
      <w:r>
        <w:rPr>
          <w:rFonts w:hint="eastAsia" w:ascii="宋体" w:hAnsi="宋体" w:cs="仿宋"/>
          <w:b/>
          <w:sz w:val="24"/>
          <w:highlight w:val="none"/>
          <w:u w:val="single"/>
          <w:lang w:val="en-US" w:eastAsia="zh-CN"/>
        </w:rPr>
        <w:t xml:space="preserve">  </w:t>
      </w:r>
      <w:r>
        <w:rPr>
          <w:rFonts w:hint="eastAsia" w:ascii="宋体" w:hAnsi="宋体" w:cs="仿宋"/>
          <w:b/>
          <w:sz w:val="24"/>
          <w:highlight w:val="none"/>
        </w:rPr>
        <w:t>种方式进行：</w:t>
      </w:r>
      <w:r>
        <w:rPr>
          <w:rFonts w:hint="eastAsia" w:ascii="Times New Roman" w:hAnsi="Times New Roman" w:eastAsia="宋体" w:cs="仿宋"/>
          <w:b/>
          <w:sz w:val="21"/>
          <w:szCs w:val="21"/>
          <w:highlight w:val="none"/>
        </w:rPr>
        <w:t>：</w:t>
      </w:r>
    </w:p>
    <w:p w14:paraId="35D4A8D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仿宋"/>
          <w:sz w:val="21"/>
          <w:szCs w:val="21"/>
          <w:highlight w:val="none"/>
        </w:rPr>
      </w:pPr>
      <w:r>
        <w:rPr>
          <w:rFonts w:hint="eastAsia" w:ascii="Times New Roman" w:hAnsi="Times New Roman" w:eastAsia="宋体" w:cs="仿宋"/>
          <w:sz w:val="21"/>
          <w:szCs w:val="21"/>
          <w:highlight w:val="none"/>
        </w:rPr>
        <w:t xml:space="preserve"> 1.一次性付款</w:t>
      </w:r>
    </w:p>
    <w:p w14:paraId="4D019AB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仿宋"/>
          <w:sz w:val="21"/>
          <w:szCs w:val="21"/>
          <w:highlight w:val="none"/>
        </w:rPr>
      </w:pPr>
      <w:r>
        <w:rPr>
          <w:rFonts w:hint="eastAsia" w:ascii="Times New Roman" w:hAnsi="Times New Roman" w:eastAsia="宋体" w:cs="仿宋"/>
          <w:sz w:val="21"/>
          <w:szCs w:val="21"/>
          <w:highlight w:val="none"/>
        </w:rPr>
        <w:t xml:space="preserve">    (1)在本项目培训结束经甲方验收合格后，乙方须提交经甲方确认正确无误的税率为______%的增值税专用发票作为付款凭据，甲方一次性付清。</w:t>
      </w:r>
    </w:p>
    <w:p w14:paraId="08928E7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仿宋"/>
          <w:sz w:val="21"/>
          <w:szCs w:val="21"/>
          <w:highlight w:val="none"/>
        </w:rPr>
      </w:pPr>
      <w:r>
        <w:rPr>
          <w:rFonts w:hint="eastAsia" w:ascii="Times New Roman" w:hAnsi="Times New Roman" w:eastAsia="宋体" w:cs="仿宋"/>
          <w:sz w:val="21"/>
          <w:szCs w:val="21"/>
          <w:highlight w:val="none"/>
          <w:lang w:val="en-US" w:eastAsia="zh-CN"/>
        </w:rPr>
        <w:t>2.</w:t>
      </w:r>
      <w:r>
        <w:rPr>
          <w:rFonts w:hint="eastAsia" w:ascii="Times New Roman" w:hAnsi="Times New Roman" w:eastAsia="宋体" w:cs="仿宋"/>
          <w:sz w:val="21"/>
          <w:szCs w:val="21"/>
          <w:highlight w:val="none"/>
        </w:rPr>
        <w:t>分阶段付款：</w:t>
      </w:r>
    </w:p>
    <w:p w14:paraId="77A2DF8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sz w:val="21"/>
          <w:szCs w:val="21"/>
          <w:highlight w:val="none"/>
        </w:rPr>
      </w:pPr>
      <w:r>
        <w:rPr>
          <w:rFonts w:hint="eastAsia" w:ascii="宋体" w:hAnsi="宋体" w:cs="宋体"/>
          <w:color w:val="000000"/>
          <w:kern w:val="0"/>
          <w:sz w:val="21"/>
          <w:szCs w:val="21"/>
          <w:highlight w:val="none"/>
          <w:lang w:val="en-US" w:eastAsia="zh-CN" w:bidi="ar"/>
        </w:rPr>
        <w:t>分批次付款：除合同另有约定外，每批次培训结束后，乙方须向甲方提交符合要求的增值税专用发票作为付款凭据，甲方在收到该发票并确认无误后</w:t>
      </w:r>
      <w:r>
        <w:rPr>
          <w:rFonts w:hint="eastAsia" w:ascii="宋体" w:hAnsi="宋体" w:cs="宋体"/>
          <w:color w:val="000000"/>
          <w:kern w:val="0"/>
          <w:sz w:val="21"/>
          <w:szCs w:val="21"/>
          <w:highlight w:val="none"/>
          <w:u w:val="single"/>
          <w:lang w:val="en-US" w:eastAsia="zh-CN" w:bidi="ar"/>
        </w:rPr>
        <w:t>30</w:t>
      </w:r>
      <w:r>
        <w:rPr>
          <w:rFonts w:hint="eastAsia" w:ascii="宋体" w:hAnsi="宋体" w:cs="宋体"/>
          <w:color w:val="000000"/>
          <w:kern w:val="0"/>
          <w:sz w:val="21"/>
          <w:szCs w:val="21"/>
          <w:highlight w:val="none"/>
          <w:lang w:val="en-US" w:eastAsia="zh-CN" w:bidi="ar"/>
        </w:rPr>
        <w:t>个工作日内，按该批次实际发生的培训人数向乙方支付相应款项。</w:t>
      </w:r>
    </w:p>
    <w:p w14:paraId="35A90C1D">
      <w:pPr>
        <w:pStyle w:val="14"/>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2.4 合同价款以</w:t>
      </w:r>
      <w:r>
        <w:rPr>
          <w:rFonts w:hint="eastAsia" w:ascii="Times New Roman" w:hAnsi="Times New Roman" w:eastAsia="宋体" w:cs="仿宋"/>
          <w:sz w:val="21"/>
          <w:szCs w:val="21"/>
          <w:highlight w:val="none"/>
          <w:u w:val="single"/>
          <w:lang w:val="en-US" w:eastAsia="zh-CN"/>
        </w:rPr>
        <w:t xml:space="preserve"> </w:t>
      </w:r>
      <w:r>
        <w:rPr>
          <w:rFonts w:hint="eastAsia" w:ascii="Times New Roman" w:hAnsi="Times New Roman" w:eastAsia="宋体" w:cs="仿宋"/>
          <w:sz w:val="21"/>
          <w:szCs w:val="21"/>
          <w:highlight w:val="none"/>
          <w:u w:val="single"/>
        </w:rPr>
        <w:t>银行转账</w:t>
      </w:r>
      <w:r>
        <w:rPr>
          <w:rFonts w:hint="eastAsia" w:ascii="Times New Roman" w:hAnsi="Times New Roman" w:eastAsia="宋体" w:cs="仿宋"/>
          <w:sz w:val="21"/>
          <w:szCs w:val="21"/>
          <w:highlight w:val="none"/>
          <w:u w:val="single"/>
          <w:lang w:val="en-US" w:eastAsia="zh-CN"/>
        </w:rPr>
        <w:t xml:space="preserve"> </w:t>
      </w:r>
      <w:r>
        <w:rPr>
          <w:rFonts w:hint="eastAsia" w:ascii="Times New Roman" w:hAnsi="Times New Roman" w:eastAsia="宋体" w:cs="仿宋"/>
          <w:sz w:val="21"/>
          <w:szCs w:val="21"/>
          <w:highlight w:val="none"/>
        </w:rPr>
        <w:t>的方式支付。</w:t>
      </w:r>
    </w:p>
    <w:p w14:paraId="56D6EB83">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乙方银行账户信息确认如下：</w:t>
      </w:r>
    </w:p>
    <w:p w14:paraId="7726C64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宋体"/>
          <w:spacing w:val="0"/>
          <w:sz w:val="21"/>
          <w:szCs w:val="21"/>
          <w:highlight w:val="none"/>
          <w:lang w:eastAsia="zh-CN"/>
        </w:rPr>
      </w:pPr>
      <w:r>
        <w:rPr>
          <w:rFonts w:hint="eastAsia" w:ascii="Times New Roman" w:hAnsi="Times New Roman" w:eastAsia="宋体" w:cs="宋体"/>
          <w:spacing w:val="0"/>
          <w:sz w:val="21"/>
          <w:szCs w:val="21"/>
          <w:highlight w:val="none"/>
          <w:lang w:eastAsia="zh-CN"/>
        </w:rPr>
        <w:t xml:space="preserve">账户名：               </w:t>
      </w:r>
    </w:p>
    <w:p w14:paraId="43769AF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宋体"/>
          <w:spacing w:val="0"/>
          <w:sz w:val="21"/>
          <w:szCs w:val="21"/>
          <w:highlight w:val="none"/>
          <w:lang w:eastAsia="zh-CN"/>
        </w:rPr>
      </w:pPr>
      <w:r>
        <w:rPr>
          <w:rFonts w:hint="eastAsia" w:ascii="Times New Roman" w:hAnsi="Times New Roman" w:eastAsia="宋体" w:cs="宋体"/>
          <w:spacing w:val="0"/>
          <w:sz w:val="21"/>
          <w:szCs w:val="21"/>
          <w:highlight w:val="none"/>
          <w:lang w:eastAsia="zh-CN"/>
        </w:rPr>
        <w:t xml:space="preserve">开户行：                    </w:t>
      </w:r>
    </w:p>
    <w:p w14:paraId="4E6064B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spacing w:val="0"/>
          <w:sz w:val="21"/>
          <w:szCs w:val="21"/>
          <w:highlight w:val="none"/>
          <w:lang w:eastAsia="zh-CN"/>
        </w:rPr>
      </w:pPr>
      <w:r>
        <w:rPr>
          <w:rFonts w:hint="eastAsia" w:ascii="Times New Roman" w:hAnsi="Times New Roman" w:eastAsia="宋体" w:cs="宋体"/>
          <w:spacing w:val="0"/>
          <w:sz w:val="21"/>
          <w:szCs w:val="21"/>
          <w:highlight w:val="none"/>
          <w:lang w:eastAsia="zh-CN"/>
        </w:rPr>
        <w:t xml:space="preserve">账号：  </w:t>
      </w:r>
    </w:p>
    <w:p w14:paraId="7D42F7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b w:val="0"/>
          <w:bCs/>
          <w:color w:val="auto"/>
          <w:sz w:val="21"/>
          <w:szCs w:val="21"/>
          <w:highlight w:val="none"/>
          <w:lang w:val="en-US" w:eastAsia="zh-CN"/>
        </w:rPr>
      </w:pPr>
      <w:r>
        <w:rPr>
          <w:rFonts w:hint="eastAsia" w:ascii="Times New Roman" w:hAnsi="Times New Roman" w:eastAsia="宋体" w:cs="宋体"/>
          <w:b w:val="0"/>
          <w:bCs/>
          <w:color w:val="auto"/>
          <w:sz w:val="21"/>
          <w:szCs w:val="21"/>
          <w:highlight w:val="none"/>
          <w:lang w:val="en-US" w:eastAsia="zh-CN"/>
        </w:rPr>
        <w:t>甲方开票信息确认如下：</w:t>
      </w:r>
    </w:p>
    <w:p w14:paraId="254081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b w:val="0"/>
          <w:bCs/>
          <w:color w:val="auto"/>
          <w:sz w:val="21"/>
          <w:szCs w:val="21"/>
          <w:highlight w:val="none"/>
          <w:lang w:val="en-US" w:eastAsia="zh-CN"/>
        </w:rPr>
      </w:pPr>
      <w:r>
        <w:rPr>
          <w:rFonts w:hint="eastAsia" w:ascii="Times New Roman" w:hAnsi="Times New Roman" w:eastAsia="宋体" w:cs="宋体"/>
          <w:b w:val="0"/>
          <w:bCs/>
          <w:color w:val="auto"/>
          <w:sz w:val="21"/>
          <w:szCs w:val="21"/>
          <w:highlight w:val="none"/>
          <w:lang w:val="en-US" w:eastAsia="zh-CN"/>
        </w:rPr>
        <w:t>单位名称：</w:t>
      </w:r>
      <w:r>
        <w:rPr>
          <w:rFonts w:hint="eastAsia" w:ascii="Times New Roman" w:hAnsi="Times New Roman" w:eastAsia="宋体" w:cs="宋体"/>
          <w:b w:val="0"/>
          <w:bCs/>
          <w:color w:val="auto"/>
          <w:sz w:val="21"/>
          <w:szCs w:val="21"/>
          <w:highlight w:val="none"/>
          <w:u w:val="single"/>
          <w:lang w:val="en-US" w:eastAsia="zh-CN"/>
        </w:rPr>
        <w:t>滁州市轨道交通运营有限公司</w:t>
      </w:r>
      <w:r>
        <w:rPr>
          <w:rFonts w:hint="eastAsia" w:ascii="Times New Roman" w:hAnsi="Times New Roman" w:eastAsia="宋体" w:cs="宋体"/>
          <w:b w:val="0"/>
          <w:bCs/>
          <w:color w:val="auto"/>
          <w:sz w:val="21"/>
          <w:szCs w:val="21"/>
          <w:highlight w:val="none"/>
          <w:lang w:val="en-US" w:eastAsia="zh-CN"/>
        </w:rPr>
        <w:t xml:space="preserve">                                    </w:t>
      </w:r>
    </w:p>
    <w:p w14:paraId="7D61F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b w:val="0"/>
          <w:bCs/>
          <w:color w:val="auto"/>
          <w:sz w:val="21"/>
          <w:szCs w:val="21"/>
          <w:highlight w:val="none"/>
          <w:lang w:val="en-US" w:eastAsia="zh-CN"/>
        </w:rPr>
      </w:pPr>
      <w:r>
        <w:rPr>
          <w:rFonts w:hint="eastAsia" w:ascii="Times New Roman" w:hAnsi="Times New Roman" w:eastAsia="宋体" w:cs="宋体"/>
          <w:b w:val="0"/>
          <w:bCs/>
          <w:color w:val="auto"/>
          <w:sz w:val="21"/>
          <w:szCs w:val="21"/>
          <w:highlight w:val="none"/>
          <w:lang w:val="en-US" w:eastAsia="zh-CN"/>
        </w:rPr>
        <w:t>纳税人识别号：</w:t>
      </w:r>
      <w:r>
        <w:rPr>
          <w:rFonts w:hint="eastAsia" w:ascii="Times New Roman" w:hAnsi="Times New Roman" w:eastAsia="宋体" w:cs="宋体"/>
          <w:b w:val="0"/>
          <w:bCs/>
          <w:color w:val="auto"/>
          <w:sz w:val="21"/>
          <w:szCs w:val="21"/>
          <w:highlight w:val="none"/>
          <w:u w:val="single"/>
          <w:lang w:val="en-US" w:eastAsia="zh-CN"/>
        </w:rPr>
        <w:t>91341100MA8N5FE85H</w:t>
      </w:r>
      <w:r>
        <w:rPr>
          <w:rFonts w:hint="eastAsia" w:ascii="Times New Roman" w:hAnsi="Times New Roman" w:eastAsia="宋体" w:cs="宋体"/>
          <w:b w:val="0"/>
          <w:bCs/>
          <w:color w:val="auto"/>
          <w:sz w:val="21"/>
          <w:szCs w:val="21"/>
          <w:highlight w:val="none"/>
          <w:lang w:val="en-US" w:eastAsia="zh-CN"/>
        </w:rPr>
        <w:t xml:space="preserve">                             </w:t>
      </w:r>
    </w:p>
    <w:p w14:paraId="6358FE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b w:val="0"/>
          <w:bCs/>
          <w:color w:val="auto"/>
          <w:sz w:val="21"/>
          <w:szCs w:val="21"/>
          <w:highlight w:val="none"/>
          <w:lang w:val="en-US" w:eastAsia="zh-CN"/>
        </w:rPr>
      </w:pPr>
      <w:r>
        <w:rPr>
          <w:rFonts w:hint="eastAsia" w:ascii="Times New Roman" w:hAnsi="Times New Roman" w:eastAsia="宋体" w:cs="宋体"/>
          <w:b w:val="0"/>
          <w:bCs/>
          <w:color w:val="auto"/>
          <w:sz w:val="21"/>
          <w:szCs w:val="21"/>
          <w:highlight w:val="none"/>
          <w:lang w:val="en-US" w:eastAsia="zh-CN"/>
        </w:rPr>
        <w:t>地址、电话：</w:t>
      </w:r>
      <w:r>
        <w:rPr>
          <w:rFonts w:hint="eastAsia" w:ascii="Times New Roman" w:hAnsi="Times New Roman" w:eastAsia="宋体" w:cs="宋体"/>
          <w:b w:val="0"/>
          <w:bCs/>
          <w:color w:val="auto"/>
          <w:sz w:val="21"/>
          <w:szCs w:val="21"/>
          <w:highlight w:val="none"/>
          <w:u w:val="single"/>
          <w:lang w:val="en-US" w:eastAsia="zh-CN"/>
        </w:rPr>
        <w:t>安徽省滁州市南谯区徽州路701号、0550-3352129</w:t>
      </w:r>
      <w:r>
        <w:rPr>
          <w:rFonts w:hint="eastAsia" w:ascii="Times New Roman" w:hAnsi="Times New Roman" w:eastAsia="宋体" w:cs="宋体"/>
          <w:b w:val="0"/>
          <w:bCs/>
          <w:color w:val="auto"/>
          <w:sz w:val="21"/>
          <w:szCs w:val="21"/>
          <w:highlight w:val="none"/>
          <w:lang w:val="en-US" w:eastAsia="zh-CN"/>
        </w:rPr>
        <w:t xml:space="preserve">                                 </w:t>
      </w:r>
    </w:p>
    <w:p w14:paraId="4E2EAD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b w:val="0"/>
          <w:bCs/>
          <w:color w:val="auto"/>
          <w:sz w:val="21"/>
          <w:szCs w:val="21"/>
          <w:highlight w:val="none"/>
          <w:u w:val="single"/>
          <w:lang w:val="en-US"/>
        </w:rPr>
      </w:pPr>
      <w:r>
        <w:rPr>
          <w:rFonts w:hint="eastAsia" w:ascii="Times New Roman" w:hAnsi="Times New Roman" w:eastAsia="宋体" w:cs="宋体"/>
          <w:b w:val="0"/>
          <w:bCs/>
          <w:color w:val="auto"/>
          <w:sz w:val="21"/>
          <w:szCs w:val="21"/>
          <w:highlight w:val="none"/>
          <w:lang w:val="en-US" w:eastAsia="zh-CN"/>
        </w:rPr>
        <w:t>开户行、账号：</w:t>
      </w:r>
      <w:r>
        <w:rPr>
          <w:rFonts w:hint="eastAsia" w:ascii="Times New Roman" w:hAnsi="Times New Roman" w:eastAsia="宋体" w:cs="宋体"/>
          <w:b w:val="0"/>
          <w:bCs/>
          <w:color w:val="auto"/>
          <w:sz w:val="21"/>
          <w:szCs w:val="21"/>
          <w:highlight w:val="none"/>
          <w:u w:val="single"/>
          <w:lang w:val="en-US" w:eastAsia="zh-CN"/>
        </w:rPr>
        <w:t>中信银行滁州分行营业部、8112301012400814542</w:t>
      </w:r>
    </w:p>
    <w:p w14:paraId="2A377C6D">
      <w:pPr>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2.5</w:t>
      </w:r>
      <w:r>
        <w:rPr>
          <w:rFonts w:hint="eastAsia" w:ascii="Times New Roman" w:hAnsi="Times New Roman" w:eastAsia="宋体" w:cs="仿宋"/>
          <w:sz w:val="21"/>
          <w:szCs w:val="21"/>
          <w:highlight w:val="none"/>
          <w:lang w:val="en-US" w:eastAsia="zh-CN"/>
        </w:rPr>
        <w:t xml:space="preserve"> </w:t>
      </w:r>
      <w:r>
        <w:rPr>
          <w:rFonts w:hint="eastAsia" w:ascii="Times New Roman" w:hAnsi="Times New Roman" w:eastAsia="宋体" w:cs="仿宋"/>
          <w:sz w:val="21"/>
          <w:szCs w:val="21"/>
          <w:highlight w:val="none"/>
        </w:rPr>
        <w:t>如甲方学员缺席培训的，双方按照缺席天数、缺席人员数量从合同结算款扣除相应的培训费用。</w:t>
      </w:r>
    </w:p>
    <w:p w14:paraId="779FBED9">
      <w:pPr>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hint="eastAsia" w:ascii="Times New Roman" w:hAnsi="Times New Roman" w:eastAsia="宋体" w:cs="仿宋"/>
          <w:sz w:val="21"/>
          <w:szCs w:val="21"/>
          <w:highlight w:val="none"/>
          <w:lang w:val="en-US" w:eastAsia="zh-CN"/>
        </w:rPr>
      </w:pPr>
      <w:r>
        <w:rPr>
          <w:rFonts w:hint="eastAsia" w:ascii="Times New Roman" w:hAnsi="Times New Roman" w:eastAsia="宋体" w:cs="仿宋"/>
          <w:sz w:val="21"/>
          <w:szCs w:val="21"/>
          <w:highlight w:val="none"/>
        </w:rPr>
        <w:t>2.6</w:t>
      </w:r>
      <w:r>
        <w:rPr>
          <w:rFonts w:hint="eastAsia" w:ascii="Times New Roman" w:hAnsi="Times New Roman" w:eastAsia="宋体" w:cs="仿宋"/>
          <w:sz w:val="21"/>
          <w:szCs w:val="21"/>
          <w:highlight w:val="none"/>
          <w:lang w:val="en-US" w:eastAsia="zh-CN"/>
        </w:rPr>
        <w:t xml:space="preserve"> </w:t>
      </w:r>
      <w:r>
        <w:rPr>
          <w:rFonts w:hint="eastAsia" w:ascii="宋体" w:hAnsi="宋体" w:cs="宋体"/>
          <w:color w:val="000000"/>
          <w:kern w:val="0"/>
          <w:sz w:val="21"/>
          <w:szCs w:val="21"/>
          <w:highlight w:val="none"/>
          <w:lang w:val="en-US" w:eastAsia="zh-CN" w:bidi="ar"/>
        </w:rPr>
        <w:t>每批次培训结束后，</w:t>
      </w:r>
      <w:r>
        <w:rPr>
          <w:rFonts w:hint="eastAsia" w:ascii="宋体" w:hAnsi="宋体" w:eastAsia="宋体" w:cs="宋体"/>
          <w:color w:val="000000"/>
          <w:kern w:val="0"/>
          <w:sz w:val="21"/>
          <w:szCs w:val="21"/>
          <w:highlight w:val="none"/>
          <w:lang w:val="en-US" w:eastAsia="zh-CN" w:bidi="ar"/>
        </w:rPr>
        <w:t>由甲方组织参训人员填写《培训效果评估表》，并以该批次评估平均分作为付款依据，评估平均分达到85分（含）以上的，甲方按该批次培训费用全额支付；评估平均分低于85分但不低于60分的，每减少5分（不足5分按5分计），扣减该批次培训费用的5%；评估平均分低于60分（不含）的，甲方有权不予支付该批次培训费用。</w:t>
      </w:r>
    </w:p>
    <w:p w14:paraId="13F6334D">
      <w:pPr>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2.7 本合同约定的为含税合同价款。在合同履行期间，如遇国家的税率调整或其他政策影响税率的，税率随变化而变化，则合同价款不做调整。 </w:t>
      </w:r>
    </w:p>
    <w:p w14:paraId="4637E568">
      <w:pPr>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2.</w:t>
      </w:r>
      <w:r>
        <w:rPr>
          <w:rFonts w:hint="eastAsia" w:ascii="Times New Roman" w:hAnsi="Times New Roman" w:eastAsia="宋体" w:cs="仿宋"/>
          <w:sz w:val="21"/>
          <w:szCs w:val="21"/>
          <w:highlight w:val="none"/>
          <w:lang w:val="en-US" w:eastAsia="zh-CN"/>
        </w:rPr>
        <w:t xml:space="preserve">8 </w:t>
      </w:r>
      <w:r>
        <w:rPr>
          <w:rFonts w:hint="eastAsia" w:ascii="Times New Roman" w:hAnsi="Times New Roman" w:eastAsia="宋体" w:cs="仿宋"/>
          <w:sz w:val="21"/>
          <w:szCs w:val="21"/>
          <w:highlight w:val="none"/>
        </w:rPr>
        <w:t>因乙方提供的发票不符合国家发票管理等法规及甲方要求，导致甲方从乙方取得的增值税专用发票被税务管理机关认定为不得作为增值税进项税额抵扣凭证或税前扣除凭据的，而给甲方造成的经济损失，由乙方负责赔偿。</w:t>
      </w:r>
    </w:p>
    <w:p w14:paraId="7902A081">
      <w:pPr>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ascii="Times New Roman" w:hAnsi="Times New Roman" w:eastAsia="宋体" w:cs="仿宋"/>
          <w:b/>
          <w:color w:val="FF0000"/>
          <w:sz w:val="21"/>
          <w:szCs w:val="21"/>
          <w:highlight w:val="none"/>
        </w:rPr>
      </w:pPr>
      <w:r>
        <w:rPr>
          <w:rFonts w:hint="eastAsia" w:ascii="Times New Roman" w:hAnsi="Times New Roman" w:eastAsia="宋体" w:cs="仿宋"/>
          <w:sz w:val="21"/>
          <w:szCs w:val="21"/>
          <w:highlight w:val="none"/>
        </w:rPr>
        <w:t>2.</w:t>
      </w:r>
      <w:r>
        <w:rPr>
          <w:rFonts w:hint="eastAsia" w:ascii="Times New Roman" w:hAnsi="Times New Roman" w:eastAsia="宋体" w:cs="仿宋"/>
          <w:sz w:val="21"/>
          <w:szCs w:val="21"/>
          <w:highlight w:val="none"/>
          <w:lang w:val="en-US" w:eastAsia="zh-CN"/>
        </w:rPr>
        <w:t xml:space="preserve">9 </w:t>
      </w:r>
      <w:r>
        <w:rPr>
          <w:rFonts w:hint="eastAsia" w:ascii="Times New Roman" w:hAnsi="Times New Roman" w:eastAsia="宋体" w:cs="仿宋"/>
          <w:sz w:val="21"/>
          <w:szCs w:val="21"/>
          <w:highlight w:val="none"/>
        </w:rPr>
        <w:t>履约担保</w:t>
      </w:r>
      <w:bookmarkStart w:id="82" w:name="_Toc198694697"/>
      <w:bookmarkStart w:id="83" w:name="_Toc198693812"/>
    </w:p>
    <w:p w14:paraId="7463C614">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ascii="Times New Roman" w:hAnsi="Times New Roman" w:eastAsia="宋体" w:cs="仿宋"/>
          <w:b/>
          <w:bCs/>
          <w:sz w:val="21"/>
          <w:szCs w:val="21"/>
          <w:highlight w:val="none"/>
        </w:rPr>
      </w:pPr>
      <w:r>
        <w:rPr>
          <w:rFonts w:hint="eastAsia" w:ascii="Times New Roman" w:hAnsi="Times New Roman" w:eastAsia="宋体" w:cs="仿宋"/>
          <w:sz w:val="21"/>
          <w:szCs w:val="21"/>
          <w:highlight w:val="none"/>
        </w:rPr>
        <w:t>1.在本合同签订时，乙方应向甲方提交履约保证金，本项目履约保证金的金额为</w:t>
      </w:r>
      <w:r>
        <w:rPr>
          <w:rFonts w:hint="eastAsia" w:ascii="Times New Roman" w:hAnsi="Times New Roman" w:eastAsia="宋体" w:cs="仿宋"/>
          <w:b/>
          <w:sz w:val="21"/>
          <w:szCs w:val="21"/>
          <w:highlight w:val="none"/>
        </w:rPr>
        <w:t>合同总价款</w:t>
      </w:r>
      <w:r>
        <w:rPr>
          <w:rFonts w:hint="eastAsia" w:ascii="Times New Roman" w:hAnsi="Times New Roman" w:eastAsia="宋体" w:cs="仿宋"/>
          <w:b/>
          <w:sz w:val="21"/>
          <w:szCs w:val="21"/>
          <w:highlight w:val="none"/>
          <w:lang w:eastAsia="zh-CN"/>
        </w:rPr>
        <w:t>（</w:t>
      </w:r>
      <w:r>
        <w:rPr>
          <w:rFonts w:hint="eastAsia" w:ascii="Times New Roman" w:hAnsi="Times New Roman" w:eastAsia="宋体" w:cs="仿宋"/>
          <w:b/>
          <w:sz w:val="21"/>
          <w:szCs w:val="21"/>
          <w:highlight w:val="none"/>
          <w:lang w:val="en-US" w:eastAsia="zh-CN"/>
        </w:rPr>
        <w:t>中标合同金额</w:t>
      </w:r>
      <w:r>
        <w:rPr>
          <w:rFonts w:hint="eastAsia" w:ascii="Times New Roman" w:hAnsi="Times New Roman" w:eastAsia="宋体" w:cs="仿宋"/>
          <w:b/>
          <w:sz w:val="21"/>
          <w:szCs w:val="21"/>
          <w:highlight w:val="none"/>
          <w:lang w:eastAsia="zh-CN"/>
        </w:rPr>
        <w:t>）</w:t>
      </w:r>
      <w:r>
        <w:rPr>
          <w:rFonts w:hint="eastAsia" w:ascii="Times New Roman" w:hAnsi="Times New Roman" w:eastAsia="宋体" w:cs="仿宋"/>
          <w:b/>
          <w:sz w:val="21"/>
          <w:szCs w:val="21"/>
          <w:highlight w:val="none"/>
          <w:lang w:val="en-US" w:eastAsia="zh-CN"/>
        </w:rPr>
        <w:t>的</w:t>
      </w:r>
      <w:r>
        <w:rPr>
          <w:rFonts w:hint="eastAsia" w:ascii="Times New Roman" w:hAnsi="Times New Roman" w:eastAsia="宋体" w:cs="仿宋"/>
          <w:b/>
          <w:sz w:val="21"/>
          <w:szCs w:val="21"/>
          <w:highlight w:val="none"/>
          <w:u w:val="single"/>
        </w:rPr>
        <w:t>5%</w:t>
      </w:r>
      <w:r>
        <w:rPr>
          <w:rFonts w:hint="eastAsia" w:ascii="Times New Roman" w:hAnsi="Times New Roman" w:eastAsia="宋体" w:cs="仿宋"/>
          <w:b/>
          <w:sz w:val="21"/>
          <w:szCs w:val="21"/>
          <w:highlight w:val="none"/>
          <w:u w:val="none"/>
          <w:lang w:eastAsia="zh-CN"/>
        </w:rPr>
        <w:t>，</w:t>
      </w:r>
      <w:r>
        <w:rPr>
          <w:rFonts w:hint="eastAsia" w:ascii="Times New Roman" w:hAnsi="Times New Roman" w:eastAsia="宋体" w:cs="宋体"/>
          <w:color w:val="auto"/>
          <w:sz w:val="21"/>
          <w:szCs w:val="21"/>
          <w:highlight w:val="none"/>
          <w:lang w:val="en-US" w:eastAsia="zh-CN"/>
        </w:rPr>
        <w:t>即人民币（大写）</w:t>
      </w:r>
      <w:r>
        <w:rPr>
          <w:rFonts w:hint="eastAsia" w:ascii="Times New Roman" w:hAnsi="Times New Roman" w:eastAsia="宋体" w:cs="宋体"/>
          <w:b/>
          <w:bCs/>
          <w:color w:val="auto"/>
          <w:sz w:val="21"/>
          <w:szCs w:val="21"/>
          <w:highlight w:val="none"/>
          <w:u w:val="single"/>
          <w:lang w:val="en-US" w:eastAsia="zh-CN"/>
        </w:rPr>
        <w:t xml:space="preserve">     </w:t>
      </w:r>
      <w:r>
        <w:rPr>
          <w:rFonts w:hint="eastAsia" w:ascii="Times New Roman" w:hAnsi="Times New Roman" w:eastAsia="宋体" w:cs="宋体"/>
          <w:b/>
          <w:bCs/>
          <w:color w:val="auto"/>
          <w:sz w:val="21"/>
          <w:szCs w:val="21"/>
          <w:highlight w:val="none"/>
          <w:lang w:val="en-US" w:eastAsia="zh-CN"/>
        </w:rPr>
        <w:t>(¥</w:t>
      </w:r>
      <w:r>
        <w:rPr>
          <w:rFonts w:hint="eastAsia" w:ascii="Times New Roman" w:hAnsi="Times New Roman" w:eastAsia="宋体" w:cs="宋体"/>
          <w:b/>
          <w:bCs/>
          <w:color w:val="auto"/>
          <w:sz w:val="21"/>
          <w:szCs w:val="21"/>
          <w:highlight w:val="none"/>
          <w:u w:val="single"/>
          <w:lang w:val="en-US" w:eastAsia="zh-CN"/>
        </w:rPr>
        <w:t xml:space="preserve">      </w:t>
      </w:r>
      <w:r>
        <w:rPr>
          <w:rFonts w:hint="eastAsia" w:ascii="Times New Roman" w:hAnsi="Times New Roman" w:eastAsia="宋体" w:cs="宋体"/>
          <w:b/>
          <w:bCs/>
          <w:color w:val="auto"/>
          <w:sz w:val="21"/>
          <w:szCs w:val="21"/>
          <w:highlight w:val="none"/>
          <w:u w:val="none"/>
          <w:lang w:val="en-US" w:eastAsia="zh-CN"/>
        </w:rPr>
        <w:t xml:space="preserve"> )。</w:t>
      </w:r>
    </w:p>
    <w:p w14:paraId="76109C8F">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2.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即</w:t>
      </w:r>
      <w:r>
        <w:rPr>
          <w:rFonts w:hint="eastAsia" w:ascii="Times New Roman" w:hAnsi="Times New Roman" w:eastAsia="宋体" w:cs="宋体"/>
          <w:color w:val="auto"/>
          <w:sz w:val="21"/>
          <w:szCs w:val="21"/>
          <w:highlight w:val="none"/>
          <w:lang w:val="en-US" w:eastAsia="zh-CN"/>
        </w:rPr>
        <w:t>人民币（大写）</w:t>
      </w:r>
      <w:r>
        <w:rPr>
          <w:rFonts w:hint="eastAsia" w:ascii="Times New Roman" w:hAnsi="Times New Roman" w:eastAsia="宋体" w:cs="宋体"/>
          <w:b/>
          <w:bCs/>
          <w:color w:val="auto"/>
          <w:sz w:val="21"/>
          <w:szCs w:val="21"/>
          <w:highlight w:val="none"/>
          <w:u w:val="single"/>
          <w:lang w:val="en-US" w:eastAsia="zh-CN"/>
        </w:rPr>
        <w:t xml:space="preserve">     </w:t>
      </w:r>
      <w:r>
        <w:rPr>
          <w:rFonts w:hint="eastAsia" w:ascii="Times New Roman" w:hAnsi="Times New Roman" w:eastAsia="宋体" w:cs="宋体"/>
          <w:b/>
          <w:bCs/>
          <w:color w:val="auto"/>
          <w:sz w:val="21"/>
          <w:szCs w:val="21"/>
          <w:highlight w:val="none"/>
          <w:lang w:val="en-US" w:eastAsia="zh-CN"/>
        </w:rPr>
        <w:t>(¥</w:t>
      </w:r>
      <w:r>
        <w:rPr>
          <w:rFonts w:hint="eastAsia" w:ascii="Times New Roman" w:hAnsi="Times New Roman" w:eastAsia="宋体" w:cs="宋体"/>
          <w:b/>
          <w:bCs/>
          <w:color w:val="auto"/>
          <w:sz w:val="21"/>
          <w:szCs w:val="21"/>
          <w:highlight w:val="none"/>
          <w:u w:val="single"/>
          <w:lang w:val="en-US" w:eastAsia="zh-CN"/>
        </w:rPr>
        <w:t xml:space="preserve">      </w:t>
      </w:r>
      <w:r>
        <w:rPr>
          <w:rFonts w:hint="eastAsia" w:ascii="Times New Roman" w:hAnsi="Times New Roman" w:eastAsia="宋体" w:cs="宋体"/>
          <w:b/>
          <w:bCs/>
          <w:color w:val="auto"/>
          <w:sz w:val="21"/>
          <w:szCs w:val="21"/>
          <w:highlight w:val="none"/>
          <w:u w:val="none"/>
          <w:lang w:val="en-US" w:eastAsia="zh-CN"/>
        </w:rPr>
        <w:t xml:space="preserve"> )</w:t>
      </w:r>
      <w:r>
        <w:rPr>
          <w:rFonts w:hint="eastAsia" w:ascii="Times New Roman" w:hAnsi="Times New Roman" w:eastAsia="宋体" w:cs="仿宋"/>
          <w:sz w:val="21"/>
          <w:szCs w:val="21"/>
          <w:highlight w:val="none"/>
        </w:rPr>
        <w:t>，以保证合同履行期间履约保证金的完整。如履约保证金尚不能弥补甲方的损失，甲方有权另行向乙方主张赔偿。</w:t>
      </w:r>
    </w:p>
    <w:p w14:paraId="4340493D">
      <w:pPr>
        <w:keepNext w:val="0"/>
        <w:keepLines w:val="0"/>
        <w:pageBreakBefore w:val="0"/>
        <w:widowControl w:val="0"/>
        <w:numPr>
          <w:ilvl w:val="0"/>
          <w:numId w:val="0"/>
        </w:numPr>
        <w:kinsoku/>
        <w:wordWrap/>
        <w:overflowPunct/>
        <w:topLinePunct w:val="0"/>
        <w:autoSpaceDE/>
        <w:autoSpaceDN/>
        <w:bidi w:val="0"/>
        <w:adjustRightInd/>
        <w:spacing w:line="560" w:lineRule="exact"/>
        <w:ind w:left="0" w:firstLine="420" w:firstLineChars="200"/>
        <w:textAlignment w:val="auto"/>
        <w:rPr>
          <w:rFonts w:hint="eastAsia" w:ascii="Times New Roman" w:hAnsi="Times New Roman" w:eastAsia="宋体" w:cs="仿宋"/>
          <w:sz w:val="21"/>
          <w:szCs w:val="21"/>
          <w:highlight w:val="none"/>
        </w:rPr>
      </w:pPr>
      <w:r>
        <w:rPr>
          <w:rFonts w:hint="eastAsia" w:ascii="Times New Roman" w:hAnsi="Times New Roman" w:eastAsia="宋体" w:cs="仿宋"/>
          <w:sz w:val="21"/>
          <w:szCs w:val="21"/>
          <w:highlight w:val="none"/>
          <w:lang w:val="en-US" w:eastAsia="zh-CN"/>
        </w:rPr>
        <w:t>3.</w:t>
      </w:r>
      <w:r>
        <w:rPr>
          <w:rFonts w:hint="eastAsia" w:ascii="Times New Roman" w:hAnsi="Times New Roman" w:eastAsia="宋体" w:cs="仿宋"/>
          <w:sz w:val="21"/>
          <w:szCs w:val="21"/>
          <w:highlight w:val="none"/>
        </w:rPr>
        <w:t>履约担保的退还</w:t>
      </w:r>
      <w:bookmarkEnd w:id="82"/>
      <w:bookmarkEnd w:id="83"/>
    </w:p>
    <w:p w14:paraId="0AAB5811">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Times New Roman" w:hAnsi="Times New Roman" w:eastAsia="宋体" w:cs="仿宋"/>
          <w:sz w:val="21"/>
          <w:szCs w:val="21"/>
          <w:highlight w:val="none"/>
          <w:lang w:eastAsia="zh-CN"/>
        </w:rPr>
      </w:pPr>
      <w:r>
        <w:rPr>
          <w:rFonts w:hint="eastAsia" w:ascii="Times New Roman" w:hAnsi="Times New Roman" w:eastAsia="宋体" w:cs="仿宋"/>
          <w:sz w:val="21"/>
          <w:szCs w:val="21"/>
          <w:highlight w:val="none"/>
        </w:rPr>
        <w:t>乙方在本合同约定的服务期限届满并经甲方验收合格后30日内办理履约保证金退还手续。</w:t>
      </w:r>
    </w:p>
    <w:p w14:paraId="094138FC">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bookmarkStart w:id="84" w:name="_Toc395688431"/>
      <w:bookmarkStart w:id="85" w:name="_Toc403985029"/>
      <w:bookmarkStart w:id="86" w:name="_Toc478650030"/>
      <w:bookmarkStart w:id="87" w:name="_Toc489018554"/>
      <w:bookmarkStart w:id="88" w:name="_Toc395688310"/>
      <w:r>
        <w:rPr>
          <w:rFonts w:hint="eastAsia" w:ascii="Times New Roman" w:hAnsi="Times New Roman" w:eastAsia="宋体" w:cs="仿宋"/>
          <w:b/>
          <w:sz w:val="21"/>
          <w:szCs w:val="21"/>
          <w:highlight w:val="none"/>
        </w:rPr>
        <w:t>第三条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双方的义务</w:t>
      </w:r>
      <w:bookmarkEnd w:id="84"/>
      <w:bookmarkEnd w:id="85"/>
      <w:bookmarkEnd w:id="86"/>
      <w:bookmarkEnd w:id="87"/>
      <w:bookmarkEnd w:id="88"/>
    </w:p>
    <w:p w14:paraId="663B7D10">
      <w:pPr>
        <w:keepNext w:val="0"/>
        <w:keepLines w:val="0"/>
        <w:pageBreakBefore w:val="0"/>
        <w:kinsoku/>
        <w:wordWrap/>
        <w:overflowPunct/>
        <w:topLinePunct w:val="0"/>
        <w:autoSpaceDE/>
        <w:autoSpaceDN/>
        <w:bidi w:val="0"/>
        <w:adjustRightInd/>
        <w:snapToGrid/>
        <w:spacing w:line="560" w:lineRule="exact"/>
        <w:ind w:firstLine="0" w:firstLineChars="0"/>
        <w:textAlignment w:val="auto"/>
        <w:outlineLvl w:val="0"/>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3.1 甲方义务</w:t>
      </w:r>
    </w:p>
    <w:p w14:paraId="596D0B58">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1.负责拟定培训要求，并组织学员参加培训。</w:t>
      </w:r>
    </w:p>
    <w:p w14:paraId="4168D6DF">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2.负责按本合同约定向乙方支付培训费用。</w:t>
      </w:r>
    </w:p>
    <w:p w14:paraId="65D9D562">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3.2 乙方义务</w:t>
      </w:r>
    </w:p>
    <w:p w14:paraId="6B62707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1.应为培训配备专项对接人员、授课讲师以及跟进培训工作的相关工作人员，以保证培训和服务质量。</w:t>
      </w:r>
    </w:p>
    <w:p w14:paraId="63F48E85">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2.负责按甲方的培训要求设计培训方案（计划），并按双方确认的培训方案（计划）组织合格的讲师实施培训。</w:t>
      </w:r>
    </w:p>
    <w:p w14:paraId="603D0F55">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3.在课程实施前，应根据甲方的要求，将培训内容以及培训实施流程等问题与甲方进行充分的前期讨论，以便甲方提前准备安排。</w:t>
      </w:r>
    </w:p>
    <w:p w14:paraId="1750F1E0">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4.因乙方原因改变培训安排的，应提前</w:t>
      </w:r>
      <w:r>
        <w:rPr>
          <w:rFonts w:hint="eastAsia" w:ascii="Times New Roman" w:hAnsi="Times New Roman" w:eastAsia="宋体" w:cs="仿宋"/>
          <w:sz w:val="21"/>
          <w:szCs w:val="21"/>
          <w:highlight w:val="none"/>
          <w:u w:val="single"/>
        </w:rPr>
        <w:t xml:space="preserve"> 7 </w:t>
      </w:r>
      <w:r>
        <w:rPr>
          <w:rFonts w:hint="eastAsia" w:ascii="Times New Roman" w:hAnsi="Times New Roman" w:eastAsia="宋体" w:cs="仿宋"/>
          <w:sz w:val="21"/>
          <w:szCs w:val="21"/>
          <w:highlight w:val="none"/>
        </w:rPr>
        <w:t>天通知甲方。</w:t>
      </w:r>
    </w:p>
    <w:p w14:paraId="39959A99">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5.未经甲方许可，乙方不得将本培训项目委托给第三方负责。</w:t>
      </w:r>
    </w:p>
    <w:p w14:paraId="2D4F014C">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6.本项目培训过程中发生人身伤害安全事故的，乙方应立即采取适当救助措施并通知甲方，因事故发生导致甲方学员、乙方雇员、第三方以及甲方人身损害和财产损失的，由乙方承担全部赔偿责任。</w:t>
      </w:r>
    </w:p>
    <w:p w14:paraId="0DD31BC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仿宋"/>
          <w:sz w:val="21"/>
          <w:szCs w:val="21"/>
          <w:highlight w:val="none"/>
        </w:rPr>
      </w:pPr>
      <w:r>
        <w:rPr>
          <w:rFonts w:ascii="Times New Roman" w:hAnsi="Times New Roman" w:eastAsia="宋体" w:cs="仿宋"/>
          <w:sz w:val="21"/>
          <w:szCs w:val="21"/>
          <w:highlight w:val="none"/>
        </w:rPr>
        <w:t>7.</w:t>
      </w:r>
      <w:r>
        <w:rPr>
          <w:rFonts w:hint="eastAsia" w:ascii="Times New Roman" w:hAnsi="Times New Roman" w:eastAsia="宋体" w:cs="仿宋"/>
          <w:sz w:val="21"/>
          <w:szCs w:val="21"/>
          <w:highlight w:val="none"/>
        </w:rPr>
        <w:t>乙方如在中标后或者合同履行期间发生被人民法院列为失信被执行人、影响合同履约能力的重大行政处罚等情形，应及时向甲方的履约管理单位、</w:t>
      </w:r>
      <w:r>
        <w:rPr>
          <w:rFonts w:hint="eastAsia" w:ascii="Times New Roman" w:hAnsi="Times New Roman" w:eastAsia="宋体" w:cs="仿宋"/>
          <w:sz w:val="21"/>
          <w:szCs w:val="21"/>
          <w:highlight w:val="none"/>
          <w:lang w:val="en-US" w:eastAsia="zh-CN"/>
        </w:rPr>
        <w:t>物资部</w:t>
      </w:r>
      <w:r>
        <w:rPr>
          <w:rFonts w:hint="eastAsia" w:ascii="Times New Roman" w:hAnsi="Times New Roman" w:eastAsia="宋体" w:cs="仿宋"/>
          <w:sz w:val="21"/>
          <w:szCs w:val="21"/>
          <w:highlight w:val="none"/>
        </w:rPr>
        <w:t>报备。</w:t>
      </w:r>
    </w:p>
    <w:p w14:paraId="312A044B">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2780A8F5">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第四条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保密条款</w:t>
      </w:r>
    </w:p>
    <w:p w14:paraId="5F8C693E">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b/>
          <w:color w:val="auto"/>
          <w:sz w:val="21"/>
          <w:szCs w:val="21"/>
          <w:highlight w:val="none"/>
        </w:rPr>
      </w:pPr>
      <w:r>
        <w:rPr>
          <w:rFonts w:hint="eastAsia" w:ascii="Times New Roman" w:hAnsi="Times New Roman" w:eastAsia="宋体" w:cs="仿宋"/>
          <w:color w:val="auto"/>
          <w:sz w:val="21"/>
          <w:szCs w:val="21"/>
          <w:highlight w:val="none"/>
        </w:rPr>
        <w:t>4.1甲方保证乙方所提供培训资料的知识产权不受侵犯，确保资料仅限用于甲方培训。未经乙方书面许可，甲方不得擅自将乙方的培训资料提供给第三方使用。</w:t>
      </w:r>
    </w:p>
    <w:p w14:paraId="40CF80AC">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宋体" w:cs="仿宋"/>
          <w:color w:val="auto"/>
          <w:sz w:val="21"/>
          <w:szCs w:val="21"/>
          <w:highlight w:val="none"/>
        </w:rPr>
      </w:pPr>
      <w:r>
        <w:rPr>
          <w:rFonts w:hint="eastAsia" w:ascii="Times New Roman" w:hAnsi="Times New Roman" w:eastAsia="宋体" w:cs="仿宋"/>
          <w:color w:val="auto"/>
          <w:sz w:val="21"/>
          <w:szCs w:val="21"/>
          <w:highlight w:val="none"/>
        </w:rPr>
        <w:t>4.2乙方不得泄露、散布甲方及其学员的个人隐私和信息，不得擅自将学员的姓名、肖像、影像用于宣传。</w:t>
      </w:r>
    </w:p>
    <w:p w14:paraId="4C646785">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7DFCDC75">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第五条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违约责任</w:t>
      </w:r>
    </w:p>
    <w:p w14:paraId="14778230">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color w:val="auto"/>
          <w:sz w:val="21"/>
          <w:szCs w:val="21"/>
          <w:highlight w:val="none"/>
          <w:u w:val="single"/>
        </w:rPr>
      </w:pPr>
      <w:r>
        <w:rPr>
          <w:rFonts w:hint="eastAsia" w:ascii="Times New Roman" w:hAnsi="Times New Roman" w:eastAsia="宋体" w:cs="仿宋"/>
          <w:color w:val="auto"/>
          <w:sz w:val="21"/>
          <w:szCs w:val="21"/>
          <w:highlight w:val="none"/>
        </w:rPr>
        <w:t>5.1甲方未按约定时间支付培训费用的，每逾期一天按照</w:t>
      </w:r>
      <w:r>
        <w:rPr>
          <w:rFonts w:hint="eastAsia" w:ascii="Times New Roman" w:hAnsi="Times New Roman" w:eastAsia="宋体" w:cs="仿宋"/>
          <w:b/>
          <w:color w:val="auto"/>
          <w:sz w:val="21"/>
          <w:szCs w:val="21"/>
          <w:highlight w:val="none"/>
        </w:rPr>
        <w:t>合同总价款</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b/>
          <w:color w:val="auto"/>
          <w:sz w:val="21"/>
          <w:szCs w:val="21"/>
          <w:highlight w:val="none"/>
          <w:lang w:val="en-US" w:eastAsia="zh-CN"/>
        </w:rPr>
        <w:t>中标合同金额</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color w:val="auto"/>
          <w:sz w:val="21"/>
          <w:szCs w:val="21"/>
          <w:highlight w:val="none"/>
        </w:rPr>
        <w:t>的【0.05】%向乙方支付违约金，违约金数额最高不超过</w:t>
      </w:r>
      <w:r>
        <w:rPr>
          <w:rFonts w:hint="eastAsia" w:ascii="Times New Roman" w:hAnsi="Times New Roman" w:eastAsia="宋体" w:cs="仿宋"/>
          <w:b/>
          <w:color w:val="auto"/>
          <w:sz w:val="21"/>
          <w:szCs w:val="21"/>
          <w:highlight w:val="none"/>
        </w:rPr>
        <w:t>合同总价款</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b/>
          <w:color w:val="auto"/>
          <w:sz w:val="21"/>
          <w:szCs w:val="21"/>
          <w:highlight w:val="none"/>
          <w:lang w:val="en-US" w:eastAsia="zh-CN"/>
        </w:rPr>
        <w:t>中标合同金额</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color w:val="auto"/>
          <w:sz w:val="21"/>
          <w:szCs w:val="21"/>
          <w:highlight w:val="none"/>
        </w:rPr>
        <w:t>的</w:t>
      </w:r>
      <w:r>
        <w:rPr>
          <w:rFonts w:hint="eastAsia" w:ascii="Times New Roman" w:hAnsi="Times New Roman" w:eastAsia="宋体" w:cs="仿宋"/>
          <w:color w:val="auto"/>
          <w:sz w:val="21"/>
          <w:szCs w:val="21"/>
          <w:highlight w:val="none"/>
          <w:u w:val="single"/>
        </w:rPr>
        <w:t>5%</w:t>
      </w:r>
      <w:r>
        <w:rPr>
          <w:rFonts w:hint="eastAsia" w:ascii="Times New Roman" w:hAnsi="Times New Roman" w:eastAsia="宋体" w:cs="仿宋"/>
          <w:color w:val="auto"/>
          <w:sz w:val="21"/>
          <w:szCs w:val="21"/>
          <w:highlight w:val="none"/>
        </w:rPr>
        <w:t>。</w:t>
      </w:r>
    </w:p>
    <w:p w14:paraId="2779B2F5">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color w:val="auto"/>
          <w:sz w:val="21"/>
          <w:szCs w:val="21"/>
          <w:highlight w:val="none"/>
        </w:rPr>
      </w:pPr>
      <w:r>
        <w:rPr>
          <w:rFonts w:hint="eastAsia" w:ascii="Times New Roman" w:hAnsi="Times New Roman" w:eastAsia="宋体" w:cs="仿宋"/>
          <w:color w:val="auto"/>
          <w:sz w:val="21"/>
          <w:szCs w:val="21"/>
          <w:highlight w:val="none"/>
        </w:rPr>
        <w:t>5.2</w:t>
      </w:r>
      <w:r>
        <w:rPr>
          <w:rFonts w:hint="eastAsia" w:ascii="Times New Roman" w:hAnsi="Times New Roman" w:eastAsia="宋体" w:cs="仿宋"/>
          <w:color w:val="auto"/>
          <w:kern w:val="0"/>
          <w:sz w:val="21"/>
          <w:szCs w:val="21"/>
          <w:highlight w:val="none"/>
        </w:rPr>
        <w:t>乙方未按本合同制订培训计划，影响培训工作质量的，应当减收</w:t>
      </w:r>
      <w:r>
        <w:rPr>
          <w:rFonts w:hint="eastAsia" w:ascii="Times New Roman" w:hAnsi="Times New Roman" w:eastAsia="宋体" w:cs="仿宋"/>
          <w:b/>
          <w:color w:val="auto"/>
          <w:sz w:val="21"/>
          <w:szCs w:val="21"/>
          <w:highlight w:val="none"/>
        </w:rPr>
        <w:t>合同总价款</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b/>
          <w:color w:val="auto"/>
          <w:sz w:val="21"/>
          <w:szCs w:val="21"/>
          <w:highlight w:val="none"/>
          <w:lang w:val="en-US" w:eastAsia="zh-CN"/>
        </w:rPr>
        <w:t>中标合同金额</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color w:val="auto"/>
          <w:kern w:val="0"/>
          <w:sz w:val="21"/>
          <w:szCs w:val="21"/>
          <w:highlight w:val="none"/>
          <w:u w:val="single"/>
        </w:rPr>
        <w:t>10%</w:t>
      </w:r>
      <w:r>
        <w:rPr>
          <w:rFonts w:hint="eastAsia" w:ascii="Times New Roman" w:hAnsi="Times New Roman" w:eastAsia="宋体" w:cs="仿宋"/>
          <w:color w:val="auto"/>
          <w:kern w:val="0"/>
          <w:sz w:val="21"/>
          <w:szCs w:val="21"/>
          <w:highlight w:val="none"/>
        </w:rPr>
        <w:t>的费用。</w:t>
      </w:r>
    </w:p>
    <w:p w14:paraId="10F9F01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仿宋"/>
          <w:color w:val="auto"/>
          <w:kern w:val="0"/>
          <w:sz w:val="21"/>
          <w:szCs w:val="21"/>
          <w:highlight w:val="none"/>
        </w:rPr>
      </w:pPr>
      <w:r>
        <w:rPr>
          <w:rFonts w:hint="eastAsia" w:ascii="Times New Roman" w:hAnsi="Times New Roman" w:eastAsia="宋体" w:cs="仿宋"/>
          <w:color w:val="auto"/>
          <w:kern w:val="0"/>
          <w:sz w:val="21"/>
          <w:szCs w:val="21"/>
          <w:highlight w:val="none"/>
        </w:rPr>
        <w:t>5.3乙方提供的讲师不符合合同要求，乙方有义务予以重新配备</w:t>
      </w:r>
      <w:r>
        <w:rPr>
          <w:rFonts w:hint="eastAsia" w:ascii="Times New Roman" w:hAnsi="Times New Roman" w:eastAsia="宋体" w:cs="仿宋"/>
          <w:color w:val="auto"/>
          <w:kern w:val="0"/>
          <w:sz w:val="21"/>
          <w:szCs w:val="21"/>
          <w:highlight w:val="none"/>
          <w:lang w:eastAsia="zh-CN"/>
        </w:rPr>
        <w:t>；</w:t>
      </w:r>
      <w:r>
        <w:rPr>
          <w:rFonts w:hint="eastAsia" w:ascii="Times New Roman" w:hAnsi="Times New Roman" w:eastAsia="宋体" w:cs="仿宋"/>
          <w:color w:val="auto"/>
          <w:kern w:val="0"/>
          <w:sz w:val="21"/>
          <w:szCs w:val="21"/>
          <w:highlight w:val="none"/>
        </w:rPr>
        <w:t>未按合同规定完成培训工作的，甲方拒绝支付费用，乙方应按</w:t>
      </w:r>
      <w:r>
        <w:rPr>
          <w:rFonts w:hint="eastAsia" w:ascii="Times New Roman" w:hAnsi="Times New Roman" w:eastAsia="宋体" w:cs="仿宋"/>
          <w:b/>
          <w:color w:val="auto"/>
          <w:sz w:val="21"/>
          <w:szCs w:val="21"/>
          <w:highlight w:val="none"/>
        </w:rPr>
        <w:t>合同总价款</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b/>
          <w:color w:val="auto"/>
          <w:sz w:val="21"/>
          <w:szCs w:val="21"/>
          <w:highlight w:val="none"/>
          <w:lang w:val="en-US" w:eastAsia="zh-CN"/>
        </w:rPr>
        <w:t>中标合同金额</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color w:val="auto"/>
          <w:kern w:val="0"/>
          <w:sz w:val="21"/>
          <w:szCs w:val="21"/>
          <w:highlight w:val="none"/>
        </w:rPr>
        <w:t>的</w:t>
      </w:r>
      <w:r>
        <w:rPr>
          <w:rFonts w:hint="eastAsia" w:ascii="Times New Roman" w:hAnsi="Times New Roman" w:eastAsia="宋体" w:cs="仿宋"/>
          <w:color w:val="auto"/>
          <w:kern w:val="0"/>
          <w:sz w:val="21"/>
          <w:szCs w:val="21"/>
          <w:highlight w:val="none"/>
          <w:u w:val="single"/>
        </w:rPr>
        <w:t>10%</w:t>
      </w:r>
      <w:r>
        <w:rPr>
          <w:rFonts w:hint="eastAsia" w:ascii="Times New Roman" w:hAnsi="Times New Roman" w:eastAsia="宋体" w:cs="仿宋"/>
          <w:color w:val="auto"/>
          <w:kern w:val="0"/>
          <w:sz w:val="21"/>
          <w:szCs w:val="21"/>
          <w:highlight w:val="none"/>
        </w:rPr>
        <w:t>向甲方支付违约金。</w:t>
      </w:r>
    </w:p>
    <w:p w14:paraId="5A574C6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仿宋"/>
          <w:color w:val="auto"/>
          <w:kern w:val="0"/>
          <w:sz w:val="21"/>
          <w:szCs w:val="21"/>
          <w:highlight w:val="none"/>
        </w:rPr>
      </w:pPr>
      <w:r>
        <w:rPr>
          <w:rFonts w:hint="eastAsia" w:ascii="Times New Roman" w:hAnsi="Times New Roman" w:eastAsia="宋体" w:cs="仿宋"/>
          <w:color w:val="auto"/>
          <w:kern w:val="0"/>
          <w:sz w:val="21"/>
          <w:szCs w:val="21"/>
          <w:highlight w:val="none"/>
        </w:rPr>
        <w:t>5.4在培训过程中，未经甲方同意，乙方擅自改变培训内容、时间、方式等合同约定的内容，或乙方管理混乱、师资调换异常等严重影响培训工作，损害甲方权益的，甲方有权要求乙方改正，若乙方拒不改正的，甲方有权解除合同，并要求乙方按</w:t>
      </w:r>
      <w:r>
        <w:rPr>
          <w:rFonts w:hint="eastAsia" w:ascii="Times New Roman" w:hAnsi="Times New Roman" w:eastAsia="宋体" w:cs="仿宋"/>
          <w:b/>
          <w:color w:val="auto"/>
          <w:sz w:val="21"/>
          <w:szCs w:val="21"/>
          <w:highlight w:val="none"/>
        </w:rPr>
        <w:t>合同总价款</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b/>
          <w:color w:val="auto"/>
          <w:sz w:val="21"/>
          <w:szCs w:val="21"/>
          <w:highlight w:val="none"/>
          <w:lang w:val="en-US" w:eastAsia="zh-CN"/>
        </w:rPr>
        <w:t>中标合同金额</w:t>
      </w:r>
      <w:r>
        <w:rPr>
          <w:rFonts w:hint="eastAsia" w:ascii="Times New Roman" w:hAnsi="Times New Roman" w:eastAsia="宋体" w:cs="仿宋"/>
          <w:b/>
          <w:color w:val="auto"/>
          <w:sz w:val="21"/>
          <w:szCs w:val="21"/>
          <w:highlight w:val="none"/>
          <w:lang w:eastAsia="zh-CN"/>
        </w:rPr>
        <w:t>）</w:t>
      </w:r>
      <w:r>
        <w:rPr>
          <w:rFonts w:hint="eastAsia" w:ascii="Times New Roman" w:hAnsi="Times New Roman" w:eastAsia="宋体" w:cs="仿宋"/>
          <w:color w:val="auto"/>
          <w:kern w:val="0"/>
          <w:sz w:val="21"/>
          <w:szCs w:val="21"/>
          <w:highlight w:val="none"/>
        </w:rPr>
        <w:t>的</w:t>
      </w:r>
      <w:r>
        <w:rPr>
          <w:rFonts w:hint="eastAsia" w:ascii="Times New Roman" w:hAnsi="Times New Roman" w:eastAsia="宋体" w:cs="仿宋"/>
          <w:color w:val="auto"/>
          <w:kern w:val="0"/>
          <w:sz w:val="21"/>
          <w:szCs w:val="21"/>
          <w:highlight w:val="none"/>
          <w:u w:val="single"/>
        </w:rPr>
        <w:t>20%</w:t>
      </w:r>
      <w:r>
        <w:rPr>
          <w:rFonts w:hint="eastAsia" w:ascii="Times New Roman" w:hAnsi="Times New Roman" w:eastAsia="宋体" w:cs="仿宋"/>
          <w:color w:val="auto"/>
          <w:kern w:val="0"/>
          <w:sz w:val="21"/>
          <w:szCs w:val="21"/>
          <w:highlight w:val="none"/>
        </w:rPr>
        <w:t>向甲方支付违约金。</w:t>
      </w:r>
    </w:p>
    <w:p w14:paraId="047A62B1">
      <w:pPr>
        <w:keepNext w:val="0"/>
        <w:keepLines w:val="0"/>
        <w:pageBreakBefore w:val="0"/>
        <w:kinsoku/>
        <w:wordWrap/>
        <w:overflowPunct/>
        <w:topLinePunct w:val="0"/>
        <w:autoSpaceDE/>
        <w:autoSpaceDN/>
        <w:bidi w:val="0"/>
        <w:adjustRightInd/>
        <w:snapToGrid/>
        <w:spacing w:line="560" w:lineRule="exact"/>
        <w:ind w:firstLine="0"/>
        <w:textAlignment w:val="auto"/>
        <w:rPr>
          <w:rFonts w:hint="eastAsia" w:ascii="Times New Roman" w:hAnsi="Times New Roman" w:eastAsia="宋体" w:cs="仿宋"/>
          <w:b/>
          <w:color w:val="auto"/>
          <w:sz w:val="21"/>
          <w:szCs w:val="21"/>
          <w:highlight w:val="none"/>
        </w:rPr>
      </w:pPr>
      <w:r>
        <w:rPr>
          <w:rFonts w:hint="eastAsia" w:ascii="Times New Roman" w:hAnsi="Times New Roman" w:eastAsia="宋体" w:cs="仿宋"/>
          <w:color w:val="auto"/>
          <w:kern w:val="0"/>
          <w:sz w:val="21"/>
          <w:szCs w:val="21"/>
          <w:highlight w:val="none"/>
        </w:rPr>
        <w:t>5.5</w:t>
      </w:r>
      <w:r>
        <w:rPr>
          <w:rFonts w:hint="eastAsia" w:ascii="Times New Roman" w:hAnsi="Times New Roman" w:eastAsia="宋体" w:cs="仿宋"/>
          <w:color w:val="auto"/>
          <w:sz w:val="21"/>
          <w:szCs w:val="21"/>
          <w:highlight w:val="none"/>
        </w:rPr>
        <w:t>甲、乙双方确认，如乙方发生本合同约定的违约情形，甲方有权从未付的合同价款、履约保证金中扣除乙方应支付的赔偿款项或违约金。</w:t>
      </w:r>
      <w:r>
        <w:rPr>
          <w:rFonts w:hint="eastAsia" w:ascii="Times New Roman" w:hAnsi="Times New Roman" w:eastAsia="宋体" w:cs="仿宋"/>
          <w:color w:val="auto"/>
          <w:kern w:val="0"/>
          <w:sz w:val="21"/>
          <w:szCs w:val="21"/>
          <w:highlight w:val="none"/>
          <w:shd w:val="clear" w:color="auto" w:fill="FFFFFF"/>
        </w:rPr>
        <w:t>如尚不能弥补甲方的损失，甲方有权另行向乙方主张。</w:t>
      </w:r>
    </w:p>
    <w:p w14:paraId="6649584A">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3D9B760F">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第六条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通知与送达</w:t>
      </w:r>
    </w:p>
    <w:p w14:paraId="79D3613D">
      <w:pPr>
        <w:keepNext w:val="0"/>
        <w:keepLines w:val="0"/>
        <w:pageBreakBefore w:val="0"/>
        <w:kinsoku/>
        <w:wordWrap/>
        <w:overflowPunct/>
        <w:topLinePunct w:val="0"/>
        <w:autoSpaceDE/>
        <w:autoSpaceDN/>
        <w:bidi w:val="0"/>
        <w:adjustRightInd/>
        <w:snapToGrid/>
        <w:spacing w:line="560" w:lineRule="exact"/>
        <w:ind w:firstLine="0"/>
        <w:textAlignment w:val="auto"/>
        <w:rPr>
          <w:rFonts w:ascii="Times New Roman" w:hAnsi="Times New Roman" w:eastAsia="宋体" w:cs="仿宋"/>
          <w:color w:val="auto"/>
          <w:sz w:val="21"/>
          <w:szCs w:val="21"/>
          <w:highlight w:val="none"/>
        </w:rPr>
      </w:pPr>
      <w:r>
        <w:rPr>
          <w:rFonts w:hint="eastAsia" w:ascii="Times New Roman" w:hAnsi="Times New Roman" w:eastAsia="宋体" w:cs="仿宋"/>
          <w:color w:val="auto"/>
          <w:sz w:val="21"/>
          <w:szCs w:val="21"/>
          <w:highlight w:val="none"/>
        </w:rPr>
        <w:t>6.1 甲乙双方确认各自的合法有效送达地址及联系方式如下（协议履行及争议解决过程中均可按照下列方式进行送达）：</w:t>
      </w:r>
    </w:p>
    <w:p w14:paraId="292FC7E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甲方：</w:t>
      </w:r>
      <w:r>
        <w:rPr>
          <w:rFonts w:hint="eastAsia" w:ascii="Times New Roman" w:hAnsi="Times New Roman" w:eastAsia="宋体" w:cs="宋体"/>
          <w:color w:val="auto"/>
          <w:sz w:val="21"/>
          <w:szCs w:val="21"/>
          <w:highlight w:val="none"/>
          <w:u w:val="single"/>
          <w:lang w:val="en-US" w:eastAsia="zh-CN"/>
        </w:rPr>
        <w:t>滁州市轨道交通运营有限公司</w:t>
      </w:r>
      <w:r>
        <w:rPr>
          <w:rFonts w:hint="eastAsia" w:ascii="Times New Roman" w:hAnsi="Times New Roman" w:eastAsia="宋体" w:cs="宋体"/>
          <w:color w:val="auto"/>
          <w:sz w:val="21"/>
          <w:szCs w:val="21"/>
          <w:highlight w:val="none"/>
          <w:lang w:val="en-US" w:eastAsia="zh-CN"/>
        </w:rPr>
        <w:t xml:space="preserve"> </w:t>
      </w:r>
    </w:p>
    <w:p w14:paraId="2D8C34C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地址：</w:t>
      </w:r>
      <w:r>
        <w:rPr>
          <w:rFonts w:hint="eastAsia" w:ascii="Times New Roman" w:hAnsi="Times New Roman"/>
          <w:color w:val="auto"/>
          <w:szCs w:val="21"/>
          <w:highlight w:val="none"/>
          <w:u w:val="single"/>
        </w:rPr>
        <w:t>安徽省滁州市南谯区徽州路701号</w:t>
      </w:r>
    </w:p>
    <w:p w14:paraId="4AA1540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电话：</w:t>
      </w:r>
      <w:r>
        <w:rPr>
          <w:rFonts w:hint="eastAsia" w:ascii="Times New Roman" w:hAnsi="Times New Roman" w:eastAsia="宋体"/>
          <w:b w:val="0"/>
          <w:bCs w:val="0"/>
          <w:color w:val="auto"/>
          <w:sz w:val="21"/>
          <w:szCs w:val="21"/>
          <w:highlight w:val="none"/>
          <w:u w:val="single"/>
        </w:rPr>
        <w:t>0550-3352129</w:t>
      </w:r>
    </w:p>
    <w:p w14:paraId="5C35566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宋体" w:cs="宋体"/>
          <w:color w:val="auto"/>
          <w:sz w:val="21"/>
          <w:szCs w:val="21"/>
          <w:highlight w:val="none"/>
          <w:u w:val="single"/>
          <w:lang w:val="en-US" w:eastAsia="zh-CN"/>
        </w:rPr>
      </w:pPr>
      <w:r>
        <w:rPr>
          <w:rFonts w:hint="eastAsia" w:ascii="Times New Roman" w:hAnsi="Times New Roman" w:eastAsia="宋体" w:cs="宋体"/>
          <w:color w:val="auto"/>
          <w:sz w:val="21"/>
          <w:szCs w:val="21"/>
          <w:highlight w:val="none"/>
          <w:lang w:val="en-US" w:eastAsia="zh-CN"/>
        </w:rPr>
        <w:t>收件人：</w:t>
      </w:r>
    </w:p>
    <w:p w14:paraId="674D2E0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宋体" w:cs="宋体"/>
          <w:color w:val="auto"/>
          <w:sz w:val="21"/>
          <w:szCs w:val="21"/>
          <w:highlight w:val="none"/>
          <w:u w:val="single"/>
          <w:lang w:val="en-US" w:eastAsia="zh-CN"/>
        </w:rPr>
      </w:pPr>
      <w:r>
        <w:rPr>
          <w:rFonts w:hint="eastAsia" w:ascii="Times New Roman" w:hAnsi="Times New Roman" w:eastAsia="宋体" w:cs="宋体"/>
          <w:color w:val="auto"/>
          <w:sz w:val="21"/>
          <w:szCs w:val="21"/>
          <w:highlight w:val="none"/>
          <w:lang w:val="en-US" w:eastAsia="zh-CN"/>
        </w:rPr>
        <w:t>联系人：</w:t>
      </w:r>
    </w:p>
    <w:p w14:paraId="6C67F81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宋体" w:hAnsi="宋体" w:eastAsia="宋体" w:cs="宋体"/>
          <w:spacing w:val="0"/>
          <w:sz w:val="21"/>
          <w:szCs w:val="21"/>
          <w:highlight w:val="none"/>
          <w:u w:val="single"/>
          <w:lang w:val="en-US" w:eastAsia="zh-CN"/>
        </w:rPr>
      </w:pPr>
      <w:r>
        <w:rPr>
          <w:rFonts w:hint="eastAsia" w:ascii="宋体" w:hAnsi="宋体" w:eastAsia="宋体" w:cs="宋体"/>
          <w:spacing w:val="0"/>
          <w:sz w:val="21"/>
          <w:szCs w:val="21"/>
          <w:highlight w:val="none"/>
          <w:lang w:eastAsia="zh-CN"/>
        </w:rPr>
        <w:t>乙方：</w:t>
      </w:r>
    </w:p>
    <w:p w14:paraId="7BE4E8B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w:t>
      </w:r>
    </w:p>
    <w:p w14:paraId="20F67E4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w:t>
      </w:r>
    </w:p>
    <w:p w14:paraId="40B2B83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w:t>
      </w:r>
    </w:p>
    <w:p w14:paraId="1088C97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w:t>
      </w:r>
    </w:p>
    <w:p w14:paraId="1CFE913B">
      <w:pPr>
        <w:keepNext w:val="0"/>
        <w:keepLines w:val="0"/>
        <w:pageBreakBefore w:val="0"/>
        <w:kinsoku/>
        <w:wordWrap/>
        <w:overflowPunct/>
        <w:topLinePunct w:val="0"/>
        <w:autoSpaceDE/>
        <w:autoSpaceDN/>
        <w:bidi w:val="0"/>
        <w:adjustRightInd/>
        <w:snapToGrid/>
        <w:spacing w:line="560" w:lineRule="exact"/>
        <w:ind w:firstLine="0"/>
        <w:textAlignment w:val="auto"/>
        <w:rPr>
          <w:rFonts w:ascii="Times New Roman" w:hAnsi="Times New Roman" w:eastAsia="宋体" w:cs="仿宋"/>
          <w:color w:val="auto"/>
          <w:sz w:val="21"/>
          <w:szCs w:val="21"/>
          <w:highlight w:val="none"/>
        </w:rPr>
      </w:pPr>
      <w:r>
        <w:rPr>
          <w:rFonts w:hint="eastAsia" w:ascii="Times New Roman" w:hAnsi="Times New Roman" w:eastAsia="宋体" w:cs="仿宋"/>
          <w:color w:val="auto"/>
          <w:sz w:val="21"/>
          <w:szCs w:val="21"/>
          <w:highlight w:val="none"/>
        </w:rPr>
        <w:t>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w:t>
      </w:r>
    </w:p>
    <w:p w14:paraId="4AE25E54">
      <w:pPr>
        <w:keepNext w:val="0"/>
        <w:keepLines w:val="0"/>
        <w:pageBreakBefore w:val="0"/>
        <w:kinsoku/>
        <w:wordWrap/>
        <w:overflowPunct/>
        <w:topLinePunct w:val="0"/>
        <w:autoSpaceDE/>
        <w:autoSpaceDN/>
        <w:bidi w:val="0"/>
        <w:adjustRightInd/>
        <w:snapToGrid/>
        <w:spacing w:line="560" w:lineRule="exact"/>
        <w:ind w:firstLine="0"/>
        <w:textAlignment w:val="auto"/>
        <w:rPr>
          <w:rFonts w:hint="eastAsia" w:ascii="Times New Roman" w:hAnsi="Times New Roman" w:eastAsia="宋体" w:cs="仿宋"/>
          <w:b/>
          <w:color w:val="auto"/>
          <w:sz w:val="21"/>
          <w:szCs w:val="21"/>
          <w:highlight w:val="none"/>
        </w:rPr>
      </w:pPr>
      <w:r>
        <w:rPr>
          <w:rFonts w:hint="eastAsia" w:ascii="Times New Roman" w:hAnsi="Times New Roman" w:eastAsia="宋体" w:cs="仿宋"/>
          <w:color w:val="auto"/>
          <w:sz w:val="21"/>
          <w:szCs w:val="21"/>
          <w:highlight w:val="none"/>
        </w:rPr>
        <w:t>6.3 本条款为独立条款，不受协议整体或其他条款的效力的影响，始终有效。</w:t>
      </w:r>
    </w:p>
    <w:p w14:paraId="07742E21">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3AA10FD5">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第七条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廉洁规范条款</w:t>
      </w:r>
    </w:p>
    <w:p w14:paraId="3689EEBA">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Times New Roman" w:hAnsi="Times New Roman" w:eastAsia="宋体" w:cs="仿宋"/>
          <w:b/>
          <w:sz w:val="21"/>
          <w:szCs w:val="21"/>
          <w:highlight w:val="none"/>
        </w:rPr>
      </w:pPr>
      <w:r>
        <w:rPr>
          <w:rFonts w:hint="eastAsia" w:ascii="Times New Roman" w:hAnsi="Times New Roman" w:eastAsia="宋体" w:cs="仿宋"/>
          <w:sz w:val="21"/>
          <w:szCs w:val="21"/>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89" w:name="_Toc395688311"/>
      <w:bookmarkStart w:id="90" w:name="_Toc403985030"/>
      <w:bookmarkStart w:id="91" w:name="_Toc478650031"/>
      <w:bookmarkStart w:id="92" w:name="_Toc395688432"/>
      <w:bookmarkStart w:id="93" w:name="_Toc489018555"/>
    </w:p>
    <w:p w14:paraId="76CB6DBF">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564A7559">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第八条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争议</w:t>
      </w:r>
      <w:bookmarkEnd w:id="89"/>
      <w:bookmarkEnd w:id="90"/>
      <w:bookmarkEnd w:id="91"/>
      <w:bookmarkEnd w:id="92"/>
      <w:r>
        <w:rPr>
          <w:rFonts w:hint="eastAsia" w:ascii="Times New Roman" w:hAnsi="Times New Roman" w:eastAsia="宋体" w:cs="仿宋"/>
          <w:b/>
          <w:sz w:val="21"/>
          <w:szCs w:val="21"/>
          <w:highlight w:val="none"/>
        </w:rPr>
        <w:t>解决</w:t>
      </w:r>
      <w:bookmarkEnd w:id="93"/>
    </w:p>
    <w:p w14:paraId="531900A8">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8.1合同实施或与合同有关的一切争议应通过双方协商解决。如果协商开始后三十天(30)天还不能解决，任何一方均有权向</w:t>
      </w:r>
      <w:r>
        <w:rPr>
          <w:rFonts w:hint="eastAsia" w:ascii="Times New Roman" w:hAnsi="Times New Roman" w:eastAsia="宋体" w:cs="仿宋"/>
          <w:sz w:val="21"/>
          <w:szCs w:val="21"/>
          <w:highlight w:val="none"/>
          <w:u w:val="single"/>
        </w:rPr>
        <w:t>甲方所在地有管辖权</w:t>
      </w:r>
      <w:r>
        <w:rPr>
          <w:rFonts w:hint="eastAsia" w:ascii="Times New Roman" w:hAnsi="Times New Roman" w:eastAsia="宋体" w:cs="仿宋"/>
          <w:sz w:val="21"/>
          <w:szCs w:val="21"/>
          <w:highlight w:val="none"/>
        </w:rPr>
        <w:t>人民法院起诉。</w:t>
      </w:r>
    </w:p>
    <w:p w14:paraId="3515F5F8">
      <w:pPr>
        <w:keepNext w:val="0"/>
        <w:keepLines w:val="0"/>
        <w:pageBreakBefore w:val="0"/>
        <w:kinsoku/>
        <w:wordWrap/>
        <w:overflowPunct/>
        <w:topLinePunct w:val="0"/>
        <w:autoSpaceDE/>
        <w:autoSpaceDN/>
        <w:bidi w:val="0"/>
        <w:adjustRightInd/>
        <w:snapToGrid/>
        <w:spacing w:line="560" w:lineRule="exact"/>
        <w:ind w:firstLine="0" w:firstLineChars="0"/>
        <w:textAlignment w:val="auto"/>
        <w:outlineLvl w:val="0"/>
        <w:rPr>
          <w:rFonts w:hint="eastAsia" w:ascii="Times New Roman" w:hAnsi="Times New Roman" w:eastAsia="宋体" w:cs="仿宋"/>
          <w:b/>
          <w:sz w:val="21"/>
          <w:szCs w:val="21"/>
          <w:highlight w:val="none"/>
        </w:rPr>
      </w:pPr>
      <w:r>
        <w:rPr>
          <w:rFonts w:hint="eastAsia" w:ascii="Times New Roman" w:hAnsi="Times New Roman" w:eastAsia="宋体" w:cs="仿宋"/>
          <w:sz w:val="21"/>
          <w:szCs w:val="21"/>
          <w:highlight w:val="none"/>
        </w:rPr>
        <w:t>8.2 在诉讼期间，除双方有争议正在进行诉讼的部分外，本合同其它部分应继续履行。</w:t>
      </w:r>
      <w:bookmarkStart w:id="94" w:name="_Toc395688436"/>
      <w:bookmarkStart w:id="95" w:name="_Toc403985034"/>
      <w:bookmarkStart w:id="96" w:name="_Toc478650035"/>
      <w:bookmarkStart w:id="97" w:name="_Toc395688315"/>
      <w:bookmarkStart w:id="98" w:name="_Toc489018557"/>
    </w:p>
    <w:p w14:paraId="63A8B741">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622F495D">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第九条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不可抗力</w:t>
      </w:r>
      <w:bookmarkEnd w:id="94"/>
      <w:bookmarkEnd w:id="95"/>
      <w:bookmarkEnd w:id="96"/>
      <w:bookmarkEnd w:id="97"/>
      <w:bookmarkEnd w:id="98"/>
    </w:p>
    <w:p w14:paraId="7114C16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9.1本合同所称不可抗力事件指合同当事人不能预见、不能避免、不能克服的客观情况，包括但不限于地震、火灾、水灾、雷击、雪灾等天灾，战争、恐怖袭击、内乱、疫情等严重威胁安全或健康的情形。</w:t>
      </w:r>
    </w:p>
    <w:p w14:paraId="0F479E3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宋体" w:cs="仿宋"/>
          <w:b/>
          <w:sz w:val="21"/>
          <w:szCs w:val="21"/>
          <w:highlight w:val="none"/>
        </w:rPr>
      </w:pPr>
      <w:r>
        <w:rPr>
          <w:rFonts w:hint="eastAsia" w:ascii="Times New Roman" w:hAnsi="Times New Roman" w:eastAsia="宋体" w:cs="仿宋"/>
          <w:sz w:val="21"/>
          <w:szCs w:val="21"/>
          <w:highlight w:val="none"/>
        </w:rPr>
        <w:t>9.2 因不可抗力事件、法律变更等不可控因素使本合同的履行受到影响的，受不可抗力影响方应于该事由发生后</w:t>
      </w:r>
      <w:r>
        <w:rPr>
          <w:rFonts w:hint="eastAsia" w:ascii="Times New Roman" w:hAnsi="Times New Roman" w:eastAsia="宋体" w:cs="仿宋"/>
          <w:sz w:val="21"/>
          <w:szCs w:val="21"/>
          <w:highlight w:val="none"/>
          <w:u w:val="single"/>
        </w:rPr>
        <w:t>七</w:t>
      </w:r>
      <w:r>
        <w:rPr>
          <w:rFonts w:hint="eastAsia" w:ascii="Times New Roman" w:hAnsi="Times New Roman" w:eastAsia="宋体" w:cs="仿宋"/>
          <w:sz w:val="21"/>
          <w:szCs w:val="21"/>
          <w:highlight w:val="none"/>
        </w:rPr>
        <w:t>日内通知对方并提供相关证明。甲、乙双方可根据受不可抗力影响的程度决定全部或部分免除本合同项下义务或解除本合同。因不可抗力导致的合同义务减免或合同终止，双方均不承担责任。</w:t>
      </w:r>
      <w:bookmarkStart w:id="99" w:name="_Toc489018558"/>
      <w:bookmarkStart w:id="100" w:name="_Toc395688316"/>
      <w:bookmarkStart w:id="101" w:name="_Toc403985035"/>
      <w:bookmarkStart w:id="102" w:name="_Toc395688437"/>
      <w:bookmarkStart w:id="103" w:name="_Toc478650036"/>
      <w:bookmarkStart w:id="104" w:name="_Toc373927854"/>
    </w:p>
    <w:p w14:paraId="4403AEA3">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仿宋"/>
          <w:b/>
          <w:sz w:val="21"/>
          <w:szCs w:val="21"/>
          <w:highlight w:val="none"/>
        </w:rPr>
      </w:pPr>
    </w:p>
    <w:p w14:paraId="72E79DCB">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第十条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合同生效及其他</w:t>
      </w:r>
      <w:bookmarkEnd w:id="99"/>
      <w:bookmarkEnd w:id="100"/>
      <w:bookmarkEnd w:id="101"/>
      <w:bookmarkEnd w:id="102"/>
      <w:bookmarkEnd w:id="103"/>
      <w:bookmarkEnd w:id="104"/>
    </w:p>
    <w:p w14:paraId="02C8A89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10.1合同经甲、乙双方法定代表人或授权代表人签名（如为授权代表签名，乙方需提交法定代表人授权委托书）并加盖单位公章或者合同专用章后生效。未尽事宜，双方根据需要，经协商可另外签订补充协议。</w:t>
      </w:r>
    </w:p>
    <w:p w14:paraId="5EC22CD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sz w:val="21"/>
          <w:szCs w:val="21"/>
          <w:highlight w:val="none"/>
        </w:rPr>
      </w:pPr>
      <w:r>
        <w:rPr>
          <w:rFonts w:hint="eastAsia" w:ascii="Times New Roman" w:hAnsi="Times New Roman" w:eastAsia="宋体" w:cs="仿宋"/>
          <w:sz w:val="21"/>
          <w:szCs w:val="21"/>
          <w:highlight w:val="none"/>
        </w:rPr>
        <w:t>10.2本合同的附件内容作为合同的组成部分，与本合同具有同等法律效力。</w:t>
      </w:r>
    </w:p>
    <w:p w14:paraId="4E005C7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eastAsia="宋体" w:cs="仿宋"/>
          <w:b/>
          <w:bCs/>
          <w:snapToGrid w:val="0"/>
          <w:color w:val="000000"/>
          <w:kern w:val="0"/>
          <w:sz w:val="21"/>
          <w:szCs w:val="21"/>
          <w:highlight w:val="none"/>
        </w:rPr>
      </w:pPr>
      <w:r>
        <w:rPr>
          <w:rFonts w:hint="eastAsia" w:ascii="Times New Roman" w:hAnsi="Times New Roman" w:eastAsia="宋体" w:cs="仿宋"/>
          <w:bCs w:val="0"/>
          <w:kern w:val="2"/>
          <w:sz w:val="21"/>
          <w:szCs w:val="21"/>
          <w:highlight w:val="none"/>
          <w:u w:val="none"/>
        </w:rPr>
        <w:t>10.3</w:t>
      </w:r>
      <w:r>
        <w:rPr>
          <w:rFonts w:hint="eastAsia" w:ascii="Times New Roman" w:hAnsi="Times New Roman" w:eastAsia="宋体" w:cs="仿宋"/>
          <w:bCs w:val="0"/>
          <w:sz w:val="21"/>
          <w:szCs w:val="21"/>
          <w:highlight w:val="none"/>
          <w:u w:val="none"/>
        </w:rPr>
        <w:t>本合同（包括附件）一式</w:t>
      </w:r>
      <w:r>
        <w:rPr>
          <w:rFonts w:hint="eastAsia" w:ascii="Times New Roman" w:hAnsi="Times New Roman" w:eastAsia="宋体" w:cs="仿宋"/>
          <w:bCs w:val="0"/>
          <w:sz w:val="21"/>
          <w:szCs w:val="21"/>
          <w:highlight w:val="none"/>
          <w:u w:val="single"/>
        </w:rPr>
        <w:t>9</w:t>
      </w:r>
      <w:r>
        <w:rPr>
          <w:rFonts w:hint="eastAsia" w:ascii="Times New Roman" w:hAnsi="Times New Roman" w:eastAsia="宋体" w:cs="仿宋"/>
          <w:bCs w:val="0"/>
          <w:sz w:val="21"/>
          <w:szCs w:val="21"/>
          <w:highlight w:val="none"/>
          <w:u w:val="none"/>
        </w:rPr>
        <w:t>份，其中正本</w:t>
      </w:r>
      <w:r>
        <w:rPr>
          <w:rFonts w:hint="eastAsia" w:ascii="Times New Roman" w:hAnsi="Times New Roman" w:eastAsia="宋体" w:cs="仿宋"/>
          <w:bCs w:val="0"/>
          <w:sz w:val="21"/>
          <w:szCs w:val="21"/>
          <w:highlight w:val="none"/>
          <w:u w:val="single"/>
        </w:rPr>
        <w:t>3</w:t>
      </w:r>
      <w:r>
        <w:rPr>
          <w:rFonts w:hint="eastAsia" w:ascii="Times New Roman" w:hAnsi="Times New Roman" w:eastAsia="宋体" w:cs="仿宋"/>
          <w:bCs w:val="0"/>
          <w:sz w:val="21"/>
          <w:szCs w:val="21"/>
          <w:highlight w:val="none"/>
          <w:u w:val="none"/>
        </w:rPr>
        <w:t>份，甲方执</w:t>
      </w:r>
      <w:r>
        <w:rPr>
          <w:rFonts w:hint="eastAsia" w:ascii="Times New Roman" w:hAnsi="Times New Roman" w:eastAsia="宋体" w:cs="仿宋"/>
          <w:bCs w:val="0"/>
          <w:sz w:val="21"/>
          <w:szCs w:val="21"/>
          <w:highlight w:val="none"/>
          <w:u w:val="single"/>
        </w:rPr>
        <w:t>2</w:t>
      </w:r>
      <w:r>
        <w:rPr>
          <w:rFonts w:hint="eastAsia" w:ascii="Times New Roman" w:hAnsi="Times New Roman" w:eastAsia="宋体" w:cs="仿宋"/>
          <w:bCs w:val="0"/>
          <w:sz w:val="21"/>
          <w:szCs w:val="21"/>
          <w:highlight w:val="none"/>
          <w:u w:val="none"/>
        </w:rPr>
        <w:t>份，乙</w:t>
      </w:r>
      <w:r>
        <w:rPr>
          <w:rFonts w:hint="eastAsia" w:ascii="Times New Roman" w:hAnsi="Times New Roman" w:eastAsia="宋体" w:cs="仿宋"/>
          <w:sz w:val="21"/>
          <w:szCs w:val="21"/>
          <w:highlight w:val="none"/>
          <w:u w:val="none"/>
        </w:rPr>
        <w:t>方执</w:t>
      </w:r>
      <w:r>
        <w:rPr>
          <w:rFonts w:hint="eastAsia" w:ascii="Times New Roman" w:hAnsi="Times New Roman" w:eastAsia="宋体" w:cs="仿宋"/>
          <w:sz w:val="21"/>
          <w:szCs w:val="21"/>
          <w:highlight w:val="none"/>
          <w:u w:val="single"/>
        </w:rPr>
        <w:t>1</w:t>
      </w:r>
      <w:r>
        <w:rPr>
          <w:rFonts w:hint="eastAsia" w:ascii="Times New Roman" w:hAnsi="Times New Roman" w:eastAsia="宋体" w:cs="仿宋"/>
          <w:sz w:val="21"/>
          <w:szCs w:val="21"/>
          <w:highlight w:val="none"/>
          <w:u w:val="none"/>
        </w:rPr>
        <w:t>份；副本</w:t>
      </w:r>
      <w:r>
        <w:rPr>
          <w:rFonts w:hint="eastAsia" w:ascii="Times New Roman" w:hAnsi="Times New Roman" w:eastAsia="宋体" w:cs="仿宋"/>
          <w:sz w:val="21"/>
          <w:szCs w:val="21"/>
          <w:highlight w:val="none"/>
          <w:u w:val="single"/>
        </w:rPr>
        <w:t>6</w:t>
      </w:r>
      <w:r>
        <w:rPr>
          <w:rFonts w:hint="eastAsia" w:ascii="Times New Roman" w:hAnsi="Times New Roman" w:eastAsia="宋体" w:cs="仿宋"/>
          <w:sz w:val="21"/>
          <w:szCs w:val="21"/>
          <w:highlight w:val="none"/>
          <w:u w:val="none"/>
        </w:rPr>
        <w:t>份，甲方执</w:t>
      </w:r>
      <w:r>
        <w:rPr>
          <w:rFonts w:hint="eastAsia" w:ascii="Times New Roman" w:hAnsi="Times New Roman" w:eastAsia="宋体" w:cs="仿宋"/>
          <w:sz w:val="21"/>
          <w:szCs w:val="21"/>
          <w:highlight w:val="none"/>
          <w:u w:val="single"/>
        </w:rPr>
        <w:t>4</w:t>
      </w:r>
      <w:r>
        <w:rPr>
          <w:rFonts w:hint="eastAsia" w:ascii="Times New Roman" w:hAnsi="Times New Roman" w:eastAsia="宋体" w:cs="仿宋"/>
          <w:sz w:val="21"/>
          <w:szCs w:val="21"/>
          <w:highlight w:val="none"/>
          <w:u w:val="none"/>
        </w:rPr>
        <w:t>份，乙方执</w:t>
      </w:r>
      <w:r>
        <w:rPr>
          <w:rFonts w:hint="eastAsia" w:ascii="Times New Roman" w:hAnsi="Times New Roman" w:eastAsia="宋体" w:cs="仿宋"/>
          <w:sz w:val="21"/>
          <w:szCs w:val="21"/>
          <w:highlight w:val="none"/>
          <w:u w:val="single"/>
        </w:rPr>
        <w:t>2</w:t>
      </w:r>
      <w:r>
        <w:rPr>
          <w:rFonts w:hint="eastAsia" w:ascii="Times New Roman" w:hAnsi="Times New Roman" w:eastAsia="宋体" w:cs="仿宋"/>
          <w:sz w:val="21"/>
          <w:szCs w:val="21"/>
          <w:highlight w:val="none"/>
          <w:u w:val="none"/>
        </w:rPr>
        <w:t>份；正本和副本具有同等的法律效力，如有互相矛盾之处，以正本为准。</w:t>
      </w:r>
    </w:p>
    <w:p w14:paraId="4B21B421">
      <w:pPr>
        <w:numPr>
          <w:ilvl w:val="0"/>
          <w:numId w:val="4"/>
        </w:numPr>
        <w:adjustRightInd w:val="0"/>
        <w:snapToGrid w:val="0"/>
        <w:spacing w:line="480" w:lineRule="exact"/>
        <w:rPr>
          <w:rFonts w:ascii="Times New Roman" w:hAnsi="Times New Roman" w:eastAsia="宋体" w:cs="仿宋"/>
          <w:b/>
          <w:bCs/>
          <w:snapToGrid w:val="0"/>
          <w:color w:val="000000"/>
          <w:kern w:val="0"/>
          <w:sz w:val="21"/>
          <w:szCs w:val="21"/>
          <w:highlight w:val="none"/>
        </w:rPr>
      </w:pPr>
    </w:p>
    <w:p w14:paraId="03230235">
      <w:pPr>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ascii="Times New Roman" w:hAnsi="Times New Roman" w:eastAsia="宋体" w:cs="仿宋"/>
          <w:b/>
          <w:sz w:val="21"/>
          <w:szCs w:val="21"/>
          <w:highlight w:val="none"/>
        </w:rPr>
      </w:pPr>
      <w:r>
        <w:rPr>
          <w:rFonts w:hint="eastAsia" w:ascii="Times New Roman" w:hAnsi="Times New Roman" w:eastAsia="宋体" w:cs="仿宋"/>
          <w:b/>
          <w:sz w:val="21"/>
          <w:szCs w:val="21"/>
          <w:highlight w:val="none"/>
        </w:rPr>
        <w:t>第十一条</w:t>
      </w:r>
      <w:r>
        <w:rPr>
          <w:rFonts w:hint="eastAsia" w:ascii="Times New Roman" w:hAnsi="Times New Roman" w:eastAsia="宋体" w:cs="仿宋"/>
          <w:b/>
          <w:sz w:val="21"/>
          <w:szCs w:val="21"/>
          <w:highlight w:val="none"/>
          <w:lang w:val="en-US" w:eastAsia="zh-CN"/>
        </w:rPr>
        <w:t xml:space="preserve"> </w:t>
      </w:r>
      <w:r>
        <w:rPr>
          <w:rFonts w:hint="eastAsia" w:ascii="Times New Roman" w:hAnsi="Times New Roman" w:eastAsia="宋体" w:cs="仿宋"/>
          <w:b/>
          <w:sz w:val="21"/>
          <w:szCs w:val="21"/>
          <w:highlight w:val="none"/>
        </w:rPr>
        <w:t>合同附件</w:t>
      </w:r>
    </w:p>
    <w:p w14:paraId="7EAAA25A">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附件一：用户需求书</w:t>
      </w:r>
    </w:p>
    <w:p w14:paraId="411495E5">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附件二：价格明细表</w:t>
      </w:r>
    </w:p>
    <w:p w14:paraId="786A08C4">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附件三：项目组成员</w:t>
      </w:r>
    </w:p>
    <w:p w14:paraId="402A7862">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w:t>
      </w:r>
      <w:r>
        <w:rPr>
          <w:rFonts w:hint="eastAsia" w:ascii="Times New Roman" w:hAnsi="Times New Roman" w:eastAsia="宋体" w:cs="宋体"/>
          <w:sz w:val="21"/>
          <w:szCs w:val="21"/>
          <w:highlight w:val="none"/>
          <w:lang w:val="en-US" w:eastAsia="zh-CN"/>
        </w:rPr>
        <w:t>四</w:t>
      </w:r>
      <w:r>
        <w:rPr>
          <w:rFonts w:hint="eastAsia" w:ascii="Times New Roman" w:hAnsi="Times New Roman" w:eastAsia="宋体" w:cs="宋体"/>
          <w:sz w:val="21"/>
          <w:szCs w:val="21"/>
          <w:highlight w:val="none"/>
        </w:rPr>
        <w:t>：乙方技术方案及承诺（或授权书）</w:t>
      </w:r>
    </w:p>
    <w:p w14:paraId="457EA4A5">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w:t>
      </w:r>
      <w:r>
        <w:rPr>
          <w:rFonts w:hint="eastAsia" w:ascii="Times New Roman" w:hAnsi="Times New Roman" w:eastAsia="宋体" w:cs="宋体"/>
          <w:sz w:val="21"/>
          <w:szCs w:val="21"/>
          <w:highlight w:val="none"/>
          <w:lang w:val="en-US" w:eastAsia="zh-CN"/>
        </w:rPr>
        <w:t>五</w:t>
      </w:r>
      <w:r>
        <w:rPr>
          <w:rFonts w:hint="eastAsia" w:ascii="Times New Roman" w:hAnsi="Times New Roman" w:eastAsia="宋体" w:cs="宋体"/>
          <w:sz w:val="21"/>
          <w:szCs w:val="21"/>
          <w:highlight w:val="none"/>
        </w:rPr>
        <w:t>：法定代表人授权书及法定代表人身份证复印件</w:t>
      </w:r>
    </w:p>
    <w:p w14:paraId="2BF4D817">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w:t>
      </w:r>
      <w:r>
        <w:rPr>
          <w:rFonts w:hint="eastAsia" w:ascii="Times New Roman" w:hAnsi="Times New Roman" w:eastAsia="宋体" w:cs="宋体"/>
          <w:sz w:val="21"/>
          <w:szCs w:val="21"/>
          <w:highlight w:val="none"/>
          <w:lang w:val="en-US" w:eastAsia="zh-CN"/>
        </w:rPr>
        <w:t>六</w:t>
      </w:r>
      <w:r>
        <w:rPr>
          <w:rFonts w:hint="eastAsia" w:ascii="Times New Roman" w:hAnsi="Times New Roman" w:eastAsia="宋体" w:cs="宋体"/>
          <w:sz w:val="21"/>
          <w:szCs w:val="21"/>
          <w:highlight w:val="none"/>
        </w:rPr>
        <w:t>：履约保证金收据/履约保函复印件</w:t>
      </w:r>
    </w:p>
    <w:p w14:paraId="40CDE2B3">
      <w:pPr>
        <w:keepNext w:val="0"/>
        <w:keepLines w:val="0"/>
        <w:pageBreakBefore w:val="0"/>
        <w:widowControl w:val="0"/>
        <w:kinsoku/>
        <w:wordWrap/>
        <w:overflowPunct/>
        <w:topLinePunct w:val="0"/>
        <w:autoSpaceDE/>
        <w:autoSpaceDN/>
        <w:bidi w:val="0"/>
        <w:adjustRightInd/>
        <w:snapToGrid/>
        <w:spacing w:line="560" w:lineRule="atLeast"/>
        <w:ind w:firstLine="0" w:firstLineChars="0"/>
        <w:textAlignment w:val="auto"/>
        <w:rPr>
          <w:rFonts w:hint="eastAsia" w:ascii="Times New Roman" w:hAnsi="Times New Roman" w:eastAsia="宋体" w:cs="宋体"/>
          <w:sz w:val="21"/>
          <w:szCs w:val="21"/>
          <w:highlight w:val="none"/>
        </w:rPr>
      </w:pPr>
      <w:r>
        <w:rPr>
          <w:rFonts w:hint="eastAsia" w:ascii="Times New Roman" w:hAnsi="Times New Roman" w:eastAsia="宋体" w:cs="宋体"/>
          <w:sz w:val="21"/>
          <w:szCs w:val="21"/>
          <w:highlight w:val="none"/>
        </w:rPr>
        <w:t>附件</w:t>
      </w:r>
      <w:r>
        <w:rPr>
          <w:rFonts w:hint="eastAsia" w:ascii="Times New Roman" w:hAnsi="Times New Roman" w:eastAsia="宋体" w:cs="宋体"/>
          <w:sz w:val="21"/>
          <w:szCs w:val="21"/>
          <w:highlight w:val="none"/>
          <w:lang w:val="en-US" w:eastAsia="zh-CN"/>
        </w:rPr>
        <w:t>七</w:t>
      </w:r>
      <w:r>
        <w:rPr>
          <w:rFonts w:hint="eastAsia" w:ascii="Times New Roman" w:hAnsi="Times New Roman" w:eastAsia="宋体" w:cs="宋体"/>
          <w:sz w:val="21"/>
          <w:szCs w:val="21"/>
          <w:highlight w:val="none"/>
        </w:rPr>
        <w:t>：中标通知书/成交通知书复印件</w:t>
      </w:r>
    </w:p>
    <w:p w14:paraId="18A89731">
      <w:pPr>
        <w:jc w:val="center"/>
        <w:rPr>
          <w:rFonts w:hAnsi="宋体"/>
          <w:b/>
          <w:szCs w:val="24"/>
          <w:highlight w:val="none"/>
          <w:lang w:eastAsia="zh-CN"/>
        </w:rPr>
      </w:pPr>
      <w:r>
        <w:rPr>
          <w:rFonts w:hint="eastAsia" w:ascii="宋体" w:hAnsi="宋体" w:eastAsia="宋体" w:cs="宋体"/>
          <w:sz w:val="21"/>
          <w:szCs w:val="21"/>
          <w:highlight w:val="none"/>
          <w:lang w:val="en-US" w:eastAsia="zh-CN"/>
        </w:rPr>
        <w:t xml:space="preserve"> </w:t>
      </w:r>
      <w:r>
        <w:rPr>
          <w:sz w:val="24"/>
          <w:highlight w:val="none"/>
        </w:rPr>
        <w:br w:type="page"/>
      </w:r>
      <w:r>
        <w:rPr>
          <w:rFonts w:hint="eastAsia" w:hAnsi="宋体"/>
          <w:b/>
          <w:szCs w:val="24"/>
          <w:highlight w:val="none"/>
          <w:lang w:eastAsia="zh-CN"/>
        </w:rPr>
        <w:t>（此页无正文，为合同签署页）</w:t>
      </w:r>
    </w:p>
    <w:p w14:paraId="114BF6D2">
      <w:pPr>
        <w:pStyle w:val="12"/>
        <w:rPr>
          <w:rFonts w:hAnsi="宋体"/>
          <w:b/>
          <w:szCs w:val="24"/>
          <w:highlight w:val="none"/>
          <w:lang w:eastAsia="zh-CN"/>
        </w:rPr>
      </w:pPr>
    </w:p>
    <w:p w14:paraId="0292E687">
      <w:pPr>
        <w:pStyle w:val="12"/>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21620CED">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99B14BE">
                            <w:pPr>
                              <w:pStyle w:val="11"/>
                              <w:tabs>
                                <w:tab w:val="left" w:pos="180"/>
                              </w:tabs>
                              <w:rPr>
                                <w:rFonts w:hAnsi="宋体"/>
                                <w:b/>
                                <w:kern w:val="2"/>
                                <w:szCs w:val="24"/>
                                <w:lang w:eastAsia="zh-CN"/>
                              </w:rPr>
                            </w:pPr>
                          </w:p>
                          <w:p w14:paraId="7513C93F">
                            <w:pPr>
                              <w:pStyle w:val="11"/>
                              <w:tabs>
                                <w:tab w:val="left" w:pos="180"/>
                              </w:tabs>
                              <w:rPr>
                                <w:rFonts w:hAnsi="宋体"/>
                                <w:b/>
                                <w:kern w:val="2"/>
                                <w:szCs w:val="24"/>
                                <w:lang w:eastAsia="zh-CN"/>
                              </w:rPr>
                            </w:pPr>
                          </w:p>
                          <w:p w14:paraId="6068E73E">
                            <w:pPr>
                              <w:spacing w:line="360" w:lineRule="auto"/>
                              <w:ind w:left="13" w:hanging="13" w:hangingChars="6"/>
                              <w:rPr>
                                <w:rFonts w:ascii="宋体" w:hAnsi="宋体"/>
                                <w:b/>
                                <w:lang w:eastAsia="zh-CN"/>
                              </w:rPr>
                            </w:pPr>
                            <w:r>
                              <w:rPr>
                                <w:rFonts w:hint="eastAsia" w:ascii="宋体" w:hAnsi="宋体"/>
                                <w:b/>
                                <w:lang w:eastAsia="zh-CN"/>
                              </w:rPr>
                              <w:t>地址：</w:t>
                            </w:r>
                          </w:p>
                          <w:p w14:paraId="3A31A2D4">
                            <w:pPr>
                              <w:spacing w:line="360" w:lineRule="auto"/>
                              <w:ind w:left="13" w:hanging="13" w:hangingChars="6"/>
                              <w:rPr>
                                <w:rFonts w:ascii="宋体" w:hAnsi="宋体"/>
                                <w:b/>
                                <w:lang w:eastAsia="zh-CN"/>
                              </w:rPr>
                            </w:pPr>
                          </w:p>
                          <w:p w14:paraId="5E89F116">
                            <w:pPr>
                              <w:spacing w:line="360" w:lineRule="auto"/>
                              <w:ind w:left="13" w:hanging="13" w:hangingChars="6"/>
                              <w:rPr>
                                <w:rFonts w:hAnsi="宋体"/>
                                <w:b/>
                                <w:kern w:val="2"/>
                                <w:szCs w:val="24"/>
                                <w:lang w:eastAsia="zh-CN"/>
                              </w:rPr>
                            </w:pPr>
                            <w:r>
                              <w:rPr>
                                <w:rFonts w:hint="eastAsia" w:ascii="宋体" w:hAnsi="宋体"/>
                                <w:b/>
                                <w:lang w:eastAsia="zh-CN"/>
                              </w:rPr>
                              <w:t>法人（或</w:t>
                            </w:r>
                            <w:r>
                              <w:rPr>
                                <w:rFonts w:hint="eastAsia" w:hAnsi="宋体"/>
                                <w:b/>
                                <w:kern w:val="2"/>
                                <w:szCs w:val="24"/>
                                <w:lang w:eastAsia="zh-CN"/>
                              </w:rPr>
                              <w:t>授权）代表：</w:t>
                            </w:r>
                          </w:p>
                          <w:p w14:paraId="24BA96B3">
                            <w:pPr>
                              <w:rPr>
                                <w:rFonts w:ascii="宋体" w:hAnsi="宋体"/>
                                <w:b/>
                              </w:rPr>
                            </w:pPr>
                            <w:r>
                              <w:rPr>
                                <w:rFonts w:ascii="宋体" w:hAnsi="宋体"/>
                                <w:b/>
                              </w:rPr>
                              <w:t>（签</w:t>
                            </w:r>
                            <w:r>
                              <w:rPr>
                                <w:rFonts w:hint="eastAsia" w:ascii="宋体" w:hAnsi="宋体"/>
                                <w:b/>
                              </w:rPr>
                              <w:t>名</w:t>
                            </w:r>
                            <w:r>
                              <w:rPr>
                                <w:rFonts w:ascii="宋体" w:hAnsi="宋体"/>
                                <w:b/>
                              </w:rPr>
                              <w:t>）</w:t>
                            </w:r>
                          </w:p>
                          <w:p w14:paraId="73745F83">
                            <w:pPr>
                              <w:rPr>
                                <w:rFonts w:ascii="宋体" w:hAnsi="宋体"/>
                                <w:b/>
                                <w:szCs w:val="20"/>
                              </w:rPr>
                            </w:pPr>
                          </w:p>
                          <w:p w14:paraId="6A2AB746">
                            <w:pPr>
                              <w:rPr>
                                <w:rFonts w:ascii="宋体" w:hAnsi="宋体"/>
                                <w:b/>
                                <w:szCs w:val="20"/>
                              </w:rPr>
                            </w:pPr>
                          </w:p>
                          <w:p w14:paraId="5B7420E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21620CED">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99B14BE">
                      <w:pPr>
                        <w:pStyle w:val="11"/>
                        <w:tabs>
                          <w:tab w:val="left" w:pos="180"/>
                        </w:tabs>
                        <w:rPr>
                          <w:rFonts w:hAnsi="宋体"/>
                          <w:b/>
                          <w:kern w:val="2"/>
                          <w:szCs w:val="24"/>
                          <w:lang w:eastAsia="zh-CN"/>
                        </w:rPr>
                      </w:pPr>
                    </w:p>
                    <w:p w14:paraId="7513C93F">
                      <w:pPr>
                        <w:pStyle w:val="11"/>
                        <w:tabs>
                          <w:tab w:val="left" w:pos="180"/>
                        </w:tabs>
                        <w:rPr>
                          <w:rFonts w:hAnsi="宋体"/>
                          <w:b/>
                          <w:kern w:val="2"/>
                          <w:szCs w:val="24"/>
                          <w:lang w:eastAsia="zh-CN"/>
                        </w:rPr>
                      </w:pPr>
                    </w:p>
                    <w:p w14:paraId="6068E73E">
                      <w:pPr>
                        <w:spacing w:line="360" w:lineRule="auto"/>
                        <w:ind w:left="13" w:hanging="13" w:hangingChars="6"/>
                        <w:rPr>
                          <w:rFonts w:ascii="宋体" w:hAnsi="宋体"/>
                          <w:b/>
                          <w:lang w:eastAsia="zh-CN"/>
                        </w:rPr>
                      </w:pPr>
                      <w:r>
                        <w:rPr>
                          <w:rFonts w:hint="eastAsia" w:ascii="宋体" w:hAnsi="宋体"/>
                          <w:b/>
                          <w:lang w:eastAsia="zh-CN"/>
                        </w:rPr>
                        <w:t>地址：</w:t>
                      </w:r>
                    </w:p>
                    <w:p w14:paraId="3A31A2D4">
                      <w:pPr>
                        <w:spacing w:line="360" w:lineRule="auto"/>
                        <w:ind w:left="13" w:hanging="13" w:hangingChars="6"/>
                        <w:rPr>
                          <w:rFonts w:ascii="宋体" w:hAnsi="宋体"/>
                          <w:b/>
                          <w:lang w:eastAsia="zh-CN"/>
                        </w:rPr>
                      </w:pPr>
                    </w:p>
                    <w:p w14:paraId="5E89F116">
                      <w:pPr>
                        <w:spacing w:line="360" w:lineRule="auto"/>
                        <w:ind w:left="13" w:hanging="13" w:hangingChars="6"/>
                        <w:rPr>
                          <w:rFonts w:hAnsi="宋体"/>
                          <w:b/>
                          <w:kern w:val="2"/>
                          <w:szCs w:val="24"/>
                          <w:lang w:eastAsia="zh-CN"/>
                        </w:rPr>
                      </w:pPr>
                      <w:r>
                        <w:rPr>
                          <w:rFonts w:hint="eastAsia" w:ascii="宋体" w:hAnsi="宋体"/>
                          <w:b/>
                          <w:lang w:eastAsia="zh-CN"/>
                        </w:rPr>
                        <w:t>法人（或</w:t>
                      </w:r>
                      <w:r>
                        <w:rPr>
                          <w:rFonts w:hint="eastAsia" w:hAnsi="宋体"/>
                          <w:b/>
                          <w:kern w:val="2"/>
                          <w:szCs w:val="24"/>
                          <w:lang w:eastAsia="zh-CN"/>
                        </w:rPr>
                        <w:t>授权）代表：</w:t>
                      </w:r>
                    </w:p>
                    <w:p w14:paraId="24BA96B3">
                      <w:pPr>
                        <w:rPr>
                          <w:rFonts w:ascii="宋体" w:hAnsi="宋体"/>
                          <w:b/>
                        </w:rPr>
                      </w:pPr>
                      <w:r>
                        <w:rPr>
                          <w:rFonts w:ascii="宋体" w:hAnsi="宋体"/>
                          <w:b/>
                        </w:rPr>
                        <w:t>（签</w:t>
                      </w:r>
                      <w:r>
                        <w:rPr>
                          <w:rFonts w:hint="eastAsia" w:ascii="宋体" w:hAnsi="宋体"/>
                          <w:b/>
                        </w:rPr>
                        <w:t>名</w:t>
                      </w:r>
                      <w:r>
                        <w:rPr>
                          <w:rFonts w:ascii="宋体" w:hAnsi="宋体"/>
                          <w:b/>
                        </w:rPr>
                        <w:t>）</w:t>
                      </w:r>
                    </w:p>
                    <w:p w14:paraId="73745F83">
                      <w:pPr>
                        <w:rPr>
                          <w:rFonts w:ascii="宋体" w:hAnsi="宋体"/>
                          <w:b/>
                          <w:szCs w:val="20"/>
                        </w:rPr>
                      </w:pPr>
                    </w:p>
                    <w:p w14:paraId="6A2AB746">
                      <w:pPr>
                        <w:rPr>
                          <w:rFonts w:ascii="宋体" w:hAnsi="宋体"/>
                          <w:b/>
                          <w:szCs w:val="20"/>
                        </w:rPr>
                      </w:pPr>
                    </w:p>
                    <w:p w14:paraId="5B7420E2">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218E0AE8"/>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218E0AE8"/>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2C996461">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1CBADC54">
                            <w:pPr>
                              <w:spacing w:line="360" w:lineRule="auto"/>
                              <w:ind w:left="13" w:hanging="13" w:hangingChars="6"/>
                              <w:rPr>
                                <w:rFonts w:ascii="宋体" w:hAnsi="宋体"/>
                                <w:b/>
                                <w:lang w:eastAsia="zh-CN"/>
                              </w:rPr>
                            </w:pPr>
                            <w:r>
                              <w:rPr>
                                <w:rFonts w:ascii="宋体" w:hAnsi="宋体"/>
                                <w:b/>
                                <w:lang w:eastAsia="zh-CN"/>
                              </w:rPr>
                              <w:t>（盖章）</w:t>
                            </w:r>
                          </w:p>
                          <w:p w14:paraId="443B1961">
                            <w:pPr>
                              <w:spacing w:line="360" w:lineRule="auto"/>
                              <w:ind w:left="13" w:hanging="13" w:hangingChars="6"/>
                              <w:rPr>
                                <w:rFonts w:ascii="宋体" w:hAnsi="宋体"/>
                                <w:b/>
                                <w:lang w:eastAsia="zh-CN"/>
                              </w:rPr>
                            </w:pPr>
                          </w:p>
                          <w:p w14:paraId="6CA34C0D">
                            <w:pPr>
                              <w:spacing w:line="360" w:lineRule="auto"/>
                              <w:ind w:left="13" w:hanging="13" w:hangingChars="6"/>
                              <w:rPr>
                                <w:rFonts w:ascii="宋体" w:hAnsi="宋体"/>
                                <w:b/>
                                <w:lang w:eastAsia="zh-CN"/>
                              </w:rPr>
                            </w:pPr>
                            <w:r>
                              <w:rPr>
                                <w:rFonts w:ascii="宋体" w:hAnsi="宋体"/>
                                <w:b/>
                                <w:lang w:eastAsia="zh-CN"/>
                              </w:rPr>
                              <w:t>地址：</w:t>
                            </w:r>
                          </w:p>
                          <w:p w14:paraId="5D20D927">
                            <w:pPr>
                              <w:spacing w:line="360" w:lineRule="auto"/>
                              <w:ind w:left="13" w:hanging="13" w:hangingChars="6"/>
                              <w:rPr>
                                <w:rFonts w:ascii="宋体" w:hAnsi="宋体"/>
                                <w:b/>
                                <w:lang w:eastAsia="zh-CN"/>
                              </w:rPr>
                            </w:pPr>
                          </w:p>
                          <w:p w14:paraId="48D12411">
                            <w:pPr>
                              <w:spacing w:line="360" w:lineRule="auto"/>
                              <w:ind w:left="13" w:hanging="13" w:hangingChars="6"/>
                              <w:rPr>
                                <w:rFonts w:ascii="宋体" w:hAnsi="宋体"/>
                                <w:b/>
                                <w:lang w:eastAsia="zh-CN"/>
                              </w:rPr>
                            </w:pPr>
                            <w:r>
                              <w:rPr>
                                <w:rFonts w:ascii="宋体" w:hAnsi="宋体"/>
                                <w:b/>
                                <w:lang w:eastAsia="zh-CN"/>
                              </w:rPr>
                              <w:t>法人（或授权）代表：</w:t>
                            </w:r>
                          </w:p>
                          <w:p w14:paraId="7916E5FB">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25FA163C">
                            <w:pPr>
                              <w:spacing w:line="360" w:lineRule="auto"/>
                              <w:ind w:left="13" w:hanging="13" w:hangingChars="6"/>
                              <w:rPr>
                                <w:rFonts w:ascii="宋体" w:hAnsi="宋体"/>
                                <w:b/>
                              </w:rPr>
                            </w:pPr>
                          </w:p>
                          <w:p w14:paraId="616AF362">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2C996461">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1CBADC54">
                      <w:pPr>
                        <w:spacing w:line="360" w:lineRule="auto"/>
                        <w:ind w:left="13" w:hanging="13" w:hangingChars="6"/>
                        <w:rPr>
                          <w:rFonts w:ascii="宋体" w:hAnsi="宋体"/>
                          <w:b/>
                          <w:lang w:eastAsia="zh-CN"/>
                        </w:rPr>
                      </w:pPr>
                      <w:r>
                        <w:rPr>
                          <w:rFonts w:ascii="宋体" w:hAnsi="宋体"/>
                          <w:b/>
                          <w:lang w:eastAsia="zh-CN"/>
                        </w:rPr>
                        <w:t>（盖章）</w:t>
                      </w:r>
                    </w:p>
                    <w:p w14:paraId="443B1961">
                      <w:pPr>
                        <w:spacing w:line="360" w:lineRule="auto"/>
                        <w:ind w:left="13" w:hanging="13" w:hangingChars="6"/>
                        <w:rPr>
                          <w:rFonts w:ascii="宋体" w:hAnsi="宋体"/>
                          <w:b/>
                          <w:lang w:eastAsia="zh-CN"/>
                        </w:rPr>
                      </w:pPr>
                    </w:p>
                    <w:p w14:paraId="6CA34C0D">
                      <w:pPr>
                        <w:spacing w:line="360" w:lineRule="auto"/>
                        <w:ind w:left="13" w:hanging="13" w:hangingChars="6"/>
                        <w:rPr>
                          <w:rFonts w:ascii="宋体" w:hAnsi="宋体"/>
                          <w:b/>
                          <w:lang w:eastAsia="zh-CN"/>
                        </w:rPr>
                      </w:pPr>
                      <w:r>
                        <w:rPr>
                          <w:rFonts w:ascii="宋体" w:hAnsi="宋体"/>
                          <w:b/>
                          <w:lang w:eastAsia="zh-CN"/>
                        </w:rPr>
                        <w:t>地址：</w:t>
                      </w:r>
                    </w:p>
                    <w:p w14:paraId="5D20D927">
                      <w:pPr>
                        <w:spacing w:line="360" w:lineRule="auto"/>
                        <w:ind w:left="13" w:hanging="13" w:hangingChars="6"/>
                        <w:rPr>
                          <w:rFonts w:ascii="宋体" w:hAnsi="宋体"/>
                          <w:b/>
                          <w:lang w:eastAsia="zh-CN"/>
                        </w:rPr>
                      </w:pPr>
                    </w:p>
                    <w:p w14:paraId="48D12411">
                      <w:pPr>
                        <w:spacing w:line="360" w:lineRule="auto"/>
                        <w:ind w:left="13" w:hanging="13" w:hangingChars="6"/>
                        <w:rPr>
                          <w:rFonts w:ascii="宋体" w:hAnsi="宋体"/>
                          <w:b/>
                          <w:lang w:eastAsia="zh-CN"/>
                        </w:rPr>
                      </w:pPr>
                      <w:r>
                        <w:rPr>
                          <w:rFonts w:ascii="宋体" w:hAnsi="宋体"/>
                          <w:b/>
                          <w:lang w:eastAsia="zh-CN"/>
                        </w:rPr>
                        <w:t>法人（或授权）代表：</w:t>
                      </w:r>
                    </w:p>
                    <w:p w14:paraId="7916E5FB">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25FA163C">
                      <w:pPr>
                        <w:spacing w:line="360" w:lineRule="auto"/>
                        <w:ind w:left="13" w:hanging="13" w:hangingChars="6"/>
                        <w:rPr>
                          <w:rFonts w:ascii="宋体" w:hAnsi="宋体"/>
                          <w:b/>
                        </w:rPr>
                      </w:pPr>
                    </w:p>
                    <w:p w14:paraId="616AF362">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0D6AD31C">
      <w:pPr>
        <w:pStyle w:val="12"/>
        <w:rPr>
          <w:rFonts w:hAnsi="宋体"/>
          <w:b/>
          <w:szCs w:val="24"/>
          <w:highlight w:val="none"/>
          <w:lang w:eastAsia="zh-CN"/>
        </w:rPr>
      </w:pPr>
    </w:p>
    <w:p w14:paraId="35DA5E66">
      <w:pPr>
        <w:pStyle w:val="12"/>
        <w:rPr>
          <w:rFonts w:hAnsi="宋体"/>
          <w:b/>
          <w:szCs w:val="24"/>
          <w:highlight w:val="none"/>
          <w:lang w:eastAsia="zh-CN"/>
        </w:rPr>
      </w:pPr>
    </w:p>
    <w:p w14:paraId="6063EE76">
      <w:pPr>
        <w:pStyle w:val="12"/>
        <w:spacing w:line="360" w:lineRule="auto"/>
        <w:rPr>
          <w:rFonts w:hAnsi="宋体"/>
          <w:b/>
          <w:szCs w:val="24"/>
          <w:highlight w:val="none"/>
          <w:lang w:eastAsia="zh-CN"/>
        </w:rPr>
      </w:pPr>
    </w:p>
    <w:p w14:paraId="1B4193DC">
      <w:pPr>
        <w:pStyle w:val="12"/>
        <w:spacing w:line="360" w:lineRule="auto"/>
        <w:rPr>
          <w:rFonts w:hAnsi="宋体"/>
          <w:b/>
          <w:szCs w:val="24"/>
          <w:highlight w:val="none"/>
          <w:lang w:eastAsia="zh-CN"/>
        </w:rPr>
      </w:pPr>
    </w:p>
    <w:p w14:paraId="7AF95C97">
      <w:pPr>
        <w:pStyle w:val="12"/>
        <w:spacing w:line="360" w:lineRule="auto"/>
        <w:rPr>
          <w:rFonts w:hAnsi="宋体" w:cs="Arial"/>
          <w:highlight w:val="none"/>
          <w:lang w:eastAsia="zh-CN"/>
        </w:rPr>
      </w:pPr>
    </w:p>
    <w:p w14:paraId="7972950D">
      <w:pPr>
        <w:pStyle w:val="12"/>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194F986E">
      <w:pPr>
        <w:rPr>
          <w:sz w:val="24"/>
          <w:highlight w:val="none"/>
        </w:rPr>
      </w:pPr>
    </w:p>
    <w:p w14:paraId="0EF1F925">
      <w:pPr>
        <w:pStyle w:val="3"/>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05" w:name="_Toc14710_WPSOffice_Level1"/>
      <w:bookmarkEnd w:id="105"/>
      <w:bookmarkStart w:id="106"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06"/>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107" w:name="_Toc19336_WPSOffice_Level2"/>
      <w:bookmarkEnd w:id="107"/>
      <w:bookmarkStart w:id="108" w:name="_Toc7180_WPSOffice_Level3"/>
      <w:bookmarkEnd w:id="108"/>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6"/>
        <w:ind w:firstLine="560"/>
        <w:rPr>
          <w:sz w:val="28"/>
          <w:szCs w:val="28"/>
          <w:highlight w:val="none"/>
        </w:rPr>
      </w:pPr>
      <w:r>
        <w:rPr>
          <w:sz w:val="28"/>
          <w:szCs w:val="28"/>
          <w:highlight w:val="none"/>
        </w:rPr>
        <w:t xml:space="preserve"> </w:t>
      </w:r>
    </w:p>
    <w:p w14:paraId="533D2B4C">
      <w:pPr>
        <w:pStyle w:val="16"/>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2EC9410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（1）法定代表人身份证明及其有效身份证（或法定代表人授权委托书及其有效身份证）（格式见附件）；</w:t>
      </w:r>
    </w:p>
    <w:p w14:paraId="6411C52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color w:val="000000"/>
          <w:szCs w:val="21"/>
          <w:highlight w:val="none"/>
        </w:rPr>
        <w:t>投标人有效的</w:t>
      </w:r>
      <w:r>
        <w:rPr>
          <w:rFonts w:hint="eastAsia" w:ascii="宋体"/>
          <w:color w:val="000000"/>
          <w:szCs w:val="21"/>
          <w:highlight w:val="none"/>
          <w:lang w:val="en-US" w:eastAsia="zh-CN"/>
        </w:rPr>
        <w:t>企业</w:t>
      </w:r>
      <w:r>
        <w:rPr>
          <w:rFonts w:hint="eastAsia" w:ascii="宋体"/>
          <w:color w:val="000000"/>
          <w:szCs w:val="21"/>
          <w:highlight w:val="none"/>
        </w:rPr>
        <w:t>营业执照</w:t>
      </w:r>
      <w:r>
        <w:rPr>
          <w:rFonts w:hint="eastAsia" w:ascii="宋体"/>
          <w:color w:val="000000"/>
          <w:szCs w:val="21"/>
          <w:highlight w:val="none"/>
          <w:lang w:val="en-US" w:eastAsia="zh-CN"/>
        </w:rPr>
        <w:t>或其他证明材料</w:t>
      </w:r>
      <w:r>
        <w:rPr>
          <w:rFonts w:hint="eastAsia" w:ascii="宋体" w:hAnsi="宋体" w:cs="宋体"/>
          <w:color w:val="000000"/>
          <w:szCs w:val="21"/>
          <w:highlight w:val="none"/>
        </w:rPr>
        <w:t>；</w:t>
      </w:r>
    </w:p>
    <w:p w14:paraId="1BB55B37">
      <w:pPr>
        <w:spacing w:line="360" w:lineRule="auto"/>
        <w:ind w:firstLine="420" w:firstLineChars="200"/>
        <w:rPr>
          <w:rFonts w:hint="eastAsia" w:ascii="宋体" w:hAnsi="宋体" w:cs="宋体"/>
          <w:color w:val="000000"/>
          <w:szCs w:val="21"/>
          <w:highlight w:val="none"/>
          <w:lang w:eastAsia="zh-CN"/>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w:t>
      </w:r>
      <w:r>
        <w:rPr>
          <w:rFonts w:hint="eastAsia" w:ascii="宋体" w:hAnsi="Times New Roman" w:eastAsia="宋体" w:cs="Times New Roman"/>
          <w:szCs w:val="21"/>
          <w:highlight w:val="none"/>
        </w:rPr>
        <w:t>诚信投标承诺书（格式见附件）；</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）服务承诺：是否响应招标文件要求的书面说明和服务承诺书（格式见附件）；</w:t>
      </w:r>
    </w:p>
    <w:p w14:paraId="7B2EFD6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）投标函（格式见附件）；</w:t>
      </w:r>
    </w:p>
    <w:p w14:paraId="1B872E33">
      <w:pPr>
        <w:spacing w:line="360" w:lineRule="auto"/>
        <w:ind w:firstLine="420" w:firstLineChars="200"/>
        <w:rPr>
          <w:rFonts w:hint="eastAsia"/>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分项报价清单</w:t>
      </w:r>
      <w:r>
        <w:rPr>
          <w:rFonts w:hint="eastAsia" w:ascii="宋体" w:hAnsi="Times New Roman" w:eastAsia="宋体" w:cs="Times New Roman"/>
          <w:szCs w:val="21"/>
          <w:highlight w:val="none"/>
        </w:rPr>
        <w:t>（格式见附件）；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3"/>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pStyle w:val="33"/>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09" w:name="_Toc451384148"/>
      <w:bookmarkStart w:id="110" w:name="_Toc425084385"/>
      <w:r>
        <w:rPr>
          <w:rFonts w:hint="eastAsia" w:ascii="宋体" w:hAnsi="宋体"/>
          <w:color w:val="000000"/>
          <w:szCs w:val="21"/>
          <w:highlight w:val="none"/>
        </w:rPr>
        <w:t>一、将遵循公</w:t>
      </w:r>
      <w:bookmarkStart w:id="111" w:name="_Toc506107356"/>
      <w:bookmarkStart w:id="112" w:name="_Toc503196197"/>
      <w:bookmarkStart w:id="113" w:name="_Toc26598"/>
      <w:r>
        <w:rPr>
          <w:rFonts w:hint="eastAsia" w:ascii="宋体" w:hAnsi="宋体"/>
          <w:color w:val="000000"/>
          <w:szCs w:val="21"/>
          <w:highlight w:val="none"/>
        </w:rPr>
        <w:t>开、公正和诚实信用</w:t>
      </w:r>
      <w:bookmarkEnd w:id="111"/>
      <w:bookmarkEnd w:id="112"/>
      <w:r>
        <w:rPr>
          <w:rFonts w:hint="eastAsia" w:ascii="宋体" w:hAnsi="宋体"/>
          <w:color w:val="000000"/>
          <w:szCs w:val="21"/>
          <w:highlight w:val="none"/>
        </w:rPr>
        <w:t>的</w:t>
      </w:r>
      <w:bookmarkEnd w:id="113"/>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w:t>
      </w:r>
      <w:bookmarkStart w:id="114" w:name="OLE_LINK134"/>
      <w:bookmarkStart w:id="115"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14"/>
      <w:bookmarkEnd w:id="115"/>
      <w:r>
        <w:rPr>
          <w:rFonts w:hint="eastAsia" w:ascii="宋体" w:hAnsi="宋体"/>
          <w:color w:val="000000"/>
          <w:szCs w:val="21"/>
          <w:highlight w:val="none"/>
          <w:lang w:eastAsia="zh-CN"/>
        </w:rPr>
        <w:t>。</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09"/>
    <w:bookmarkEnd w:id="110"/>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3"/>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6A0BF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投标报价（含税）</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14:paraId="6BCF945F">
            <w:pPr>
              <w:keepNext w:val="0"/>
              <w:keepLines w:val="0"/>
              <w:pageBreakBefore w:val="0"/>
              <w:widowControl w:val="0"/>
              <w:kinsoku/>
              <w:wordWrap/>
              <w:overflowPunct/>
              <w:topLinePunct w:val="0"/>
              <w:autoSpaceDE/>
              <w:autoSpaceDN/>
              <w:bidi w:val="0"/>
              <w:adjustRightInd/>
              <w:snapToGrid/>
              <w:spacing w:line="360" w:lineRule="auto"/>
              <w:ind w:firstLine="1920" w:firstLineChars="8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14:paraId="01BF4A6E">
            <w:pPr>
              <w:pStyle w:val="2"/>
              <w:rPr>
                <w:rFonts w:hint="default"/>
                <w:highlight w:val="none"/>
                <w:lang w:val="en-US" w:eastAsia="zh-CN"/>
              </w:rPr>
            </w:pPr>
          </w:p>
          <w:p w14:paraId="7E535E22">
            <w:pPr>
              <w:widowControl/>
              <w:spacing w:line="360" w:lineRule="auto"/>
              <w:rPr>
                <w:rFonts w:hint="eastAsia"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keepNext w:val="0"/>
        <w:keepLines w:val="0"/>
        <w:pageBreakBefore w:val="0"/>
        <w:widowControl/>
        <w:kinsoku/>
        <w:wordWrap/>
        <w:overflowPunct/>
        <w:topLinePunct w:val="0"/>
        <w:autoSpaceDE/>
        <w:autoSpaceDN/>
        <w:bidi w:val="0"/>
        <w:spacing w:line="360" w:lineRule="auto"/>
        <w:ind w:firstLine="531" w:firstLineChars="147"/>
        <w:jc w:val="center"/>
        <w:textAlignment w:val="auto"/>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327476C9">
      <w:pPr>
        <w:widowControl/>
        <w:spacing w:line="360" w:lineRule="exact"/>
        <w:ind w:firstLine="443" w:firstLineChars="147"/>
        <w:rPr>
          <w:rFonts w:hint="eastAsia" w:ascii="宋体" w:hAnsi="宋体" w:eastAsia="宋体" w:cs="宋体"/>
          <w:b/>
          <w:color w:val="000000"/>
          <w:kern w:val="0"/>
          <w:sz w:val="30"/>
          <w:szCs w:val="30"/>
          <w:highlight w:val="none"/>
          <w:u w:color="000000"/>
          <w:lang w:val="en-US" w:eastAsia="zh-CN" w:bidi="ar"/>
        </w:rPr>
      </w:pPr>
      <w:bookmarkStart w:id="116" w:name="_Toc6275_WPSOffice_Level1"/>
      <w:bookmarkEnd w:id="116"/>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6</w:t>
      </w:r>
    </w:p>
    <w:p w14:paraId="126FBEB0">
      <w:pPr>
        <w:widowControl/>
        <w:spacing w:line="360" w:lineRule="exact"/>
        <w:jc w:val="center"/>
        <w:rPr>
          <w:rFonts w:hint="eastAsia" w:ascii="宋体" w:hAnsi="宋体" w:eastAsia="宋体" w:cs="宋体"/>
          <w:b/>
          <w:color w:val="000000"/>
          <w:kern w:val="0"/>
          <w:sz w:val="36"/>
          <w:szCs w:val="36"/>
          <w:highlight w:val="none"/>
          <w:u w:color="000000"/>
          <w:lang w:val="en-US" w:eastAsia="zh-CN" w:bidi="ar"/>
        </w:rPr>
      </w:pPr>
      <w:r>
        <w:rPr>
          <w:rFonts w:hint="eastAsia" w:ascii="宋体" w:hAnsi="宋体" w:eastAsia="宋体" w:cs="宋体"/>
          <w:b/>
          <w:color w:val="000000"/>
          <w:kern w:val="0"/>
          <w:sz w:val="36"/>
          <w:szCs w:val="36"/>
          <w:highlight w:val="none"/>
          <w:u w:color="000000"/>
          <w:lang w:val="en-US" w:eastAsia="zh-CN" w:bidi="ar"/>
        </w:rPr>
        <w:t>分项报价清单</w:t>
      </w:r>
    </w:p>
    <w:tbl>
      <w:tblPr>
        <w:tblStyle w:val="20"/>
        <w:tblW w:w="90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906"/>
        <w:gridCol w:w="1063"/>
        <w:gridCol w:w="1075"/>
        <w:gridCol w:w="912"/>
        <w:gridCol w:w="1210"/>
      </w:tblGrid>
      <w:tr w14:paraId="3A50D3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noWrap w:val="0"/>
            <w:vAlign w:val="center"/>
          </w:tcPr>
          <w:p w14:paraId="5F5EA449">
            <w:pPr>
              <w:spacing w:line="30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noWrap w:val="0"/>
            <w:vAlign w:val="center"/>
          </w:tcPr>
          <w:p w14:paraId="40E7B0FB">
            <w:pPr>
              <w:spacing w:line="300" w:lineRule="exact"/>
              <w:jc w:val="center"/>
              <w:rPr>
                <w:rFonts w:hint="eastAsia" w:ascii="宋体" w:hAnsi="宋体"/>
                <w:color w:val="auto"/>
                <w:szCs w:val="21"/>
                <w:highlight w:val="none"/>
              </w:rPr>
            </w:pPr>
            <w:r>
              <w:rPr>
                <w:rFonts w:hint="eastAsia" w:ascii="宋体" w:hAnsi="宋体"/>
                <w:color w:val="auto"/>
                <w:szCs w:val="21"/>
                <w:highlight w:val="none"/>
              </w:rPr>
              <w:t>名称</w:t>
            </w:r>
          </w:p>
        </w:tc>
        <w:tc>
          <w:tcPr>
            <w:tcW w:w="1242" w:type="dxa"/>
            <w:tcBorders>
              <w:left w:val="single" w:color="auto" w:sz="4" w:space="0"/>
            </w:tcBorders>
            <w:noWrap w:val="0"/>
            <w:vAlign w:val="center"/>
          </w:tcPr>
          <w:p w14:paraId="77F808A1">
            <w:pPr>
              <w:spacing w:line="300" w:lineRule="exact"/>
              <w:jc w:val="center"/>
              <w:rPr>
                <w:rFonts w:hint="eastAsia" w:ascii="宋体" w:hAnsi="宋体"/>
                <w:color w:val="auto"/>
                <w:szCs w:val="21"/>
                <w:highlight w:val="none"/>
              </w:rPr>
            </w:pPr>
            <w:r>
              <w:rPr>
                <w:rFonts w:hint="eastAsia" w:ascii="宋体" w:hAnsi="宋体"/>
                <w:color w:val="auto"/>
                <w:szCs w:val="21"/>
                <w:highlight w:val="none"/>
              </w:rPr>
              <w:t>规格型号</w:t>
            </w:r>
          </w:p>
          <w:p w14:paraId="25299D70">
            <w:pPr>
              <w:spacing w:line="30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906" w:type="dxa"/>
            <w:noWrap w:val="0"/>
            <w:vAlign w:val="center"/>
          </w:tcPr>
          <w:p w14:paraId="144B3B92">
            <w:pPr>
              <w:spacing w:line="300" w:lineRule="exact"/>
              <w:jc w:val="center"/>
              <w:rPr>
                <w:rFonts w:hint="eastAsia" w:ascii="宋体" w:hAnsi="宋体"/>
                <w:color w:val="auto"/>
                <w:szCs w:val="21"/>
                <w:highlight w:val="none"/>
              </w:rPr>
            </w:pPr>
            <w:r>
              <w:rPr>
                <w:rFonts w:hint="eastAsia" w:ascii="宋体" w:hAnsi="宋体"/>
                <w:color w:val="auto"/>
                <w:szCs w:val="21"/>
                <w:highlight w:val="none"/>
              </w:rPr>
              <w:t>单位</w:t>
            </w:r>
          </w:p>
        </w:tc>
        <w:tc>
          <w:tcPr>
            <w:tcW w:w="1063" w:type="dxa"/>
            <w:noWrap w:val="0"/>
            <w:vAlign w:val="center"/>
          </w:tcPr>
          <w:p w14:paraId="24FD5886">
            <w:pPr>
              <w:spacing w:line="30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数量</w:t>
            </w:r>
          </w:p>
        </w:tc>
        <w:tc>
          <w:tcPr>
            <w:tcW w:w="1075" w:type="dxa"/>
            <w:tcBorders>
              <w:left w:val="single" w:color="auto" w:sz="4" w:space="0"/>
            </w:tcBorders>
            <w:noWrap w:val="0"/>
            <w:vAlign w:val="center"/>
          </w:tcPr>
          <w:p w14:paraId="5A469C1F">
            <w:pPr>
              <w:spacing w:line="300" w:lineRule="exact"/>
              <w:jc w:val="center"/>
              <w:rPr>
                <w:rFonts w:hint="eastAsia" w:ascii="宋体" w:hAnsi="宋体"/>
                <w:color w:val="auto"/>
                <w:szCs w:val="21"/>
                <w:highlight w:val="none"/>
              </w:rPr>
            </w:pPr>
            <w:r>
              <w:rPr>
                <w:rFonts w:hint="eastAsia" w:ascii="宋体" w:hAnsi="宋体"/>
                <w:color w:val="auto"/>
                <w:szCs w:val="21"/>
                <w:highlight w:val="none"/>
                <w:lang w:val="en-US" w:eastAsia="zh-CN"/>
              </w:rPr>
              <w:t>综合</w:t>
            </w:r>
            <w:r>
              <w:rPr>
                <w:rFonts w:hint="eastAsia" w:ascii="宋体" w:hAnsi="宋体"/>
                <w:color w:val="auto"/>
                <w:szCs w:val="21"/>
                <w:highlight w:val="none"/>
              </w:rPr>
              <w:t>单价（元</w:t>
            </w:r>
            <w:r>
              <w:rPr>
                <w:rFonts w:hint="eastAsia" w:ascii="宋体" w:hAnsi="宋体"/>
                <w:color w:val="auto"/>
                <w:szCs w:val="21"/>
                <w:highlight w:val="none"/>
                <w:lang w:val="en-US" w:eastAsia="zh-CN"/>
              </w:rPr>
              <w:t>/人</w:t>
            </w:r>
            <w:r>
              <w:rPr>
                <w:rFonts w:hint="eastAsia" w:ascii="宋体" w:hAnsi="宋体"/>
                <w:color w:val="auto"/>
                <w:szCs w:val="21"/>
                <w:highlight w:val="none"/>
              </w:rPr>
              <w:t>）</w:t>
            </w:r>
          </w:p>
        </w:tc>
        <w:tc>
          <w:tcPr>
            <w:tcW w:w="912" w:type="dxa"/>
            <w:noWrap w:val="0"/>
            <w:vAlign w:val="center"/>
          </w:tcPr>
          <w:p w14:paraId="4CEFAF54">
            <w:pPr>
              <w:spacing w:line="300" w:lineRule="exact"/>
              <w:jc w:val="center"/>
              <w:rPr>
                <w:rFonts w:hint="eastAsia" w:ascii="宋体" w:hAnsi="宋体"/>
                <w:color w:val="auto"/>
                <w:szCs w:val="21"/>
                <w:highlight w:val="none"/>
              </w:rPr>
            </w:pPr>
            <w:r>
              <w:rPr>
                <w:rFonts w:hint="eastAsia" w:ascii="宋体" w:hAnsi="宋体"/>
                <w:color w:val="auto"/>
                <w:szCs w:val="21"/>
                <w:highlight w:val="none"/>
              </w:rPr>
              <w:t>合价（元）</w:t>
            </w:r>
          </w:p>
        </w:tc>
        <w:tc>
          <w:tcPr>
            <w:tcW w:w="1210" w:type="dxa"/>
            <w:noWrap w:val="0"/>
            <w:vAlign w:val="center"/>
          </w:tcPr>
          <w:p w14:paraId="18C0374C">
            <w:pPr>
              <w:spacing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备注</w:t>
            </w:r>
          </w:p>
        </w:tc>
      </w:tr>
      <w:tr w14:paraId="71AD4F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08082300">
            <w:pPr>
              <w:jc w:val="cente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2038" w:type="dxa"/>
            <w:tcBorders>
              <w:right w:val="single" w:color="auto" w:sz="4" w:space="0"/>
            </w:tcBorders>
            <w:shd w:val="clear" w:color="auto" w:fill="FFFFFF"/>
            <w:noWrap w:val="0"/>
            <w:vAlign w:val="center"/>
          </w:tcPr>
          <w:p w14:paraId="0DDA2BE2">
            <w:pPr>
              <w:pStyle w:val="54"/>
              <w:spacing w:before="71" w:line="221" w:lineRule="auto"/>
              <w:jc w:val="center"/>
              <w:rPr>
                <w:rFonts w:hint="eastAsia" w:ascii="宋体" w:hAnsi="宋体"/>
                <w:color w:val="auto"/>
                <w:sz w:val="24"/>
                <w:highlight w:val="none"/>
              </w:rPr>
            </w:pPr>
            <w:r>
              <w:rPr>
                <w:rFonts w:hint="eastAsia" w:ascii="宋体" w:hAnsi="宋体"/>
                <w:color w:val="auto"/>
                <w:sz w:val="24"/>
                <w:highlight w:val="none"/>
                <w:lang w:eastAsia="zh-CN"/>
              </w:rPr>
              <w:t>2026年滁州轨道运营班组长能力提升培训项目</w:t>
            </w:r>
          </w:p>
        </w:tc>
        <w:tc>
          <w:tcPr>
            <w:tcW w:w="1242" w:type="dxa"/>
            <w:tcBorders>
              <w:left w:val="single" w:color="auto" w:sz="4" w:space="0"/>
            </w:tcBorders>
            <w:shd w:val="clear" w:color="auto" w:fill="auto"/>
            <w:noWrap w:val="0"/>
            <w:vAlign w:val="center"/>
          </w:tcPr>
          <w:p w14:paraId="6B08FFA8">
            <w:pPr>
              <w:spacing w:line="300" w:lineRule="exact"/>
              <w:jc w:val="center"/>
              <w:rPr>
                <w:rFonts w:hint="eastAsia" w:ascii="宋体" w:hAnsi="宋体"/>
                <w:color w:val="auto"/>
                <w:sz w:val="24"/>
                <w:highlight w:val="none"/>
              </w:rPr>
            </w:pPr>
          </w:p>
        </w:tc>
        <w:tc>
          <w:tcPr>
            <w:tcW w:w="906" w:type="dxa"/>
            <w:shd w:val="clear" w:color="auto" w:fill="FFFFFF"/>
            <w:noWrap w:val="0"/>
            <w:vAlign w:val="center"/>
          </w:tcPr>
          <w:p w14:paraId="1EF4BB09">
            <w:pPr>
              <w:pStyle w:val="54"/>
              <w:spacing w:before="71" w:line="221" w:lineRule="auto"/>
              <w:jc w:val="center"/>
              <w:rPr>
                <w:rFonts w:hint="eastAsia" w:ascii="宋体" w:hAnsi="宋体" w:eastAsia="宋体"/>
                <w:color w:val="auto"/>
                <w:sz w:val="24"/>
                <w:highlight w:val="none"/>
                <w:lang w:eastAsia="zh-CN"/>
              </w:rPr>
            </w:pPr>
            <w:r>
              <w:rPr>
                <w:rFonts w:hint="eastAsia"/>
                <w:sz w:val="22"/>
                <w:szCs w:val="22"/>
                <w:highlight w:val="none"/>
                <w:lang w:val="en-US" w:eastAsia="zh-CN"/>
              </w:rPr>
              <w:t>人</w:t>
            </w:r>
          </w:p>
        </w:tc>
        <w:tc>
          <w:tcPr>
            <w:tcW w:w="1063" w:type="dxa"/>
            <w:shd w:val="clear" w:color="auto" w:fill="FFFFFF"/>
            <w:noWrap w:val="0"/>
            <w:vAlign w:val="center"/>
          </w:tcPr>
          <w:p w14:paraId="353D2CFE">
            <w:pPr>
              <w:spacing w:before="64" w:line="189" w:lineRule="auto"/>
              <w:jc w:val="center"/>
              <w:rPr>
                <w:rFonts w:hint="default" w:ascii="宋体" w:hAnsi="宋体"/>
                <w:color w:val="auto"/>
                <w:sz w:val="24"/>
                <w:highlight w:val="none"/>
                <w:lang w:val="en-US"/>
              </w:rPr>
            </w:pPr>
            <w:r>
              <w:rPr>
                <w:rFonts w:hint="eastAsia" w:ascii="Times New Roman" w:hAnsi="Times New Roman" w:eastAsia="宋体" w:cs="Times New Roman"/>
                <w:spacing w:val="-1"/>
                <w:sz w:val="22"/>
                <w:szCs w:val="22"/>
                <w:highlight w:val="none"/>
                <w:lang w:val="en-US" w:eastAsia="zh-CN"/>
              </w:rPr>
              <w:t>1</w:t>
            </w:r>
            <w:r>
              <w:rPr>
                <w:rFonts w:ascii="Times New Roman" w:hAnsi="Times New Roman" w:eastAsia="Times New Roman" w:cs="Times New Roman"/>
                <w:spacing w:val="-1"/>
                <w:sz w:val="22"/>
                <w:szCs w:val="22"/>
                <w:highlight w:val="none"/>
              </w:rPr>
              <w:t>00</w:t>
            </w:r>
          </w:p>
        </w:tc>
        <w:tc>
          <w:tcPr>
            <w:tcW w:w="1075" w:type="dxa"/>
            <w:tcBorders>
              <w:left w:val="single" w:color="auto" w:sz="4" w:space="0"/>
            </w:tcBorders>
            <w:noWrap w:val="0"/>
            <w:vAlign w:val="center"/>
          </w:tcPr>
          <w:p w14:paraId="6F2D9F00">
            <w:pPr>
              <w:spacing w:line="300" w:lineRule="exact"/>
              <w:rPr>
                <w:rFonts w:hint="eastAsia" w:ascii="宋体" w:hAnsi="宋体"/>
                <w:color w:val="auto"/>
                <w:sz w:val="24"/>
                <w:highlight w:val="none"/>
              </w:rPr>
            </w:pPr>
          </w:p>
        </w:tc>
        <w:tc>
          <w:tcPr>
            <w:tcW w:w="912" w:type="dxa"/>
            <w:noWrap w:val="0"/>
            <w:vAlign w:val="center"/>
          </w:tcPr>
          <w:p w14:paraId="04A5492A">
            <w:pPr>
              <w:spacing w:line="300" w:lineRule="exact"/>
              <w:rPr>
                <w:rFonts w:hint="eastAsia" w:ascii="宋体" w:hAnsi="宋体"/>
                <w:color w:val="auto"/>
                <w:sz w:val="24"/>
                <w:highlight w:val="none"/>
              </w:rPr>
            </w:pPr>
          </w:p>
        </w:tc>
        <w:tc>
          <w:tcPr>
            <w:tcW w:w="1210" w:type="dxa"/>
            <w:noWrap w:val="0"/>
            <w:vAlign w:val="top"/>
          </w:tcPr>
          <w:p w14:paraId="6871281B">
            <w:pPr>
              <w:spacing w:line="300" w:lineRule="exact"/>
              <w:rPr>
                <w:rFonts w:hint="eastAsia" w:ascii="宋体" w:hAnsi="宋体"/>
                <w:color w:val="auto"/>
                <w:sz w:val="24"/>
                <w:highlight w:val="none"/>
              </w:rPr>
            </w:pPr>
          </w:p>
        </w:tc>
      </w:tr>
      <w:tr w14:paraId="7AC8E7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9089" w:type="dxa"/>
            <w:gridSpan w:val="8"/>
            <w:noWrap w:val="0"/>
            <w:vAlign w:val="top"/>
          </w:tcPr>
          <w:p w14:paraId="3999B4D4">
            <w:pPr>
              <w:spacing w:line="300" w:lineRule="exact"/>
              <w:rPr>
                <w:rFonts w:hint="eastAsia" w:ascii="宋体" w:hAnsi="宋体"/>
                <w:color w:val="auto"/>
                <w:sz w:val="24"/>
                <w:highlight w:val="none"/>
              </w:rPr>
            </w:pPr>
            <w:r>
              <w:rPr>
                <w:rFonts w:hint="eastAsia" w:ascii="宋体" w:hAnsi="宋体"/>
                <w:b/>
                <w:color w:val="auto"/>
                <w:sz w:val="24"/>
                <w:highlight w:val="none"/>
              </w:rPr>
              <w:t>投标报价：</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元；（填入投标函和开标一览表）</w:t>
            </w:r>
          </w:p>
        </w:tc>
      </w:tr>
    </w:tbl>
    <w:p w14:paraId="0AD1A1CC">
      <w:pPr>
        <w:keepNext w:val="0"/>
        <w:keepLines w:val="0"/>
        <w:pageBreakBefore w:val="0"/>
        <w:widowControl w:val="0"/>
        <w:tabs>
          <w:tab w:val="left" w:pos="8400"/>
        </w:tabs>
        <w:kinsoku/>
        <w:wordWrap/>
        <w:overflowPunct/>
        <w:topLinePunct w:val="0"/>
        <w:autoSpaceDE/>
        <w:autoSpaceDN/>
        <w:bidi w:val="0"/>
        <w:adjustRightInd/>
        <w:snapToGrid/>
        <w:spacing w:line="440" w:lineRule="exact"/>
        <w:ind w:right="-92" w:rightChars="-44"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rPr>
        <w:t>备注：</w:t>
      </w:r>
      <w:r>
        <w:rPr>
          <w:rFonts w:hint="eastAsia" w:ascii="宋体" w:hAnsi="宋体" w:eastAsia="宋体" w:cs="宋体"/>
          <w:color w:val="auto"/>
          <w:szCs w:val="21"/>
          <w:highlight w:val="none"/>
          <w:lang w:val="en-US" w:eastAsia="zh-CN"/>
        </w:rPr>
        <w:t>1.上述表格中培训人数为暂定数量，结算时根据实际培训人数按实结算，所报综合单价不变。</w:t>
      </w:r>
    </w:p>
    <w:p w14:paraId="474549D6">
      <w:pPr>
        <w:keepNext w:val="0"/>
        <w:keepLines w:val="0"/>
        <w:pageBreakBefore w:val="0"/>
        <w:widowControl w:val="0"/>
        <w:tabs>
          <w:tab w:val="left" w:pos="8400"/>
        </w:tabs>
        <w:kinsoku/>
        <w:wordWrap/>
        <w:overflowPunct/>
        <w:topLinePunct w:val="0"/>
        <w:autoSpaceDE/>
        <w:autoSpaceDN/>
        <w:bidi w:val="0"/>
        <w:adjustRightInd/>
        <w:snapToGrid/>
        <w:spacing w:line="440" w:lineRule="exact"/>
        <w:ind w:right="-92" w:rightChars="-44"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2.所有投标只能选择一种方案，单价和合价的报价只能是唯一。</w:t>
      </w:r>
    </w:p>
    <w:p w14:paraId="750E48A3">
      <w:pPr>
        <w:keepNext w:val="0"/>
        <w:keepLines w:val="0"/>
        <w:pageBreakBefore w:val="0"/>
        <w:widowControl w:val="0"/>
        <w:tabs>
          <w:tab w:val="left" w:pos="8400"/>
        </w:tabs>
        <w:kinsoku/>
        <w:wordWrap/>
        <w:overflowPunct/>
        <w:topLinePunct w:val="0"/>
        <w:autoSpaceDE/>
        <w:autoSpaceDN/>
        <w:bidi w:val="0"/>
        <w:adjustRightInd/>
        <w:snapToGrid/>
        <w:spacing w:line="440" w:lineRule="exact"/>
        <w:ind w:right="-92" w:rightChars="-44"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综合单价包括但不限于：承担本项目所需的人员和专家顾问的薪金、现场服务、福利、交通、食宿和通讯费用、办公设备、文件（或证书）制作费用及相应各项杂费等费用（含茶歇、奖品）、利润、招标代理费、售后服务费、税金、政策性文件规定及合同包含的所有风险和责任等各项应有费用。</w:t>
      </w:r>
    </w:p>
    <w:p w14:paraId="093FB0E9">
      <w:pPr>
        <w:keepNext w:val="0"/>
        <w:keepLines w:val="0"/>
        <w:pageBreakBefore w:val="0"/>
        <w:widowControl w:val="0"/>
        <w:tabs>
          <w:tab w:val="left" w:pos="8400"/>
        </w:tabs>
        <w:kinsoku/>
        <w:wordWrap/>
        <w:overflowPunct/>
        <w:topLinePunct w:val="0"/>
        <w:autoSpaceDE/>
        <w:autoSpaceDN/>
        <w:bidi w:val="0"/>
        <w:adjustRightInd/>
        <w:snapToGrid/>
        <w:spacing w:line="440" w:lineRule="exact"/>
        <w:ind w:right="1123" w:rightChars="535" w:firstLine="420" w:firstLineChars="200"/>
        <w:jc w:val="left"/>
        <w:textAlignment w:val="auto"/>
        <w:rPr>
          <w:rFonts w:hint="default" w:ascii="宋体" w:hAnsi="宋体" w:eastAsia="宋体" w:cs="宋体"/>
          <w:color w:val="auto"/>
          <w:szCs w:val="21"/>
          <w:highlight w:val="none"/>
          <w:lang w:val="en-US" w:eastAsia="zh-CN"/>
        </w:rPr>
      </w:pPr>
    </w:p>
    <w:p w14:paraId="1AB82A01">
      <w:pPr>
        <w:pStyle w:val="19"/>
        <w:ind w:firstLine="210"/>
        <w:rPr>
          <w:rFonts w:hint="eastAsia"/>
          <w:color w:val="auto"/>
          <w:highlight w:val="none"/>
        </w:rPr>
      </w:pPr>
    </w:p>
    <w:p w14:paraId="3BEC83CE">
      <w:pPr>
        <w:spacing w:line="360" w:lineRule="auto"/>
        <w:rPr>
          <w:rFonts w:hint="eastAsia" w:ascii="宋体"/>
          <w:color w:val="auto"/>
          <w:sz w:val="24"/>
          <w:highlight w:val="none"/>
        </w:rPr>
      </w:pPr>
      <w:r>
        <w:rPr>
          <w:rFonts w:hint="eastAsia" w:ascii="宋体"/>
          <w:color w:val="auto"/>
          <w:sz w:val="24"/>
          <w:highlight w:val="none"/>
        </w:rPr>
        <w:t>投标人名称（签章）：</w:t>
      </w:r>
      <w:r>
        <w:rPr>
          <w:rFonts w:hint="eastAsia" w:ascii="宋体"/>
          <w:color w:val="auto"/>
          <w:sz w:val="24"/>
          <w:highlight w:val="none"/>
          <w:u w:val="single"/>
        </w:rPr>
        <w:t xml:space="preserve">                                </w:t>
      </w:r>
    </w:p>
    <w:p w14:paraId="035E5042">
      <w:pPr>
        <w:spacing w:line="360" w:lineRule="auto"/>
        <w:rPr>
          <w:rFonts w:hint="eastAsia" w:ascii="宋体"/>
          <w:color w:val="auto"/>
          <w:sz w:val="24"/>
          <w:highlight w:val="none"/>
        </w:rPr>
      </w:pPr>
      <w:r>
        <w:rPr>
          <w:rFonts w:hint="eastAsia" w:ascii="宋体"/>
          <w:color w:val="auto"/>
          <w:sz w:val="24"/>
          <w:highlight w:val="none"/>
        </w:rPr>
        <w:t>法定代表人 (签章)：</w:t>
      </w:r>
      <w:r>
        <w:rPr>
          <w:rFonts w:hint="eastAsia" w:ascii="宋体"/>
          <w:color w:val="auto"/>
          <w:sz w:val="24"/>
          <w:highlight w:val="none"/>
          <w:u w:val="single"/>
        </w:rPr>
        <w:t xml:space="preserve">                          </w:t>
      </w:r>
    </w:p>
    <w:p w14:paraId="5D4BBDC3">
      <w:pPr>
        <w:spacing w:line="360" w:lineRule="auto"/>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8D21C56">
      <w:pPr>
        <w:rPr>
          <w:b/>
          <w:sz w:val="32"/>
          <w:szCs w:val="32"/>
          <w:highlight w:val="none"/>
        </w:rPr>
      </w:pPr>
      <w:r>
        <w:rPr>
          <w:b/>
          <w:sz w:val="32"/>
          <w:szCs w:val="32"/>
          <w:highlight w:val="none"/>
        </w:rPr>
        <w:br w:type="page"/>
      </w:r>
    </w:p>
    <w:p w14:paraId="7089DEF9">
      <w:pPr>
        <w:pStyle w:val="18"/>
        <w:spacing w:beforeAutospacing="0" w:afterAutospacing="0" w:line="375" w:lineRule="atLeast"/>
        <w:jc w:val="center"/>
        <w:outlineLvl w:val="0"/>
        <w:rPr>
          <w:rFonts w:hint="default"/>
          <w:b/>
          <w:sz w:val="32"/>
          <w:szCs w:val="32"/>
          <w:highlight w:val="none"/>
        </w:rPr>
      </w:pPr>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2026年滁州轨道运营班组长能力提升培训项目</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3</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6"/>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3</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6C78AE4-46FF-40BD-AD08-D5F167752D2A}"/>
  </w:font>
  <w:font w:name="黑体">
    <w:panose1 w:val="02010609060101010101"/>
    <w:charset w:val="86"/>
    <w:family w:val="auto"/>
    <w:pitch w:val="default"/>
    <w:sig w:usb0="800002BF" w:usb1="38CF7CFA" w:usb2="00000016" w:usb3="00000000" w:csb0="00040001" w:csb1="00000000"/>
    <w:embedRegular r:id="rId2" w:fontKey="{FDA4B0FC-BF76-4D99-8890-0E12A51EE6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9DB0DD9-E674-4DC3-8ABF-03C70289C9F7}"/>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948DD887-4744-4B0F-B6BD-03437021C9C7}"/>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5" w:fontKey="{06F2A0DC-0BA2-402E-A5B1-9E66D81AE940}"/>
  </w:font>
  <w:font w:name="仿宋">
    <w:panose1 w:val="02010609060101010101"/>
    <w:charset w:val="86"/>
    <w:family w:val="auto"/>
    <w:pitch w:val="default"/>
    <w:sig w:usb0="800002BF" w:usb1="38CF7CFA" w:usb2="00000016" w:usb3="00000000" w:csb0="00040001" w:csb1="00000000"/>
    <w:embedRegular r:id="rId6" w:fontKey="{A11AC7CE-637D-4B33-A493-B6C65CE1C46E}"/>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52128">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60E30">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A60E30">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102C9">
                          <w:pPr>
                            <w:pStyle w:val="14"/>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F8102C9">
                    <w:pPr>
                      <w:pStyle w:val="14"/>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5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82434B4"/>
    <w:multiLevelType w:val="multilevel"/>
    <w:tmpl w:val="282434B4"/>
    <w:lvl w:ilvl="0" w:tentative="0">
      <w:start w:val="1"/>
      <w:numFmt w:val="decimal"/>
      <w:suff w:val="nothing"/>
      <w:lvlText w:val=""/>
      <w:lvlJc w:val="left"/>
    </w:lvl>
    <w:lvl w:ilvl="1" w:tentative="0">
      <w:start w:val="1"/>
      <w:numFmt w:val="decimal"/>
      <w:suff w:val="nothing"/>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30A528D"/>
    <w:rsid w:val="04076AC7"/>
    <w:rsid w:val="06D54ED0"/>
    <w:rsid w:val="08331281"/>
    <w:rsid w:val="0A4E2FDB"/>
    <w:rsid w:val="0AFF501E"/>
    <w:rsid w:val="0CEF01A1"/>
    <w:rsid w:val="0EBB3464"/>
    <w:rsid w:val="0F5A3543"/>
    <w:rsid w:val="11273F56"/>
    <w:rsid w:val="113B3BA0"/>
    <w:rsid w:val="116B3023"/>
    <w:rsid w:val="12431559"/>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C5563E4"/>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4A42528"/>
    <w:rsid w:val="27153B40"/>
    <w:rsid w:val="27427F5F"/>
    <w:rsid w:val="287E4991"/>
    <w:rsid w:val="28A14C8E"/>
    <w:rsid w:val="2B6D586A"/>
    <w:rsid w:val="2E391725"/>
    <w:rsid w:val="2E7D0093"/>
    <w:rsid w:val="335F5FC3"/>
    <w:rsid w:val="34033D28"/>
    <w:rsid w:val="35144896"/>
    <w:rsid w:val="35E820B0"/>
    <w:rsid w:val="379A4E56"/>
    <w:rsid w:val="39447D88"/>
    <w:rsid w:val="3A152A74"/>
    <w:rsid w:val="3C20428F"/>
    <w:rsid w:val="3CE35A45"/>
    <w:rsid w:val="3D7F110E"/>
    <w:rsid w:val="3D8B68BD"/>
    <w:rsid w:val="3F57666C"/>
    <w:rsid w:val="40585B1F"/>
    <w:rsid w:val="41C76417"/>
    <w:rsid w:val="42090A0D"/>
    <w:rsid w:val="426A2148"/>
    <w:rsid w:val="42AB7679"/>
    <w:rsid w:val="42DD1431"/>
    <w:rsid w:val="440F4D94"/>
    <w:rsid w:val="44121234"/>
    <w:rsid w:val="44A22EE0"/>
    <w:rsid w:val="45C02C36"/>
    <w:rsid w:val="45C566A8"/>
    <w:rsid w:val="46623AC8"/>
    <w:rsid w:val="47034D57"/>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90A3E3C"/>
    <w:rsid w:val="5AB972A9"/>
    <w:rsid w:val="5AC41FE9"/>
    <w:rsid w:val="5D13683D"/>
    <w:rsid w:val="5D2B5019"/>
    <w:rsid w:val="5D7002D3"/>
    <w:rsid w:val="5D9370C8"/>
    <w:rsid w:val="5D960B86"/>
    <w:rsid w:val="5EEF61FC"/>
    <w:rsid w:val="604D11B9"/>
    <w:rsid w:val="610B63DA"/>
    <w:rsid w:val="62C47C43"/>
    <w:rsid w:val="62D915BE"/>
    <w:rsid w:val="6509245E"/>
    <w:rsid w:val="656257FB"/>
    <w:rsid w:val="66527E86"/>
    <w:rsid w:val="668A652A"/>
    <w:rsid w:val="69954A88"/>
    <w:rsid w:val="6B3B5C8B"/>
    <w:rsid w:val="6EA934B6"/>
    <w:rsid w:val="6FEA05C0"/>
    <w:rsid w:val="706E041E"/>
    <w:rsid w:val="71B01D3D"/>
    <w:rsid w:val="73593D92"/>
    <w:rsid w:val="74C262FC"/>
    <w:rsid w:val="75843174"/>
    <w:rsid w:val="76B7003F"/>
    <w:rsid w:val="771A30E5"/>
    <w:rsid w:val="77E03419"/>
    <w:rsid w:val="79757E4E"/>
    <w:rsid w:val="7A165EE4"/>
    <w:rsid w:val="7A2A6204"/>
    <w:rsid w:val="7AF5326F"/>
    <w:rsid w:val="7C6F2B16"/>
    <w:rsid w:val="7D0D5680"/>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29"/>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二级标题"/>
    <w:basedOn w:val="1"/>
    <w:next w:val="1"/>
    <w:autoRedefine/>
    <w:qFormat/>
    <w:uiPriority w:val="0"/>
    <w:rPr>
      <w:rFonts w:hint="eastAsia" w:eastAsia="楷体"/>
    </w:rPr>
  </w:style>
  <w:style w:type="paragraph" w:styleId="4">
    <w:name w:val="toc 7"/>
    <w:basedOn w:val="1"/>
    <w:next w:val="1"/>
    <w:autoRedefine/>
    <w:qFormat/>
    <w:uiPriority w:val="39"/>
    <w:pPr>
      <w:ind w:left="1260"/>
      <w:jc w:val="left"/>
    </w:pPr>
    <w:rPr>
      <w:sz w:val="18"/>
      <w:szCs w:val="18"/>
    </w:rPr>
  </w:style>
  <w:style w:type="paragraph" w:styleId="5">
    <w:name w:val="Normal Indent"/>
    <w:basedOn w:val="1"/>
    <w:next w:val="6"/>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6">
    <w:name w:val="Body Text First Indent 2"/>
    <w:basedOn w:val="7"/>
    <w:next w:val="1"/>
    <w:link w:val="27"/>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7">
    <w:name w:val="Body Text Indent"/>
    <w:basedOn w:val="1"/>
    <w:next w:val="8"/>
    <w:link w:val="26"/>
    <w:autoRedefine/>
    <w:qFormat/>
    <w:uiPriority w:val="0"/>
    <w:pPr>
      <w:spacing w:after="120"/>
      <w:ind w:left="420" w:leftChars="200"/>
    </w:pPr>
  </w:style>
  <w:style w:type="paragraph" w:styleId="8">
    <w:name w:val="envelope return"/>
    <w:basedOn w:val="1"/>
    <w:next w:val="4"/>
    <w:autoRedefine/>
    <w:qFormat/>
    <w:uiPriority w:val="0"/>
    <w:pPr>
      <w:snapToGrid w:val="0"/>
    </w:pPr>
    <w:rPr>
      <w:rFonts w:ascii="Arial" w:hAnsi="Arial"/>
    </w:rPr>
  </w:style>
  <w:style w:type="paragraph" w:styleId="9">
    <w:name w:val="annotation text"/>
    <w:basedOn w:val="1"/>
    <w:autoRedefine/>
    <w:qFormat/>
    <w:uiPriority w:val="0"/>
    <w:pPr>
      <w:jc w:val="left"/>
    </w:pPr>
  </w:style>
  <w:style w:type="paragraph" w:styleId="10">
    <w:name w:val="Body Text 3"/>
    <w:basedOn w:val="1"/>
    <w:autoRedefine/>
    <w:qFormat/>
    <w:uiPriority w:val="0"/>
    <w:rPr>
      <w:rFonts w:ascii="宋体" w:hAnsi="Calibri" w:eastAsia="宋体" w:cs="Times New Roman"/>
      <w:sz w:val="24"/>
      <w:szCs w:val="20"/>
    </w:rPr>
  </w:style>
  <w:style w:type="paragraph" w:styleId="11">
    <w:name w:val="Body Text"/>
    <w:basedOn w:val="1"/>
    <w:autoRedefine/>
    <w:qFormat/>
    <w:uiPriority w:val="0"/>
    <w:pPr>
      <w:snapToGrid w:val="0"/>
      <w:spacing w:line="360" w:lineRule="auto"/>
    </w:pPr>
    <w:rPr>
      <w:rFonts w:ascii="Arial" w:hAnsi="Arial" w:eastAsia="方正仿宋_GB2312"/>
      <w:sz w:val="31"/>
    </w:rPr>
  </w:style>
  <w:style w:type="paragraph" w:styleId="12">
    <w:name w:val="Plain Text"/>
    <w:basedOn w:val="1"/>
    <w:link w:val="31"/>
    <w:autoRedefine/>
    <w:qFormat/>
    <w:uiPriority w:val="0"/>
    <w:rPr>
      <w:rFonts w:hint="eastAsia" w:ascii="宋体" w:hAnsi="宋体" w:eastAsia="宋体" w:cs="Times New Roman"/>
      <w:szCs w:val="21"/>
    </w:rPr>
  </w:style>
  <w:style w:type="paragraph" w:styleId="13">
    <w:name w:val="Date"/>
    <w:basedOn w:val="1"/>
    <w:next w:val="1"/>
    <w:link w:val="28"/>
    <w:autoRedefine/>
    <w:qFormat/>
    <w:uiPriority w:val="0"/>
    <w:rPr>
      <w:rFonts w:ascii="Arial" w:hAnsi="Arial" w:eastAsia="方正仿宋_GB2312" w:cs="Times New Roman"/>
      <w:color w:val="000000"/>
      <w:sz w:val="32"/>
      <w:szCs w:val="32"/>
      <w:u w:color="000000"/>
    </w:rPr>
  </w:style>
  <w:style w:type="paragraph" w:styleId="14">
    <w:name w:val="footer"/>
    <w:basedOn w:val="1"/>
    <w:link w:val="32"/>
    <w:autoRedefine/>
    <w:qFormat/>
    <w:uiPriority w:val="0"/>
    <w:pPr>
      <w:tabs>
        <w:tab w:val="center" w:pos="4153"/>
        <w:tab w:val="right" w:pos="8306"/>
      </w:tabs>
      <w:snapToGrid w:val="0"/>
      <w:jc w:val="left"/>
    </w:pPr>
    <w:rPr>
      <w:sz w:val="18"/>
    </w:rPr>
  </w:style>
  <w:style w:type="paragraph" w:styleId="15">
    <w:name w:val="header"/>
    <w:basedOn w:val="1"/>
    <w:link w:val="3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7">
    <w:name w:val="footnote text"/>
    <w:basedOn w:val="1"/>
    <w:unhideWhenUsed/>
    <w:qFormat/>
    <w:uiPriority w:val="99"/>
    <w:rPr>
      <w:sz w:val="18"/>
      <w:szCs w:val="1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1"/>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Default"/>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customStyle="1" w:styleId="25">
    <w:name w:val="正文文字 8"/>
    <w:basedOn w:val="1"/>
    <w:next w:val="1"/>
    <w:autoRedefine/>
    <w:qFormat/>
    <w:uiPriority w:val="0"/>
    <w:pPr>
      <w:ind w:left="240"/>
    </w:pPr>
    <w:rPr>
      <w:sz w:val="16"/>
    </w:rPr>
  </w:style>
  <w:style w:type="character" w:customStyle="1" w:styleId="26">
    <w:name w:val="正文文本缩进 字符"/>
    <w:basedOn w:val="22"/>
    <w:link w:val="7"/>
    <w:autoRedefine/>
    <w:qFormat/>
    <w:uiPriority w:val="0"/>
    <w:rPr>
      <w:rFonts w:hint="default" w:ascii="Times New Roman" w:hAnsi="Times New Roman" w:eastAsia="宋体" w:cs="Times New Roman"/>
      <w:color w:val="000000"/>
      <w:kern w:val="0"/>
      <w:szCs w:val="21"/>
      <w:u w:color="000000"/>
    </w:rPr>
  </w:style>
  <w:style w:type="character" w:customStyle="1" w:styleId="27">
    <w:name w:val="正文文本首行缩进 2 字符"/>
    <w:basedOn w:val="26"/>
    <w:link w:val="6"/>
    <w:autoRedefine/>
    <w:qFormat/>
    <w:uiPriority w:val="0"/>
    <w:rPr>
      <w:rFonts w:hint="default" w:ascii="Times New Roman" w:hAnsi="Times New Roman" w:eastAsia="宋体" w:cs="Times New Roman"/>
      <w:color w:val="000000"/>
      <w:kern w:val="0"/>
      <w:szCs w:val="21"/>
      <w:u w:color="000000"/>
    </w:rPr>
  </w:style>
  <w:style w:type="character" w:customStyle="1" w:styleId="28">
    <w:name w:val="日期 字符"/>
    <w:basedOn w:val="22"/>
    <w:link w:val="13"/>
    <w:autoRedefine/>
    <w:qFormat/>
    <w:uiPriority w:val="0"/>
    <w:rPr>
      <w:rFonts w:ascii="Arial" w:hAnsi="Arial" w:eastAsia="方正仿宋_GB2312" w:cs="Arial"/>
      <w:color w:val="000000"/>
      <w:sz w:val="32"/>
      <w:szCs w:val="32"/>
      <w:u w:color="000000"/>
    </w:rPr>
  </w:style>
  <w:style w:type="character" w:customStyle="1" w:styleId="29">
    <w:name w:val="标题 2 字符"/>
    <w:basedOn w:val="22"/>
    <w:link w:val="3"/>
    <w:autoRedefine/>
    <w:qFormat/>
    <w:uiPriority w:val="0"/>
    <w:rPr>
      <w:rFonts w:hint="default" w:ascii="Times New Roman" w:hAnsi="Times New Roman" w:eastAsia="宋体" w:cs="Times New Roman"/>
      <w:kern w:val="0"/>
      <w:sz w:val="24"/>
      <w:szCs w:val="24"/>
    </w:rPr>
  </w:style>
  <w:style w:type="character" w:customStyle="1" w:styleId="30">
    <w:name w:val="页眉 字符"/>
    <w:basedOn w:val="22"/>
    <w:link w:val="15"/>
    <w:autoRedefine/>
    <w:qFormat/>
    <w:uiPriority w:val="0"/>
    <w:rPr>
      <w:rFonts w:hint="default" w:ascii="Times New Roman" w:hAnsi="Times New Roman" w:eastAsia="宋体" w:cs="Times New Roman"/>
      <w:color w:val="000000"/>
      <w:kern w:val="0"/>
      <w:sz w:val="18"/>
      <w:szCs w:val="18"/>
      <w:u w:color="000000"/>
    </w:rPr>
  </w:style>
  <w:style w:type="character" w:customStyle="1" w:styleId="31">
    <w:name w:val="纯文本 字符"/>
    <w:basedOn w:val="22"/>
    <w:link w:val="12"/>
    <w:autoRedefine/>
    <w:qFormat/>
    <w:uiPriority w:val="0"/>
    <w:rPr>
      <w:rFonts w:hint="eastAsia" w:ascii="宋体" w:hAnsi="宋体" w:eastAsia="宋体" w:cs="宋体"/>
      <w:szCs w:val="21"/>
    </w:rPr>
  </w:style>
  <w:style w:type="character" w:customStyle="1" w:styleId="32">
    <w:name w:val="页脚 字符"/>
    <w:basedOn w:val="22"/>
    <w:link w:val="14"/>
    <w:autoRedefine/>
    <w:qFormat/>
    <w:uiPriority w:val="0"/>
    <w:rPr>
      <w:rFonts w:hint="default" w:ascii="Times New Roman" w:hAnsi="Times New Roman" w:eastAsia="宋体" w:cs="Times New Roman"/>
      <w:color w:val="000000"/>
      <w:kern w:val="0"/>
      <w:sz w:val="18"/>
      <w:szCs w:val="18"/>
      <w:u w:color="000000"/>
    </w:rPr>
  </w:style>
  <w:style w:type="paragraph" w:customStyle="1" w:styleId="33">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4">
    <w:name w:val="List Paragraph"/>
    <w:basedOn w:val="1"/>
    <w:autoRedefine/>
    <w:qFormat/>
    <w:uiPriority w:val="0"/>
    <w:pPr>
      <w:ind w:firstLine="200" w:firstLineChars="200"/>
    </w:pPr>
    <w:rPr>
      <w:u w:color="000000"/>
    </w:rPr>
  </w:style>
  <w:style w:type="character" w:customStyle="1" w:styleId="35">
    <w:name w:val="NormalCharacter"/>
    <w:autoRedefine/>
    <w:semiHidden/>
    <w:qFormat/>
    <w:uiPriority w:val="0"/>
  </w:style>
  <w:style w:type="paragraph" w:customStyle="1" w:styleId="36">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7">
    <w:name w:val="font51"/>
    <w:basedOn w:val="22"/>
    <w:autoRedefine/>
    <w:qFormat/>
    <w:uiPriority w:val="0"/>
    <w:rPr>
      <w:rFonts w:hint="eastAsia" w:ascii="宋体" w:hAnsi="宋体" w:eastAsia="宋体" w:cs="宋体"/>
      <w:color w:val="000000"/>
      <w:sz w:val="22"/>
      <w:szCs w:val="22"/>
      <w:u w:val="none"/>
    </w:rPr>
  </w:style>
  <w:style w:type="character" w:customStyle="1" w:styleId="38">
    <w:name w:val="font31"/>
    <w:basedOn w:val="22"/>
    <w:autoRedefine/>
    <w:qFormat/>
    <w:uiPriority w:val="0"/>
    <w:rPr>
      <w:rFonts w:hint="default" w:ascii="Times New Roman" w:hAnsi="Times New Roman" w:cs="Times New Roman"/>
      <w:color w:val="000000"/>
      <w:sz w:val="22"/>
      <w:szCs w:val="22"/>
      <w:u w:val="none"/>
    </w:rPr>
  </w:style>
  <w:style w:type="character" w:customStyle="1" w:styleId="39">
    <w:name w:val="font61"/>
    <w:basedOn w:val="22"/>
    <w:autoRedefine/>
    <w:qFormat/>
    <w:uiPriority w:val="0"/>
    <w:rPr>
      <w:rFonts w:hint="default" w:ascii="Times New Roman" w:hAnsi="Times New Roman" w:cs="Times New Roman"/>
      <w:color w:val="000000"/>
      <w:sz w:val="21"/>
      <w:szCs w:val="21"/>
      <w:u w:val="none"/>
    </w:rPr>
  </w:style>
  <w:style w:type="character" w:customStyle="1" w:styleId="40">
    <w:name w:val="font71"/>
    <w:basedOn w:val="22"/>
    <w:autoRedefine/>
    <w:qFormat/>
    <w:uiPriority w:val="0"/>
    <w:rPr>
      <w:rFonts w:hint="eastAsia" w:ascii="宋体" w:hAnsi="宋体" w:eastAsia="宋体" w:cs="宋体"/>
      <w:color w:val="000000"/>
      <w:sz w:val="21"/>
      <w:szCs w:val="21"/>
      <w:u w:val="none"/>
    </w:rPr>
  </w:style>
  <w:style w:type="character" w:customStyle="1" w:styleId="41">
    <w:name w:val="font01"/>
    <w:basedOn w:val="22"/>
    <w:autoRedefine/>
    <w:qFormat/>
    <w:uiPriority w:val="0"/>
    <w:rPr>
      <w:rFonts w:hint="eastAsia" w:ascii="宋体" w:hAnsi="宋体" w:eastAsia="宋体" w:cs="宋体"/>
      <w:color w:val="000000"/>
      <w:sz w:val="22"/>
      <w:szCs w:val="22"/>
      <w:u w:val="none"/>
    </w:rPr>
  </w:style>
  <w:style w:type="character" w:customStyle="1" w:styleId="42">
    <w:name w:val="font11"/>
    <w:basedOn w:val="22"/>
    <w:autoRedefine/>
    <w:qFormat/>
    <w:uiPriority w:val="0"/>
    <w:rPr>
      <w:rFonts w:hint="eastAsia" w:ascii="宋体" w:hAnsi="宋体" w:eastAsia="宋体" w:cs="宋体"/>
      <w:color w:val="000000"/>
      <w:sz w:val="21"/>
      <w:szCs w:val="21"/>
      <w:u w:val="none"/>
    </w:rPr>
  </w:style>
  <w:style w:type="character" w:customStyle="1" w:styleId="43">
    <w:name w:val="font41"/>
    <w:basedOn w:val="22"/>
    <w:autoRedefine/>
    <w:qFormat/>
    <w:uiPriority w:val="0"/>
    <w:rPr>
      <w:rFonts w:hint="default" w:ascii="Times New Roman" w:hAnsi="Times New Roman" w:cs="Times New Roman"/>
      <w:color w:val="000000"/>
      <w:sz w:val="22"/>
      <w:szCs w:val="22"/>
      <w:u w:val="none"/>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 w:type="paragraph" w:customStyle="1" w:styleId="54">
    <w:name w:val="Table Text"/>
    <w:basedOn w:val="1"/>
    <w:semiHidden/>
    <w:qFormat/>
    <w:uiPriority w:val="0"/>
    <w:rPr>
      <w:rFonts w:ascii="宋体" w:hAnsi="宋体" w:eastAsia="宋体" w:cs="宋体"/>
      <w:sz w:val="24"/>
      <w:szCs w:val="24"/>
      <w:lang w:val="en-US" w:eastAsia="en-US" w:bidi="ar-SA"/>
    </w:rPr>
  </w:style>
  <w:style w:type="paragraph" w:customStyle="1" w:styleId="55">
    <w:name w:val="二级无"/>
    <w:basedOn w:val="56"/>
    <w:qFormat/>
    <w:uiPriority w:val="0"/>
    <w:pPr>
      <w:spacing w:before="0" w:beforeLines="0" w:after="0" w:afterLines="0"/>
    </w:pPr>
    <w:rPr>
      <w:rFonts w:ascii="宋体" w:eastAsia="宋体"/>
    </w:rPr>
  </w:style>
  <w:style w:type="paragraph" w:customStyle="1" w:styleId="56">
    <w:name w:val="二级条标题"/>
    <w:basedOn w:val="57"/>
    <w:next w:val="58"/>
    <w:qFormat/>
    <w:uiPriority w:val="0"/>
    <w:pPr>
      <w:numPr>
        <w:ilvl w:val="2"/>
        <w:numId w:val="1"/>
      </w:numPr>
      <w:spacing w:before="50" w:after="50"/>
      <w:outlineLvl w:val="3"/>
    </w:pPr>
  </w:style>
  <w:style w:type="paragraph" w:customStyle="1" w:styleId="57">
    <w:name w:val="一级条标题"/>
    <w:next w:val="58"/>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8">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59">
    <w:name w:val="font21"/>
    <w:basedOn w:val="22"/>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15544</Words>
  <Characters>16513</Characters>
  <Lines>384</Lines>
  <Paragraphs>108</Paragraphs>
  <TotalTime>6</TotalTime>
  <ScaleCrop>false</ScaleCrop>
  <LinksUpToDate>false</LinksUpToDate>
  <CharactersWithSpaces>17131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2026-03-12T13:39:41Z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6972D2A472D84B75A592101AE242BD20_13</vt:lpwstr>
  </property>
  <property fmtid="{D5CDD505-2E9C-101B-9397-08002B2CF9AE}" pid="4" name="KSOTemplateDocerSaveRecord">
    <vt:lpwstr>eyJoZGlkIjoiMTljMDcwYWJmYjExZWQzNTVmZDAzZTYwM2JlMzJmZDYiLCJ1c2VySWQiOiIzODU2Mzk2OTQifQ==</vt:lpwstr>
  </property>
</Properties>
</file>