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1D1EE">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31701FE8">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41A1BFF4">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r>
        <w:rPr>
          <w:rFonts w:hint="eastAsia" w:ascii="Times New Roman" w:hAnsi="Times New Roman" w:eastAsia="宋体" w:cs="宋体"/>
          <w:b/>
          <w:bCs w:val="0"/>
          <w:color w:val="000000"/>
          <w:kern w:val="0"/>
          <w:sz w:val="48"/>
          <w:szCs w:val="28"/>
          <w:highlight w:val="none"/>
          <w:u w:color="000000"/>
          <w:lang w:val="en-US" w:eastAsia="zh-CN" w:bidi="ar"/>
        </w:rPr>
        <w:t>滁州至南京城际铁路（滁州段）一期、二期全线监控CCTV补盲加装项目</w:t>
      </w:r>
    </w:p>
    <w:p w14:paraId="61A754C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14:paraId="2E1271B7">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14:paraId="4D3A62A7">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14:paraId="6551BB04">
      <w:pPr>
        <w:pStyle w:val="18"/>
        <w:widowControl/>
        <w:rPr>
          <w:highlight w:val="none"/>
          <w:lang w:val="en-US"/>
        </w:rPr>
      </w:pPr>
      <w:r>
        <w:rPr>
          <w:highlight w:val="none"/>
          <w:lang w:val="en-US"/>
        </w:rPr>
        <w:t xml:space="preserve"> </w:t>
      </w:r>
    </w:p>
    <w:p w14:paraId="2265E232">
      <w:pPr>
        <w:pStyle w:val="18"/>
        <w:widowControl/>
        <w:rPr>
          <w:highlight w:val="none"/>
          <w:lang w:val="en-US"/>
        </w:rPr>
      </w:pPr>
      <w:r>
        <w:rPr>
          <w:highlight w:val="none"/>
          <w:lang w:val="en-US"/>
        </w:rPr>
        <w:t xml:space="preserve"> </w:t>
      </w:r>
    </w:p>
    <w:p w14:paraId="313CB13E">
      <w:pPr>
        <w:pStyle w:val="18"/>
        <w:widowControl/>
        <w:rPr>
          <w:highlight w:val="none"/>
          <w:lang w:val="en-US"/>
        </w:rPr>
      </w:pPr>
      <w:r>
        <w:rPr>
          <w:highlight w:val="none"/>
          <w:lang w:val="en-US"/>
        </w:rPr>
        <w:t xml:space="preserve"> </w:t>
      </w:r>
    </w:p>
    <w:p w14:paraId="1B59EE29">
      <w:pPr>
        <w:pStyle w:val="18"/>
        <w:widowControl/>
        <w:rPr>
          <w:highlight w:val="none"/>
          <w:lang w:val="en-US"/>
        </w:rPr>
      </w:pPr>
      <w:r>
        <w:rPr>
          <w:highlight w:val="none"/>
          <w:lang w:val="en-US"/>
        </w:rPr>
        <w:t xml:space="preserve"> </w:t>
      </w:r>
    </w:p>
    <w:p w14:paraId="13060FF7">
      <w:pPr>
        <w:pStyle w:val="18"/>
        <w:widowControl/>
        <w:rPr>
          <w:rFonts w:eastAsia="宋体"/>
          <w:highlight w:val="none"/>
          <w:lang w:val="en-US"/>
        </w:rPr>
      </w:pPr>
      <w:r>
        <w:rPr>
          <w:highlight w:val="none"/>
          <w:lang w:val="en-US"/>
        </w:rPr>
        <w:t xml:space="preserve"> </w:t>
      </w:r>
    </w:p>
    <w:p w14:paraId="72405FB7">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14:paraId="3A101657">
      <w:pPr>
        <w:adjustRightInd w:val="0"/>
        <w:snapToGrid w:val="0"/>
        <w:ind w:firstLine="302" w:firstLineChars="94"/>
        <w:rPr>
          <w:rFonts w:hint="eastAsia" w:ascii="宋体" w:hAnsi="宋体"/>
          <w:b/>
          <w:sz w:val="32"/>
          <w:highlight w:val="none"/>
          <w:u w:val="thick"/>
        </w:rPr>
      </w:pPr>
    </w:p>
    <w:p w14:paraId="2E9A6BF1">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085CEEDC">
      <w:pPr>
        <w:adjustRightInd w:val="0"/>
        <w:snapToGrid w:val="0"/>
        <w:rPr>
          <w:rFonts w:hint="eastAsia" w:ascii="宋体" w:hAnsi="宋体"/>
          <w:spacing w:val="20"/>
          <w:sz w:val="32"/>
          <w:highlight w:val="none"/>
          <w:u w:val="single"/>
        </w:rPr>
      </w:pPr>
    </w:p>
    <w:p w14:paraId="4B01FC1A">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w:t>
      </w:r>
      <w:r>
        <w:rPr>
          <w:rFonts w:hint="eastAsia" w:ascii="宋体" w:hAnsi="宋体"/>
          <w:b/>
          <w:sz w:val="32"/>
          <w:highlight w:val="none"/>
          <w:u w:val="thick"/>
          <w:lang w:val="en-US" w:eastAsia="zh-CN"/>
        </w:rPr>
        <w:t>6</w:t>
      </w:r>
      <w:r>
        <w:rPr>
          <w:rFonts w:hint="eastAsia" w:ascii="宋体" w:hAnsi="宋体"/>
          <w:b/>
          <w:sz w:val="32"/>
          <w:highlight w:val="none"/>
          <w:u w:val="thick"/>
        </w:rPr>
        <w:t>年</w:t>
      </w:r>
      <w:r>
        <w:rPr>
          <w:rFonts w:hint="eastAsia" w:ascii="宋体" w:hAnsi="宋体"/>
          <w:b/>
          <w:sz w:val="32"/>
          <w:highlight w:val="none"/>
          <w:u w:val="thick"/>
          <w:lang w:val="en-US" w:eastAsia="zh-CN"/>
        </w:rPr>
        <w:t>3</w:t>
      </w:r>
      <w:r>
        <w:rPr>
          <w:rFonts w:hint="eastAsia" w:ascii="宋体" w:hAnsi="宋体"/>
          <w:b/>
          <w:sz w:val="32"/>
          <w:highlight w:val="none"/>
          <w:u w:val="thick"/>
        </w:rPr>
        <w:t xml:space="preserve">月            </w:t>
      </w:r>
    </w:p>
    <w:p w14:paraId="57DADD6F">
      <w:pPr>
        <w:pStyle w:val="6"/>
        <w:widowControl/>
        <w:spacing w:before="0" w:beforeAutospacing="0" w:after="120" w:afterAutospacing="0"/>
        <w:ind w:leftChars="200" w:right="0"/>
        <w:rPr>
          <w:highlight w:val="none"/>
          <w:lang w:val="en-US"/>
        </w:rPr>
      </w:pPr>
      <w:r>
        <w:rPr>
          <w:highlight w:val="none"/>
          <w:lang w:val="en-US"/>
        </w:rPr>
        <w:t xml:space="preserve"> </w:t>
      </w:r>
    </w:p>
    <w:p w14:paraId="64F2DFD4">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14:paraId="049D5674">
      <w:pPr>
        <w:jc w:val="center"/>
        <w:rPr>
          <w:rFonts w:hint="eastAsia" w:ascii="宋体" w:hAnsi="宋体" w:eastAsia="宋体" w:cs="宋体"/>
          <w:b/>
          <w:bCs w:val="0"/>
          <w:color w:val="000000"/>
          <w:kern w:val="0"/>
          <w:sz w:val="36"/>
          <w:szCs w:val="36"/>
          <w:highlight w:val="none"/>
          <w:u w:color="000000"/>
          <w:lang w:val="en-US" w:eastAsia="zh-CN" w:bidi="ar"/>
        </w:rPr>
      </w:pPr>
    </w:p>
    <w:p w14:paraId="68C9FD00">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14:paraId="0BBA8ED2">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14:paraId="5023954A">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648B403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第三章  资格审查办法……………………………………………………………14</w:t>
      </w:r>
    </w:p>
    <w:p w14:paraId="6AE266BC">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第四章  评标办法…………………………………………………………………15</w:t>
      </w:r>
    </w:p>
    <w:p w14:paraId="5A66841E">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采购需求…………………………………………………………………21</w:t>
      </w:r>
    </w:p>
    <w:p w14:paraId="1436ADDF">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合同条款及格式…………………………………………………………50</w:t>
      </w:r>
    </w:p>
    <w:p w14:paraId="36DFDF3D">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投标文件格式……………………………………………………………60</w:t>
      </w:r>
    </w:p>
    <w:p w14:paraId="7B3A915D">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招标人、招标代理机构对本招标文件的确认…………………………72</w:t>
      </w:r>
    </w:p>
    <w:p w14:paraId="7C586AB0">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69713157">
      <w:pPr>
        <w:pStyle w:val="18"/>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9214"/>
      <w:bookmarkEnd w:id="1"/>
      <w:bookmarkStart w:id="2" w:name="_Toc23741_WPSOffice_Level1"/>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14:paraId="4801437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28359002"/>
      <w:bookmarkEnd w:id="5"/>
      <w:bookmarkStart w:id="6" w:name="_Toc58430305"/>
      <w:bookmarkEnd w:id="6"/>
      <w:bookmarkStart w:id="7" w:name="_Toc28359079"/>
      <w:bookmarkEnd w:id="7"/>
      <w:bookmarkStart w:id="8" w:name="_Toc35393621"/>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14:paraId="53112DB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至南京城际铁路（滁州段）一期、二期全线监控CCTV补盲加装项目的潜在投标人应在滁州市滁宁城际铁路开发建设有限公司网站（http://czctgs.cn/）获取招标文件，并于2026年3月12日15时00分（北京时间）前递交投标文件。</w:t>
      </w:r>
    </w:p>
    <w:p w14:paraId="03D1232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14:paraId="0043750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项目名称：滁州至南京城际铁路（滁州段）一期、二期全线监控CCTV补盲加装项目</w:t>
      </w:r>
    </w:p>
    <w:p w14:paraId="552C87C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预算金额：835474.00元</w:t>
      </w:r>
    </w:p>
    <w:p w14:paraId="4AF8BD9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最高限价：本项目最高限价为（人民币）835474.00元，投标报价不得超过最高限价，否则按无效投标处理。</w:t>
      </w:r>
    </w:p>
    <w:p w14:paraId="7F87A83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采购需求：对滁宁城际铁路两个主变电所铁艺围墙安装防爬刺，对相官车辆基地外围无防爬刺区段进行防爬刺安装，对生锈防爬刺进行更换。</w:t>
      </w:r>
    </w:p>
    <w:p w14:paraId="7C85A14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工期：自接到招标人通知起90个日历天内完成全部供货、安装、调试并验收通过。</w:t>
      </w:r>
    </w:p>
    <w:p w14:paraId="18D3B2A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本项目不接受联合体投标。</w:t>
      </w:r>
    </w:p>
    <w:p w14:paraId="58C6F4C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14:paraId="761C6723">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投标人须在中华人民共和国境内注册（不含港澳台）并取得营业执照且具有相应供货服务能力。</w:t>
      </w:r>
    </w:p>
    <w:p w14:paraId="72B177D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13F522E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2026年3月6日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2026年3月12日</w:t>
      </w:r>
    </w:p>
    <w:p w14:paraId="4C8A0E62">
      <w:pPr>
        <w:keepNext w:val="0"/>
        <w:keepLines w:val="0"/>
        <w:pageBreakBefore w:val="0"/>
        <w:kinsoku/>
        <w:overflowPunct/>
        <w:topLinePunct w:val="0"/>
        <w:autoSpaceDE/>
        <w:autoSpaceDN/>
        <w:bidi w:val="0"/>
        <w:adjustRightInd/>
        <w:snapToGrid/>
        <w:spacing w:line="48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14:paraId="343A6E1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341CE36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12C638E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bookmarkStart w:id="10" w:name="_Toc28359005"/>
      <w:bookmarkEnd w:id="10"/>
      <w:bookmarkStart w:id="11" w:name="_Toc28359082"/>
      <w:bookmarkEnd w:id="11"/>
      <w:bookmarkStart w:id="12" w:name="_Toc58430308"/>
      <w:bookmarkEnd w:id="12"/>
      <w:bookmarkStart w:id="13" w:name="_Toc35393793"/>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4D4A626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2026年3月12日15时00分</w:t>
      </w:r>
      <w:r>
        <w:rPr>
          <w:rFonts w:hint="eastAsia" w:ascii="宋体" w:hAnsi="宋体" w:eastAsia="宋体" w:cs="宋体"/>
          <w:bCs/>
          <w:color w:val="000000"/>
          <w:kern w:val="0"/>
          <w:sz w:val="24"/>
          <w:szCs w:val="24"/>
          <w:highlight w:val="none"/>
          <w:u w:color="000000"/>
          <w:lang w:val="en-US" w:eastAsia="zh-CN" w:bidi="ar"/>
        </w:rPr>
        <w:t>（北京时间）</w:t>
      </w:r>
    </w:p>
    <w:p w14:paraId="61B10B3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地点：滁州市轨道交通运营有限公司五楼514开评标室 (徽州路与扬子路交叉口东南侧)</w:t>
      </w:r>
    </w:p>
    <w:p w14:paraId="6C3487F5">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文件递交方式：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color w:val="000000"/>
          <w:kern w:val="0"/>
          <w:sz w:val="24"/>
          <w:szCs w:val="24"/>
          <w:highlight w:val="none"/>
          <w:u w:color="000000"/>
          <w:lang w:val="en-US" w:eastAsia="zh-CN" w:bidi="ar"/>
        </w:rPr>
        <w:fldChar w:fldCharType="begin"/>
      </w:r>
      <w:r>
        <w:rPr>
          <w:rFonts w:hint="eastAsia" w:ascii="宋体" w:hAnsi="宋体" w:eastAsia="宋体" w:cs="宋体"/>
          <w:color w:val="000000"/>
          <w:kern w:val="0"/>
          <w:sz w:val="24"/>
          <w:szCs w:val="24"/>
          <w:highlight w:val="none"/>
          <w:u w:color="000000"/>
          <w:lang w:val="en-US" w:eastAsia="zh-CN" w:bidi="ar"/>
        </w:rPr>
        <w:instrText xml:space="preserve"> HYPERLINK "mailto:2、在递交截止时间后30分钟内，将解压密码通过邮箱发送至代理机构邮箱（czsctgczx@163.com）" </w:instrText>
      </w:r>
      <w:r>
        <w:rPr>
          <w:rFonts w:hint="eastAsia" w:ascii="宋体" w:hAnsi="宋体" w:eastAsia="宋体" w:cs="宋体"/>
          <w:color w:val="000000"/>
          <w:kern w:val="0"/>
          <w:sz w:val="24"/>
          <w:szCs w:val="24"/>
          <w:highlight w:val="none"/>
          <w:u w:color="000000"/>
          <w:lang w:val="en-US" w:eastAsia="zh-CN" w:bidi="ar"/>
        </w:rPr>
        <w:fldChar w:fldCharType="separate"/>
      </w:r>
      <w:r>
        <w:rPr>
          <w:rFonts w:hint="eastAsia" w:ascii="宋体" w:hAnsi="宋体" w:eastAsia="宋体" w:cs="宋体"/>
          <w:color w:val="000000"/>
          <w:kern w:val="0"/>
          <w:sz w:val="24"/>
          <w:szCs w:val="24"/>
          <w:highlight w:val="none"/>
          <w:u w:color="000000"/>
          <w:lang w:val="en-US" w:eastAsia="zh-CN" w:bidi="ar"/>
        </w:rPr>
        <w:t>②在投标截止时间后30分钟内，将投标文件密码通过邮箱发送至滁州市城投工程咨询管理有限公司邮箱（czsctzx@163.com）</w:t>
      </w:r>
      <w:r>
        <w:rPr>
          <w:rFonts w:hint="eastAsia" w:ascii="宋体" w:hAnsi="宋体" w:eastAsia="宋体" w:cs="宋体"/>
          <w:color w:val="000000"/>
          <w:kern w:val="0"/>
          <w:sz w:val="24"/>
          <w:szCs w:val="24"/>
          <w:highlight w:val="none"/>
          <w:u w:color="000000"/>
          <w:lang w:val="en-US" w:eastAsia="zh-CN" w:bidi="ar"/>
        </w:rPr>
        <w:fldChar w:fldCharType="end"/>
      </w:r>
      <w:r>
        <w:rPr>
          <w:rFonts w:hint="eastAsia" w:ascii="宋体" w:hAnsi="宋体" w:eastAsia="宋体" w:cs="宋体"/>
          <w:color w:val="000000"/>
          <w:kern w:val="0"/>
          <w:sz w:val="24"/>
          <w:szCs w:val="24"/>
          <w:highlight w:val="none"/>
          <w:u w:color="000000"/>
          <w:lang w:val="en-US" w:eastAsia="zh-CN" w:bidi="ar"/>
        </w:rPr>
        <w:t>，未在规定时间内发送密码或发送的密码无法正确打开投标文件的，投标文件将被拒绝。</w:t>
      </w:r>
    </w:p>
    <w:p w14:paraId="186381E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502F0490">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w:t>
      </w:r>
      <w:r>
        <w:rPr>
          <w:rFonts w:hint="eastAsia" w:ascii="宋体" w:hAnsi="宋体" w:eastAsia="宋体" w:cs="宋体"/>
          <w:bCs/>
          <w:color w:val="auto"/>
          <w:kern w:val="0"/>
          <w:sz w:val="24"/>
          <w:highlight w:val="none"/>
          <w:u w:color="000000"/>
          <w:lang w:val="en-US" w:eastAsia="zh-CN" w:bidi="ar"/>
        </w:rPr>
        <w:t>不</w:t>
      </w:r>
      <w:r>
        <w:rPr>
          <w:rFonts w:hint="eastAsia" w:ascii="宋体" w:hAnsi="宋体" w:eastAsia="宋体" w:cs="宋体"/>
          <w:bCs/>
          <w:color w:val="auto"/>
          <w:kern w:val="0"/>
          <w:sz w:val="24"/>
          <w:highlight w:val="none"/>
          <w:u w:color="000000"/>
          <w:lang w:bidi="ar"/>
        </w:rPr>
        <w:t>要求。</w:t>
      </w:r>
    </w:p>
    <w:p w14:paraId="0AEACD3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77349B1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14:paraId="195CA355">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14:paraId="582FFFE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地址：滁州市徽州路与扬子路交叉口东南侧7楼 </w:t>
      </w:r>
    </w:p>
    <w:p w14:paraId="47F8466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000000"/>
          <w:kern w:val="0"/>
          <w:sz w:val="24"/>
          <w:highlight w:val="none"/>
          <w:lang w:eastAsia="zh-CN" w:bidi="ar"/>
        </w:rPr>
        <w:t>13339207910</w:t>
      </w:r>
    </w:p>
    <w:p w14:paraId="41CD5F16">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14:paraId="082FEFF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14:paraId="4DD7911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14:paraId="2BF4BF6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联系方式：0550-3519519、18005505728</w:t>
      </w:r>
    </w:p>
    <w:p w14:paraId="1C43192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3.项目联系方式</w:t>
      </w:r>
    </w:p>
    <w:p w14:paraId="2F73EC9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项目联系人：杨雅辰、周蓓蕾    </w:t>
      </w:r>
    </w:p>
    <w:p w14:paraId="1D30312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电话：13339207910、18005505728</w:t>
      </w:r>
    </w:p>
    <w:p w14:paraId="15B7BEBE">
      <w:pPr>
        <w:keepNext w:val="0"/>
        <w:keepLines w:val="0"/>
        <w:pageBreakBefore w:val="0"/>
        <w:widowControl/>
        <w:numPr>
          <w:ilvl w:val="0"/>
          <w:numId w:val="1"/>
        </w:numPr>
        <w:suppressLineNumbers w:val="0"/>
        <w:kinsoku/>
        <w:overflowPunct/>
        <w:topLinePunct w:val="0"/>
        <w:autoSpaceDE w:val="0"/>
        <w:autoSpaceDN/>
        <w:bidi w:val="0"/>
        <w:adjustRightInd/>
        <w:snapToGrid/>
        <w:spacing w:before="0" w:beforeAutospacing="0" w:after="0" w:afterAutospacing="0" w:line="480" w:lineRule="exact"/>
        <w:ind w:right="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投标人须知</w:t>
      </w:r>
      <w:bookmarkStart w:id="16" w:name="_Toc9559"/>
      <w:bookmarkEnd w:id="16"/>
      <w:bookmarkStart w:id="17" w:name="_Toc28003_WPSOffice_Level2"/>
    </w:p>
    <w:p w14:paraId="46AA4A47">
      <w:pPr>
        <w:keepNext w:val="0"/>
        <w:keepLines w:val="0"/>
        <w:pageBreakBefore w:val="0"/>
        <w:widowControl/>
        <w:numPr>
          <w:ilvl w:val="0"/>
          <w:numId w:val="0"/>
        </w:numPr>
        <w:suppressLineNumbers w:val="0"/>
        <w:kinsoku/>
        <w:overflowPunct/>
        <w:topLinePunct w:val="0"/>
        <w:autoSpaceDE w:val="0"/>
        <w:autoSpaceDN/>
        <w:bidi w:val="0"/>
        <w:adjustRightInd/>
        <w:snapToGrid/>
        <w:spacing w:before="0" w:beforeAutospacing="0" w:after="0" w:afterAutospacing="0" w:line="480" w:lineRule="exact"/>
        <w:ind w:right="0" w:rightChars="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7"/>
    </w:p>
    <w:tbl>
      <w:tblPr>
        <w:tblStyle w:val="23"/>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014B12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79D18432">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2AD19423">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46C92CB0">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3DEDF6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1BE3D36">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9F79B70">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EB5F2B4">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cs="Times New Roman"/>
                <w:bCs/>
                <w:highlight w:val="none"/>
                <w:lang w:val="en-US" w:eastAsia="zh-CN"/>
              </w:rPr>
            </w:pPr>
            <w:r>
              <w:rPr>
                <w:rFonts w:hint="eastAsia" w:cs="Times New Roman"/>
                <w:bCs/>
                <w:highlight w:val="none"/>
                <w:lang w:eastAsia="zh-CN"/>
              </w:rPr>
              <w:t>滁州至南京城际铁路（滁州段）一期、二期全线监控CCTV补盲加装项目</w:t>
            </w:r>
          </w:p>
        </w:tc>
      </w:tr>
      <w:tr w14:paraId="41AC808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598881">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FDF3EC7">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cs="Times New Roman"/>
                <w:highlight w:val="none"/>
                <w:lang w:val="en-US" w:eastAsia="zh-CN"/>
              </w:rPr>
              <w:t>工</w:t>
            </w:r>
            <w:r>
              <w:rPr>
                <w:rFonts w:hint="eastAsia" w:ascii="宋体" w:hAnsi="宋体" w:eastAsia="宋体" w:cs="Times New Roman"/>
                <w:highlight w:val="none"/>
                <w:lang w:val="en-US" w:eastAsia="zh-CN"/>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BDE0AD4">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5343A2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7B1A8B0">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06D413">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项目</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E7DD6A9">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highlight w:val="none"/>
                <w:lang w:val="en-US"/>
              </w:rPr>
            </w:pPr>
            <w:r>
              <w:rPr>
                <w:rFonts w:hint="eastAsia" w:ascii="宋体" w:hAnsi="宋体" w:eastAsia="宋体" w:cs="宋体"/>
                <w:color w:val="000000"/>
                <w:szCs w:val="21"/>
                <w:highlight w:val="none"/>
                <w:lang w:val="en-US" w:eastAsia="zh-CN"/>
              </w:rPr>
              <w:t>招标人指定地点</w:t>
            </w:r>
          </w:p>
        </w:tc>
      </w:tr>
      <w:tr w14:paraId="61021B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BDF2975">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8F17EF3">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44EE84">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hint="eastAsia" w:cs="宋体-18030"/>
                <w:color w:val="auto"/>
                <w:sz w:val="21"/>
                <w:szCs w:val="21"/>
                <w:highlight w:val="none"/>
                <w:lang w:val="en-US" w:eastAsia="zh-CN"/>
              </w:rPr>
              <w:t>杨雅</w:t>
            </w:r>
            <w:r>
              <w:rPr>
                <w:rFonts w:hint="eastAsia" w:ascii="宋体" w:hAnsi="宋体" w:eastAsia="宋体" w:cs="宋体-18030"/>
                <w:color w:val="auto"/>
                <w:sz w:val="21"/>
                <w:szCs w:val="21"/>
                <w:highlight w:val="none"/>
                <w:lang w:val="en-US" w:eastAsia="zh-CN"/>
              </w:rPr>
              <w:t>辰  13339207910</w:t>
            </w:r>
          </w:p>
        </w:tc>
      </w:tr>
      <w:tr w14:paraId="635594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F41DC7C">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EB5C718">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E66BD4B">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14:paraId="10225E0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7B4C7FA">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F512C85">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E7429AC">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14:paraId="0634EB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2FB25F5">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A18DD82">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90BD7EE">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835474.00元</w:t>
            </w:r>
          </w:p>
        </w:tc>
      </w:tr>
      <w:tr w14:paraId="722D8D5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CE83B9C">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2E656D7">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D647838">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835474.00元</w:t>
            </w:r>
            <w:r>
              <w:rPr>
                <w:rFonts w:hint="eastAsia" w:ascii="宋体" w:hAnsi="宋体" w:eastAsia="宋体" w:cs="宋体"/>
                <w:bCs/>
                <w:color w:val="000000"/>
                <w:szCs w:val="21"/>
                <w:highlight w:val="none"/>
                <w:lang w:val="en-US" w:eastAsia="zh-CN"/>
              </w:rPr>
              <w:t>，投标报价不得超过最高限价，否则按无效投标处理。</w:t>
            </w:r>
          </w:p>
        </w:tc>
      </w:tr>
      <w:tr w14:paraId="1EB403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C0106EA">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551771F">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98EC8EA">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14:paraId="6156BB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E1CB8B">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8A74711">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18EA6DE">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63E7C5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C2D4DD">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5F999B">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150A01E">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2046F9F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D61F256">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5F75E68">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CB316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5C30D0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FC1684">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362973">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4D11FD">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0EE711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DEB2CC">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123901C">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F06243">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14:paraId="28C407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D0CDB3D">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63C30C">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130C485">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6</w:t>
            </w:r>
            <w:r>
              <w:rPr>
                <w:rFonts w:cs="Times New Roman"/>
                <w:b w:val="0"/>
                <w:bCs w:val="0"/>
                <w:highlight w:val="none"/>
              </w:rPr>
              <w:t>年</w:t>
            </w:r>
            <w:r>
              <w:rPr>
                <w:rFonts w:hint="eastAsia" w:cs="Times New Roman"/>
                <w:b w:val="0"/>
                <w:bCs w:val="0"/>
                <w:highlight w:val="none"/>
                <w:lang w:val="en-US" w:eastAsia="zh-CN"/>
              </w:rPr>
              <w:t>3</w:t>
            </w:r>
            <w:r>
              <w:rPr>
                <w:rFonts w:cs="Times New Roman"/>
                <w:b w:val="0"/>
                <w:bCs w:val="0"/>
                <w:highlight w:val="none"/>
              </w:rPr>
              <w:t>月</w:t>
            </w:r>
            <w:r>
              <w:rPr>
                <w:rFonts w:hint="eastAsia" w:cs="Times New Roman"/>
                <w:b w:val="0"/>
                <w:bCs w:val="0"/>
                <w:highlight w:val="none"/>
                <w:lang w:val="en-US" w:eastAsia="zh-CN"/>
              </w:rPr>
              <w:t>9</w:t>
            </w:r>
            <w:r>
              <w:rPr>
                <w:rFonts w:cs="Times New Roman"/>
                <w:b w:val="0"/>
                <w:bCs w:val="0"/>
                <w:highlight w:val="none"/>
              </w:rPr>
              <w:t>日</w:t>
            </w:r>
            <w:r>
              <w:rPr>
                <w:rFonts w:hAnsi="Times New Roman" w:cs="Times New Roman"/>
                <w:b w:val="0"/>
                <w:bCs w:val="0"/>
                <w:highlight w:val="none"/>
                <w:lang w:val="en-US"/>
              </w:rPr>
              <w:t>1</w:t>
            </w:r>
            <w:r>
              <w:rPr>
                <w:rFonts w:hint="eastAsia" w:hAnsi="Times New Roman" w:cs="Times New Roman"/>
                <w:b w:val="0"/>
                <w:bCs w:val="0"/>
                <w:highlight w:val="none"/>
                <w:lang w:val="en-US" w:eastAsia="zh-CN"/>
              </w:rPr>
              <w:t>2</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14:paraId="5E7EE6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AD35E22">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98D3735">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2EA56D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2026年3月9日17时后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14:paraId="5F8061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C652E41">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9B80818">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BDE0FF9">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542CEA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4FE3A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AFBE2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95F3F3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代理服务费金额：招标代理费6266元，不含专</w:t>
            </w:r>
            <w:bookmarkStart w:id="365" w:name="_GoBack"/>
            <w:bookmarkEnd w:id="365"/>
            <w:r>
              <w:rPr>
                <w:rFonts w:hint="eastAsia" w:ascii="宋体" w:hAnsi="宋体" w:eastAsia="宋体" w:cs="宋体"/>
                <w:color w:val="000000"/>
                <w:kern w:val="2"/>
                <w:sz w:val="21"/>
                <w:szCs w:val="21"/>
                <w:highlight w:val="none"/>
                <w:u w:color="000000"/>
                <w:lang w:val="en-US" w:eastAsia="zh-CN" w:bidi="ar"/>
              </w:rPr>
              <w:t>家评审费（专家评审费用以实际支付为准，预计2000元整）。</w:t>
            </w:r>
          </w:p>
          <w:p w14:paraId="0A2D303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14:paraId="528EA8D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97D35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228F7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5F907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6BE6D8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F0CA0EA">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5A2366D">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31B796">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6</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65BC998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6AD8C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EAD5D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5905A8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6917C9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8E01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87C1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47F5A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689D9D0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E89E71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51ACA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w:t>
            </w:r>
            <w:r>
              <w:rPr>
                <w:rFonts w:hint="eastAsia" w:ascii="宋体"/>
                <w:color w:val="auto"/>
                <w:sz w:val="21"/>
                <w:szCs w:val="21"/>
                <w:highlight w:val="none"/>
                <w:lang w:val="en-US" w:eastAsia="zh-CN"/>
              </w:rPr>
              <w:t>及样品</w:t>
            </w:r>
            <w:r>
              <w:rPr>
                <w:rFonts w:hint="eastAsia" w:ascii="宋体"/>
                <w:color w:val="auto"/>
                <w:sz w:val="21"/>
                <w:szCs w:val="21"/>
                <w:highlight w:val="none"/>
              </w:rPr>
              <w:t>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AF37A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12</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14:paraId="0C1E36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F042FB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C7B0B7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ED43E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7E3053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0D0D3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1A1029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1B60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开标时间：2026年3月12日15时00分（北京时间）</w:t>
            </w:r>
          </w:p>
          <w:p w14:paraId="3557CCB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开标地点：滁州市轨道交通运营有限公司五楼514开评标室 (徽州路与扬子路交叉口东南侧)</w:t>
            </w:r>
          </w:p>
        </w:tc>
      </w:tr>
      <w:tr w14:paraId="285E65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5F3065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224575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05D76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4C55DB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1E24F8A">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53964E">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6B1AE7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7E0F93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06F7DE7">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54C3F13">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F492EDB">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14:paraId="73FDF5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0DEA56A">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5D1504E">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129759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33FE59A3">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7351B89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268D56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CF614B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B0F31E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2E0631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27531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A39A25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65246A">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要求中标人提交履约</w:t>
            </w:r>
            <w:r>
              <w:rPr>
                <w:rFonts w:hint="eastAsia" w:ascii="宋体" w:hAnsi="宋体" w:eastAsia="宋体" w:cs="宋体"/>
                <w:highlight w:val="none"/>
                <w:lang w:val="en-US" w:eastAsia="zh-CN"/>
              </w:rPr>
              <w:t>担保</w:t>
            </w:r>
            <w:r>
              <w:rPr>
                <w:rFonts w:hint="eastAsia" w:ascii="宋体" w:hAnsi="宋体" w:eastAsia="宋体" w:cs="宋体"/>
                <w:highlight w:val="none"/>
              </w:rPr>
              <w:t>。</w:t>
            </w:r>
          </w:p>
          <w:p w14:paraId="7E606E33">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形式：支持银行转账、银行电汇、银行保函、担保机构担保、保证保险使用。</w:t>
            </w:r>
          </w:p>
          <w:p w14:paraId="45F5CF1C">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金额：</w:t>
            </w:r>
            <w:r>
              <w:rPr>
                <w:rFonts w:hint="eastAsia" w:ascii="Times New Roman" w:hAnsi="Times New Roman" w:eastAsia="宋体" w:cs="Times New Roman"/>
                <w:highlight w:val="none"/>
              </w:rPr>
              <w:t>中标合同金额×</w:t>
            </w:r>
            <w:r>
              <w:rPr>
                <w:rFonts w:hint="eastAsia" w:ascii="Times New Roman" w:hAnsi="Times New Roman" w:eastAsia="宋体" w:cs="Times New Roman"/>
                <w:highlight w:val="none"/>
                <w:lang w:val="en-US" w:eastAsia="zh-CN"/>
              </w:rPr>
              <w:t>10</w:t>
            </w:r>
            <w:r>
              <w:rPr>
                <w:rFonts w:hint="eastAsia" w:ascii="Times New Roman" w:hAnsi="Times New Roman" w:eastAsia="宋体" w:cs="Times New Roman"/>
                <w:highlight w:val="none"/>
              </w:rPr>
              <w:t>%</w:t>
            </w:r>
            <w:r>
              <w:rPr>
                <w:rFonts w:hint="eastAsia" w:ascii="宋体" w:hAnsi="宋体" w:eastAsia="宋体" w:cs="宋体"/>
                <w:highlight w:val="none"/>
              </w:rPr>
              <w:t>；</w:t>
            </w:r>
          </w:p>
          <w:p w14:paraId="27FFE6C2">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 xml:space="preserve">收款单位：另行通知                  </w:t>
            </w:r>
          </w:p>
          <w:p w14:paraId="00DAAA83">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 xml:space="preserve">开户银行：另行通知                 </w:t>
            </w:r>
          </w:p>
          <w:p w14:paraId="60261D1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 xml:space="preserve">银行账号：另行通知  </w:t>
            </w:r>
          </w:p>
          <w:p w14:paraId="512DFE86">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缴纳时限：中标人须在中标通知书发出后30日内完成履约</w:t>
            </w:r>
            <w:r>
              <w:rPr>
                <w:rFonts w:hint="eastAsia" w:ascii="宋体" w:hAnsi="宋体" w:eastAsia="宋体" w:cs="宋体"/>
                <w:highlight w:val="none"/>
                <w:lang w:val="en-US" w:eastAsia="zh-CN"/>
              </w:rPr>
              <w:t>担保</w:t>
            </w:r>
            <w:r>
              <w:rPr>
                <w:rFonts w:hint="eastAsia" w:ascii="宋体" w:hAnsi="宋体" w:eastAsia="宋体" w:cs="宋体"/>
                <w:highlight w:val="none"/>
              </w:rPr>
              <w:t xml:space="preserve">缴纳及合同签订，如未按期交齐履约保证金或未按期签订合同的，视同放弃中标资格。 </w:t>
            </w:r>
          </w:p>
          <w:p w14:paraId="4FCFC0BD">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退还时限：</w:t>
            </w:r>
            <w:r>
              <w:rPr>
                <w:rFonts w:hint="eastAsia" w:ascii="宋体" w:hAnsi="宋体" w:eastAsia="宋体" w:cs="宋体"/>
                <w:highlight w:val="none"/>
                <w:lang w:val="en-US" w:eastAsia="zh-CN"/>
              </w:rPr>
              <w:t xml:space="preserve">中标人在本合同约定的服务期限届满并经招标人验收合格后30日内办理履约保证金（或履约保函）退还手续。 </w:t>
            </w:r>
          </w:p>
          <w:p w14:paraId="26233BD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其他相关要求：</w:t>
            </w:r>
          </w:p>
          <w:p w14:paraId="271302D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1、采用银行保函的具体要求</w:t>
            </w:r>
          </w:p>
          <w:p w14:paraId="6239D505">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①保函形式须为见索即付型（无条件保函）；</w:t>
            </w:r>
          </w:p>
          <w:p w14:paraId="6F24071A">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②须经招标人认可。</w:t>
            </w:r>
          </w:p>
          <w:p w14:paraId="406C052B">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2、采用担保保函的具体要求：须经招标人认可。</w:t>
            </w:r>
          </w:p>
          <w:p w14:paraId="0089C700">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3、采用商业保险的具体要求：须经招标人认可。</w:t>
            </w:r>
          </w:p>
          <w:p w14:paraId="455A0B2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highlight w:val="none"/>
              </w:rPr>
              <w:t>4、采用第三方担保的具体要求：须经招标人认可。</w:t>
            </w:r>
          </w:p>
        </w:tc>
      </w:tr>
      <w:tr w14:paraId="7B33C6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0687B2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7E03B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Times New Roman" w:eastAsia="宋体" w:cs="Times New Roman"/>
                <w:color w:val="auto"/>
                <w:sz w:val="21"/>
                <w:szCs w:val="21"/>
                <w:highlight w:val="none"/>
                <w:lang w:val="en-US" w:eastAsia="zh-CN"/>
              </w:rPr>
            </w:pPr>
            <w:r>
              <w:rPr>
                <w:rFonts w:hint="eastAsia" w:ascii="宋体" w:hAnsi="宋体" w:eastAsia="宋体" w:cs="宋体"/>
                <w:color w:val="000000"/>
                <w:kern w:val="2"/>
                <w:sz w:val="21"/>
                <w:szCs w:val="21"/>
                <w:highlight w:val="none"/>
                <w:u w:color="000000"/>
                <w:lang w:val="en-US" w:eastAsia="zh-CN" w:bidi="ar"/>
              </w:rPr>
              <w:t>中标人提交付款申请及工作量清单，招标人审核后并按合同约定扣除索赔款项、违约金等，于【30】天内向中标人支付结算款，支付至结算款的97%，剩余3%作为质保金，待质保期（自项目验收合格之日起算2年）满且无任何质量问题一次性支付。</w:t>
            </w:r>
          </w:p>
        </w:tc>
      </w:tr>
      <w:tr w14:paraId="1E37181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36417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4960497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0F77B2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4857418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095010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21E5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5D22E1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63194C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094D81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2766F1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498CE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1E309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14:paraId="4FF1DEE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768E2A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6A0D4D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1、本项目采购清单中的技术规格以及参照的品牌或型号、推荐品牌仅起说明作用，并没有任何限制性。投标人在投标过程中可以选用替代标准、品牌/型号，但这些替代要实质上满足或者优于采购清单的相关要求。</w:t>
            </w:r>
          </w:p>
          <w:p w14:paraId="0AC4F7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2、评标委员会只依靠投标人递交的投标文件及其按照招标文件要求提供的所有证明材料进行评审，而不依靠任何外来的证明材料。</w:t>
            </w:r>
          </w:p>
          <w:p w14:paraId="6F63E2C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highlight w:val="none"/>
                <w:lang w:val="en-US" w:eastAsia="zh-CN"/>
              </w:rPr>
              <w:fldChar w:fldCharType="separate"/>
            </w:r>
            <w:r>
              <w:rPr>
                <w:rFonts w:hint="eastAsia"/>
                <w:highlight w:val="none"/>
                <w:lang w:val="en-US" w:eastAsia="zh-CN"/>
              </w:rPr>
              <w:t>3、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highlight w:val="none"/>
                <w:lang w:val="en-US" w:eastAsia="zh-CN"/>
              </w:rPr>
              <w:fldChar w:fldCharType="end"/>
            </w:r>
          </w:p>
          <w:p w14:paraId="059027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4、中标人提供的所有货物、材料或配件必须是全新的、合格的且未曾使用过的，否则，造成的一切后果由中标人承担。</w:t>
            </w:r>
          </w:p>
          <w:p w14:paraId="24D7D0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5、对于有损坏等未通过招标人验收合格的货物，中标人应自行清理出招标人场地并承担所有相关费用，不增加结算金额。</w:t>
            </w:r>
          </w:p>
          <w:p w14:paraId="4FA8BB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6、</w:t>
            </w:r>
            <w:r>
              <w:rPr>
                <w:rFonts w:hint="eastAsia" w:ascii="Times New Roman" w:hAnsi="Times New Roman" w:eastAsia="宋体" w:cs="Times New Roman"/>
                <w:highlight w:val="none"/>
                <w:lang w:val="en-US" w:eastAsia="zh-CN"/>
              </w:rPr>
              <w:t>招标人保留变更合同签订主体或增加第三方参与合同签订的权利。</w:t>
            </w:r>
          </w:p>
          <w:p w14:paraId="41EFA2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7、招标人对本项目执行过程中的所有争议拥有最终的裁决权，投标人应无条件地服从招标人的裁决，不得以任何理由提出增加本项目合同费用和延误本项目工期。</w:t>
            </w:r>
          </w:p>
          <w:p w14:paraId="518268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eastAsia="宋体"/>
                <w:highlight w:val="none"/>
                <w:lang w:val="en-US" w:eastAsia="zh-CN"/>
              </w:rPr>
            </w:pPr>
            <w:r>
              <w:rPr>
                <w:rFonts w:hint="eastAsia"/>
                <w:highlight w:val="none"/>
                <w:lang w:val="en-US" w:eastAsia="zh-CN"/>
              </w:rPr>
              <w:t>8、本项目严禁非法转包，一经发现，招标人依法处理。</w:t>
            </w:r>
          </w:p>
        </w:tc>
      </w:tr>
    </w:tbl>
    <w:p w14:paraId="66FE8003">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14:paraId="17C9A56F">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14:paraId="449D382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14:paraId="0E3FDFA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7415B0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09AD4A6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3187F3C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工期：见投标人须知前附表。</w:t>
      </w:r>
    </w:p>
    <w:p w14:paraId="695365B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项目地点：见投标人须知前附表。</w:t>
      </w:r>
    </w:p>
    <w:p w14:paraId="3EE3943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1.2招标人及联系人：见投标人须知前附表。</w:t>
      </w:r>
    </w:p>
    <w:p w14:paraId="4A85545F">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代理机构及联系人：见投标人须知前附表。</w:t>
      </w:r>
    </w:p>
    <w:p w14:paraId="44564A7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662DED8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656B64E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59761A1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11E88C3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769EAC62">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2501DB1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705978E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746F3D0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14:paraId="4AAAB33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1D8BE48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5D0E8E53">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 。  </w:t>
      </w:r>
    </w:p>
    <w:p w14:paraId="07A8878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610F4AD2">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val="en-US" w:eastAsia="zh-CN"/>
        </w:rPr>
        <w:t>综合评估</w:t>
      </w:r>
      <w:r>
        <w:rPr>
          <w:rFonts w:hint="eastAsia" w:ascii="宋体"/>
          <w:szCs w:val="21"/>
          <w:highlight w:val="none"/>
          <w:u w:val="single"/>
          <w:lang w:eastAsia="zh-CN"/>
        </w:rPr>
        <w:t>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（详见第四章评标办法）</w:t>
      </w:r>
    </w:p>
    <w:p w14:paraId="5742EA3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4BEDCB41">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2CEA47E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3438450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3C9E41F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21" w:name="_Toc144974507"/>
      <w:bookmarkEnd w:id="21"/>
      <w:bookmarkStart w:id="22" w:name="_Toc152042315"/>
      <w:bookmarkEnd w:id="22"/>
      <w:bookmarkStart w:id="23" w:name="_Toc247527563"/>
      <w:bookmarkEnd w:id="23"/>
      <w:bookmarkStart w:id="24" w:name="_Toc152045539"/>
      <w:bookmarkEnd w:id="24"/>
      <w:bookmarkStart w:id="25" w:name="_Toc247513962"/>
      <w:bookmarkEnd w:id="25"/>
      <w:bookmarkStart w:id="26" w:name="_Toc296602429"/>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14:paraId="6ED8425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D5AD10E">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1943CDED">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49CC04F0">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7664EDE5">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5A9CC7D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2D87B0E3">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667991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 联合投标</w:t>
      </w:r>
    </w:p>
    <w:p w14:paraId="16C8EE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08F70E2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0B5D753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3FFA7F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23AD1BFF">
      <w:pPr>
        <w:spacing w:line="360" w:lineRule="auto"/>
        <w:ind w:firstLine="420" w:firstLineChars="200"/>
        <w:rPr>
          <w:rFonts w:hint="eastAsia" w:ascii="宋体"/>
          <w:szCs w:val="21"/>
          <w:highlight w:val="none"/>
        </w:rPr>
      </w:pPr>
      <w:bookmarkStart w:id="28" w:name="_Toc10668_WPSOffice_Level3"/>
      <w:bookmarkEnd w:id="28"/>
      <w:bookmarkStart w:id="29" w:name="_Toc24655"/>
      <w:bookmarkEnd w:id="29"/>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154387F7">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14:paraId="02E25687">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14:paraId="17E2E871">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14:paraId="650B1BB6">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14:paraId="5EA21800">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14:paraId="0E199FBD">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14:paraId="1B2FBB4A">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421FD49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1E7702FA">
      <w:pPr>
        <w:spacing w:line="440" w:lineRule="exact"/>
        <w:ind w:firstLine="525" w:firstLineChars="250"/>
        <w:rPr>
          <w:rFonts w:hint="eastAsia" w:ascii="宋体" w:hAnsi="宋体" w:eastAsia="宋体" w:cs="宋体"/>
          <w:b/>
          <w:bCs w:val="0"/>
          <w:color w:val="000000"/>
          <w:kern w:val="0"/>
          <w:sz w:val="24"/>
          <w:szCs w:val="24"/>
          <w:highlight w:val="none"/>
          <w:u w:color="000000"/>
          <w:lang w:val="en-US" w:eastAsia="zh-CN" w:bidi="ar"/>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14:paraId="5620FC83">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61211ECF">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 招标文件的编制依据</w:t>
      </w:r>
    </w:p>
    <w:p w14:paraId="5FF3DC6A">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1A948F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 招标文件的组成</w:t>
      </w:r>
    </w:p>
    <w:p w14:paraId="4B475B0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57A355B7">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第一章  招标公告</w:t>
      </w:r>
    </w:p>
    <w:p w14:paraId="10B2E017">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第二章  投标须知</w:t>
      </w:r>
    </w:p>
    <w:p w14:paraId="1752288B">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第三章  资格审查办法</w:t>
      </w:r>
    </w:p>
    <w:p w14:paraId="6D10238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第四章  评标办法</w:t>
      </w:r>
    </w:p>
    <w:p w14:paraId="2398EDE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第五章  采购需求</w:t>
      </w:r>
    </w:p>
    <w:p w14:paraId="37B88F6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第六章  合同条款及格式</w:t>
      </w:r>
    </w:p>
    <w:p w14:paraId="187886B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第七章  投标文件格式</w:t>
      </w:r>
    </w:p>
    <w:p w14:paraId="38CC658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第八章  招标人、招标代理机构对本文件的确认</w:t>
      </w:r>
    </w:p>
    <w:p w14:paraId="311A984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3F40563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67D7E6D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16B2BF85">
      <w:pPr>
        <w:spacing w:line="440" w:lineRule="exact"/>
        <w:ind w:firstLine="420" w:firstLineChars="200"/>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14:paraId="5F643BE0">
      <w:pPr>
        <w:spacing w:line="440" w:lineRule="exact"/>
        <w:ind w:firstLine="420" w:firstLineChars="200"/>
        <w:rPr>
          <w:rFonts w:ascii="宋体" w:hAnsi="Times New Roman" w:eastAsia="宋体" w:cs="Times New Roman"/>
          <w:bCs/>
          <w:szCs w:val="21"/>
          <w:highlight w:val="none"/>
        </w:rPr>
      </w:pPr>
      <w:r>
        <w:rPr>
          <w:rFonts w:hint="eastAsia" w:ascii="宋体" w:hAnsi="宋体" w:eastAsia="宋体" w:cs="宋体"/>
          <w:color w:val="000000"/>
          <w:kern w:val="0"/>
          <w:szCs w:val="21"/>
          <w:highlight w:val="none"/>
          <w:u w:color="000000"/>
          <w:lang w:bidi="ar"/>
        </w:rPr>
        <w:t xml:space="preserve">17.1 </w:t>
      </w:r>
      <w:r>
        <w:rPr>
          <w:rFonts w:hint="eastAsia" w:ascii="宋体" w:hAnsi="Times New Roman" w:eastAsia="宋体" w:cs="Times New Roman"/>
          <w:bCs/>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CC63017">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17.2 投标人应在投标截止时间前关注原采购信息发布媒体上有关本项目有无变更公告，如不及时查看造成后果由投标人自负。</w:t>
      </w:r>
    </w:p>
    <w:p w14:paraId="2AE75A3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 招标文件的发出</w:t>
      </w:r>
    </w:p>
    <w:p w14:paraId="2672C1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77D8513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0" w:name="_Toc1549_WPSOffice_Level3"/>
      <w:bookmarkEnd w:id="30"/>
      <w:bookmarkStart w:id="31" w:name="_Toc9710"/>
      <w:r>
        <w:rPr>
          <w:rFonts w:hint="eastAsia" w:ascii="宋体" w:hAnsi="宋体" w:eastAsia="宋体" w:cs="宋体"/>
          <w:b/>
          <w:bCs w:val="0"/>
          <w:color w:val="000000"/>
          <w:kern w:val="0"/>
          <w:sz w:val="21"/>
          <w:szCs w:val="21"/>
          <w:highlight w:val="none"/>
          <w:u w:color="000000"/>
          <w:lang w:val="en-US" w:eastAsia="zh-CN" w:bidi="ar"/>
        </w:rPr>
        <w:t>19.样品</w:t>
      </w:r>
      <w:bookmarkEnd w:id="31"/>
    </w:p>
    <w:p w14:paraId="20DA793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1E81783C">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1F40CE47">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 投标的语言及度量衡单位</w:t>
      </w:r>
    </w:p>
    <w:p w14:paraId="4E431746">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14:paraId="538CB80F">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14:paraId="040871EC">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 投标文件的组成</w:t>
      </w:r>
    </w:p>
    <w:p w14:paraId="2A83C705">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w:t>
      </w:r>
      <w:r>
        <w:rPr>
          <w:rFonts w:hint="default" w:ascii="宋体" w:hAnsi="宋体" w:eastAsia="宋体" w:cs="宋体"/>
          <w:color w:val="000000"/>
          <w:kern w:val="0"/>
          <w:sz w:val="21"/>
          <w:szCs w:val="21"/>
          <w:highlight w:val="none"/>
          <w:u w:color="000000"/>
          <w:lang w:val="en-US" w:eastAsia="zh-CN" w:bidi="ar"/>
        </w:rPr>
        <w:t>须</w:t>
      </w:r>
      <w:r>
        <w:rPr>
          <w:rFonts w:hint="eastAsia" w:ascii="宋体" w:hAnsi="宋体" w:eastAsia="宋体" w:cs="宋体"/>
          <w:color w:val="000000"/>
          <w:kern w:val="0"/>
          <w:sz w:val="21"/>
          <w:szCs w:val="21"/>
          <w:highlight w:val="none"/>
          <w:u w:color="000000"/>
          <w:lang w:val="en-US" w:eastAsia="zh-CN" w:bidi="ar"/>
        </w:rPr>
        <w:t>签字盖章完毕后扫描成一个连续性的整体PDF格式文件。</w:t>
      </w:r>
    </w:p>
    <w:p w14:paraId="34D8DBB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21.2投标文件的编制</w:t>
      </w:r>
    </w:p>
    <w:p w14:paraId="3ED9BAEF">
      <w:pPr>
        <w:keepNext w:val="0"/>
        <w:keepLines w:val="0"/>
        <w:widowControl/>
        <w:numPr>
          <w:ilvl w:val="0"/>
          <w:numId w:val="2"/>
        </w:numPr>
        <w:suppressLineNumbers w:val="0"/>
        <w:spacing w:before="0" w:beforeAutospacing="0" w:after="0" w:afterAutospacing="0" w:line="380" w:lineRule="exact"/>
        <w:ind w:left="0" w:right="0" w:firstLine="424" w:firstLineChars="202"/>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投标文件应按第六章“投标文件格式文本”进行编写，如有必要，可以增加附页，作为投标文件的组成部分。</w:t>
      </w:r>
    </w:p>
    <w:p w14:paraId="3AF4E612">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53765A0D">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14:paraId="108D8313">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14:paraId="12D0DBD9">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22.3投标报价包括完成本项目全部供货及服务的一切费用：包括但不限于材料费、装卸费、运输费、管理费、安装费、其他费用（如包装费、仓储费、保管费）、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w:t>
      </w:r>
    </w:p>
    <w:p w14:paraId="337A7458">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22.4投标报价的价格是完成项目全部内容（包括后期的相关服务）的价格，其总价即为履行合同的固定总价。</w:t>
      </w:r>
    </w:p>
    <w:p w14:paraId="67A2F6E6">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14:paraId="57A545A5">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14:paraId="225928F8">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24B73527">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08E2BB90">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54BEF1E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除投标人须知前附表另有规定外，投标有效期为60天。</w:t>
      </w:r>
    </w:p>
    <w:p w14:paraId="1BF5286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7F018D6A">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6AE99086">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08E9E097">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14:paraId="7749EDA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2" w:name="_Toc6570_WPSOffice_Level3"/>
      <w:bookmarkEnd w:id="32"/>
      <w:bookmarkStart w:id="33"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14:paraId="1B1DB80D">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b/>
          <w:bCs w:val="0"/>
          <w:highlight w:val="none"/>
          <w:lang w:val="en-US"/>
        </w:rPr>
      </w:pPr>
      <w:bookmarkStart w:id="34" w:name="_Toc490"/>
      <w:bookmarkEnd w:id="34"/>
      <w:bookmarkStart w:id="35" w:name="_Toc30407_WPSOffice_Level3"/>
      <w:bookmarkEnd w:id="35"/>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0157167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PDF电子版投标文件。投标人中标后须递交与网上电子投标文件完全一致的纸质版投标文件，并按要求加盖公章；份数：正本1份，副本2份；中标单位领取中标通知书时，一并递交给招标代理机构。</w:t>
      </w:r>
    </w:p>
    <w:p w14:paraId="286B56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7DA5DF4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 投标文件的提交</w:t>
      </w:r>
    </w:p>
    <w:p w14:paraId="4AF9824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w:t>
      </w:r>
      <w:r>
        <w:rPr>
          <w:rFonts w:hint="eastAsia" w:ascii="宋体" w:hAnsi="宋体" w:eastAsia="宋体" w:cs="宋体"/>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"mailto:2、在递交截止时间后30分钟内，将解压密码通过邮箱发送至代理机构邮箱（czsctgczx@163.com）" </w:instrText>
      </w:r>
      <w:r>
        <w:rPr>
          <w:rFonts w:hint="eastAsia" w:ascii="宋体" w:hAnsi="宋体" w:eastAsia="宋体" w:cs="宋体"/>
          <w:highlight w:val="none"/>
        </w:rPr>
        <w:fldChar w:fldCharType="separate"/>
      </w:r>
      <w:r>
        <w:rPr>
          <w:rFonts w:hint="eastAsia" w:ascii="宋体" w:hAnsi="宋体" w:eastAsia="宋体" w:cs="宋体"/>
          <w:highlight w:val="none"/>
        </w:rPr>
        <w:t>②在投标截止时间后30分钟内，将投标文件密码通过邮箱发送至滁州市城投工程咨询管理有限公司邮箱（czsctzx@163.com）</w:t>
      </w:r>
      <w:r>
        <w:rPr>
          <w:rFonts w:hint="eastAsia" w:ascii="宋体" w:hAnsi="宋体" w:eastAsia="宋体" w:cs="宋体"/>
          <w:highlight w:val="none"/>
        </w:rPr>
        <w:fldChar w:fldCharType="end"/>
      </w:r>
      <w:r>
        <w:rPr>
          <w:rFonts w:hint="eastAsia" w:ascii="宋体" w:hAnsi="宋体" w:eastAsia="宋体" w:cs="宋体"/>
          <w:highlight w:val="none"/>
        </w:rPr>
        <w:t>，未在规定时间内发送密码或发送的密码无法正确打开投标文件的，投标文件将被拒绝。</w:t>
      </w:r>
    </w:p>
    <w:p w14:paraId="0F241F9C">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27．投标文件的</w:t>
      </w:r>
      <w:r>
        <w:rPr>
          <w:rFonts w:hint="eastAsia" w:ascii="宋体"/>
          <w:b/>
          <w:szCs w:val="21"/>
          <w:highlight w:val="none"/>
        </w:rPr>
        <w:t>修改与撤回</w:t>
      </w:r>
    </w:p>
    <w:p w14:paraId="34E8312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7B884CA0">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18CA4689">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bookmarkStart w:id="36" w:name="_Toc28864"/>
      <w:bookmarkEnd w:id="36"/>
      <w:bookmarkStart w:id="37" w:name="_Toc8453_WPSOffice_Level3"/>
      <w:r>
        <w:rPr>
          <w:rFonts w:hint="eastAsia" w:ascii="宋体" w:hAnsi="宋体" w:eastAsia="宋体" w:cs="宋体"/>
          <w:b/>
          <w:bCs w:val="0"/>
          <w:color w:val="000000"/>
          <w:kern w:val="0"/>
          <w:sz w:val="21"/>
          <w:szCs w:val="21"/>
          <w:highlight w:val="none"/>
          <w:u w:color="000000"/>
          <w:lang w:val="en-US" w:eastAsia="zh-CN" w:bidi="ar"/>
        </w:rPr>
        <w:t>28.</w:t>
      </w:r>
      <w:r>
        <w:rPr>
          <w:rFonts w:hint="eastAsia" w:ascii="黑体" w:hAnsi="宋体" w:eastAsia="黑体" w:cs="宋体"/>
          <w:b/>
          <w:bCs w:val="0"/>
          <w:color w:val="000000"/>
          <w:kern w:val="0"/>
          <w:sz w:val="21"/>
          <w:szCs w:val="21"/>
          <w:highlight w:val="none"/>
          <w:u w:color="000000"/>
          <w:lang w:val="en-US" w:eastAsia="zh-CN" w:bidi="ar"/>
        </w:rPr>
        <w:t>开标</w:t>
      </w:r>
    </w:p>
    <w:p w14:paraId="1E5A5BF2">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2283822C">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14:paraId="722E3AAD">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203BC218">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8" w:name="_Toc15542_WPSOffice_Level3"/>
      <w:bookmarkEnd w:id="38"/>
      <w:r>
        <w:rPr>
          <w:rFonts w:hint="eastAsia" w:ascii="宋体" w:hAnsi="宋体" w:eastAsia="宋体" w:cs="宋体"/>
          <w:color w:val="000000"/>
          <w:kern w:val="0"/>
          <w:sz w:val="21"/>
          <w:szCs w:val="21"/>
          <w:highlight w:val="none"/>
          <w:u w:color="000000"/>
          <w:lang w:val="en-US" w:eastAsia="zh-CN" w:bidi="ar"/>
        </w:rPr>
        <w:t>28.2.1招标人可以邀请相关监管部门参加。</w:t>
      </w:r>
    </w:p>
    <w:p w14:paraId="0FCD1FAD">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399F5213">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13DBB84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69819017">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14:paraId="409899A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2BCB4407">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06923436">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29.开标异议</w:t>
      </w:r>
    </w:p>
    <w:p w14:paraId="6B92F22F">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0157C60D">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30.评标委员会</w:t>
      </w:r>
    </w:p>
    <w:p w14:paraId="3985D341">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14:paraId="0B01EBC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53FA51E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45E5AF56">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4C97829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2C98505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73B4E9C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2B1A9721">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5094578A">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1D37B270">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2BB48C23">
      <w:pPr>
        <w:keepNext w:val="0"/>
        <w:keepLines w:val="0"/>
        <w:widowControl/>
        <w:suppressLineNumbers w:val="0"/>
        <w:spacing w:before="0" w:beforeAutospacing="0" w:after="0" w:afterAutospacing="0" w:line="400" w:lineRule="exact"/>
        <w:ind w:left="0" w:right="0" w:firstLine="415"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14:paraId="750F17A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章“评标办法”规定的方法、评审因素、标准和程序对投标文件进行评审。第</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章“评标办法”没有规定的方法、评审因素和标准，不作为评标依据。</w:t>
      </w:r>
    </w:p>
    <w:p w14:paraId="2EF7E83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17190F33">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757B694E">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9" w:name="_Toc5272_WPSOffice_Level3"/>
      <w:bookmarkEnd w:id="39"/>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7E58080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1F6C7515">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1BD4457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0491C263">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5D85599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684098F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6928153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41827E7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54DD55BB">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5"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279DE8E6">
      <w:pPr>
        <w:tabs>
          <w:tab w:val="left" w:pos="720"/>
        </w:tabs>
        <w:spacing w:line="420" w:lineRule="exact"/>
        <w:ind w:firstLine="420" w:firstLineChars="200"/>
        <w:jc w:val="left"/>
        <w:rPr>
          <w:rFonts w:hint="eastAsia" w:ascii="宋体" w:hAnsi="宋体" w:eastAsia="宋体" w:cs="宋体"/>
          <w:highlight w:val="none"/>
          <w:lang w:val="en-US"/>
        </w:rPr>
      </w:pPr>
      <w:r>
        <w:rPr>
          <w:rFonts w:hint="eastAsia" w:ascii="宋体" w:hAnsi="Times New Roman" w:eastAsia="宋体" w:cs="Times New Roman"/>
          <w:szCs w:val="21"/>
          <w:highlight w:val="none"/>
        </w:rPr>
        <w:t>（4）法律、法规规定的其他情形。</w:t>
      </w:r>
    </w:p>
    <w:p w14:paraId="01E638B2">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7"/>
    </w:p>
    <w:p w14:paraId="416185CB">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33.中标公示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34.评标结果异议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35.定标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2A34F50C">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36.中标通知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6EE24B61">
      <w:pPr>
        <w:keepNext w:val="0"/>
        <w:keepLines w:val="0"/>
        <w:widowControl w:val="0"/>
        <w:suppressLineNumbers w:val="0"/>
        <w:autoSpaceDE w:val="0"/>
        <w:autoSpaceDN/>
        <w:spacing w:before="0" w:beforeAutospacing="0" w:after="0" w:afterAutospacing="0" w:line="400" w:lineRule="exact"/>
        <w:ind w:left="0" w:right="0"/>
        <w:jc w:val="both"/>
        <w:rPr>
          <w:rFonts w:hint="eastAsia" w:ascii="黑体" w:hAnsi="宋体" w:eastAsia="黑体" w:cs="宋体"/>
          <w:b/>
          <w:bCs w:val="0"/>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r>
        <w:rPr>
          <w:rFonts w:hint="eastAsia" w:ascii="黑体" w:hAnsi="宋体" w:eastAsia="黑体" w:cs="宋体"/>
          <w:b/>
          <w:bCs w:val="0"/>
          <w:color w:val="000000"/>
          <w:kern w:val="0"/>
          <w:sz w:val="21"/>
          <w:szCs w:val="21"/>
          <w:highlight w:val="none"/>
          <w:u w:color="000000"/>
          <w:lang w:val="en-US" w:eastAsia="zh-CN" w:bidi="ar"/>
        </w:rPr>
        <w:t xml:space="preserve"> </w:t>
      </w:r>
      <w:bookmarkStart w:id="40" w:name="_Toc7247"/>
      <w:bookmarkEnd w:id="40"/>
      <w:r>
        <w:rPr>
          <w:rFonts w:hint="eastAsia" w:ascii="黑体" w:hAnsi="宋体" w:eastAsia="黑体" w:cs="宋体"/>
          <w:b/>
          <w:bCs w:val="0"/>
          <w:color w:val="000000"/>
          <w:kern w:val="0"/>
          <w:sz w:val="21"/>
          <w:szCs w:val="21"/>
          <w:highlight w:val="none"/>
          <w:u w:color="000000"/>
          <w:lang w:val="en-US" w:eastAsia="zh-CN" w:bidi="ar"/>
        </w:rPr>
        <w:t xml:space="preserve"> 37.</w:t>
      </w:r>
      <w:bookmarkStart w:id="41" w:name="_Toc217446068"/>
      <w:r>
        <w:rPr>
          <w:rFonts w:hint="eastAsia" w:ascii="黑体" w:hAnsi="宋体" w:eastAsia="黑体" w:cs="宋体"/>
          <w:b/>
          <w:bCs w:val="0"/>
          <w:color w:val="000000"/>
          <w:kern w:val="0"/>
          <w:sz w:val="21"/>
          <w:szCs w:val="21"/>
          <w:highlight w:val="none"/>
          <w:u w:color="000000"/>
          <w:lang w:val="en-US" w:eastAsia="zh-CN" w:bidi="ar"/>
        </w:rPr>
        <w:t>履约保证金</w:t>
      </w:r>
      <w:bookmarkEnd w:id="41"/>
    </w:p>
    <w:p w14:paraId="1331EEB6">
      <w:pPr>
        <w:spacing w:line="420" w:lineRule="exact"/>
        <w:ind w:firstLine="420" w:firstLineChars="200"/>
        <w:jc w:val="left"/>
        <w:rPr>
          <w:rFonts w:ascii="宋体" w:hAnsi="Times New Roman" w:eastAsia="宋体" w:cs="Times New Roman"/>
          <w:szCs w:val="21"/>
          <w:highlight w:val="none"/>
        </w:rPr>
      </w:pPr>
      <w:bookmarkStart w:id="42" w:name="_Toc316_WPSOffice_Level3"/>
      <w:bookmarkEnd w:id="42"/>
      <w:bookmarkStart w:id="43"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43"/>
      <w:r>
        <w:rPr>
          <w:rFonts w:hint="eastAsia" w:ascii="宋体" w:hAnsi="Times New Roman" w:eastAsia="宋体" w:cs="Times New Roman"/>
          <w:szCs w:val="21"/>
          <w:highlight w:val="none"/>
        </w:rPr>
        <w:t>在签订合同前，中标人应按投标人须知前附表规定的担保形式和招标文件第</w:t>
      </w:r>
      <w:r>
        <w:rPr>
          <w:rFonts w:hint="eastAsia" w:ascii="宋体" w:hAnsi="Times New Roman" w:eastAsia="宋体" w:cs="Times New Roman"/>
          <w:szCs w:val="21"/>
          <w:highlight w:val="none"/>
          <w:lang w:val="en-US" w:eastAsia="zh-CN"/>
        </w:rPr>
        <w:t>六</w:t>
      </w:r>
      <w:r>
        <w:rPr>
          <w:rFonts w:hint="eastAsia" w:ascii="宋体" w:hAnsi="Times New Roman" w:eastAsia="宋体" w:cs="Times New Roman"/>
          <w:szCs w:val="21"/>
          <w:highlight w:val="none"/>
        </w:rPr>
        <w:t>章“合同条款及格式”规定的或者事先经过招标人书面认可的履约担保格式向招标人提交履约担保。</w:t>
      </w:r>
    </w:p>
    <w:p w14:paraId="246DABD6">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.1项要求提交履约担保的，视为放弃中标，给招标人造成的损失，中标人还应当予以赔偿。</w:t>
      </w:r>
    </w:p>
    <w:p w14:paraId="458C332C">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0ABC5FD6">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5CF1532">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597F92C7">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3315D15F">
      <w:pPr>
        <w:spacing w:line="420" w:lineRule="exact"/>
        <w:ind w:firstLine="420" w:firstLineChars="200"/>
        <w:jc w:val="left"/>
        <w:rPr>
          <w:rFonts w:hint="eastAsia" w:ascii="宋体"/>
          <w:b/>
          <w:color w:val="auto"/>
          <w:sz w:val="32"/>
          <w:szCs w:val="32"/>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48771897">
      <w:pPr>
        <w:rPr>
          <w:rFonts w:hint="eastAsia" w:ascii="宋体"/>
          <w:b/>
          <w:color w:val="auto"/>
          <w:sz w:val="32"/>
          <w:szCs w:val="32"/>
          <w:highlight w:val="none"/>
        </w:rPr>
      </w:pPr>
      <w:r>
        <w:rPr>
          <w:rFonts w:hint="eastAsia" w:ascii="宋体"/>
          <w:b/>
          <w:color w:val="auto"/>
          <w:sz w:val="32"/>
          <w:szCs w:val="32"/>
          <w:highlight w:val="none"/>
        </w:rPr>
        <w:br w:type="page"/>
      </w:r>
    </w:p>
    <w:p w14:paraId="168B1AB6">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14:paraId="4FF62F00">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14:paraId="1E00ACD9">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3"/>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52F4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0CC19D4A">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4243" w:type="dxa"/>
            <w:gridSpan w:val="2"/>
            <w:noWrap w:val="0"/>
            <w:vAlign w:val="center"/>
          </w:tcPr>
          <w:p w14:paraId="142266E1">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929" w:type="dxa"/>
            <w:noWrap w:val="0"/>
            <w:vAlign w:val="center"/>
          </w:tcPr>
          <w:p w14:paraId="7C34AD61">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14:paraId="070F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70356464">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14:paraId="23A24DE5">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008" w:type="dxa"/>
            <w:noWrap w:val="0"/>
            <w:vAlign w:val="center"/>
          </w:tcPr>
          <w:p w14:paraId="7CE7F292">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w:t>
            </w:r>
            <w:r>
              <w:rPr>
                <w:rFonts w:hint="eastAsia"/>
                <w:color w:val="000000"/>
                <w:highlight w:val="none"/>
                <w:lang w:val="en-US" w:eastAsia="zh-CN"/>
              </w:rPr>
              <w:t>1</w:t>
            </w:r>
            <w:r>
              <w:rPr>
                <w:rFonts w:hint="eastAsia"/>
                <w:color w:val="000000"/>
                <w:highlight w:val="none"/>
              </w:rPr>
              <w:t>）法定代表人身份证明和本人有效身份证(或法定代表人授权委托书和委托代理人有效身份证)</w:t>
            </w:r>
          </w:p>
        </w:tc>
        <w:tc>
          <w:tcPr>
            <w:tcW w:w="3929" w:type="dxa"/>
            <w:noWrap w:val="0"/>
            <w:vAlign w:val="center"/>
          </w:tcPr>
          <w:p w14:paraId="76734E10">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14:paraId="7B0A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29DBC902">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14:paraId="1673CA47">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noWrap w:val="0"/>
            <w:vAlign w:val="center"/>
          </w:tcPr>
          <w:p w14:paraId="546F0711">
            <w:pPr>
              <w:keepNext w:val="0"/>
              <w:keepLines w:val="0"/>
              <w:suppressLineNumbers w:val="0"/>
              <w:spacing w:before="0" w:beforeAutospacing="0" w:after="0" w:afterAutospacing="0" w:line="320" w:lineRule="exact"/>
              <w:ind w:left="0" w:right="0"/>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（2）具有独立承担民事责任的能力</w:t>
            </w:r>
          </w:p>
        </w:tc>
        <w:tc>
          <w:tcPr>
            <w:tcW w:w="3929" w:type="dxa"/>
            <w:noWrap w:val="0"/>
            <w:vAlign w:val="center"/>
          </w:tcPr>
          <w:p w14:paraId="7168B65D">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14:paraId="27D073C5">
            <w:pPr>
              <w:keepNext w:val="0"/>
              <w:keepLines w:val="0"/>
              <w:suppressLineNumbers w:val="0"/>
              <w:spacing w:before="0" w:beforeAutospacing="0" w:after="0" w:afterAutospacing="0" w:line="320" w:lineRule="exact"/>
              <w:ind w:left="0" w:right="0"/>
              <w:jc w:val="left"/>
              <w:rPr>
                <w:rFonts w:hint="eastAsia"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14:paraId="1752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7D4EA2C3">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222B604D">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14:paraId="58C12D70">
            <w:pPr>
              <w:keepNext w:val="0"/>
              <w:keepLines w:val="0"/>
              <w:suppressLineNumbers w:val="0"/>
              <w:spacing w:before="0" w:beforeAutospacing="0" w:after="0" w:afterAutospacing="0" w:line="320" w:lineRule="exact"/>
              <w:ind w:left="0" w:right="0"/>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（3）诚信投标承诺书</w:t>
            </w:r>
          </w:p>
        </w:tc>
        <w:tc>
          <w:tcPr>
            <w:tcW w:w="3929" w:type="dxa"/>
            <w:noWrap w:val="0"/>
            <w:vAlign w:val="center"/>
          </w:tcPr>
          <w:p w14:paraId="75423EB2">
            <w:pPr>
              <w:keepNext w:val="0"/>
              <w:keepLines w:val="0"/>
              <w:suppressLineNumbers w:val="0"/>
              <w:spacing w:before="0" w:beforeAutospacing="0" w:after="0" w:afterAutospacing="0" w:line="360" w:lineRule="exact"/>
              <w:ind w:left="0" w:right="0"/>
              <w:jc w:val="left"/>
              <w:rPr>
                <w:rFonts w:hint="eastAsia" w:ascii="宋体"/>
                <w:b/>
                <w:color w:val="000000"/>
                <w:szCs w:val="21"/>
                <w:highlight w:val="none"/>
              </w:rPr>
            </w:pPr>
            <w:r>
              <w:rPr>
                <w:rFonts w:hint="eastAsia"/>
                <w:color w:val="000000"/>
                <w:highlight w:val="none"/>
              </w:rPr>
              <w:t>格式见附件，检验电子标书</w:t>
            </w:r>
          </w:p>
        </w:tc>
      </w:tr>
      <w:tr w14:paraId="710F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619BDE92">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4BF990DE">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14:paraId="7063ABCB">
            <w:pPr>
              <w:keepNext w:val="0"/>
              <w:keepLines w:val="0"/>
              <w:suppressLineNumbers w:val="0"/>
              <w:spacing w:before="0" w:beforeAutospacing="0" w:after="0" w:afterAutospacing="0" w:line="320" w:lineRule="exact"/>
              <w:ind w:left="0" w:right="0"/>
              <w:jc w:val="left"/>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（4）服务承诺书</w:t>
            </w:r>
          </w:p>
        </w:tc>
        <w:tc>
          <w:tcPr>
            <w:tcW w:w="3929" w:type="dxa"/>
            <w:noWrap w:val="0"/>
            <w:vAlign w:val="center"/>
          </w:tcPr>
          <w:p w14:paraId="63E978CD">
            <w:pPr>
              <w:keepNext w:val="0"/>
              <w:keepLines w:val="0"/>
              <w:suppressLineNumbers w:val="0"/>
              <w:spacing w:before="0" w:beforeAutospacing="0" w:after="0" w:afterAutospacing="0" w:line="360" w:lineRule="exact"/>
              <w:ind w:left="0" w:right="0"/>
              <w:jc w:val="left"/>
              <w:rPr>
                <w:rFonts w:hint="eastAsia" w:ascii="宋体"/>
                <w:color w:val="000000"/>
                <w:szCs w:val="21"/>
                <w:highlight w:val="none"/>
              </w:rPr>
            </w:pPr>
            <w:r>
              <w:rPr>
                <w:rFonts w:hint="eastAsia"/>
                <w:color w:val="000000"/>
                <w:highlight w:val="none"/>
              </w:rPr>
              <w:t>格式见附件，检验电子标书</w:t>
            </w:r>
          </w:p>
        </w:tc>
      </w:tr>
    </w:tbl>
    <w:p w14:paraId="415B144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000000"/>
        </w:rPr>
      </w:pPr>
      <w:bookmarkStart w:id="44" w:name="_Toc506107320"/>
      <w:bookmarkStart w:id="45" w:name="_Toc95223395"/>
      <w:bookmarkStart w:id="46" w:name="_Toc15058909"/>
      <w:bookmarkStart w:id="47" w:name="_Toc60061492"/>
      <w:r>
        <w:rPr>
          <w:rFonts w:hint="eastAsia" w:ascii="Times New Roman" w:hAnsi="Times New Roman" w:eastAsia="宋体" w:cs="Times New Roman"/>
          <w:color w:val="000000"/>
        </w:rPr>
        <w:t>重要提示：</w:t>
      </w:r>
    </w:p>
    <w:p w14:paraId="3A70A0B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000000"/>
        </w:rPr>
      </w:pPr>
      <w:r>
        <w:rPr>
          <w:rFonts w:hint="eastAsia" w:ascii="Times New Roman" w:hAnsi="Times New Roman" w:eastAsia="宋体" w:cs="Times New Roman"/>
          <w:color w:val="000000"/>
          <w:lang w:eastAsia="zh-CN"/>
        </w:rPr>
        <w:t>（</w:t>
      </w:r>
      <w:r>
        <w:rPr>
          <w:rFonts w:hint="eastAsia" w:ascii="Times New Roman" w:hAnsi="Times New Roman" w:eastAsia="宋体" w:cs="Times New Roman"/>
          <w:color w:val="000000"/>
          <w:lang w:val="en-US" w:eastAsia="zh-CN"/>
        </w:rPr>
        <w:t>1）</w:t>
      </w:r>
      <w:r>
        <w:rPr>
          <w:rFonts w:hint="eastAsia" w:ascii="Times New Roman" w:hAnsi="Times New Roman" w:eastAsia="宋体" w:cs="Times New Roman"/>
          <w:color w:val="000000"/>
        </w:rPr>
        <w:t>评标专家在检验投标文件过程中，如果由于投标人自身原因导致评标专家无法查看并检验投标文件中相关资料的，视为无效标处理。即使投标人将原件携带至现场的，同样按无效标处理</w:t>
      </w:r>
      <w:r>
        <w:rPr>
          <w:rFonts w:hint="eastAsia" w:ascii="Times New Roman" w:hAnsi="Times New Roman" w:eastAsia="宋体" w:cs="Times New Roman"/>
          <w:color w:val="000000"/>
          <w:lang w:eastAsia="zh-CN"/>
        </w:rPr>
        <w:t>。</w:t>
      </w:r>
    </w:p>
    <w:p w14:paraId="17802126">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r>
        <w:rPr>
          <w:rFonts w:hint="eastAsia" w:ascii="Times New Roman" w:hAnsi="Times New Roman" w:eastAsia="宋体" w:cs="Times New Roman"/>
          <w:color w:val="000000"/>
        </w:rPr>
        <w:t>2.审查办法</w:t>
      </w:r>
      <w:bookmarkEnd w:id="44"/>
      <w:bookmarkEnd w:id="45"/>
      <w:bookmarkEnd w:id="46"/>
      <w:bookmarkEnd w:id="47"/>
    </w:p>
    <w:p w14:paraId="77A0F09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bookmarkStart w:id="48" w:name="_Toc15058910"/>
      <w:bookmarkStart w:id="49" w:name="_Toc60061493"/>
      <w:bookmarkStart w:id="50" w:name="_Toc506107321"/>
      <w:bookmarkStart w:id="51" w:name="_Toc324404868"/>
      <w:r>
        <w:rPr>
          <w:rFonts w:hint="eastAsia" w:ascii="Times New Roman" w:hAnsi="Times New Roman" w:eastAsia="宋体" w:cs="Times New Roman"/>
          <w:color w:val="000000"/>
        </w:rPr>
        <w:t>由资格审查委员会（评标委员会）按资格审查办法前附表中资格审查必要合格条件评审表要求对投标人审查资料进行核验。</w:t>
      </w:r>
    </w:p>
    <w:p w14:paraId="3AACF25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bookmarkStart w:id="52" w:name="_Toc95223396"/>
      <w:r>
        <w:rPr>
          <w:rFonts w:hint="eastAsia" w:ascii="Times New Roman" w:hAnsi="Times New Roman" w:eastAsia="宋体" w:cs="Times New Roman"/>
          <w:color w:val="000000"/>
        </w:rPr>
        <w:t>3.资格审查委员会和审查标准</w:t>
      </w:r>
      <w:bookmarkEnd w:id="48"/>
      <w:bookmarkEnd w:id="49"/>
      <w:bookmarkEnd w:id="50"/>
      <w:bookmarkEnd w:id="51"/>
      <w:bookmarkEnd w:id="52"/>
    </w:p>
    <w:p w14:paraId="7D0D4B12">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r>
        <w:rPr>
          <w:rFonts w:hint="eastAsia" w:ascii="Times New Roman" w:hAnsi="Times New Roman" w:eastAsia="宋体" w:cs="Times New Roman"/>
          <w:color w:val="000000"/>
        </w:rPr>
        <w:t>3.1资格审查由招标人依法组建的资格审查委员会（或评标委员会）负责。审查标准见资格审查办法前附表。</w:t>
      </w:r>
    </w:p>
    <w:p w14:paraId="0346726D">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r>
        <w:rPr>
          <w:rFonts w:hint="eastAsia" w:ascii="Times New Roman" w:hAnsi="Times New Roman" w:eastAsia="宋体" w:cs="Times New Roman"/>
          <w:color w:val="000000"/>
        </w:rPr>
        <w:t xml:space="preserve">3.2由资格审查委员会（评标委员会）按资格审查办法前附表要求对投标人的审查资料进行核验。投标申请人有下列情形之一的，其资格审查为不合格： </w:t>
      </w:r>
    </w:p>
    <w:p w14:paraId="7E25EDD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r>
        <w:rPr>
          <w:rFonts w:hint="eastAsia" w:ascii="Times New Roman" w:hAnsi="Times New Roman" w:eastAsia="宋体" w:cs="Times New Roman"/>
          <w:color w:val="000000"/>
        </w:rPr>
        <w:t>（1）未</w:t>
      </w:r>
      <w:r>
        <w:rPr>
          <w:rFonts w:hint="eastAsia" w:ascii="Times New Roman" w:hAnsi="Times New Roman" w:eastAsia="宋体" w:cs="Times New Roman"/>
          <w:color w:val="000000"/>
          <w:lang w:val="en-US" w:eastAsia="zh-CN"/>
        </w:rPr>
        <w:t>发送</w:t>
      </w:r>
      <w:r>
        <w:rPr>
          <w:rFonts w:hint="eastAsia" w:ascii="Times New Roman" w:hAnsi="Times New Roman" w:eastAsia="宋体" w:cs="Times New Roman"/>
          <w:color w:val="000000"/>
        </w:rPr>
        <w:t>标书或电子标书经审查不合格；</w:t>
      </w:r>
    </w:p>
    <w:p w14:paraId="16E65FD8">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rPr>
        <w:t>（2）电子标书</w:t>
      </w:r>
      <w:r>
        <w:rPr>
          <w:rFonts w:hint="eastAsia" w:ascii="Times New Roman" w:hAnsi="Times New Roman" w:eastAsia="宋体" w:cs="Times New Roman"/>
          <w:color w:val="000000"/>
          <w:lang w:val="en-US" w:eastAsia="zh-CN"/>
        </w:rPr>
        <w:t>无法打开。</w:t>
      </w:r>
    </w:p>
    <w:p w14:paraId="1FC23E81">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bookmarkStart w:id="53" w:name="_Toc506107322"/>
      <w:bookmarkStart w:id="54" w:name="_Toc95223397"/>
      <w:bookmarkStart w:id="55" w:name="_Toc15058911"/>
      <w:bookmarkStart w:id="56" w:name="_Toc60061494"/>
      <w:bookmarkStart w:id="57" w:name="_Toc324404869"/>
      <w:r>
        <w:rPr>
          <w:rFonts w:hint="eastAsia" w:ascii="Times New Roman" w:hAnsi="Times New Roman" w:eastAsia="宋体" w:cs="Times New Roman"/>
          <w:color w:val="000000"/>
        </w:rPr>
        <w:t>4.审查结果</w:t>
      </w:r>
      <w:bookmarkEnd w:id="53"/>
      <w:bookmarkEnd w:id="54"/>
      <w:bookmarkEnd w:id="55"/>
      <w:bookmarkEnd w:id="56"/>
      <w:bookmarkEnd w:id="57"/>
    </w:p>
    <w:p w14:paraId="243344E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r>
        <w:rPr>
          <w:rFonts w:hint="eastAsia" w:ascii="Times New Roman" w:hAnsi="Times New Roman" w:eastAsia="宋体" w:cs="Times New Roman"/>
          <w:color w:val="000000"/>
        </w:rPr>
        <w:t>只有通过资格审查的投标人才能进入下一步的评标程序。</w:t>
      </w:r>
    </w:p>
    <w:p w14:paraId="0E854C51">
      <w:pPr>
        <w:rPr>
          <w:rFonts w:hint="eastAsia" w:ascii="宋体" w:hAnsi="宋体" w:eastAsia="宋体" w:cs="宋体"/>
          <w:b/>
          <w:bCs/>
          <w:color w:val="000000"/>
          <w:kern w:val="0"/>
          <w:sz w:val="28"/>
          <w:szCs w:val="28"/>
          <w:highlight w:val="none"/>
          <w:u w:color="000000"/>
          <w:lang w:val="en-US" w:eastAsia="zh-CN" w:bidi="ar"/>
        </w:rPr>
      </w:pPr>
      <w:r>
        <w:rPr>
          <w:rFonts w:hint="eastAsia" w:ascii="宋体" w:hAnsi="宋体" w:eastAsia="宋体" w:cs="宋体"/>
          <w:b/>
          <w:bCs/>
          <w:color w:val="000000"/>
          <w:kern w:val="0"/>
          <w:sz w:val="28"/>
          <w:szCs w:val="28"/>
          <w:highlight w:val="none"/>
          <w:u w:color="000000"/>
          <w:lang w:val="en-US" w:eastAsia="zh-CN" w:bidi="ar"/>
        </w:rPr>
        <w:br w:type="page"/>
      </w:r>
    </w:p>
    <w:p w14:paraId="719145FC">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14:paraId="21D607D9">
      <w:pPr>
        <w:adjustRightInd w:val="0"/>
        <w:snapToGrid w:val="0"/>
        <w:spacing w:line="420" w:lineRule="exact"/>
        <w:ind w:firstLine="315" w:firstLineChars="150"/>
        <w:rPr>
          <w:rFonts w:hint="eastAsia" w:ascii="宋体" w:hAnsi="宋体" w:eastAsia="宋体" w:cs="宋体"/>
          <w:color w:val="000000"/>
          <w:szCs w:val="21"/>
          <w:highlight w:val="none"/>
        </w:rPr>
      </w:pPr>
      <w:bookmarkStart w:id="58" w:name="_Toc23254"/>
      <w:bookmarkEnd w:id="58"/>
      <w:r>
        <w:rPr>
          <w:rFonts w:hint="eastAsia" w:ascii="宋体" w:hAnsi="宋体" w:eastAsia="宋体" w:cs="宋体"/>
          <w:color w:val="000000"/>
          <w:szCs w:val="21"/>
          <w:highlight w:val="none"/>
        </w:rPr>
        <w:t>1.中标候选人的确定</w:t>
      </w:r>
    </w:p>
    <w:p w14:paraId="1F0F189A">
      <w:pPr>
        <w:adjustRightInd w:val="0"/>
        <w:snapToGrid w:val="0"/>
        <w:spacing w:line="420" w:lineRule="exact"/>
        <w:ind w:firstLine="315" w:firstLineChars="150"/>
        <w:rPr>
          <w:rFonts w:hint="eastAsia" w:ascii="宋体" w:hAnsi="宋体" w:eastAsia="宋体" w:cs="宋体"/>
          <w:color w:val="000000"/>
          <w:szCs w:val="21"/>
          <w:highlight w:val="none"/>
        </w:rPr>
      </w:pPr>
      <w:r>
        <w:rPr>
          <w:rFonts w:hint="eastAsia" w:ascii="宋体" w:hAnsi="宋体" w:cs="宋体"/>
          <w:color w:val="000000"/>
          <w:szCs w:val="21"/>
          <w:highlight w:val="none"/>
        </w:rPr>
        <w:t>评标委员会对投标人依次进行资信、技术、商务文件审查，对均满足要求的投标人进行各项评审因素打分，合计的总得分按照从高到低进行排序，总得分第一的投标人为第一中标候选人。如总得分相等，以投标报价低的优先，投标报价仍相等，由评标委员会主任委员或招标人随机抽取确定排名。</w:t>
      </w:r>
    </w:p>
    <w:p w14:paraId="6CD1B1B5">
      <w:pPr>
        <w:spacing w:line="440" w:lineRule="exact"/>
        <w:ind w:firstLine="210" w:firstLineChars="100"/>
        <w:rPr>
          <w:rFonts w:ascii="宋体" w:hAnsi="宋体" w:cs="宋体"/>
          <w:b/>
          <w:bCs/>
          <w:szCs w:val="21"/>
          <w:highlight w:val="none"/>
        </w:rPr>
      </w:pPr>
      <w:r>
        <w:rPr>
          <w:rFonts w:hint="eastAsia" w:ascii="宋体" w:hAnsi="宋体" w:cs="宋体"/>
          <w:b/>
          <w:bCs/>
          <w:szCs w:val="21"/>
          <w:highlight w:val="none"/>
        </w:rPr>
        <w:t>2.资信标评审（</w:t>
      </w:r>
      <w:r>
        <w:rPr>
          <w:rFonts w:hint="eastAsia" w:ascii="宋体" w:hAnsi="宋体" w:cs="宋体"/>
          <w:b/>
          <w:bCs/>
          <w:szCs w:val="21"/>
          <w:highlight w:val="none"/>
          <w:lang w:val="en-US" w:eastAsia="zh-CN"/>
        </w:rPr>
        <w:t>2</w:t>
      </w:r>
      <w:r>
        <w:rPr>
          <w:rFonts w:hint="eastAsia" w:ascii="宋体" w:hAnsi="宋体" w:cs="宋体"/>
          <w:b/>
          <w:bCs/>
          <w:szCs w:val="21"/>
          <w:highlight w:val="none"/>
        </w:rPr>
        <w:t>0分）</w:t>
      </w:r>
    </w:p>
    <w:tbl>
      <w:tblPr>
        <w:tblStyle w:val="23"/>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272"/>
        <w:gridCol w:w="768"/>
        <w:gridCol w:w="4886"/>
        <w:gridCol w:w="2155"/>
      </w:tblGrid>
      <w:tr w14:paraId="5AE3B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695" w:type="dxa"/>
            <w:noWrap w:val="0"/>
            <w:vAlign w:val="center"/>
          </w:tcPr>
          <w:p w14:paraId="2745FD60">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rPr>
            </w:pPr>
            <w:r>
              <w:rPr>
                <w:rFonts w:hint="eastAsia" w:ascii="宋体" w:hAnsi="宋体" w:cs="宋体"/>
                <w:szCs w:val="21"/>
                <w:highlight w:val="none"/>
              </w:rPr>
              <w:t>序号</w:t>
            </w:r>
          </w:p>
        </w:tc>
        <w:tc>
          <w:tcPr>
            <w:tcW w:w="1272" w:type="dxa"/>
            <w:noWrap w:val="0"/>
            <w:vAlign w:val="center"/>
          </w:tcPr>
          <w:p w14:paraId="20F36CD2">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rPr>
            </w:pPr>
            <w:r>
              <w:rPr>
                <w:rFonts w:hint="eastAsia" w:ascii="宋体" w:hAnsi="宋体" w:cs="宋体"/>
                <w:szCs w:val="21"/>
                <w:highlight w:val="none"/>
              </w:rPr>
              <w:t>评分因素</w:t>
            </w:r>
          </w:p>
        </w:tc>
        <w:tc>
          <w:tcPr>
            <w:tcW w:w="768" w:type="dxa"/>
            <w:noWrap w:val="0"/>
            <w:vAlign w:val="center"/>
          </w:tcPr>
          <w:p w14:paraId="7D3904DE">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rPr>
            </w:pPr>
            <w:r>
              <w:rPr>
                <w:rFonts w:hint="eastAsia" w:ascii="宋体" w:hAnsi="宋体" w:cs="宋体"/>
                <w:szCs w:val="21"/>
                <w:highlight w:val="none"/>
              </w:rPr>
              <w:t>分值</w:t>
            </w:r>
          </w:p>
        </w:tc>
        <w:tc>
          <w:tcPr>
            <w:tcW w:w="4886" w:type="dxa"/>
            <w:noWrap w:val="0"/>
            <w:vAlign w:val="center"/>
          </w:tcPr>
          <w:p w14:paraId="235775CE">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rPr>
            </w:pPr>
            <w:r>
              <w:rPr>
                <w:rFonts w:hint="eastAsia" w:ascii="宋体" w:hAnsi="宋体" w:cs="宋体"/>
                <w:szCs w:val="21"/>
                <w:highlight w:val="none"/>
              </w:rPr>
              <w:t>评审细则</w:t>
            </w:r>
          </w:p>
        </w:tc>
        <w:tc>
          <w:tcPr>
            <w:tcW w:w="2155" w:type="dxa"/>
            <w:noWrap w:val="0"/>
            <w:vAlign w:val="center"/>
          </w:tcPr>
          <w:p w14:paraId="550BA36A">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rPr>
            </w:pPr>
            <w:r>
              <w:rPr>
                <w:rFonts w:hint="eastAsia" w:ascii="宋体" w:hAnsi="宋体"/>
                <w:szCs w:val="21"/>
                <w:highlight w:val="none"/>
              </w:rPr>
              <w:t>须提供的证明材料</w:t>
            </w:r>
          </w:p>
        </w:tc>
      </w:tr>
      <w:tr w14:paraId="3EFD5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95" w:type="dxa"/>
            <w:noWrap w:val="0"/>
            <w:vAlign w:val="center"/>
          </w:tcPr>
          <w:p w14:paraId="1A0F9E8D">
            <w:pPr>
              <w:keepNext w:val="0"/>
              <w:keepLines w:val="0"/>
              <w:suppressLineNumbers w:val="0"/>
              <w:spacing w:before="0" w:beforeAutospacing="0" w:after="0" w:afterAutospacing="0" w:line="300" w:lineRule="exact"/>
              <w:ind w:left="0" w:right="0" w:firstLine="28"/>
              <w:jc w:val="center"/>
              <w:rPr>
                <w:rFonts w:hint="eastAsia" w:ascii="宋体" w:hAnsi="宋体" w:eastAsia="宋体"/>
                <w:szCs w:val="21"/>
                <w:highlight w:val="none"/>
                <w:lang w:eastAsia="zh-CN"/>
              </w:rPr>
            </w:pPr>
            <w:r>
              <w:rPr>
                <w:rFonts w:hint="eastAsia" w:ascii="宋体" w:hAnsi="宋体"/>
                <w:szCs w:val="21"/>
                <w:highlight w:val="none"/>
                <w:lang w:val="en-US" w:eastAsia="zh-CN"/>
              </w:rPr>
              <w:t>1</w:t>
            </w:r>
          </w:p>
        </w:tc>
        <w:tc>
          <w:tcPr>
            <w:tcW w:w="1272" w:type="dxa"/>
            <w:noWrap w:val="0"/>
            <w:vAlign w:val="center"/>
          </w:tcPr>
          <w:p w14:paraId="4B2EAB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投标人业绩</w:t>
            </w:r>
          </w:p>
        </w:tc>
        <w:tc>
          <w:tcPr>
            <w:tcW w:w="768" w:type="dxa"/>
            <w:noWrap w:val="0"/>
            <w:vAlign w:val="center"/>
          </w:tcPr>
          <w:p w14:paraId="3201F7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eastAsia" w:ascii="宋体" w:hAnsi="宋体" w:eastAsia="宋体" w:cs="宋体"/>
                <w:szCs w:val="21"/>
                <w:highlight w:val="none"/>
              </w:rPr>
            </w:pPr>
            <w:r>
              <w:rPr>
                <w:rFonts w:hint="eastAsia" w:ascii="宋体" w:hAnsi="宋体" w:eastAsia="宋体" w:cs="宋体"/>
                <w:color w:val="auto"/>
                <w:sz w:val="21"/>
                <w:szCs w:val="21"/>
                <w:highlight w:val="none"/>
                <w:lang w:val="en-US" w:eastAsia="zh-CN"/>
              </w:rPr>
              <w:t>5分</w:t>
            </w:r>
          </w:p>
        </w:tc>
        <w:tc>
          <w:tcPr>
            <w:tcW w:w="4886" w:type="dxa"/>
            <w:noWrap w:val="0"/>
            <w:vAlign w:val="center"/>
          </w:tcPr>
          <w:p w14:paraId="7AB65D1C">
            <w:pPr>
              <w:keepNext w:val="0"/>
              <w:keepLines w:val="0"/>
              <w:suppressLineNumbers w:val="0"/>
              <w:spacing w:before="0" w:beforeAutospacing="0" w:after="0" w:afterAutospacing="0"/>
              <w:ind w:left="0" w:right="0"/>
              <w:rPr>
                <w:rFonts w:hint="eastAsia" w:ascii="宋体" w:hAnsi="宋体" w:eastAsia="宋体" w:cs="宋体"/>
                <w:szCs w:val="21"/>
                <w:highlight w:val="none"/>
              </w:rPr>
            </w:pPr>
            <w:r>
              <w:rPr>
                <w:rFonts w:hint="eastAsia" w:ascii="宋体" w:hAnsi="宋体" w:eastAsia="宋体" w:cs="宋体"/>
                <w:szCs w:val="21"/>
                <w:highlight w:val="none"/>
              </w:rPr>
              <w:t>自20</w:t>
            </w:r>
            <w:r>
              <w:rPr>
                <w:rFonts w:hint="eastAsia" w:ascii="宋体" w:hAnsi="宋体" w:cs="宋体"/>
                <w:szCs w:val="21"/>
                <w:highlight w:val="none"/>
                <w:lang w:val="en-US" w:eastAsia="zh-CN"/>
              </w:rPr>
              <w:t>23</w:t>
            </w:r>
            <w:r>
              <w:rPr>
                <w:rFonts w:hint="eastAsia" w:ascii="宋体" w:hAnsi="宋体" w:eastAsia="宋体" w:cs="宋体"/>
                <w:szCs w:val="21"/>
                <w:highlight w:val="none"/>
              </w:rPr>
              <w:t>年1月1日至投标截止时间（以合同签订时间为准）</w:t>
            </w:r>
            <w:r>
              <w:rPr>
                <w:rFonts w:hint="eastAsia" w:ascii="宋体" w:hAnsi="宋体" w:eastAsia="宋体" w:cs="宋体"/>
                <w:szCs w:val="21"/>
                <w:highlight w:val="none"/>
                <w:lang w:eastAsia="zh-CN"/>
              </w:rPr>
              <w:t>，</w:t>
            </w:r>
            <w:r>
              <w:rPr>
                <w:rFonts w:hint="eastAsia" w:ascii="宋体" w:hAnsi="宋体" w:eastAsia="宋体" w:cs="宋体"/>
                <w:szCs w:val="21"/>
                <w:highlight w:val="none"/>
              </w:rPr>
              <w:t>投标人提供一个</w:t>
            </w:r>
            <w:r>
              <w:rPr>
                <w:rFonts w:hint="eastAsia" w:ascii="宋体" w:hAnsi="宋体" w:eastAsia="宋体" w:cs="宋体"/>
                <w:color w:val="000000"/>
                <w:kern w:val="0"/>
                <w:sz w:val="21"/>
                <w:szCs w:val="21"/>
                <w:highlight w:val="none"/>
                <w:lang w:val="en-US" w:eastAsia="zh-CN" w:bidi="ar"/>
              </w:rPr>
              <w:t>视频监控改造</w:t>
            </w:r>
            <w:r>
              <w:rPr>
                <w:rFonts w:hint="eastAsia" w:ascii="宋体" w:hAnsi="宋体" w:eastAsia="宋体" w:cs="Arial"/>
                <w:spacing w:val="-4"/>
                <w:kern w:val="0"/>
                <w:sz w:val="21"/>
                <w:szCs w:val="21"/>
                <w:highlight w:val="none"/>
              </w:rPr>
              <w:t>业绩</w:t>
            </w:r>
            <w:r>
              <w:rPr>
                <w:rFonts w:hint="eastAsia" w:ascii="宋体" w:hAnsi="宋体" w:eastAsia="宋体" w:cs="Arial"/>
                <w:spacing w:val="-4"/>
                <w:kern w:val="0"/>
                <w:sz w:val="21"/>
                <w:szCs w:val="21"/>
                <w:highlight w:val="none"/>
                <w:lang w:val="en-US" w:eastAsia="zh-CN"/>
              </w:rPr>
              <w:t>的</w:t>
            </w:r>
            <w:r>
              <w:rPr>
                <w:rFonts w:hint="eastAsia" w:ascii="宋体" w:hAnsi="宋体" w:eastAsia="宋体" w:cs="宋体"/>
                <w:szCs w:val="21"/>
                <w:highlight w:val="none"/>
              </w:rPr>
              <w:t>得</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分，</w:t>
            </w:r>
            <w:r>
              <w:rPr>
                <w:rFonts w:hint="eastAsia" w:ascii="宋体" w:hAnsi="宋体" w:eastAsia="宋体" w:cs="宋体"/>
                <w:szCs w:val="21"/>
                <w:highlight w:val="none"/>
                <w:lang w:val="en-US" w:eastAsia="zh-CN"/>
              </w:rPr>
              <w:t>其他的不得分，</w:t>
            </w:r>
            <w:r>
              <w:rPr>
                <w:rFonts w:hint="eastAsia" w:ascii="宋体" w:hAnsi="宋体" w:eastAsia="宋体" w:cs="宋体"/>
                <w:szCs w:val="21"/>
                <w:highlight w:val="none"/>
              </w:rPr>
              <w:t>本条满分</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分。</w:t>
            </w:r>
          </w:p>
          <w:p w14:paraId="6E5A9091">
            <w:pPr>
              <w:keepNext w:val="0"/>
              <w:keepLines w:val="0"/>
              <w:suppressLineNumbers w:val="0"/>
              <w:spacing w:before="0" w:beforeAutospacing="0" w:after="0" w:afterAutospacing="0"/>
              <w:ind w:left="0" w:right="0"/>
              <w:rPr>
                <w:rFonts w:hint="eastAsia" w:ascii="宋体" w:hAnsi="宋体" w:cs="宋体"/>
                <w:szCs w:val="21"/>
                <w:highlight w:val="none"/>
                <w:lang w:val="zh-CN"/>
              </w:rPr>
            </w:pPr>
            <w:r>
              <w:rPr>
                <w:rFonts w:hint="eastAsia" w:ascii="宋体" w:hAnsi="宋体" w:cs="宋体"/>
                <w:szCs w:val="21"/>
                <w:highlight w:val="none"/>
              </w:rPr>
              <w:t>注</w:t>
            </w:r>
            <w:r>
              <w:rPr>
                <w:rFonts w:hint="eastAsia" w:ascii="宋体" w:hAnsi="宋体" w:cs="宋体"/>
                <w:szCs w:val="21"/>
                <w:highlight w:val="none"/>
                <w:lang w:val="zh-CN"/>
              </w:rPr>
              <w:t>：</w:t>
            </w:r>
            <w:r>
              <w:rPr>
                <w:rFonts w:hint="eastAsia" w:ascii="宋体" w:hAnsi="宋体" w:eastAsia="宋体" w:cs="宋体"/>
                <w:szCs w:val="21"/>
                <w:highlight w:val="none"/>
                <w:lang w:val="zh-CN"/>
              </w:rPr>
              <w:t>①</w:t>
            </w:r>
            <w:r>
              <w:rPr>
                <w:rFonts w:hint="eastAsia" w:ascii="宋体" w:hAnsi="宋体" w:eastAsia="宋体" w:cs="宋体"/>
                <w:szCs w:val="21"/>
                <w:highlight w:val="none"/>
                <w:lang w:val="en-US" w:eastAsia="zh-CN"/>
              </w:rPr>
              <w:t>投标人业绩和拟派项目负责人业绩相同的，仅计分一次，不重复计分。</w:t>
            </w:r>
          </w:p>
          <w:p w14:paraId="451A1654">
            <w:pPr>
              <w:keepNext w:val="0"/>
              <w:keepLines w:val="0"/>
              <w:suppressLineNumbers w:val="0"/>
              <w:spacing w:before="0" w:beforeAutospacing="0" w:after="0" w:afterAutospacing="0"/>
              <w:ind w:left="0" w:right="0"/>
              <w:rPr>
                <w:rFonts w:hint="eastAsia" w:ascii="宋体" w:hAnsi="宋体" w:eastAsia="宋体" w:cs="宋体"/>
                <w:szCs w:val="21"/>
                <w:highlight w:val="none"/>
              </w:rPr>
            </w:pPr>
            <w:r>
              <w:rPr>
                <w:rFonts w:hint="eastAsia" w:ascii="宋体" w:hAnsi="宋体" w:eastAsia="宋体" w:cs="宋体"/>
                <w:szCs w:val="21"/>
                <w:highlight w:val="none"/>
              </w:rPr>
              <w:t>②</w:t>
            </w:r>
            <w:r>
              <w:rPr>
                <w:rFonts w:hint="eastAsia" w:ascii="宋体" w:hAnsi="宋体" w:cs="宋体"/>
                <w:szCs w:val="21"/>
                <w:highlight w:val="none"/>
              </w:rPr>
              <w:t>投标人投标时只须提供</w:t>
            </w:r>
            <w:r>
              <w:rPr>
                <w:rFonts w:hint="eastAsia" w:ascii="宋体" w:hAnsi="宋体" w:cs="宋体"/>
                <w:szCs w:val="21"/>
                <w:highlight w:val="none"/>
                <w:lang w:val="en-US" w:eastAsia="zh-CN"/>
              </w:rPr>
              <w:t>1</w:t>
            </w:r>
            <w:r>
              <w:rPr>
                <w:rFonts w:hint="eastAsia" w:ascii="宋体" w:hAnsi="宋体" w:cs="宋体"/>
                <w:szCs w:val="21"/>
                <w:highlight w:val="none"/>
              </w:rPr>
              <w:t>个评审业绩，若投标人提供业绩个数超过</w:t>
            </w:r>
            <w:r>
              <w:rPr>
                <w:rFonts w:hint="eastAsia" w:ascii="宋体" w:hAnsi="宋体" w:cs="宋体"/>
                <w:szCs w:val="21"/>
                <w:highlight w:val="none"/>
                <w:lang w:val="en-US" w:eastAsia="zh-CN"/>
              </w:rPr>
              <w:t>1</w:t>
            </w:r>
            <w:r>
              <w:rPr>
                <w:rFonts w:hint="eastAsia" w:ascii="宋体" w:hAnsi="宋体" w:cs="宋体"/>
                <w:szCs w:val="21"/>
                <w:highlight w:val="none"/>
              </w:rPr>
              <w:t>个，则按照排列顺序从首个业绩开始评审至对应数量（</w:t>
            </w:r>
            <w:r>
              <w:rPr>
                <w:rFonts w:hint="eastAsia" w:ascii="宋体" w:hAnsi="宋体" w:cs="宋体"/>
                <w:szCs w:val="21"/>
                <w:highlight w:val="none"/>
                <w:lang w:val="en-US" w:eastAsia="zh-CN"/>
              </w:rPr>
              <w:t>1</w:t>
            </w:r>
            <w:r>
              <w:rPr>
                <w:rFonts w:hint="eastAsia" w:ascii="宋体" w:hAnsi="宋体" w:cs="宋体"/>
                <w:szCs w:val="21"/>
                <w:highlight w:val="none"/>
              </w:rPr>
              <w:t>个），超出部分业绩不进行评审。对应数量（</w:t>
            </w:r>
            <w:r>
              <w:rPr>
                <w:rFonts w:hint="eastAsia" w:ascii="宋体" w:hAnsi="宋体" w:cs="宋体"/>
                <w:szCs w:val="21"/>
                <w:highlight w:val="none"/>
                <w:lang w:val="en-US" w:eastAsia="zh-CN"/>
              </w:rPr>
              <w:t>1</w:t>
            </w:r>
            <w:r>
              <w:rPr>
                <w:rFonts w:hint="eastAsia" w:ascii="宋体" w:hAnsi="宋体" w:cs="宋体"/>
                <w:szCs w:val="21"/>
                <w:highlight w:val="none"/>
              </w:rPr>
              <w:t>个）内业绩不符合招标文件要求不得分的，不再补充评审超出部分业绩。如：提供</w:t>
            </w:r>
            <w:r>
              <w:rPr>
                <w:rFonts w:hint="eastAsia" w:ascii="宋体" w:hAnsi="宋体" w:cs="宋体"/>
                <w:szCs w:val="21"/>
                <w:highlight w:val="none"/>
                <w:lang w:val="en-US" w:eastAsia="zh-CN"/>
              </w:rPr>
              <w:t>1</w:t>
            </w:r>
            <w:r>
              <w:rPr>
                <w:rFonts w:hint="eastAsia" w:ascii="宋体" w:hAnsi="宋体" w:cs="宋体"/>
                <w:szCs w:val="21"/>
                <w:highlight w:val="none"/>
              </w:rPr>
              <w:t>个业绩即得满分的，按照投标文件排序评审第一项业绩，其余超出部分不再评审”。</w:t>
            </w:r>
          </w:p>
        </w:tc>
        <w:tc>
          <w:tcPr>
            <w:tcW w:w="2155" w:type="dxa"/>
            <w:noWrap w:val="0"/>
            <w:vAlign w:val="center"/>
          </w:tcPr>
          <w:p w14:paraId="0F4D7577">
            <w:pPr>
              <w:keepNext w:val="0"/>
              <w:keepLines w:val="0"/>
              <w:suppressLineNumbers w:val="0"/>
              <w:spacing w:before="0" w:beforeAutospacing="0" w:after="0" w:afterAutospacing="0"/>
              <w:ind w:left="0" w:leftChars="0" w:right="0" w:rightChars="0"/>
              <w:jc w:val="center"/>
              <w:rPr>
                <w:rFonts w:hint="default"/>
                <w:szCs w:val="21"/>
                <w:highlight w:val="none"/>
              </w:rPr>
            </w:pPr>
            <w:r>
              <w:rPr>
                <w:rFonts w:hint="eastAsia" w:ascii="宋体" w:hAnsi="宋体" w:eastAsia="宋体" w:cs="宋体"/>
                <w:color w:val="auto"/>
                <w:sz w:val="21"/>
                <w:szCs w:val="21"/>
                <w:highlight w:val="none"/>
                <w:lang w:val="en-US" w:eastAsia="zh-CN"/>
              </w:rPr>
              <w:t>投标文件中须提供业绩合同扫描件</w:t>
            </w:r>
            <w:r>
              <w:rPr>
                <w:rFonts w:hint="eastAsia" w:ascii="宋体" w:hAnsi="宋体" w:eastAsia="宋体" w:cs="宋体"/>
                <w:color w:val="000000"/>
                <w:kern w:val="0"/>
                <w:sz w:val="21"/>
                <w:szCs w:val="21"/>
                <w:highlight w:val="none"/>
                <w:lang w:val="en-US" w:eastAsia="zh-CN" w:bidi="ar"/>
              </w:rPr>
              <w:t>或验收证明扫描件</w:t>
            </w:r>
            <w:r>
              <w:rPr>
                <w:rFonts w:hint="eastAsia" w:ascii="Times New Roman" w:hAnsi="Times New Roman" w:eastAsia="宋体" w:cs="Times New Roman"/>
                <w:szCs w:val="21"/>
                <w:highlight w:val="none"/>
                <w:lang w:val="en-US" w:eastAsia="zh-CN"/>
              </w:rPr>
              <w:t>。</w:t>
            </w:r>
            <w:r>
              <w:rPr>
                <w:rFonts w:hint="eastAsia" w:ascii="宋体" w:hAnsi="宋体" w:eastAsia="宋体" w:cs="宋体"/>
                <w:szCs w:val="21"/>
                <w:highlight w:val="none"/>
              </w:rPr>
              <w:t>若</w:t>
            </w:r>
            <w:r>
              <w:rPr>
                <w:rFonts w:hint="eastAsia" w:ascii="宋体" w:hAnsi="宋体" w:eastAsia="宋体" w:cs="宋体"/>
                <w:szCs w:val="21"/>
                <w:highlight w:val="none"/>
                <w:lang w:val="en-US" w:eastAsia="zh-CN"/>
              </w:rPr>
              <w:t>上述证明材料</w:t>
            </w:r>
            <w:r>
              <w:rPr>
                <w:rFonts w:hint="eastAsia" w:ascii="宋体" w:hAnsi="宋体" w:eastAsia="宋体" w:cs="宋体"/>
                <w:szCs w:val="21"/>
                <w:highlight w:val="none"/>
              </w:rPr>
              <w:t>无法体现签订时间、服务内容等关键评审因素的，需另附招标人（合同甲方）证明材料的扫描件。</w:t>
            </w:r>
          </w:p>
        </w:tc>
      </w:tr>
      <w:tr w14:paraId="630B8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95" w:type="dxa"/>
            <w:noWrap w:val="0"/>
            <w:vAlign w:val="center"/>
          </w:tcPr>
          <w:p w14:paraId="54255234">
            <w:pPr>
              <w:keepNext w:val="0"/>
              <w:keepLines w:val="0"/>
              <w:suppressLineNumbers w:val="0"/>
              <w:spacing w:before="0" w:beforeAutospacing="0" w:after="0" w:afterAutospacing="0" w:line="300" w:lineRule="exact"/>
              <w:ind w:left="0" w:right="0" w:firstLine="28"/>
              <w:jc w:val="center"/>
              <w:rPr>
                <w:rFonts w:hint="default" w:ascii="宋体" w:hAnsi="宋体"/>
                <w:szCs w:val="21"/>
                <w:highlight w:val="none"/>
                <w:lang w:val="en-US" w:eastAsia="zh-CN"/>
              </w:rPr>
            </w:pPr>
            <w:r>
              <w:rPr>
                <w:rFonts w:hint="eastAsia" w:ascii="宋体" w:hAnsi="宋体"/>
                <w:szCs w:val="21"/>
                <w:highlight w:val="none"/>
                <w:lang w:val="en-US" w:eastAsia="zh-CN"/>
              </w:rPr>
              <w:t>2</w:t>
            </w:r>
          </w:p>
        </w:tc>
        <w:tc>
          <w:tcPr>
            <w:tcW w:w="1272" w:type="dxa"/>
            <w:noWrap w:val="0"/>
            <w:vAlign w:val="center"/>
          </w:tcPr>
          <w:p w14:paraId="739199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拟派项目负责人业绩</w:t>
            </w:r>
          </w:p>
        </w:tc>
        <w:tc>
          <w:tcPr>
            <w:tcW w:w="768" w:type="dxa"/>
            <w:noWrap w:val="0"/>
            <w:vAlign w:val="center"/>
          </w:tcPr>
          <w:p w14:paraId="3D186D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5分</w:t>
            </w:r>
          </w:p>
        </w:tc>
        <w:tc>
          <w:tcPr>
            <w:tcW w:w="4886" w:type="dxa"/>
            <w:noWrap w:val="0"/>
            <w:vAlign w:val="center"/>
          </w:tcPr>
          <w:p w14:paraId="7E81BD4A">
            <w:pPr>
              <w:keepNext w:val="0"/>
              <w:keepLines w:val="0"/>
              <w:suppressLineNumbers w:val="0"/>
              <w:spacing w:before="0" w:beforeAutospacing="0" w:after="0" w:afterAutospacing="0"/>
              <w:ind w:left="0" w:right="0"/>
              <w:rPr>
                <w:rFonts w:hint="eastAsia" w:ascii="宋体" w:hAnsi="宋体" w:eastAsia="宋体" w:cs="宋体"/>
                <w:szCs w:val="21"/>
                <w:highlight w:val="none"/>
              </w:rPr>
            </w:pPr>
            <w:r>
              <w:rPr>
                <w:rFonts w:hint="eastAsia" w:ascii="宋体" w:hAnsi="宋体" w:eastAsia="宋体" w:cs="宋体"/>
                <w:szCs w:val="21"/>
                <w:highlight w:val="none"/>
              </w:rPr>
              <w:t>投标人</w:t>
            </w:r>
            <w:r>
              <w:rPr>
                <w:rFonts w:hint="eastAsia" w:ascii="宋体" w:hAnsi="宋体" w:eastAsia="宋体" w:cs="宋体"/>
                <w:szCs w:val="21"/>
                <w:highlight w:val="none"/>
                <w:lang w:val="en-US" w:eastAsia="zh-CN"/>
              </w:rPr>
              <w:t>拟派项目负责人</w:t>
            </w:r>
            <w:r>
              <w:rPr>
                <w:rFonts w:hint="eastAsia" w:ascii="宋体" w:hAnsi="宋体" w:eastAsia="宋体" w:cs="宋体"/>
                <w:szCs w:val="21"/>
                <w:highlight w:val="none"/>
              </w:rPr>
              <w:t>每提供一个</w:t>
            </w:r>
            <w:r>
              <w:rPr>
                <w:rFonts w:hint="eastAsia" w:ascii="宋体" w:hAnsi="宋体" w:eastAsia="宋体" w:cs="宋体"/>
                <w:color w:val="000000"/>
                <w:kern w:val="0"/>
                <w:sz w:val="21"/>
                <w:szCs w:val="21"/>
                <w:highlight w:val="none"/>
                <w:lang w:val="en-US" w:eastAsia="zh-CN" w:bidi="ar"/>
              </w:rPr>
              <w:t>视频监控改造</w:t>
            </w:r>
            <w:r>
              <w:rPr>
                <w:rFonts w:hint="eastAsia" w:ascii="宋体" w:hAnsi="宋体" w:eastAsia="宋体" w:cs="Arial"/>
                <w:spacing w:val="-4"/>
                <w:kern w:val="0"/>
                <w:sz w:val="21"/>
                <w:szCs w:val="21"/>
                <w:highlight w:val="none"/>
              </w:rPr>
              <w:t>业</w:t>
            </w:r>
            <w:r>
              <w:rPr>
                <w:rFonts w:hint="eastAsia" w:ascii="宋体" w:hAnsi="宋体" w:eastAsia="宋体" w:cs="宋体"/>
                <w:szCs w:val="21"/>
                <w:highlight w:val="none"/>
              </w:rPr>
              <w:t>绩</w:t>
            </w:r>
            <w:r>
              <w:rPr>
                <w:rFonts w:hint="eastAsia" w:ascii="宋体" w:hAnsi="宋体" w:eastAsia="宋体" w:cs="宋体"/>
                <w:szCs w:val="21"/>
                <w:highlight w:val="none"/>
                <w:lang w:val="en-US" w:eastAsia="zh-CN"/>
              </w:rPr>
              <w:t>的</w:t>
            </w:r>
            <w:r>
              <w:rPr>
                <w:rFonts w:hint="eastAsia" w:ascii="宋体" w:hAnsi="宋体" w:eastAsia="宋体" w:cs="宋体"/>
                <w:szCs w:val="21"/>
                <w:highlight w:val="none"/>
              </w:rPr>
              <w:t>得</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分，</w:t>
            </w:r>
            <w:r>
              <w:rPr>
                <w:rFonts w:hint="eastAsia" w:ascii="宋体" w:hAnsi="宋体" w:eastAsia="宋体" w:cs="宋体"/>
                <w:szCs w:val="21"/>
                <w:highlight w:val="none"/>
                <w:lang w:val="en-US" w:eastAsia="zh-CN"/>
              </w:rPr>
              <w:t>其他的不得分，</w:t>
            </w:r>
            <w:r>
              <w:rPr>
                <w:rFonts w:hint="eastAsia" w:ascii="宋体" w:hAnsi="宋体" w:eastAsia="宋体" w:cs="宋体"/>
                <w:szCs w:val="21"/>
                <w:highlight w:val="none"/>
              </w:rPr>
              <w:t>本条满分</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分。</w:t>
            </w:r>
          </w:p>
          <w:p w14:paraId="1C1B0250">
            <w:pPr>
              <w:keepNext w:val="0"/>
              <w:keepLines w:val="0"/>
              <w:suppressLineNumbers w:val="0"/>
              <w:spacing w:before="0" w:beforeAutospacing="0" w:after="0" w:afterAutospacing="0"/>
              <w:ind w:left="0" w:right="0"/>
              <w:rPr>
                <w:rFonts w:hint="eastAsia" w:ascii="宋体" w:hAnsi="宋体" w:eastAsia="宋体" w:cs="宋体"/>
                <w:szCs w:val="21"/>
                <w:highlight w:val="none"/>
                <w:lang w:val="en-US" w:eastAsia="zh-CN"/>
              </w:rPr>
            </w:pPr>
            <w:r>
              <w:rPr>
                <w:rFonts w:hint="eastAsia" w:ascii="宋体" w:hAnsi="宋体" w:eastAsia="宋体" w:cs="宋体"/>
                <w:szCs w:val="21"/>
                <w:highlight w:val="none"/>
              </w:rPr>
              <w:t>注</w:t>
            </w:r>
            <w:r>
              <w:rPr>
                <w:rFonts w:hint="eastAsia" w:ascii="宋体" w:hAnsi="宋体" w:eastAsia="宋体" w:cs="宋体"/>
                <w:szCs w:val="21"/>
                <w:highlight w:val="none"/>
                <w:lang w:val="zh-CN"/>
              </w:rPr>
              <w:t>：①</w:t>
            </w:r>
            <w:r>
              <w:rPr>
                <w:rFonts w:hint="eastAsia" w:ascii="宋体" w:hAnsi="宋体" w:eastAsia="宋体" w:cs="宋体"/>
                <w:szCs w:val="21"/>
                <w:highlight w:val="none"/>
                <w:lang w:val="en-US" w:eastAsia="zh-CN"/>
              </w:rPr>
              <w:t xml:space="preserve">投标人业绩和拟派项目负责人业绩相同的，仅计分一次，不重复计分。 </w:t>
            </w:r>
          </w:p>
          <w:p w14:paraId="7C6F2085">
            <w:pPr>
              <w:keepNext w:val="0"/>
              <w:keepLines w:val="0"/>
              <w:suppressLineNumbers w:val="0"/>
              <w:spacing w:before="0" w:beforeAutospacing="0" w:after="0" w:afterAutospacing="0"/>
              <w:ind w:left="0" w:right="0"/>
              <w:rPr>
                <w:rFonts w:hint="default" w:ascii="宋体" w:hAnsi="宋体" w:eastAsia="宋体" w:cs="宋体"/>
                <w:szCs w:val="21"/>
                <w:highlight w:val="none"/>
                <w:lang w:val="en-US" w:eastAsia="zh-CN"/>
              </w:rPr>
            </w:pPr>
            <w:r>
              <w:rPr>
                <w:rFonts w:hint="eastAsia" w:ascii="宋体" w:hAnsi="宋体" w:eastAsia="宋体" w:cs="宋体"/>
                <w:szCs w:val="21"/>
                <w:highlight w:val="none"/>
              </w:rPr>
              <w:t>②</w:t>
            </w:r>
            <w:r>
              <w:rPr>
                <w:rFonts w:hint="eastAsia" w:ascii="宋体" w:hAnsi="宋体" w:eastAsia="宋体" w:cs="宋体"/>
                <w:szCs w:val="21"/>
                <w:highlight w:val="none"/>
                <w:lang w:val="en-US" w:eastAsia="zh-CN"/>
              </w:rPr>
              <w:t>拟派项目负责人业绩须在投标单位以项目负责人身份参与的业绩，在其他单位或以其他身份参与的业绩不予以评分。</w:t>
            </w:r>
          </w:p>
          <w:p w14:paraId="1DB2C33B">
            <w:pPr>
              <w:keepNext w:val="0"/>
              <w:keepLines w:val="0"/>
              <w:suppressLineNumbers w:val="0"/>
              <w:spacing w:before="0" w:beforeAutospacing="0" w:after="0" w:afterAutospacing="0"/>
              <w:ind w:left="0" w:leftChars="0" w:right="0" w:rightChars="0"/>
              <w:rPr>
                <w:rFonts w:hint="eastAsia" w:ascii="宋体" w:hAnsi="宋体" w:cs="宋体"/>
                <w:szCs w:val="21"/>
                <w:highlight w:val="none"/>
              </w:rPr>
            </w:pPr>
            <w:r>
              <w:rPr>
                <w:rFonts w:hint="eastAsia" w:ascii="宋体" w:hAnsi="宋体" w:eastAsia="宋体" w:cs="宋体"/>
                <w:szCs w:val="21"/>
                <w:highlight w:val="none"/>
              </w:rPr>
              <w:t>③</w:t>
            </w:r>
            <w:r>
              <w:rPr>
                <w:rFonts w:hint="eastAsia" w:ascii="宋体" w:hAnsi="宋体" w:cs="宋体"/>
                <w:szCs w:val="21"/>
                <w:highlight w:val="none"/>
              </w:rPr>
              <w:t>投标人投标时只须提供</w:t>
            </w:r>
            <w:r>
              <w:rPr>
                <w:rFonts w:hint="eastAsia" w:ascii="宋体" w:hAnsi="宋体" w:cs="宋体"/>
                <w:szCs w:val="21"/>
                <w:highlight w:val="none"/>
                <w:lang w:val="en-US" w:eastAsia="zh-CN"/>
              </w:rPr>
              <w:t>1</w:t>
            </w:r>
            <w:r>
              <w:rPr>
                <w:rFonts w:hint="eastAsia" w:ascii="宋体" w:hAnsi="宋体" w:cs="宋体"/>
                <w:szCs w:val="21"/>
                <w:highlight w:val="none"/>
              </w:rPr>
              <w:t>个评审业绩，若投标人提供业绩个数超过</w:t>
            </w:r>
            <w:r>
              <w:rPr>
                <w:rFonts w:hint="eastAsia" w:ascii="宋体" w:hAnsi="宋体" w:cs="宋体"/>
                <w:szCs w:val="21"/>
                <w:highlight w:val="none"/>
                <w:lang w:val="en-US" w:eastAsia="zh-CN"/>
              </w:rPr>
              <w:t>1</w:t>
            </w:r>
            <w:r>
              <w:rPr>
                <w:rFonts w:hint="eastAsia" w:ascii="宋体" w:hAnsi="宋体" w:cs="宋体"/>
                <w:szCs w:val="21"/>
                <w:highlight w:val="none"/>
              </w:rPr>
              <w:t>个，则按照排列顺序从首个业绩开始评审至对应数量（</w:t>
            </w:r>
            <w:r>
              <w:rPr>
                <w:rFonts w:hint="eastAsia" w:ascii="宋体" w:hAnsi="宋体" w:cs="宋体"/>
                <w:szCs w:val="21"/>
                <w:highlight w:val="none"/>
                <w:lang w:val="en-US" w:eastAsia="zh-CN"/>
              </w:rPr>
              <w:t>1</w:t>
            </w:r>
            <w:r>
              <w:rPr>
                <w:rFonts w:hint="eastAsia" w:ascii="宋体" w:hAnsi="宋体" w:cs="宋体"/>
                <w:szCs w:val="21"/>
                <w:highlight w:val="none"/>
              </w:rPr>
              <w:t>个），超出部分业绩不进行评审。对应数量（</w:t>
            </w:r>
            <w:r>
              <w:rPr>
                <w:rFonts w:hint="eastAsia" w:ascii="宋体" w:hAnsi="宋体" w:cs="宋体"/>
                <w:szCs w:val="21"/>
                <w:highlight w:val="none"/>
                <w:lang w:val="en-US" w:eastAsia="zh-CN"/>
              </w:rPr>
              <w:t>1</w:t>
            </w:r>
            <w:r>
              <w:rPr>
                <w:rFonts w:hint="eastAsia" w:ascii="宋体" w:hAnsi="宋体" w:cs="宋体"/>
                <w:szCs w:val="21"/>
                <w:highlight w:val="none"/>
              </w:rPr>
              <w:t>个）内业绩不符合招标文件要求不得分的，不再补充评审超出部分业绩。如：提供</w:t>
            </w:r>
            <w:r>
              <w:rPr>
                <w:rFonts w:hint="eastAsia" w:ascii="宋体" w:hAnsi="宋体" w:cs="宋体"/>
                <w:szCs w:val="21"/>
                <w:highlight w:val="none"/>
                <w:lang w:val="en-US" w:eastAsia="zh-CN"/>
              </w:rPr>
              <w:t>1</w:t>
            </w:r>
            <w:r>
              <w:rPr>
                <w:rFonts w:hint="eastAsia" w:ascii="宋体" w:hAnsi="宋体" w:cs="宋体"/>
                <w:szCs w:val="21"/>
                <w:highlight w:val="none"/>
              </w:rPr>
              <w:t>个业绩即得满分的，按照投标文件排序评审第一项业绩，其余超出部分不再评审”。</w:t>
            </w:r>
          </w:p>
        </w:tc>
        <w:tc>
          <w:tcPr>
            <w:tcW w:w="2155" w:type="dxa"/>
            <w:noWrap w:val="0"/>
            <w:vAlign w:val="center"/>
          </w:tcPr>
          <w:p w14:paraId="079F56A4">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投标文件中须提供业绩合同扫描件</w:t>
            </w:r>
            <w:r>
              <w:rPr>
                <w:rFonts w:hint="eastAsia" w:ascii="宋体" w:hAnsi="宋体" w:eastAsia="宋体" w:cs="宋体"/>
                <w:color w:val="000000"/>
                <w:kern w:val="0"/>
                <w:sz w:val="21"/>
                <w:szCs w:val="21"/>
                <w:highlight w:val="none"/>
                <w:lang w:val="en-US" w:eastAsia="zh-CN" w:bidi="ar"/>
              </w:rPr>
              <w:t>或验收证明扫描件</w:t>
            </w:r>
            <w:r>
              <w:rPr>
                <w:rFonts w:hint="eastAsia" w:ascii="Times New Roman" w:hAnsi="Times New Roman" w:eastAsia="宋体" w:cs="Times New Roman"/>
                <w:szCs w:val="21"/>
                <w:highlight w:val="none"/>
                <w:lang w:val="en-US" w:eastAsia="zh-CN"/>
              </w:rPr>
              <w:t>。</w:t>
            </w:r>
            <w:r>
              <w:rPr>
                <w:rFonts w:hint="eastAsia" w:ascii="宋体" w:hAnsi="宋体" w:eastAsia="宋体" w:cs="宋体"/>
                <w:szCs w:val="21"/>
                <w:highlight w:val="none"/>
              </w:rPr>
              <w:t>若</w:t>
            </w:r>
            <w:r>
              <w:rPr>
                <w:rFonts w:hint="eastAsia" w:ascii="宋体" w:hAnsi="宋体" w:eastAsia="宋体" w:cs="宋体"/>
                <w:szCs w:val="21"/>
                <w:highlight w:val="none"/>
                <w:lang w:val="en-US" w:eastAsia="zh-CN"/>
              </w:rPr>
              <w:t>上述证明材料</w:t>
            </w:r>
            <w:r>
              <w:rPr>
                <w:rFonts w:hint="eastAsia" w:ascii="宋体" w:hAnsi="宋体" w:eastAsia="宋体" w:cs="宋体"/>
                <w:szCs w:val="21"/>
                <w:highlight w:val="none"/>
              </w:rPr>
              <w:t>无法体现签订时间、服务内容</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项目负责人姓名</w:t>
            </w:r>
            <w:r>
              <w:rPr>
                <w:rFonts w:hint="eastAsia" w:ascii="宋体" w:hAnsi="宋体" w:eastAsia="宋体" w:cs="宋体"/>
                <w:szCs w:val="21"/>
                <w:highlight w:val="none"/>
              </w:rPr>
              <w:t>等关键评审因素的，需另附招标人（合同甲方）证明材料的扫描件。</w:t>
            </w:r>
          </w:p>
        </w:tc>
      </w:tr>
      <w:tr w14:paraId="3ECD3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95" w:type="dxa"/>
            <w:noWrap w:val="0"/>
            <w:vAlign w:val="center"/>
          </w:tcPr>
          <w:p w14:paraId="4909001B">
            <w:pPr>
              <w:keepNext w:val="0"/>
              <w:keepLines w:val="0"/>
              <w:suppressLineNumbers w:val="0"/>
              <w:spacing w:before="0" w:beforeAutospacing="0" w:after="0" w:afterAutospacing="0" w:line="300" w:lineRule="exact"/>
              <w:ind w:left="0" w:right="0" w:firstLine="28"/>
              <w:jc w:val="center"/>
              <w:rPr>
                <w:rFonts w:hint="default" w:ascii="宋体" w:hAnsi="宋体"/>
                <w:szCs w:val="21"/>
                <w:highlight w:val="none"/>
                <w:lang w:val="en-US" w:eastAsia="zh-CN"/>
              </w:rPr>
            </w:pPr>
            <w:r>
              <w:rPr>
                <w:rFonts w:hint="eastAsia" w:ascii="宋体" w:hAnsi="宋体"/>
                <w:szCs w:val="21"/>
                <w:highlight w:val="none"/>
                <w:lang w:val="en-US" w:eastAsia="zh-CN"/>
              </w:rPr>
              <w:t>3</w:t>
            </w:r>
          </w:p>
        </w:tc>
        <w:tc>
          <w:tcPr>
            <w:tcW w:w="1272" w:type="dxa"/>
            <w:noWrap w:val="0"/>
            <w:vAlign w:val="center"/>
          </w:tcPr>
          <w:p w14:paraId="16831F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人员配备</w:t>
            </w:r>
          </w:p>
        </w:tc>
        <w:tc>
          <w:tcPr>
            <w:tcW w:w="768" w:type="dxa"/>
            <w:noWrap w:val="0"/>
            <w:vAlign w:val="center"/>
          </w:tcPr>
          <w:p w14:paraId="15E24A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szCs w:val="21"/>
                <w:highlight w:val="none"/>
                <w:lang w:val="en-US" w:eastAsia="zh-CN"/>
              </w:rPr>
              <w:t>4分</w:t>
            </w:r>
          </w:p>
        </w:tc>
        <w:tc>
          <w:tcPr>
            <w:tcW w:w="4886" w:type="dxa"/>
            <w:noWrap w:val="0"/>
            <w:vAlign w:val="center"/>
          </w:tcPr>
          <w:p w14:paraId="269EA496">
            <w:pPr>
              <w:keepNext w:val="0"/>
              <w:keepLines w:val="0"/>
              <w:suppressLineNumbers w:val="0"/>
              <w:spacing w:before="0" w:beforeAutospacing="0" w:after="0" w:afterAutospacing="0"/>
              <w:ind w:left="0" w:right="0"/>
              <w:rPr>
                <w:rFonts w:hint="eastAsia" w:ascii="宋体" w:hAnsi="宋体" w:cs="宋体"/>
                <w:szCs w:val="21"/>
                <w:highlight w:val="none"/>
              </w:rPr>
            </w:pPr>
            <w:r>
              <w:rPr>
                <w:rFonts w:hint="eastAsia" w:ascii="宋体" w:hAnsi="宋体" w:eastAsia="宋体" w:cs="宋体"/>
                <w:szCs w:val="21"/>
                <w:highlight w:val="none"/>
                <w:lang w:val="en-US" w:eastAsia="zh-CN"/>
              </w:rPr>
              <w:t>投标人拟派项目负责人具有</w:t>
            </w:r>
            <w:r>
              <w:rPr>
                <w:rFonts w:hint="eastAsia" w:ascii="宋体" w:hAnsi="宋体" w:eastAsia="宋体" w:cs="宋体"/>
                <w:color w:val="000000"/>
                <w:kern w:val="0"/>
                <w:sz w:val="21"/>
                <w:szCs w:val="21"/>
                <w:highlight w:val="none"/>
                <w:lang w:val="en-US" w:eastAsia="zh-CN" w:bidi="ar"/>
              </w:rPr>
              <w:t>通信（或信号或电子信息或自动化或计算机或机电类等相关专业的高级</w:t>
            </w:r>
            <w:r>
              <w:rPr>
                <w:rFonts w:hint="eastAsia" w:ascii="宋体" w:hAnsi="宋体" w:eastAsia="宋体" w:cs="宋体"/>
                <w:szCs w:val="21"/>
                <w:highlight w:val="none"/>
                <w:lang w:val="en-US" w:eastAsia="zh-CN"/>
              </w:rPr>
              <w:t>职称的得4分；其他的不得分，本条满分4分。</w:t>
            </w:r>
          </w:p>
        </w:tc>
        <w:tc>
          <w:tcPr>
            <w:tcW w:w="2155" w:type="dxa"/>
            <w:noWrap w:val="0"/>
            <w:vAlign w:val="center"/>
          </w:tcPr>
          <w:p w14:paraId="1EB2FBA4">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eastAsia" w:ascii="宋体" w:hAnsi="宋体" w:eastAsia="宋体" w:cs="宋体"/>
                <w:szCs w:val="21"/>
                <w:highlight w:val="none"/>
                <w:lang w:eastAsia="zh-CN"/>
              </w:rPr>
            </w:pPr>
            <w:r>
              <w:rPr>
                <w:rFonts w:hint="eastAsia" w:ascii="Times New Roman" w:hAnsi="Times New Roman" w:eastAsia="宋体" w:cs="Times New Roman"/>
                <w:szCs w:val="21"/>
                <w:highlight w:val="none"/>
                <w:lang w:val="en-US" w:eastAsia="zh-CN"/>
              </w:rPr>
              <w:t>投标文件中提供有效的</w:t>
            </w:r>
            <w:r>
              <w:rPr>
                <w:rFonts w:hint="eastAsia" w:cs="Times New Roman"/>
                <w:szCs w:val="21"/>
                <w:highlight w:val="none"/>
                <w:lang w:val="en-US" w:eastAsia="zh-CN"/>
              </w:rPr>
              <w:t>证书扫描件</w:t>
            </w:r>
          </w:p>
        </w:tc>
      </w:tr>
      <w:tr w14:paraId="1F1F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95" w:type="dxa"/>
            <w:noWrap w:val="0"/>
            <w:vAlign w:val="center"/>
          </w:tcPr>
          <w:p w14:paraId="431751E3">
            <w:pPr>
              <w:keepNext w:val="0"/>
              <w:keepLines w:val="0"/>
              <w:suppressLineNumbers w:val="0"/>
              <w:spacing w:before="0" w:beforeAutospacing="0" w:after="0" w:afterAutospacing="0" w:line="300" w:lineRule="exact"/>
              <w:ind w:left="0" w:right="0" w:firstLine="28"/>
              <w:jc w:val="center"/>
              <w:rPr>
                <w:rFonts w:hint="default" w:ascii="宋体" w:hAnsi="宋体"/>
                <w:szCs w:val="21"/>
                <w:highlight w:val="none"/>
                <w:lang w:val="en-US" w:eastAsia="zh-CN"/>
              </w:rPr>
            </w:pPr>
            <w:r>
              <w:rPr>
                <w:rFonts w:hint="eastAsia" w:ascii="宋体" w:hAnsi="宋体"/>
                <w:szCs w:val="21"/>
                <w:highlight w:val="none"/>
                <w:lang w:val="en-US" w:eastAsia="zh-CN"/>
              </w:rPr>
              <w:t>4</w:t>
            </w:r>
          </w:p>
        </w:tc>
        <w:tc>
          <w:tcPr>
            <w:tcW w:w="1272" w:type="dxa"/>
            <w:noWrap w:val="0"/>
            <w:vAlign w:val="center"/>
          </w:tcPr>
          <w:p w14:paraId="38D9E3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cs="宋体"/>
                <w:szCs w:val="21"/>
                <w:highlight w:val="none"/>
                <w:lang w:val="en-US" w:eastAsia="zh-CN"/>
              </w:rPr>
            </w:pPr>
            <w:r>
              <w:rPr>
                <w:rFonts w:hint="eastAsia" w:ascii="宋体" w:hAnsi="宋体" w:eastAsia="宋体" w:cs="宋体"/>
                <w:szCs w:val="21"/>
                <w:highlight w:val="none"/>
                <w:lang w:val="en-US" w:eastAsia="zh-CN"/>
              </w:rPr>
              <w:t>认证体系</w:t>
            </w:r>
          </w:p>
        </w:tc>
        <w:tc>
          <w:tcPr>
            <w:tcW w:w="768" w:type="dxa"/>
            <w:noWrap w:val="0"/>
            <w:vAlign w:val="center"/>
          </w:tcPr>
          <w:p w14:paraId="3845DC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cs="宋体"/>
                <w:szCs w:val="21"/>
                <w:highlight w:val="none"/>
                <w:lang w:val="en-US" w:eastAsia="zh-CN"/>
              </w:rPr>
            </w:pPr>
            <w:r>
              <w:rPr>
                <w:rFonts w:hint="eastAsia" w:ascii="宋体" w:hAnsi="宋体" w:cs="宋体"/>
                <w:szCs w:val="21"/>
                <w:highlight w:val="none"/>
                <w:lang w:val="en-US" w:eastAsia="zh-CN"/>
              </w:rPr>
              <w:t>6</w:t>
            </w:r>
            <w:r>
              <w:rPr>
                <w:rFonts w:hint="eastAsia" w:ascii="宋体" w:hAnsi="宋体" w:eastAsia="宋体" w:cs="宋体"/>
                <w:szCs w:val="21"/>
                <w:highlight w:val="none"/>
                <w:lang w:val="en-US" w:eastAsia="zh-CN"/>
              </w:rPr>
              <w:t>分</w:t>
            </w:r>
          </w:p>
        </w:tc>
        <w:tc>
          <w:tcPr>
            <w:tcW w:w="4886" w:type="dxa"/>
            <w:noWrap w:val="0"/>
            <w:vAlign w:val="center"/>
          </w:tcPr>
          <w:p w14:paraId="3EEB84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投标人具有经中国国家认证认可监督管理委员会认证机构颁发的有效的下列证书：</w:t>
            </w:r>
          </w:p>
          <w:p w14:paraId="41930E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（1）具有有效的质量管理体系认证证书；</w:t>
            </w:r>
          </w:p>
          <w:p w14:paraId="752707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（2）具有有效的环境管理体系认证证书；</w:t>
            </w:r>
          </w:p>
          <w:p w14:paraId="5F76FC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（3）有效的职业健康安全管理体系认证证书；</w:t>
            </w:r>
          </w:p>
          <w:p w14:paraId="0CAAB5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hint="eastAsia"/>
                <w:highlight w:val="none"/>
                <w:lang w:val="en-US" w:eastAsia="zh-CN"/>
              </w:rPr>
            </w:pPr>
            <w:r>
              <w:rPr>
                <w:rFonts w:hint="eastAsia" w:ascii="宋体" w:hAnsi="宋体" w:eastAsia="宋体" w:cs="宋体"/>
                <w:szCs w:val="21"/>
                <w:highlight w:val="none"/>
                <w:lang w:val="en-US" w:eastAsia="zh-CN"/>
              </w:rPr>
              <w:t>每提供1个得2分，其他的不得分，本</w:t>
            </w:r>
            <w:r>
              <w:rPr>
                <w:rFonts w:hint="eastAsia" w:ascii="宋体" w:hAnsi="宋体" w:cs="宋体"/>
                <w:szCs w:val="21"/>
                <w:highlight w:val="none"/>
                <w:lang w:val="en-US" w:eastAsia="zh-CN"/>
              </w:rPr>
              <w:t>项</w:t>
            </w:r>
            <w:r>
              <w:rPr>
                <w:rFonts w:hint="eastAsia" w:ascii="宋体" w:hAnsi="宋体" w:eastAsia="宋体" w:cs="宋体"/>
                <w:szCs w:val="21"/>
                <w:highlight w:val="none"/>
                <w:lang w:val="en-US" w:eastAsia="zh-CN"/>
              </w:rPr>
              <w:t>满分6分。</w:t>
            </w:r>
          </w:p>
        </w:tc>
        <w:tc>
          <w:tcPr>
            <w:tcW w:w="2155" w:type="dxa"/>
            <w:noWrap w:val="0"/>
            <w:vAlign w:val="center"/>
          </w:tcPr>
          <w:p w14:paraId="19240FBA">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投标文件中提供有效的证书扫描件以及全国认证认可信息公共服务平台证书信息查询截图。</w:t>
            </w:r>
          </w:p>
        </w:tc>
      </w:tr>
    </w:tbl>
    <w:p w14:paraId="4996C871">
      <w:pPr>
        <w:spacing w:line="440" w:lineRule="exact"/>
        <w:ind w:firstLine="210" w:firstLineChars="100"/>
        <w:jc w:val="left"/>
        <w:rPr>
          <w:rFonts w:ascii="宋体"/>
          <w:b/>
          <w:color w:val="000000"/>
          <w:szCs w:val="21"/>
          <w:highlight w:val="none"/>
        </w:rPr>
      </w:pPr>
      <w:r>
        <w:rPr>
          <w:rFonts w:hint="eastAsia" w:ascii="宋体" w:hAnsi="宋体"/>
          <w:b/>
          <w:szCs w:val="21"/>
          <w:highlight w:val="none"/>
        </w:rPr>
        <w:t>注</w:t>
      </w:r>
      <w:r>
        <w:rPr>
          <w:rFonts w:hint="eastAsia" w:ascii="宋体"/>
          <w:b/>
          <w:color w:val="000000"/>
          <w:szCs w:val="21"/>
          <w:highlight w:val="none"/>
        </w:rPr>
        <w:t>：各评委得分的平均值为投标人资信标得分，分值保留两位小数点。</w:t>
      </w:r>
    </w:p>
    <w:p w14:paraId="7E975075">
      <w:pPr>
        <w:spacing w:line="440" w:lineRule="exact"/>
        <w:ind w:firstLine="210" w:firstLineChars="100"/>
        <w:rPr>
          <w:rFonts w:hint="eastAsia" w:ascii="宋体" w:hAnsi="宋体" w:cs="宋体"/>
          <w:b/>
          <w:bCs/>
          <w:szCs w:val="21"/>
          <w:highlight w:val="none"/>
        </w:rPr>
      </w:pPr>
      <w:r>
        <w:rPr>
          <w:rFonts w:hint="eastAsia" w:ascii="宋体" w:hAnsi="宋体" w:cs="宋体"/>
          <w:b/>
          <w:bCs/>
          <w:szCs w:val="21"/>
          <w:highlight w:val="none"/>
        </w:rPr>
        <w:t>3.技术标评审（</w:t>
      </w:r>
      <w:r>
        <w:rPr>
          <w:rFonts w:hint="eastAsia" w:ascii="宋体" w:hAnsi="宋体" w:cs="宋体"/>
          <w:b/>
          <w:bCs/>
          <w:szCs w:val="21"/>
          <w:highlight w:val="none"/>
          <w:lang w:val="en-US" w:eastAsia="zh-CN"/>
        </w:rPr>
        <w:t>20</w:t>
      </w:r>
      <w:r>
        <w:rPr>
          <w:rFonts w:hint="eastAsia" w:ascii="宋体" w:hAnsi="宋体" w:cs="宋体"/>
          <w:b/>
          <w:bCs/>
          <w:szCs w:val="21"/>
          <w:highlight w:val="none"/>
        </w:rPr>
        <w:t>分）</w:t>
      </w:r>
    </w:p>
    <w:tbl>
      <w:tblPr>
        <w:tblStyle w:val="23"/>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521"/>
        <w:gridCol w:w="736"/>
        <w:gridCol w:w="4708"/>
        <w:gridCol w:w="2025"/>
      </w:tblGrid>
      <w:tr w14:paraId="453DD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82" w:type="dxa"/>
            <w:noWrap w:val="0"/>
            <w:vAlign w:val="center"/>
          </w:tcPr>
          <w:p w14:paraId="67F117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cs="宋体"/>
                <w:b/>
                <w:bCs/>
                <w:szCs w:val="21"/>
                <w:highlight w:val="none"/>
              </w:rPr>
            </w:pPr>
            <w:r>
              <w:rPr>
                <w:rFonts w:hint="eastAsia" w:ascii="宋体" w:hAnsi="宋体" w:cs="宋体"/>
                <w:b/>
                <w:bCs/>
                <w:szCs w:val="21"/>
                <w:highlight w:val="none"/>
              </w:rPr>
              <w:t xml:space="preserve">序号 </w:t>
            </w:r>
            <w:r>
              <w:rPr>
                <w:rFonts w:hint="eastAsia" w:ascii="宋体" w:cs="宋体"/>
                <w:b/>
                <w:bCs/>
                <w:sz w:val="28"/>
                <w:highlight w:val="none"/>
              </w:rPr>
              <w:t xml:space="preserve">    </w:t>
            </w:r>
          </w:p>
        </w:tc>
        <w:tc>
          <w:tcPr>
            <w:tcW w:w="1521" w:type="dxa"/>
            <w:noWrap w:val="0"/>
            <w:vAlign w:val="center"/>
          </w:tcPr>
          <w:p w14:paraId="1E5BDF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cs="宋体"/>
                <w:b/>
                <w:bCs/>
                <w:sz w:val="28"/>
                <w:highlight w:val="none"/>
              </w:rPr>
            </w:pPr>
            <w:r>
              <w:rPr>
                <w:rFonts w:hint="eastAsia" w:ascii="宋体" w:hAnsi="宋体" w:cs="宋体"/>
                <w:b/>
                <w:bCs/>
                <w:szCs w:val="21"/>
                <w:highlight w:val="none"/>
              </w:rPr>
              <w:t>评分因素</w:t>
            </w:r>
          </w:p>
        </w:tc>
        <w:tc>
          <w:tcPr>
            <w:tcW w:w="736" w:type="dxa"/>
            <w:noWrap w:val="0"/>
            <w:vAlign w:val="center"/>
          </w:tcPr>
          <w:p w14:paraId="3ACE95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cs="宋体"/>
                <w:b/>
                <w:bCs/>
                <w:szCs w:val="21"/>
                <w:highlight w:val="none"/>
              </w:rPr>
            </w:pPr>
            <w:r>
              <w:rPr>
                <w:rFonts w:hint="eastAsia" w:ascii="宋体" w:hAnsi="宋体" w:cs="宋体"/>
                <w:b/>
                <w:bCs/>
                <w:szCs w:val="21"/>
                <w:highlight w:val="none"/>
              </w:rPr>
              <w:t>分值</w:t>
            </w:r>
          </w:p>
        </w:tc>
        <w:tc>
          <w:tcPr>
            <w:tcW w:w="4708" w:type="dxa"/>
            <w:noWrap w:val="0"/>
            <w:vAlign w:val="center"/>
          </w:tcPr>
          <w:p w14:paraId="5380E5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cs="宋体"/>
                <w:b/>
                <w:bCs/>
                <w:sz w:val="28"/>
                <w:highlight w:val="none"/>
              </w:rPr>
            </w:pPr>
            <w:r>
              <w:rPr>
                <w:rFonts w:hint="eastAsia" w:ascii="宋体" w:cs="宋体"/>
                <w:b/>
                <w:bCs/>
                <w:szCs w:val="21"/>
                <w:highlight w:val="none"/>
              </w:rPr>
              <w:t>评审细则</w:t>
            </w:r>
          </w:p>
        </w:tc>
        <w:tc>
          <w:tcPr>
            <w:tcW w:w="2025" w:type="dxa"/>
            <w:noWrap w:val="0"/>
            <w:vAlign w:val="center"/>
          </w:tcPr>
          <w:p w14:paraId="0F5601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cs="宋体"/>
                <w:b/>
                <w:bCs/>
                <w:szCs w:val="21"/>
                <w:highlight w:val="none"/>
              </w:rPr>
            </w:pPr>
            <w:r>
              <w:rPr>
                <w:rFonts w:hint="eastAsia" w:ascii="宋体" w:cs="宋体"/>
                <w:b/>
                <w:bCs/>
                <w:szCs w:val="21"/>
                <w:highlight w:val="none"/>
              </w:rPr>
              <w:t>须提供的证明材料</w:t>
            </w:r>
          </w:p>
        </w:tc>
      </w:tr>
      <w:tr w14:paraId="0105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noWrap w:val="0"/>
            <w:vAlign w:val="center"/>
          </w:tcPr>
          <w:p w14:paraId="1C916829">
            <w:pPr>
              <w:keepNext w:val="0"/>
              <w:keepLines w:val="0"/>
              <w:suppressLineNumbers w:val="0"/>
              <w:spacing w:before="0" w:beforeAutospacing="0" w:after="0" w:afterAutospacing="0"/>
              <w:ind w:left="0" w:leftChars="0" w:right="0" w:rightChars="0"/>
              <w:jc w:val="center"/>
              <w:rPr>
                <w:rFonts w:hint="eastAsia" w:ascii="宋体" w:hAnsi="宋体" w:cs="宋体"/>
                <w:szCs w:val="21"/>
                <w:highlight w:val="none"/>
              </w:rPr>
            </w:pPr>
            <w:r>
              <w:rPr>
                <w:rFonts w:hint="eastAsia" w:ascii="宋体" w:hAnsi="宋体" w:cs="宋体"/>
                <w:szCs w:val="21"/>
                <w:highlight w:val="none"/>
                <w:lang w:val="en-US" w:eastAsia="zh-CN"/>
              </w:rPr>
              <w:t>1</w:t>
            </w:r>
          </w:p>
        </w:tc>
        <w:tc>
          <w:tcPr>
            <w:tcW w:w="1521" w:type="dxa"/>
            <w:noWrap w:val="0"/>
            <w:vAlign w:val="center"/>
          </w:tcPr>
          <w:p w14:paraId="2FEAACC3">
            <w:pPr>
              <w:keepNext w:val="0"/>
              <w:keepLines w:val="0"/>
              <w:suppressLineNumbers w:val="0"/>
              <w:spacing w:before="0" w:beforeAutospacing="0" w:after="0" w:afterAutospacing="0"/>
              <w:ind w:left="0" w:leftChars="0" w:right="0" w:rightChars="0"/>
              <w:jc w:val="center"/>
              <w:rPr>
                <w:rFonts w:hint="default" w:cs="宋体"/>
                <w:bCs/>
                <w:szCs w:val="21"/>
                <w:highlight w:val="none"/>
              </w:rPr>
            </w:pPr>
            <w:r>
              <w:rPr>
                <w:rFonts w:hint="eastAsia" w:ascii="宋体" w:hAnsi="宋体" w:eastAsia="宋体" w:cs="宋体"/>
                <w:sz w:val="21"/>
                <w:szCs w:val="21"/>
                <w:highlight w:val="none"/>
              </w:rPr>
              <w:t>技术方案</w:t>
            </w:r>
          </w:p>
        </w:tc>
        <w:tc>
          <w:tcPr>
            <w:tcW w:w="736" w:type="dxa"/>
            <w:noWrap w:val="0"/>
            <w:vAlign w:val="center"/>
          </w:tcPr>
          <w:p w14:paraId="172A752B">
            <w:pPr>
              <w:keepNext w:val="0"/>
              <w:keepLines w:val="0"/>
              <w:suppressLineNumbers w:val="0"/>
              <w:spacing w:before="0" w:beforeAutospacing="0" w:after="0" w:afterAutospacing="0" w:line="276" w:lineRule="auto"/>
              <w:ind w:left="0" w:leftChars="0" w:right="0" w:rightChars="0"/>
              <w:jc w:val="center"/>
              <w:rPr>
                <w:rFonts w:hint="eastAsia" w:ascii="宋体" w:hAnsi="宋体"/>
                <w:color w:val="000000"/>
                <w:szCs w:val="21"/>
                <w:highlight w:val="none"/>
              </w:rPr>
            </w:pPr>
            <w:r>
              <w:rPr>
                <w:rFonts w:hint="eastAsia" w:ascii="宋体" w:hAnsi="宋体" w:cs="宋体"/>
                <w:color w:val="000000"/>
                <w:sz w:val="21"/>
                <w:szCs w:val="21"/>
                <w:highlight w:val="none"/>
                <w:lang w:val="en-US" w:eastAsia="zh-CN"/>
              </w:rPr>
              <w:t>5</w:t>
            </w:r>
            <w:r>
              <w:rPr>
                <w:rFonts w:hint="eastAsia" w:ascii="宋体" w:hAnsi="宋体" w:eastAsia="宋体" w:cs="宋体"/>
                <w:color w:val="000000"/>
                <w:sz w:val="21"/>
                <w:szCs w:val="21"/>
                <w:highlight w:val="none"/>
                <w:lang w:val="en-US" w:eastAsia="zh-CN"/>
              </w:rPr>
              <w:t>分</w:t>
            </w:r>
          </w:p>
        </w:tc>
        <w:tc>
          <w:tcPr>
            <w:tcW w:w="4708" w:type="dxa"/>
            <w:noWrap w:val="0"/>
            <w:vAlign w:val="center"/>
          </w:tcPr>
          <w:p w14:paraId="602DA138">
            <w:pPr>
              <w:keepNext w:val="0"/>
              <w:keepLines w:val="0"/>
              <w:widowControl/>
              <w:suppressLineNumbers w:val="0"/>
              <w:spacing w:before="0" w:beforeAutospacing="0" w:after="0" w:afterAutospacing="0"/>
              <w:ind w:left="0" w:right="0"/>
              <w:jc w:val="left"/>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lang w:val="en-US" w:eastAsia="zh-CN" w:bidi="ar"/>
              </w:rPr>
              <w:t>设备技术参数需描述准确，能满足技术规格书的新增设备要求和设备功能及要求，项目电缆、光缆、视频摄像机等</w:t>
            </w:r>
            <w:r>
              <w:rPr>
                <w:rFonts w:hint="eastAsia" w:ascii="宋体" w:hAnsi="宋体" w:cs="宋体"/>
                <w:color w:val="000000"/>
                <w:kern w:val="0"/>
                <w:sz w:val="21"/>
                <w:szCs w:val="21"/>
                <w:lang w:val="en-US" w:eastAsia="zh-CN" w:bidi="ar"/>
              </w:rPr>
              <w:t>设备</w:t>
            </w:r>
            <w:r>
              <w:rPr>
                <w:rFonts w:hint="eastAsia" w:ascii="宋体" w:hAnsi="宋体" w:eastAsia="宋体" w:cs="宋体"/>
                <w:color w:val="000000"/>
                <w:kern w:val="0"/>
                <w:sz w:val="21"/>
                <w:szCs w:val="21"/>
                <w:lang w:val="en-US" w:eastAsia="zh-CN" w:bidi="ar"/>
              </w:rPr>
              <w:t>符合本项目要求，且针对本项目有详细的描述和选型原因，设备的统一性、产品的统一性、品牌的统一性要求，与线路既有品牌型号相符，有详细且合理的设计方案。符合本项目要求，对本项目安装环境调研理解充分，有详细勘查记录和报告。</w:t>
            </w:r>
            <w:r>
              <w:rPr>
                <w:rFonts w:hint="eastAsia" w:ascii="宋体" w:hAnsi="宋体" w:eastAsia="宋体" w:cs="宋体"/>
                <w:sz w:val="21"/>
                <w:szCs w:val="21"/>
                <w:highlight w:val="none"/>
              </w:rPr>
              <w:t>优秀：</w:t>
            </w:r>
            <w:r>
              <w:rPr>
                <w:rFonts w:hint="eastAsia" w:ascii="宋体" w:hAnsi="宋体" w:eastAsia="宋体" w:cs="宋体"/>
                <w:sz w:val="21"/>
                <w:szCs w:val="21"/>
                <w:highlight w:val="none"/>
                <w:lang w:val="zh-CN"/>
              </w:rPr>
              <w:t>得</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val="zh-CN"/>
              </w:rPr>
              <w:t>分</w:t>
            </w:r>
            <w:r>
              <w:rPr>
                <w:rFonts w:hint="eastAsia" w:ascii="宋体" w:hAnsi="宋体" w:cs="宋体"/>
                <w:sz w:val="21"/>
                <w:szCs w:val="21"/>
                <w:highlight w:val="none"/>
                <w:lang w:val="zh-CN"/>
              </w:rPr>
              <w:t>；</w:t>
            </w:r>
            <w:r>
              <w:rPr>
                <w:rFonts w:hint="eastAsia" w:ascii="宋体" w:hAnsi="宋体" w:cs="宋体"/>
                <w:sz w:val="21"/>
                <w:szCs w:val="21"/>
                <w:highlight w:val="none"/>
                <w:lang w:val="en-US" w:eastAsia="zh-CN"/>
              </w:rPr>
              <w:t>良</w:t>
            </w:r>
            <w:r>
              <w:rPr>
                <w:rFonts w:hint="eastAsia" w:ascii="宋体" w:hAnsi="宋体" w:eastAsia="宋体" w:cs="宋体"/>
                <w:sz w:val="21"/>
                <w:szCs w:val="21"/>
                <w:highlight w:val="none"/>
              </w:rPr>
              <w:t>好</w:t>
            </w:r>
            <w:r>
              <w:rPr>
                <w:rFonts w:hint="eastAsia" w:ascii="宋体" w:hAnsi="宋体" w:eastAsia="宋体" w:cs="宋体"/>
                <w:sz w:val="21"/>
                <w:szCs w:val="21"/>
                <w:highlight w:val="none"/>
                <w:lang w:val="zh-CN"/>
              </w:rPr>
              <w:t>：得</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val="zh-CN"/>
              </w:rPr>
              <w:t>分</w:t>
            </w:r>
            <w:r>
              <w:rPr>
                <w:rFonts w:hint="eastAsia" w:ascii="宋体" w:hAnsi="宋体" w:cs="宋体"/>
                <w:sz w:val="21"/>
                <w:szCs w:val="21"/>
                <w:highlight w:val="none"/>
                <w:lang w:val="zh-CN"/>
              </w:rPr>
              <w:t>；</w:t>
            </w:r>
            <w:r>
              <w:rPr>
                <w:rFonts w:hint="eastAsia" w:ascii="宋体" w:hAnsi="宋体" w:eastAsia="宋体" w:cs="宋体"/>
                <w:sz w:val="21"/>
                <w:szCs w:val="21"/>
                <w:highlight w:val="none"/>
              </w:rPr>
              <w:t>一般</w:t>
            </w:r>
            <w:r>
              <w:rPr>
                <w:rFonts w:hint="eastAsia" w:ascii="宋体" w:hAnsi="宋体" w:eastAsia="宋体" w:cs="宋体"/>
                <w:sz w:val="21"/>
                <w:szCs w:val="21"/>
                <w:highlight w:val="none"/>
                <w:lang w:val="zh-CN"/>
              </w:rPr>
              <w:t>：</w:t>
            </w:r>
            <w:r>
              <w:rPr>
                <w:rFonts w:hint="eastAsia" w:ascii="宋体" w:hAnsi="宋体" w:eastAsia="宋体" w:cs="宋体"/>
                <w:sz w:val="21"/>
                <w:szCs w:val="21"/>
                <w:highlight w:val="none"/>
              </w:rPr>
              <w:t>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val="zh-CN"/>
              </w:rPr>
              <w:t>分</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差</w:t>
            </w:r>
            <w:r>
              <w:rPr>
                <w:rFonts w:hint="eastAsia" w:ascii="宋体" w:hAnsi="宋体" w:eastAsia="宋体" w:cs="宋体"/>
                <w:color w:val="000000"/>
                <w:sz w:val="21"/>
                <w:szCs w:val="21"/>
                <w:highlight w:val="none"/>
                <w:lang w:val="en-US" w:eastAsia="zh-CN"/>
              </w:rPr>
              <w:t>的和未提供的不得分，本</w:t>
            </w:r>
            <w:r>
              <w:rPr>
                <w:rFonts w:hint="eastAsia" w:ascii="宋体" w:hAnsi="宋体" w:cs="宋体"/>
                <w:color w:val="000000"/>
                <w:sz w:val="21"/>
                <w:szCs w:val="21"/>
                <w:highlight w:val="none"/>
                <w:lang w:val="en-US" w:eastAsia="zh-CN"/>
              </w:rPr>
              <w:t>项</w:t>
            </w:r>
            <w:r>
              <w:rPr>
                <w:rFonts w:hint="eastAsia" w:ascii="宋体" w:hAnsi="宋体" w:eastAsia="宋体" w:cs="宋体"/>
                <w:color w:val="000000"/>
                <w:sz w:val="21"/>
                <w:szCs w:val="21"/>
                <w:highlight w:val="none"/>
                <w:lang w:val="en-US" w:eastAsia="zh-CN"/>
              </w:rPr>
              <w:t>满分</w:t>
            </w:r>
            <w:r>
              <w:rPr>
                <w:rFonts w:hint="eastAsia" w:ascii="宋体" w:hAnsi="宋体" w:cs="宋体"/>
                <w:color w:val="000000"/>
                <w:sz w:val="21"/>
                <w:szCs w:val="21"/>
                <w:highlight w:val="none"/>
                <w:lang w:val="en-US" w:eastAsia="zh-CN"/>
              </w:rPr>
              <w:t>5</w:t>
            </w:r>
            <w:r>
              <w:rPr>
                <w:rFonts w:hint="eastAsia" w:ascii="宋体" w:hAnsi="宋体" w:eastAsia="宋体" w:cs="宋体"/>
                <w:color w:val="000000"/>
                <w:sz w:val="21"/>
                <w:szCs w:val="21"/>
                <w:highlight w:val="none"/>
                <w:lang w:val="en-US" w:eastAsia="zh-CN"/>
              </w:rPr>
              <w:t>分</w:t>
            </w:r>
            <w:r>
              <w:rPr>
                <w:rFonts w:hint="eastAsia" w:ascii="宋体" w:hAnsi="宋体" w:eastAsia="宋体" w:cs="宋体"/>
                <w:color w:val="000000"/>
                <w:sz w:val="21"/>
                <w:szCs w:val="21"/>
                <w:highlight w:val="none"/>
              </w:rPr>
              <w:t>。</w:t>
            </w:r>
          </w:p>
        </w:tc>
        <w:tc>
          <w:tcPr>
            <w:tcW w:w="2025" w:type="dxa"/>
            <w:noWrap w:val="0"/>
            <w:vAlign w:val="center"/>
          </w:tcPr>
          <w:p w14:paraId="4696416E">
            <w:pPr>
              <w:keepNext w:val="0"/>
              <w:keepLines w:val="0"/>
              <w:suppressLineNumbers w:val="0"/>
              <w:spacing w:before="0" w:beforeAutospacing="0" w:after="0" w:afterAutospacing="0" w:line="240" w:lineRule="auto"/>
              <w:ind w:left="0" w:leftChars="0" w:right="0" w:rightChars="0"/>
              <w:jc w:val="center"/>
              <w:rPr>
                <w:rFonts w:hint="eastAsia" w:ascii="宋体" w:hAnsi="宋体" w:cs="宋体"/>
                <w:szCs w:val="21"/>
                <w:highlight w:val="none"/>
              </w:rPr>
            </w:pPr>
            <w:r>
              <w:rPr>
                <w:rFonts w:hint="eastAsia" w:ascii="宋体" w:hAnsi="宋体" w:eastAsia="宋体" w:cs="宋体"/>
                <w:sz w:val="21"/>
                <w:szCs w:val="21"/>
                <w:highlight w:val="none"/>
                <w:lang w:val="zh-TW"/>
              </w:rPr>
              <w:t>技术标中须能充分有效反映出本评分项内容</w:t>
            </w:r>
            <w:r>
              <w:rPr>
                <w:rFonts w:hint="eastAsia" w:ascii="宋体" w:hAnsi="宋体" w:cs="宋体"/>
                <w:sz w:val="21"/>
                <w:szCs w:val="21"/>
                <w:highlight w:val="none"/>
                <w:lang w:val="zh-TW" w:eastAsia="zh-CN"/>
              </w:rPr>
              <w:t>。</w:t>
            </w:r>
          </w:p>
        </w:tc>
      </w:tr>
      <w:tr w14:paraId="775CF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noWrap w:val="0"/>
            <w:vAlign w:val="center"/>
          </w:tcPr>
          <w:p w14:paraId="36D74D19">
            <w:pPr>
              <w:keepNext w:val="0"/>
              <w:keepLines w:val="0"/>
              <w:suppressLineNumbers w:val="0"/>
              <w:spacing w:before="0" w:beforeAutospacing="0" w:after="0" w:afterAutospacing="0"/>
              <w:ind w:left="0" w:leftChars="0" w:right="0" w:rightChars="0"/>
              <w:jc w:val="center"/>
              <w:rPr>
                <w:rFonts w:hint="eastAsia" w:ascii="宋体" w:hAnsi="宋体" w:cs="宋体"/>
                <w:szCs w:val="21"/>
                <w:highlight w:val="none"/>
              </w:rPr>
            </w:pPr>
            <w:r>
              <w:rPr>
                <w:rFonts w:hint="eastAsia" w:ascii="宋体" w:hAnsi="宋体" w:cs="宋体"/>
                <w:szCs w:val="21"/>
                <w:highlight w:val="none"/>
                <w:lang w:val="en-US" w:eastAsia="zh-CN"/>
              </w:rPr>
              <w:t>2</w:t>
            </w:r>
          </w:p>
        </w:tc>
        <w:tc>
          <w:tcPr>
            <w:tcW w:w="1521" w:type="dxa"/>
            <w:noWrap w:val="0"/>
            <w:vAlign w:val="center"/>
          </w:tcPr>
          <w:p w14:paraId="72DA981F">
            <w:pPr>
              <w:keepNext w:val="0"/>
              <w:keepLines w:val="0"/>
              <w:suppressLineNumbers w:val="0"/>
              <w:spacing w:before="0" w:beforeAutospacing="0" w:after="0" w:afterAutospacing="0"/>
              <w:ind w:left="0" w:leftChars="0" w:right="0" w:rightChars="0"/>
              <w:jc w:val="center"/>
              <w:rPr>
                <w:rFonts w:hint="default" w:cs="宋体"/>
                <w:bCs/>
                <w:szCs w:val="21"/>
                <w:highlight w:val="none"/>
              </w:rPr>
            </w:pPr>
            <w:r>
              <w:rPr>
                <w:rFonts w:hint="eastAsia" w:ascii="宋体" w:hAnsi="宋体" w:eastAsia="宋体" w:cs="宋体"/>
                <w:sz w:val="21"/>
                <w:szCs w:val="21"/>
                <w:highlight w:val="none"/>
              </w:rPr>
              <w:t>施工组织方案</w:t>
            </w:r>
          </w:p>
        </w:tc>
        <w:tc>
          <w:tcPr>
            <w:tcW w:w="736" w:type="dxa"/>
            <w:noWrap w:val="0"/>
            <w:vAlign w:val="center"/>
          </w:tcPr>
          <w:p w14:paraId="6B7BE87A">
            <w:pPr>
              <w:keepNext w:val="0"/>
              <w:keepLines w:val="0"/>
              <w:suppressLineNumbers w:val="0"/>
              <w:spacing w:before="0" w:beforeAutospacing="0" w:after="0" w:afterAutospacing="0" w:line="276" w:lineRule="auto"/>
              <w:ind w:left="0" w:leftChars="0" w:right="0" w:rightChars="0"/>
              <w:jc w:val="center"/>
              <w:rPr>
                <w:rFonts w:hint="eastAsia" w:ascii="宋体" w:hAnsi="宋体"/>
                <w:color w:val="000000"/>
                <w:szCs w:val="21"/>
                <w:highlight w:val="none"/>
              </w:rPr>
            </w:pPr>
            <w:r>
              <w:rPr>
                <w:rFonts w:hint="eastAsia" w:ascii="宋体" w:hAnsi="宋体" w:cs="宋体"/>
                <w:color w:val="000000"/>
                <w:sz w:val="21"/>
                <w:szCs w:val="21"/>
                <w:highlight w:val="none"/>
                <w:lang w:val="en-US" w:eastAsia="zh-CN"/>
              </w:rPr>
              <w:t>5</w:t>
            </w:r>
            <w:r>
              <w:rPr>
                <w:rFonts w:hint="eastAsia" w:ascii="宋体" w:hAnsi="宋体" w:eastAsia="宋体" w:cs="宋体"/>
                <w:color w:val="000000"/>
                <w:sz w:val="21"/>
                <w:szCs w:val="21"/>
                <w:highlight w:val="none"/>
                <w:lang w:val="en-US" w:eastAsia="zh-CN"/>
              </w:rPr>
              <w:t>分</w:t>
            </w:r>
          </w:p>
        </w:tc>
        <w:tc>
          <w:tcPr>
            <w:tcW w:w="4708" w:type="dxa"/>
            <w:noWrap w:val="0"/>
            <w:vAlign w:val="center"/>
          </w:tcPr>
          <w:p w14:paraId="36029D79">
            <w:pPr>
              <w:keepNext w:val="0"/>
              <w:keepLines w:val="0"/>
              <w:widowControl/>
              <w:suppressLineNumbers w:val="0"/>
              <w:spacing w:before="0" w:beforeAutospacing="0" w:after="0" w:afterAutospacing="0"/>
              <w:ind w:left="0" w:right="0"/>
              <w:jc w:val="left"/>
              <w:rPr>
                <w:rFonts w:hint="default"/>
                <w:highlight w:val="none"/>
              </w:rPr>
            </w:pPr>
            <w:r>
              <w:rPr>
                <w:rFonts w:hint="eastAsia" w:ascii="宋体" w:hAnsi="宋体" w:eastAsia="宋体" w:cs="宋体"/>
                <w:color w:val="000000"/>
                <w:sz w:val="21"/>
                <w:szCs w:val="21"/>
                <w:highlight w:val="none"/>
                <w:lang w:val="zh-CN"/>
              </w:rPr>
              <w:t>施工的组织方案应</w:t>
            </w:r>
            <w:r>
              <w:rPr>
                <w:rFonts w:hint="eastAsia" w:ascii="宋体" w:hAnsi="宋体" w:eastAsia="宋体" w:cs="宋体"/>
                <w:b w:val="0"/>
                <w:bCs/>
                <w:color w:val="000000"/>
                <w:sz w:val="21"/>
                <w:szCs w:val="21"/>
                <w:highlight w:val="none"/>
                <w:lang w:val="zh-CN"/>
              </w:rPr>
              <w:t>从项目整体阐述，</w:t>
            </w:r>
            <w:r>
              <w:rPr>
                <w:rFonts w:hint="eastAsia" w:ascii="宋体" w:hAnsi="宋体" w:eastAsia="宋体" w:cs="宋体"/>
                <w:color w:val="000000"/>
                <w:sz w:val="21"/>
                <w:szCs w:val="21"/>
                <w:highlight w:val="none"/>
                <w:lang w:val="zh-CN"/>
              </w:rPr>
              <w:t>详细可行有针对性，</w:t>
            </w:r>
            <w:r>
              <w:rPr>
                <w:rFonts w:hint="eastAsia" w:ascii="宋体" w:hAnsi="宋体" w:eastAsia="宋体" w:cs="宋体"/>
                <w:color w:val="000000"/>
                <w:kern w:val="0"/>
                <w:sz w:val="21"/>
                <w:szCs w:val="21"/>
                <w:lang w:val="en-US" w:eastAsia="zh-CN" w:bidi="ar"/>
              </w:rPr>
              <w:t>施工方案进度计划合理，各工序安排得当，</w:t>
            </w:r>
            <w:r>
              <w:rPr>
                <w:rFonts w:hint="eastAsia" w:ascii="宋体" w:hAnsi="宋体" w:eastAsia="宋体" w:cs="宋体"/>
                <w:color w:val="000000"/>
                <w:sz w:val="21"/>
                <w:szCs w:val="21"/>
                <w:highlight w:val="none"/>
                <w:lang w:val="zh-CN"/>
              </w:rPr>
              <w:t>主要从施工计划安排、人员组织、材料工器具配置、质量保证措施等方面阐述，</w:t>
            </w:r>
            <w:r>
              <w:rPr>
                <w:rFonts w:hint="eastAsia" w:ascii="宋体" w:hAnsi="宋体" w:eastAsia="宋体" w:cs="宋体"/>
                <w:color w:val="000000"/>
                <w:kern w:val="0"/>
                <w:sz w:val="21"/>
                <w:szCs w:val="21"/>
                <w:lang w:val="en-US" w:eastAsia="zh-CN" w:bidi="ar"/>
              </w:rPr>
              <w:t>针对设备安装等施工设计应重点考虑。</w:t>
            </w:r>
            <w:r>
              <w:rPr>
                <w:rFonts w:hint="eastAsia" w:ascii="宋体" w:hAnsi="宋体" w:eastAsia="宋体" w:cs="宋体"/>
                <w:sz w:val="21"/>
                <w:szCs w:val="21"/>
                <w:highlight w:val="none"/>
              </w:rPr>
              <w:t>优秀：</w:t>
            </w:r>
            <w:r>
              <w:rPr>
                <w:rFonts w:hint="eastAsia" w:ascii="宋体" w:hAnsi="宋体" w:eastAsia="宋体" w:cs="宋体"/>
                <w:sz w:val="21"/>
                <w:szCs w:val="21"/>
                <w:highlight w:val="none"/>
                <w:lang w:val="zh-CN"/>
              </w:rPr>
              <w:t>得</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val="zh-CN"/>
              </w:rPr>
              <w:t>分</w:t>
            </w:r>
            <w:r>
              <w:rPr>
                <w:rFonts w:hint="eastAsia" w:ascii="宋体" w:hAnsi="宋体" w:cs="宋体"/>
                <w:sz w:val="21"/>
                <w:szCs w:val="21"/>
                <w:highlight w:val="none"/>
                <w:lang w:val="zh-CN"/>
              </w:rPr>
              <w:t>；</w:t>
            </w:r>
            <w:r>
              <w:rPr>
                <w:rFonts w:hint="eastAsia" w:ascii="宋体" w:hAnsi="宋体" w:cs="宋体"/>
                <w:sz w:val="21"/>
                <w:szCs w:val="21"/>
                <w:highlight w:val="none"/>
                <w:lang w:val="en-US" w:eastAsia="zh-CN"/>
              </w:rPr>
              <w:t>良</w:t>
            </w:r>
            <w:r>
              <w:rPr>
                <w:rFonts w:hint="eastAsia" w:ascii="宋体" w:hAnsi="宋体" w:eastAsia="宋体" w:cs="宋体"/>
                <w:sz w:val="21"/>
                <w:szCs w:val="21"/>
                <w:highlight w:val="none"/>
              </w:rPr>
              <w:t>好</w:t>
            </w:r>
            <w:r>
              <w:rPr>
                <w:rFonts w:hint="eastAsia" w:ascii="宋体" w:hAnsi="宋体" w:eastAsia="宋体" w:cs="宋体"/>
                <w:sz w:val="21"/>
                <w:szCs w:val="21"/>
                <w:highlight w:val="none"/>
                <w:lang w:val="zh-CN"/>
              </w:rPr>
              <w:t>：得</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val="zh-CN"/>
              </w:rPr>
              <w:t>分</w:t>
            </w:r>
            <w:r>
              <w:rPr>
                <w:rFonts w:hint="eastAsia" w:ascii="宋体" w:hAnsi="宋体" w:cs="宋体"/>
                <w:sz w:val="21"/>
                <w:szCs w:val="21"/>
                <w:highlight w:val="none"/>
                <w:lang w:val="zh-CN"/>
              </w:rPr>
              <w:t>；</w:t>
            </w:r>
            <w:r>
              <w:rPr>
                <w:rFonts w:hint="eastAsia" w:ascii="宋体" w:hAnsi="宋体" w:eastAsia="宋体" w:cs="宋体"/>
                <w:sz w:val="21"/>
                <w:szCs w:val="21"/>
                <w:highlight w:val="none"/>
              </w:rPr>
              <w:t>一般</w:t>
            </w:r>
            <w:r>
              <w:rPr>
                <w:rFonts w:hint="eastAsia" w:ascii="宋体" w:hAnsi="宋体" w:eastAsia="宋体" w:cs="宋体"/>
                <w:sz w:val="21"/>
                <w:szCs w:val="21"/>
                <w:highlight w:val="none"/>
                <w:lang w:val="zh-CN"/>
              </w:rPr>
              <w:t>：</w:t>
            </w:r>
            <w:r>
              <w:rPr>
                <w:rFonts w:hint="eastAsia" w:ascii="宋体" w:hAnsi="宋体" w:eastAsia="宋体" w:cs="宋体"/>
                <w:sz w:val="21"/>
                <w:szCs w:val="21"/>
                <w:highlight w:val="none"/>
              </w:rPr>
              <w:t>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val="zh-CN"/>
              </w:rPr>
              <w:t>分</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差</w:t>
            </w:r>
            <w:r>
              <w:rPr>
                <w:rFonts w:hint="eastAsia" w:ascii="宋体" w:hAnsi="宋体" w:eastAsia="宋体" w:cs="宋体"/>
                <w:color w:val="000000"/>
                <w:sz w:val="21"/>
                <w:szCs w:val="21"/>
                <w:highlight w:val="none"/>
                <w:lang w:val="en-US" w:eastAsia="zh-CN"/>
              </w:rPr>
              <w:t>的和未提供的不得分，本</w:t>
            </w:r>
            <w:r>
              <w:rPr>
                <w:rFonts w:hint="eastAsia" w:ascii="宋体" w:hAnsi="宋体" w:cs="宋体"/>
                <w:color w:val="000000"/>
                <w:sz w:val="21"/>
                <w:szCs w:val="21"/>
                <w:highlight w:val="none"/>
                <w:lang w:val="en-US" w:eastAsia="zh-CN"/>
              </w:rPr>
              <w:t>项</w:t>
            </w:r>
            <w:r>
              <w:rPr>
                <w:rFonts w:hint="eastAsia" w:ascii="宋体" w:hAnsi="宋体" w:eastAsia="宋体" w:cs="宋体"/>
                <w:color w:val="000000"/>
                <w:sz w:val="21"/>
                <w:szCs w:val="21"/>
                <w:highlight w:val="none"/>
                <w:lang w:val="en-US" w:eastAsia="zh-CN"/>
              </w:rPr>
              <w:t>满分</w:t>
            </w:r>
            <w:r>
              <w:rPr>
                <w:rFonts w:hint="eastAsia" w:ascii="宋体" w:hAnsi="宋体" w:cs="宋体"/>
                <w:color w:val="000000"/>
                <w:sz w:val="21"/>
                <w:szCs w:val="21"/>
                <w:highlight w:val="none"/>
                <w:lang w:val="en-US" w:eastAsia="zh-CN"/>
              </w:rPr>
              <w:t>5</w:t>
            </w:r>
            <w:r>
              <w:rPr>
                <w:rFonts w:hint="eastAsia" w:ascii="宋体" w:hAnsi="宋体" w:eastAsia="宋体" w:cs="宋体"/>
                <w:color w:val="000000"/>
                <w:sz w:val="21"/>
                <w:szCs w:val="21"/>
                <w:highlight w:val="none"/>
                <w:lang w:val="en-US" w:eastAsia="zh-CN"/>
              </w:rPr>
              <w:t>分</w:t>
            </w:r>
            <w:r>
              <w:rPr>
                <w:rFonts w:hint="eastAsia" w:ascii="宋体" w:hAnsi="宋体" w:eastAsia="宋体" w:cs="宋体"/>
                <w:color w:val="000000"/>
                <w:sz w:val="21"/>
                <w:szCs w:val="21"/>
                <w:highlight w:val="none"/>
              </w:rPr>
              <w:t>。</w:t>
            </w:r>
          </w:p>
        </w:tc>
        <w:tc>
          <w:tcPr>
            <w:tcW w:w="2025" w:type="dxa"/>
            <w:noWrap w:val="0"/>
            <w:vAlign w:val="center"/>
          </w:tcPr>
          <w:p w14:paraId="3F071635">
            <w:pPr>
              <w:keepNext w:val="0"/>
              <w:keepLines w:val="0"/>
              <w:suppressLineNumbers w:val="0"/>
              <w:spacing w:before="0" w:beforeAutospacing="0" w:after="0" w:afterAutospacing="0" w:line="240" w:lineRule="auto"/>
              <w:ind w:left="0" w:leftChars="0" w:right="0" w:rightChars="0"/>
              <w:jc w:val="center"/>
              <w:rPr>
                <w:rFonts w:hint="eastAsia" w:ascii="宋体" w:hAnsi="宋体" w:cs="宋体"/>
                <w:szCs w:val="21"/>
                <w:highlight w:val="none"/>
              </w:rPr>
            </w:pPr>
            <w:r>
              <w:rPr>
                <w:rFonts w:hint="eastAsia" w:ascii="宋体" w:hAnsi="宋体" w:eastAsia="宋体" w:cs="宋体"/>
                <w:sz w:val="21"/>
                <w:szCs w:val="21"/>
                <w:highlight w:val="none"/>
                <w:lang w:val="zh-TW"/>
              </w:rPr>
              <w:t>技术标中须能充分有效反映出本评分项内容</w:t>
            </w:r>
            <w:r>
              <w:rPr>
                <w:rFonts w:hint="eastAsia" w:ascii="宋体" w:hAnsi="宋体" w:cs="宋体"/>
                <w:sz w:val="21"/>
                <w:szCs w:val="21"/>
                <w:highlight w:val="none"/>
                <w:lang w:val="zh-TW" w:eastAsia="zh-CN"/>
              </w:rPr>
              <w:t>。</w:t>
            </w:r>
          </w:p>
        </w:tc>
      </w:tr>
      <w:tr w14:paraId="2239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noWrap w:val="0"/>
            <w:vAlign w:val="center"/>
          </w:tcPr>
          <w:p w14:paraId="552B0D37">
            <w:pPr>
              <w:keepNext w:val="0"/>
              <w:keepLines w:val="0"/>
              <w:suppressLineNumbers w:val="0"/>
              <w:spacing w:before="0" w:beforeAutospacing="0" w:after="0" w:afterAutospacing="0"/>
              <w:ind w:left="0" w:leftChars="0" w:right="0" w:rightChars="0"/>
              <w:jc w:val="center"/>
              <w:rPr>
                <w:rFonts w:hint="eastAsia" w:ascii="宋体" w:hAnsi="宋体" w:cs="宋体"/>
                <w:szCs w:val="21"/>
                <w:highlight w:val="none"/>
              </w:rPr>
            </w:pPr>
            <w:r>
              <w:rPr>
                <w:rFonts w:hint="eastAsia" w:ascii="宋体" w:hAnsi="宋体" w:cs="宋体"/>
                <w:szCs w:val="21"/>
                <w:highlight w:val="none"/>
                <w:lang w:val="en-US" w:eastAsia="zh-CN"/>
              </w:rPr>
              <w:t>3</w:t>
            </w:r>
          </w:p>
        </w:tc>
        <w:tc>
          <w:tcPr>
            <w:tcW w:w="1521" w:type="dxa"/>
            <w:noWrap w:val="0"/>
            <w:vAlign w:val="center"/>
          </w:tcPr>
          <w:p w14:paraId="7C9D0BBD">
            <w:pPr>
              <w:keepNext w:val="0"/>
              <w:keepLines w:val="0"/>
              <w:suppressLineNumbers w:val="0"/>
              <w:spacing w:before="0" w:beforeAutospacing="0" w:after="0" w:afterAutospacing="0"/>
              <w:ind w:left="0" w:leftChars="0" w:right="0" w:rightChars="0"/>
              <w:jc w:val="center"/>
              <w:rPr>
                <w:rFonts w:hint="default" w:cs="宋体"/>
                <w:bCs/>
                <w:szCs w:val="21"/>
                <w:highlight w:val="none"/>
              </w:rPr>
            </w:pPr>
            <w:r>
              <w:rPr>
                <w:rFonts w:hint="eastAsia" w:ascii="宋体" w:hAnsi="宋体" w:eastAsia="宋体" w:cs="宋体"/>
                <w:sz w:val="21"/>
                <w:szCs w:val="21"/>
                <w:highlight w:val="none"/>
              </w:rPr>
              <w:t>安全文明施工组织措施</w:t>
            </w:r>
          </w:p>
        </w:tc>
        <w:tc>
          <w:tcPr>
            <w:tcW w:w="736" w:type="dxa"/>
            <w:noWrap w:val="0"/>
            <w:vAlign w:val="center"/>
          </w:tcPr>
          <w:p w14:paraId="3CF3F50F">
            <w:pPr>
              <w:keepNext w:val="0"/>
              <w:keepLines w:val="0"/>
              <w:suppressLineNumbers w:val="0"/>
              <w:adjustRightInd w:val="0"/>
              <w:snapToGrid w:val="0"/>
              <w:spacing w:before="0" w:beforeAutospacing="0" w:after="0" w:afterAutospacing="0" w:line="276" w:lineRule="auto"/>
              <w:ind w:left="0" w:leftChars="0" w:right="0" w:rightChars="0"/>
              <w:jc w:val="center"/>
              <w:rPr>
                <w:rFonts w:hint="eastAsia" w:ascii="宋体" w:hAnsi="宋体"/>
                <w:color w:val="000000"/>
                <w:szCs w:val="21"/>
                <w:highlight w:val="none"/>
              </w:rPr>
            </w:pPr>
            <w:r>
              <w:rPr>
                <w:rFonts w:hint="eastAsia" w:ascii="宋体" w:hAnsi="宋体" w:cs="宋体"/>
                <w:color w:val="000000"/>
                <w:sz w:val="21"/>
                <w:szCs w:val="21"/>
                <w:highlight w:val="none"/>
                <w:lang w:val="en-US" w:eastAsia="zh-CN"/>
              </w:rPr>
              <w:t>5</w:t>
            </w:r>
            <w:r>
              <w:rPr>
                <w:rFonts w:hint="eastAsia" w:ascii="宋体" w:hAnsi="宋体" w:eastAsia="宋体" w:cs="宋体"/>
                <w:color w:val="000000"/>
                <w:sz w:val="21"/>
                <w:szCs w:val="21"/>
                <w:highlight w:val="none"/>
                <w:lang w:val="en-US" w:eastAsia="zh-CN"/>
              </w:rPr>
              <w:t>分</w:t>
            </w:r>
          </w:p>
        </w:tc>
        <w:tc>
          <w:tcPr>
            <w:tcW w:w="4708" w:type="dxa"/>
            <w:noWrap w:val="0"/>
            <w:vAlign w:val="center"/>
          </w:tcPr>
          <w:p w14:paraId="538BF8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center"/>
              <w:rPr>
                <w:rFonts w:hint="default"/>
                <w:highlight w:val="none"/>
              </w:rPr>
            </w:pPr>
            <w:r>
              <w:rPr>
                <w:rFonts w:hint="eastAsia" w:ascii="宋体" w:hAnsi="宋体" w:eastAsia="宋体" w:cs="宋体"/>
                <w:sz w:val="21"/>
                <w:szCs w:val="21"/>
                <w:highlight w:val="none"/>
              </w:rPr>
              <w:t>建立健全的安全文明管理体系和措施，详细分析施工过程中的各种安全隐患，能有效的确保安全文明施工，措施描述完善有针对性</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优秀：</w:t>
            </w:r>
            <w:r>
              <w:rPr>
                <w:rFonts w:hint="eastAsia" w:ascii="宋体" w:hAnsi="宋体" w:eastAsia="宋体" w:cs="宋体"/>
                <w:sz w:val="21"/>
                <w:szCs w:val="21"/>
                <w:highlight w:val="none"/>
                <w:lang w:val="zh-CN"/>
              </w:rPr>
              <w:t>得</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val="zh-CN"/>
              </w:rPr>
              <w:t>分</w:t>
            </w:r>
            <w:r>
              <w:rPr>
                <w:rFonts w:hint="eastAsia" w:ascii="宋体" w:hAnsi="宋体" w:cs="宋体"/>
                <w:sz w:val="21"/>
                <w:szCs w:val="21"/>
                <w:highlight w:val="none"/>
                <w:lang w:val="zh-CN"/>
              </w:rPr>
              <w:t>；</w:t>
            </w:r>
            <w:r>
              <w:rPr>
                <w:rFonts w:hint="eastAsia" w:ascii="宋体" w:hAnsi="宋体" w:cs="宋体"/>
                <w:sz w:val="21"/>
                <w:szCs w:val="21"/>
                <w:highlight w:val="none"/>
                <w:lang w:val="en-US" w:eastAsia="zh-CN"/>
              </w:rPr>
              <w:t>良</w:t>
            </w:r>
            <w:r>
              <w:rPr>
                <w:rFonts w:hint="eastAsia" w:ascii="宋体" w:hAnsi="宋体" w:eastAsia="宋体" w:cs="宋体"/>
                <w:sz w:val="21"/>
                <w:szCs w:val="21"/>
                <w:highlight w:val="none"/>
              </w:rPr>
              <w:t>好</w:t>
            </w:r>
            <w:r>
              <w:rPr>
                <w:rFonts w:hint="eastAsia" w:ascii="宋体" w:hAnsi="宋体" w:eastAsia="宋体" w:cs="宋体"/>
                <w:sz w:val="21"/>
                <w:szCs w:val="21"/>
                <w:highlight w:val="none"/>
                <w:lang w:val="zh-CN"/>
              </w:rPr>
              <w:t>：得</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val="zh-CN"/>
              </w:rPr>
              <w:t>分</w:t>
            </w:r>
            <w:r>
              <w:rPr>
                <w:rFonts w:hint="eastAsia" w:ascii="宋体" w:hAnsi="宋体" w:cs="宋体"/>
                <w:sz w:val="21"/>
                <w:szCs w:val="21"/>
                <w:highlight w:val="none"/>
                <w:lang w:val="zh-CN"/>
              </w:rPr>
              <w:t>；</w:t>
            </w:r>
            <w:r>
              <w:rPr>
                <w:rFonts w:hint="eastAsia" w:ascii="宋体" w:hAnsi="宋体" w:eastAsia="宋体" w:cs="宋体"/>
                <w:sz w:val="21"/>
                <w:szCs w:val="21"/>
                <w:highlight w:val="none"/>
              </w:rPr>
              <w:t>一般</w:t>
            </w:r>
            <w:r>
              <w:rPr>
                <w:rFonts w:hint="eastAsia" w:ascii="宋体" w:hAnsi="宋体" w:eastAsia="宋体" w:cs="宋体"/>
                <w:sz w:val="21"/>
                <w:szCs w:val="21"/>
                <w:highlight w:val="none"/>
                <w:lang w:val="zh-CN"/>
              </w:rPr>
              <w:t>：</w:t>
            </w:r>
            <w:r>
              <w:rPr>
                <w:rFonts w:hint="eastAsia" w:ascii="宋体" w:hAnsi="宋体" w:eastAsia="宋体" w:cs="宋体"/>
                <w:sz w:val="21"/>
                <w:szCs w:val="21"/>
                <w:highlight w:val="none"/>
              </w:rPr>
              <w:t>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val="zh-CN"/>
              </w:rPr>
              <w:t>分</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差</w:t>
            </w:r>
            <w:r>
              <w:rPr>
                <w:rFonts w:hint="eastAsia" w:ascii="宋体" w:hAnsi="宋体" w:eastAsia="宋体" w:cs="宋体"/>
                <w:color w:val="000000"/>
                <w:sz w:val="21"/>
                <w:szCs w:val="21"/>
                <w:highlight w:val="none"/>
                <w:lang w:val="en-US" w:eastAsia="zh-CN"/>
              </w:rPr>
              <w:t>的和未提供的不得分，本</w:t>
            </w:r>
            <w:r>
              <w:rPr>
                <w:rFonts w:hint="eastAsia" w:ascii="宋体" w:hAnsi="宋体" w:cs="宋体"/>
                <w:color w:val="000000"/>
                <w:sz w:val="21"/>
                <w:szCs w:val="21"/>
                <w:highlight w:val="none"/>
                <w:lang w:val="en-US" w:eastAsia="zh-CN"/>
              </w:rPr>
              <w:t>项</w:t>
            </w:r>
            <w:r>
              <w:rPr>
                <w:rFonts w:hint="eastAsia" w:ascii="宋体" w:hAnsi="宋体" w:eastAsia="宋体" w:cs="宋体"/>
                <w:color w:val="000000"/>
                <w:sz w:val="21"/>
                <w:szCs w:val="21"/>
                <w:highlight w:val="none"/>
                <w:lang w:val="en-US" w:eastAsia="zh-CN"/>
              </w:rPr>
              <w:t>满分</w:t>
            </w:r>
            <w:r>
              <w:rPr>
                <w:rFonts w:hint="eastAsia" w:ascii="宋体" w:hAnsi="宋体" w:cs="宋体"/>
                <w:color w:val="000000"/>
                <w:sz w:val="21"/>
                <w:szCs w:val="21"/>
                <w:highlight w:val="none"/>
                <w:lang w:val="en-US" w:eastAsia="zh-CN"/>
              </w:rPr>
              <w:t>5</w:t>
            </w:r>
            <w:r>
              <w:rPr>
                <w:rFonts w:hint="eastAsia" w:ascii="宋体" w:hAnsi="宋体" w:eastAsia="宋体" w:cs="宋体"/>
                <w:color w:val="000000"/>
                <w:sz w:val="21"/>
                <w:szCs w:val="21"/>
                <w:highlight w:val="none"/>
                <w:lang w:val="en-US" w:eastAsia="zh-CN"/>
              </w:rPr>
              <w:t>分</w:t>
            </w:r>
            <w:r>
              <w:rPr>
                <w:rFonts w:hint="eastAsia" w:ascii="宋体" w:hAnsi="宋体" w:eastAsia="宋体" w:cs="宋体"/>
                <w:color w:val="000000"/>
                <w:sz w:val="21"/>
                <w:szCs w:val="21"/>
                <w:highlight w:val="none"/>
              </w:rPr>
              <w:t>。</w:t>
            </w:r>
          </w:p>
        </w:tc>
        <w:tc>
          <w:tcPr>
            <w:tcW w:w="2025" w:type="dxa"/>
            <w:noWrap w:val="0"/>
            <w:vAlign w:val="center"/>
          </w:tcPr>
          <w:p w14:paraId="71EEF0C1">
            <w:pPr>
              <w:keepNext w:val="0"/>
              <w:keepLines w:val="0"/>
              <w:suppressLineNumbers w:val="0"/>
              <w:spacing w:before="0" w:beforeAutospacing="0" w:after="0" w:afterAutospacing="0" w:line="240" w:lineRule="auto"/>
              <w:ind w:left="0" w:leftChars="0" w:right="0" w:rightChars="0"/>
              <w:jc w:val="center"/>
              <w:rPr>
                <w:rFonts w:hint="eastAsia" w:ascii="宋体" w:hAnsi="宋体" w:cs="宋体"/>
                <w:szCs w:val="21"/>
                <w:highlight w:val="none"/>
              </w:rPr>
            </w:pPr>
            <w:r>
              <w:rPr>
                <w:rFonts w:hint="eastAsia" w:ascii="宋体" w:hAnsi="宋体" w:eastAsia="宋体" w:cs="宋体"/>
                <w:sz w:val="21"/>
                <w:szCs w:val="21"/>
                <w:highlight w:val="none"/>
                <w:lang w:val="zh-TW"/>
              </w:rPr>
              <w:t>技术标中须能充分有效反映出本评分项内容</w:t>
            </w:r>
            <w:r>
              <w:rPr>
                <w:rFonts w:hint="eastAsia" w:ascii="宋体" w:hAnsi="宋体" w:cs="宋体"/>
                <w:sz w:val="21"/>
                <w:szCs w:val="21"/>
                <w:highlight w:val="none"/>
                <w:lang w:val="zh-TW" w:eastAsia="zh-CN"/>
              </w:rPr>
              <w:t>。</w:t>
            </w:r>
          </w:p>
        </w:tc>
      </w:tr>
      <w:tr w14:paraId="44EC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noWrap w:val="0"/>
            <w:vAlign w:val="center"/>
          </w:tcPr>
          <w:p w14:paraId="1B878FAC">
            <w:pPr>
              <w:keepNext w:val="0"/>
              <w:keepLines w:val="0"/>
              <w:suppressLineNumbers w:val="0"/>
              <w:spacing w:before="0" w:beforeAutospacing="0" w:after="0" w:afterAutospacing="0"/>
              <w:ind w:left="0" w:leftChars="0" w:right="0" w:rightChars="0"/>
              <w:jc w:val="center"/>
              <w:rPr>
                <w:rFonts w:hint="eastAsia" w:ascii="宋体" w:hAnsi="宋体" w:cs="宋体"/>
                <w:szCs w:val="21"/>
                <w:highlight w:val="none"/>
              </w:rPr>
            </w:pPr>
            <w:r>
              <w:rPr>
                <w:rFonts w:hint="eastAsia" w:ascii="宋体" w:hAnsi="宋体" w:cs="宋体"/>
                <w:szCs w:val="21"/>
                <w:highlight w:val="none"/>
                <w:lang w:val="en-US" w:eastAsia="zh-CN"/>
              </w:rPr>
              <w:t>4</w:t>
            </w:r>
          </w:p>
        </w:tc>
        <w:tc>
          <w:tcPr>
            <w:tcW w:w="1521" w:type="dxa"/>
            <w:noWrap w:val="0"/>
            <w:vAlign w:val="center"/>
          </w:tcPr>
          <w:p w14:paraId="0D94402A">
            <w:pPr>
              <w:keepNext w:val="0"/>
              <w:keepLines w:val="0"/>
              <w:suppressLineNumbers w:val="0"/>
              <w:spacing w:before="0" w:beforeAutospacing="0" w:after="0" w:afterAutospacing="0"/>
              <w:ind w:left="0" w:leftChars="0" w:right="0" w:rightChars="0"/>
              <w:jc w:val="center"/>
              <w:rPr>
                <w:rFonts w:hint="default" w:cs="宋体"/>
                <w:bCs/>
                <w:szCs w:val="21"/>
                <w:highlight w:val="none"/>
              </w:rPr>
            </w:pPr>
            <w:r>
              <w:rPr>
                <w:rFonts w:hint="eastAsia" w:ascii="宋体" w:hAnsi="宋体" w:eastAsia="宋体" w:cs="宋体"/>
                <w:kern w:val="0"/>
                <w:sz w:val="21"/>
                <w:szCs w:val="21"/>
                <w:highlight w:val="none"/>
              </w:rPr>
              <w:t>服务承诺</w:t>
            </w:r>
          </w:p>
        </w:tc>
        <w:tc>
          <w:tcPr>
            <w:tcW w:w="736" w:type="dxa"/>
            <w:noWrap w:val="0"/>
            <w:vAlign w:val="center"/>
          </w:tcPr>
          <w:p w14:paraId="22B151F2">
            <w:pPr>
              <w:keepNext w:val="0"/>
              <w:keepLines w:val="0"/>
              <w:suppressLineNumbers w:val="0"/>
              <w:spacing w:before="0" w:beforeAutospacing="0" w:after="0" w:afterAutospacing="0"/>
              <w:ind w:left="0" w:leftChars="0" w:right="0" w:rightChars="0"/>
              <w:jc w:val="center"/>
              <w:rPr>
                <w:rFonts w:hint="eastAsia" w:ascii="宋体" w:hAnsi="宋体"/>
                <w:color w:val="000000"/>
                <w:szCs w:val="21"/>
                <w:highlight w:val="none"/>
              </w:rPr>
            </w:pP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rPr>
              <w:t>分</w:t>
            </w:r>
          </w:p>
        </w:tc>
        <w:tc>
          <w:tcPr>
            <w:tcW w:w="4708" w:type="dxa"/>
            <w:noWrap w:val="0"/>
            <w:vAlign w:val="center"/>
          </w:tcPr>
          <w:p w14:paraId="69795554">
            <w:pPr>
              <w:keepNext w:val="0"/>
              <w:keepLines w:val="0"/>
              <w:widowControl/>
              <w:suppressLineNumbers w:val="0"/>
              <w:spacing w:before="0" w:beforeAutospacing="0" w:after="0" w:afterAutospacing="0"/>
              <w:ind w:left="0" w:right="0"/>
              <w:jc w:val="lef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提供服务承诺，承诺包含：（1）高速快捷的支持服务体系；（2）服从招标单位管理、工作安排；</w:t>
            </w:r>
            <w:r>
              <w:rPr>
                <w:rFonts w:hint="eastAsia" w:ascii="宋体" w:hAnsi="宋体" w:eastAsia="宋体" w:cs="宋体"/>
                <w:kern w:val="0"/>
                <w:sz w:val="21"/>
                <w:szCs w:val="21"/>
                <w:highlight w:val="none"/>
                <w:lang w:val="en-US" w:eastAsia="zh-CN"/>
              </w:rPr>
              <w:t>(</w:t>
            </w:r>
            <w:r>
              <w:rPr>
                <w:rFonts w:hint="eastAsia" w:ascii="宋体" w:hAnsi="宋体" w:cs="宋体"/>
                <w:kern w:val="0"/>
                <w:sz w:val="21"/>
                <w:szCs w:val="21"/>
                <w:highlight w:val="none"/>
                <w:lang w:val="en-US" w:eastAsia="zh-CN"/>
              </w:rPr>
              <w:t>3</w:t>
            </w:r>
            <w:r>
              <w:rPr>
                <w:rFonts w:hint="eastAsia" w:ascii="宋体" w:hAnsi="宋体" w:eastAsia="宋体" w:cs="宋体"/>
                <w:kern w:val="0"/>
                <w:sz w:val="21"/>
                <w:szCs w:val="21"/>
                <w:highlight w:val="none"/>
                <w:lang w:val="en-US" w:eastAsia="zh-CN"/>
              </w:rPr>
              <w:t>)对工程进入质保期的质保措施、响应时间、联系方式等阐述详细、明确,</w:t>
            </w:r>
            <w:r>
              <w:rPr>
                <w:rFonts w:hint="eastAsia" w:ascii="宋体" w:hAnsi="宋体" w:eastAsia="宋体" w:cs="宋体"/>
                <w:kern w:val="0"/>
                <w:sz w:val="21"/>
                <w:szCs w:val="21"/>
                <w:highlight w:val="none"/>
              </w:rPr>
              <w:t>满足的得</w:t>
            </w:r>
            <w:r>
              <w:rPr>
                <w:rFonts w:hint="eastAsia" w:ascii="宋体" w:hAnsi="宋体" w:eastAsia="宋体" w:cs="宋体"/>
                <w:kern w:val="0"/>
                <w:sz w:val="21"/>
                <w:szCs w:val="21"/>
                <w:highlight w:val="none"/>
                <w:lang w:val="en-US" w:eastAsia="zh-CN"/>
              </w:rPr>
              <w:t>5</w:t>
            </w:r>
            <w:r>
              <w:rPr>
                <w:rFonts w:hint="eastAsia" w:ascii="宋体" w:hAnsi="宋体" w:eastAsia="宋体" w:cs="宋体"/>
                <w:kern w:val="0"/>
                <w:sz w:val="21"/>
                <w:szCs w:val="21"/>
                <w:highlight w:val="none"/>
              </w:rPr>
              <w:t>分，其他的不得分。</w:t>
            </w:r>
          </w:p>
          <w:p w14:paraId="1EAFB0AB">
            <w:pPr>
              <w:keepNext w:val="0"/>
              <w:keepLines w:val="0"/>
              <w:suppressLineNumbers w:val="0"/>
              <w:spacing w:before="0" w:beforeAutospacing="0" w:after="0" w:afterAutospacing="0" w:line="240" w:lineRule="auto"/>
              <w:ind w:left="0" w:leftChars="0" w:right="0" w:rightChars="0"/>
              <w:rPr>
                <w:rFonts w:hint="default"/>
                <w:highlight w:val="none"/>
              </w:rPr>
            </w:pPr>
            <w:r>
              <w:rPr>
                <w:rFonts w:hint="eastAsia" w:ascii="宋体" w:hAnsi="宋体" w:eastAsia="宋体" w:cs="宋体"/>
                <w:kern w:val="0"/>
                <w:sz w:val="21"/>
                <w:szCs w:val="21"/>
                <w:highlight w:val="none"/>
              </w:rPr>
              <w:t>注：技术标采用暗标评审，承诺书不得出现投标单位名称且不得签章。</w:t>
            </w:r>
          </w:p>
        </w:tc>
        <w:tc>
          <w:tcPr>
            <w:tcW w:w="2025" w:type="dxa"/>
            <w:noWrap w:val="0"/>
            <w:vAlign w:val="center"/>
          </w:tcPr>
          <w:p w14:paraId="1123E75B">
            <w:pPr>
              <w:keepNext w:val="0"/>
              <w:keepLines w:val="0"/>
              <w:suppressLineNumbers w:val="0"/>
              <w:spacing w:before="0" w:beforeAutospacing="0" w:after="0" w:afterAutospacing="0" w:line="240" w:lineRule="auto"/>
              <w:ind w:left="0" w:leftChars="0" w:right="0" w:rightChars="0"/>
              <w:jc w:val="center"/>
              <w:rPr>
                <w:rFonts w:hint="eastAsia" w:ascii="宋体" w:hAnsi="宋体" w:cs="宋体"/>
                <w:szCs w:val="21"/>
                <w:highlight w:val="none"/>
              </w:rPr>
            </w:pPr>
            <w:r>
              <w:rPr>
                <w:rFonts w:hint="eastAsia" w:ascii="宋体" w:hAnsi="宋体" w:eastAsia="宋体" w:cs="宋体"/>
                <w:sz w:val="21"/>
                <w:szCs w:val="21"/>
                <w:highlight w:val="none"/>
                <w:lang w:val="zh-TW"/>
              </w:rPr>
              <w:t>技术标中须能充分有效反映出本评分项内容</w:t>
            </w:r>
            <w:r>
              <w:rPr>
                <w:rFonts w:hint="eastAsia" w:ascii="宋体" w:hAnsi="宋体" w:cs="宋体"/>
                <w:sz w:val="21"/>
                <w:szCs w:val="21"/>
                <w:highlight w:val="none"/>
                <w:lang w:val="zh-TW" w:eastAsia="zh-CN"/>
              </w:rPr>
              <w:t>。</w:t>
            </w:r>
          </w:p>
        </w:tc>
      </w:tr>
    </w:tbl>
    <w:p w14:paraId="10DD2159">
      <w:pPr>
        <w:spacing w:line="440" w:lineRule="exact"/>
        <w:ind w:firstLine="420" w:firstLineChars="200"/>
        <w:jc w:val="left"/>
        <w:rPr>
          <w:rFonts w:hint="eastAsia"/>
          <w:b/>
          <w:color w:val="000000"/>
          <w:szCs w:val="21"/>
          <w:highlight w:val="none"/>
        </w:rPr>
      </w:pPr>
      <w:r>
        <w:rPr>
          <w:rFonts w:hint="eastAsia"/>
          <w:b/>
          <w:color w:val="000000"/>
          <w:szCs w:val="21"/>
          <w:highlight w:val="none"/>
        </w:rPr>
        <w:t>注：各投标人技术标总得分为各评委评分的平均值为最终得分。取两位小数，小数点后第三位四舍五入。</w:t>
      </w:r>
    </w:p>
    <w:p w14:paraId="7C807624">
      <w:pPr>
        <w:spacing w:line="440" w:lineRule="exact"/>
        <w:ind w:firstLine="420" w:firstLineChars="200"/>
        <w:rPr>
          <w:rFonts w:hint="eastAsia" w:ascii="宋体" w:hAnsi="宋体" w:cs="宋体"/>
          <w:b/>
          <w:bCs/>
          <w:szCs w:val="21"/>
          <w:highlight w:val="none"/>
        </w:rPr>
      </w:pPr>
      <w:r>
        <w:rPr>
          <w:rFonts w:hint="eastAsia" w:ascii="宋体" w:hAnsi="宋体" w:cs="宋体"/>
          <w:b/>
          <w:bCs/>
          <w:szCs w:val="21"/>
          <w:highlight w:val="none"/>
        </w:rPr>
        <w:t>4.商务标评审（</w:t>
      </w:r>
      <w:r>
        <w:rPr>
          <w:rFonts w:hint="eastAsia" w:ascii="宋体" w:hAnsi="宋体" w:cs="宋体"/>
          <w:b/>
          <w:bCs/>
          <w:szCs w:val="21"/>
          <w:highlight w:val="none"/>
          <w:lang w:val="en-US" w:eastAsia="zh-CN"/>
        </w:rPr>
        <w:t>60</w:t>
      </w:r>
      <w:r>
        <w:rPr>
          <w:rFonts w:hint="eastAsia" w:ascii="宋体" w:hAnsi="宋体" w:cs="宋体"/>
          <w:b/>
          <w:bCs/>
          <w:szCs w:val="21"/>
          <w:highlight w:val="none"/>
        </w:rPr>
        <w:t>分）</w:t>
      </w:r>
    </w:p>
    <w:tbl>
      <w:tblPr>
        <w:tblStyle w:val="2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1720"/>
        <w:gridCol w:w="5384"/>
      </w:tblGrid>
      <w:tr w14:paraId="2C20E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204043F7">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序号</w:t>
            </w:r>
          </w:p>
        </w:tc>
        <w:tc>
          <w:tcPr>
            <w:tcW w:w="2924" w:type="dxa"/>
            <w:gridSpan w:val="2"/>
            <w:noWrap w:val="0"/>
            <w:vAlign w:val="center"/>
          </w:tcPr>
          <w:p w14:paraId="7681F68A">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5384" w:type="dxa"/>
            <w:noWrap w:val="0"/>
            <w:vAlign w:val="center"/>
          </w:tcPr>
          <w:p w14:paraId="55F37593">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2E736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483FD25D">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77490029">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1720" w:type="dxa"/>
            <w:noWrap w:val="0"/>
            <w:vAlign w:val="center"/>
          </w:tcPr>
          <w:p w14:paraId="153847B7">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5384" w:type="dxa"/>
            <w:noWrap w:val="0"/>
            <w:vAlign w:val="center"/>
          </w:tcPr>
          <w:p w14:paraId="67B20026">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5638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5C5E4E66">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4B9956EB">
            <w:pPr>
              <w:keepNext w:val="0"/>
              <w:keepLines w:val="0"/>
              <w:suppressLineNumbers w:val="0"/>
              <w:spacing w:before="0" w:beforeAutospacing="0" w:after="0" w:afterAutospacing="0" w:line="320" w:lineRule="atLeast"/>
              <w:ind w:left="0" w:right="0"/>
              <w:rPr>
                <w:rFonts w:hint="default"/>
                <w:color w:val="000000"/>
                <w:highlight w:val="none"/>
              </w:rPr>
            </w:pPr>
          </w:p>
        </w:tc>
        <w:tc>
          <w:tcPr>
            <w:tcW w:w="1720" w:type="dxa"/>
            <w:noWrap w:val="0"/>
            <w:vAlign w:val="center"/>
          </w:tcPr>
          <w:p w14:paraId="3D968CD9">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5384" w:type="dxa"/>
            <w:noWrap w:val="0"/>
            <w:vAlign w:val="center"/>
          </w:tcPr>
          <w:p w14:paraId="36E7D539">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符合第七章“投标文件格式”的要求。</w:t>
            </w:r>
          </w:p>
        </w:tc>
      </w:tr>
      <w:tr w14:paraId="0DC7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0A13611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2D4DD7E8">
            <w:pPr>
              <w:keepNext w:val="0"/>
              <w:keepLines w:val="0"/>
              <w:suppressLineNumbers w:val="0"/>
              <w:spacing w:before="0" w:beforeAutospacing="0" w:after="0" w:afterAutospacing="0" w:line="320" w:lineRule="atLeast"/>
              <w:ind w:left="0" w:right="0"/>
              <w:rPr>
                <w:rFonts w:hint="default"/>
                <w:color w:val="000000"/>
                <w:highlight w:val="none"/>
              </w:rPr>
            </w:pPr>
          </w:p>
        </w:tc>
        <w:tc>
          <w:tcPr>
            <w:tcW w:w="1720" w:type="dxa"/>
            <w:noWrap w:val="0"/>
            <w:vAlign w:val="center"/>
          </w:tcPr>
          <w:p w14:paraId="123D5328">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商务标签字盖章</w:t>
            </w:r>
          </w:p>
        </w:tc>
        <w:tc>
          <w:tcPr>
            <w:tcW w:w="5384" w:type="dxa"/>
            <w:noWrap w:val="0"/>
            <w:vAlign w:val="center"/>
          </w:tcPr>
          <w:p w14:paraId="6F92A9A8">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10B6B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19B86F7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2B574AEC">
            <w:pPr>
              <w:keepNext w:val="0"/>
              <w:keepLines w:val="0"/>
              <w:suppressLineNumbers w:val="0"/>
              <w:spacing w:before="0" w:beforeAutospacing="0" w:after="0" w:afterAutospacing="0" w:line="320" w:lineRule="atLeast"/>
              <w:ind w:left="0" w:right="0"/>
              <w:rPr>
                <w:rFonts w:hint="default"/>
                <w:color w:val="000000"/>
                <w:highlight w:val="none"/>
              </w:rPr>
            </w:pPr>
          </w:p>
        </w:tc>
        <w:tc>
          <w:tcPr>
            <w:tcW w:w="1720" w:type="dxa"/>
            <w:noWrap w:val="0"/>
            <w:vAlign w:val="center"/>
          </w:tcPr>
          <w:p w14:paraId="1005F593">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5384" w:type="dxa"/>
            <w:noWrap w:val="0"/>
            <w:vAlign w:val="center"/>
          </w:tcPr>
          <w:p w14:paraId="0C9AF306">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2C91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56E77836">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042D3035">
            <w:pPr>
              <w:keepNext w:val="0"/>
              <w:keepLines w:val="0"/>
              <w:suppressLineNumbers w:val="0"/>
              <w:adjustRightInd w:val="0"/>
              <w:snapToGrid w:val="0"/>
              <w:spacing w:before="0" w:beforeAutospacing="0" w:after="0" w:afterAutospacing="0" w:line="560" w:lineRule="exact"/>
              <w:ind w:left="0" w:right="0"/>
              <w:jc w:val="center"/>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1720" w:type="dxa"/>
            <w:noWrap w:val="0"/>
            <w:vAlign w:val="center"/>
          </w:tcPr>
          <w:p w14:paraId="18EBF03D">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期</w:t>
            </w:r>
          </w:p>
        </w:tc>
        <w:tc>
          <w:tcPr>
            <w:tcW w:w="5384" w:type="dxa"/>
            <w:noWrap w:val="0"/>
            <w:vAlign w:val="center"/>
          </w:tcPr>
          <w:p w14:paraId="0DBD49BA">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1D77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15B44954">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2F4DDA67">
            <w:pPr>
              <w:keepNext w:val="0"/>
              <w:keepLines w:val="0"/>
              <w:suppressLineNumbers w:val="0"/>
              <w:spacing w:before="0" w:beforeAutospacing="0" w:after="0" w:afterAutospacing="0" w:line="320" w:lineRule="atLeast"/>
              <w:ind w:left="0" w:right="0"/>
              <w:rPr>
                <w:rFonts w:hint="default"/>
                <w:color w:val="000000"/>
                <w:highlight w:val="none"/>
              </w:rPr>
            </w:pPr>
          </w:p>
        </w:tc>
        <w:tc>
          <w:tcPr>
            <w:tcW w:w="1720" w:type="dxa"/>
            <w:noWrap w:val="0"/>
            <w:vAlign w:val="center"/>
          </w:tcPr>
          <w:p w14:paraId="3A9C5088">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5384" w:type="dxa"/>
            <w:noWrap w:val="0"/>
            <w:vAlign w:val="center"/>
          </w:tcPr>
          <w:p w14:paraId="5E8C6CAF">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361B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A49CC21">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6BB38942">
            <w:pPr>
              <w:keepNext w:val="0"/>
              <w:keepLines w:val="0"/>
              <w:suppressLineNumbers w:val="0"/>
              <w:spacing w:before="0" w:beforeAutospacing="0" w:after="0" w:afterAutospacing="0" w:line="320" w:lineRule="atLeast"/>
              <w:ind w:left="0" w:right="0"/>
              <w:rPr>
                <w:rFonts w:hint="default"/>
                <w:color w:val="000000"/>
                <w:highlight w:val="none"/>
              </w:rPr>
            </w:pPr>
          </w:p>
        </w:tc>
        <w:tc>
          <w:tcPr>
            <w:tcW w:w="1720" w:type="dxa"/>
            <w:noWrap w:val="0"/>
            <w:vAlign w:val="center"/>
          </w:tcPr>
          <w:p w14:paraId="2E9F53A7">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投标报价评审</w:t>
            </w:r>
          </w:p>
        </w:tc>
        <w:tc>
          <w:tcPr>
            <w:tcW w:w="5384" w:type="dxa"/>
            <w:noWrap w:val="0"/>
            <w:vAlign w:val="center"/>
          </w:tcPr>
          <w:p w14:paraId="69B55B8F">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pacing w:val="-6"/>
                <w:szCs w:val="21"/>
                <w:highlight w:val="none"/>
              </w:rPr>
              <w:t>不得高于最高投标限价。</w:t>
            </w:r>
          </w:p>
        </w:tc>
      </w:tr>
      <w:tr w14:paraId="2EBE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noWrap w:val="0"/>
            <w:vAlign w:val="center"/>
          </w:tcPr>
          <w:p w14:paraId="1A91E221">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pacing w:val="-6"/>
                <w:szCs w:val="21"/>
                <w:highlight w:val="none"/>
              </w:rPr>
            </w:pPr>
            <w:r>
              <w:rPr>
                <w:rFonts w:hint="eastAsia" w:ascii="宋体" w:hAnsi="宋体" w:cs="宋体"/>
                <w:color w:val="000000"/>
                <w:spacing w:val="-6"/>
                <w:szCs w:val="21"/>
                <w:highlight w:val="none"/>
              </w:rPr>
              <w:t>3</w:t>
            </w:r>
          </w:p>
        </w:tc>
        <w:tc>
          <w:tcPr>
            <w:tcW w:w="2924" w:type="dxa"/>
            <w:gridSpan w:val="2"/>
            <w:noWrap w:val="0"/>
            <w:vAlign w:val="center"/>
          </w:tcPr>
          <w:p w14:paraId="474D54A5">
            <w:pPr>
              <w:keepNext w:val="0"/>
              <w:keepLines w:val="0"/>
              <w:suppressLineNumbers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投标报价（</w:t>
            </w:r>
            <w:r>
              <w:rPr>
                <w:rFonts w:hint="eastAsia" w:ascii="宋体" w:hAnsi="宋体" w:eastAsia="宋体" w:cs="宋体"/>
                <w:szCs w:val="21"/>
                <w:highlight w:val="none"/>
                <w:lang w:val="en-US" w:eastAsia="zh-CN"/>
              </w:rPr>
              <w:t>60</w:t>
            </w:r>
            <w:r>
              <w:rPr>
                <w:rFonts w:hint="eastAsia" w:ascii="宋体" w:hAnsi="宋体" w:eastAsia="宋体" w:cs="宋体"/>
                <w:szCs w:val="21"/>
                <w:highlight w:val="none"/>
              </w:rPr>
              <w:t>分）</w:t>
            </w:r>
          </w:p>
        </w:tc>
        <w:tc>
          <w:tcPr>
            <w:tcW w:w="5384" w:type="dxa"/>
            <w:noWrap w:val="0"/>
            <w:vAlign w:val="center"/>
          </w:tcPr>
          <w:p w14:paraId="2CDF8E50">
            <w:pPr>
              <w:keepNext w:val="0"/>
              <w:keepLines w:val="0"/>
              <w:suppressLineNumbers w:val="0"/>
              <w:adjustRightInd w:val="0"/>
              <w:snapToGrid w:val="0"/>
              <w:spacing w:before="0" w:beforeAutospacing="0" w:after="0" w:afterAutospacing="0" w:line="440" w:lineRule="exact"/>
              <w:ind w:left="0" w:right="0"/>
              <w:jc w:val="both"/>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1.评标基准价=所有通过商务标详细评审的</w:t>
            </w:r>
            <w:r>
              <w:rPr>
                <w:rFonts w:hint="eastAsia"/>
                <w:highlight w:val="none"/>
              </w:rPr>
              <w:t>有效投标人的最低报价</w:t>
            </w:r>
            <w:r>
              <w:rPr>
                <w:rFonts w:hint="eastAsia" w:ascii="宋体" w:hAnsi="宋体" w:eastAsia="宋体" w:cs="宋体"/>
                <w:szCs w:val="21"/>
                <w:highlight w:val="none"/>
                <w:lang w:val="en-US" w:eastAsia="zh-CN"/>
              </w:rPr>
              <w:t>；其得分为满分；</w:t>
            </w:r>
          </w:p>
          <w:p w14:paraId="675DAE3A">
            <w:pPr>
              <w:keepNext w:val="0"/>
              <w:keepLines w:val="0"/>
              <w:suppressLineNumbers w:val="0"/>
              <w:adjustRightInd w:val="0"/>
              <w:snapToGrid w:val="0"/>
              <w:spacing w:before="0" w:beforeAutospacing="0" w:after="0" w:afterAutospacing="0" w:line="440" w:lineRule="exact"/>
              <w:ind w:left="0" w:right="0"/>
              <w:jc w:val="both"/>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2.其它报价得分=评标基准价/投标报价*60分，小数点后保留二位小数，第三位四舍五入；</w:t>
            </w:r>
          </w:p>
          <w:p w14:paraId="14840764">
            <w:pPr>
              <w:keepNext w:val="0"/>
              <w:keepLines w:val="0"/>
              <w:suppressLineNumbers w:val="0"/>
              <w:adjustRightInd w:val="0"/>
              <w:snapToGrid w:val="0"/>
              <w:spacing w:before="0" w:beforeAutospacing="0" w:after="0" w:afterAutospacing="0" w:line="440" w:lineRule="exact"/>
              <w:ind w:left="0" w:right="0"/>
              <w:jc w:val="both"/>
              <w:rPr>
                <w:rFonts w:hint="eastAsia" w:ascii="宋体" w:hAnsi="宋体" w:eastAsia="宋体" w:cs="宋体"/>
                <w:szCs w:val="21"/>
                <w:highlight w:val="none"/>
              </w:rPr>
            </w:pPr>
            <w:r>
              <w:rPr>
                <w:rFonts w:hint="eastAsia" w:ascii="宋体" w:hAnsi="宋体" w:eastAsia="宋体" w:cs="宋体"/>
                <w:szCs w:val="21"/>
                <w:highlight w:val="none"/>
                <w:lang w:val="en-US" w:eastAsia="zh-CN"/>
              </w:rPr>
              <w:t>3.本项分值由评标委员会负责组织计算。</w:t>
            </w:r>
          </w:p>
        </w:tc>
      </w:tr>
    </w:tbl>
    <w:p w14:paraId="780AE0A3">
      <w:pPr>
        <w:spacing w:line="380" w:lineRule="exact"/>
        <w:ind w:firstLine="420" w:firstLineChars="200"/>
        <w:rPr>
          <w:rFonts w:ascii="宋体" w:hAnsi="宋体" w:cs="宋体"/>
          <w:b/>
          <w:szCs w:val="21"/>
          <w:highlight w:val="none"/>
        </w:rPr>
      </w:pPr>
      <w:r>
        <w:rPr>
          <w:rFonts w:hint="eastAsia" w:ascii="宋体" w:hAnsi="宋体" w:cs="宋体"/>
          <w:b/>
          <w:szCs w:val="21"/>
          <w:highlight w:val="none"/>
        </w:rPr>
        <w:t>商务标评审表注：</w:t>
      </w:r>
    </w:p>
    <w:p w14:paraId="307503DE">
      <w:pPr>
        <w:adjustRightInd w:val="0"/>
        <w:snapToGrid w:val="0"/>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（1）只有通过商务标详细评审的有效投标人才能参加评分。</w:t>
      </w:r>
    </w:p>
    <w:p w14:paraId="725094F3">
      <w:pPr>
        <w:adjustRightInd w:val="0"/>
        <w:snapToGrid w:val="0"/>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（2）本表所称投标报价是指按招标文件规定修正后的投标总报价（多算投标报价、多报费用不扣减）。</w:t>
      </w:r>
    </w:p>
    <w:p w14:paraId="11D69E49">
      <w:pPr>
        <w:spacing w:line="440" w:lineRule="exact"/>
        <w:ind w:firstLine="315" w:firstLineChars="150"/>
        <w:jc w:val="left"/>
        <w:rPr>
          <w:rFonts w:hint="eastAsia" w:ascii="宋体" w:hAnsi="宋体" w:cs="宋体"/>
          <w:szCs w:val="21"/>
          <w:highlight w:val="none"/>
        </w:rPr>
      </w:pPr>
      <w:r>
        <w:rPr>
          <w:rFonts w:hint="eastAsia" w:ascii="宋体" w:hAnsi="宋体" w:cs="宋体"/>
          <w:szCs w:val="21"/>
          <w:highlight w:val="none"/>
        </w:rPr>
        <w:t>（3）评标办法中的评标基准价计算出来后，除数字计算错误外，其他情况均不再调整。</w:t>
      </w:r>
    </w:p>
    <w:p w14:paraId="2CFD1B8F">
      <w:pPr>
        <w:spacing w:line="440" w:lineRule="exact"/>
        <w:ind w:firstLine="315"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14:paraId="3C56831D">
      <w:pPr>
        <w:adjustRightInd w:val="0"/>
        <w:snapToGrid w:val="0"/>
        <w:spacing w:line="440" w:lineRule="exact"/>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1.1</w:t>
      </w:r>
      <w:r>
        <w:rPr>
          <w:rFonts w:hint="eastAsia" w:ascii="宋体" w:hAnsi="宋体" w:cs="宋体"/>
          <w:szCs w:val="21"/>
          <w:highlight w:val="none"/>
        </w:rPr>
        <w:t>本次评标采用综合评估法。评标委员会对满足招标文件实质性要求的投标文件，按照本章规定的评分标准进行打分，并按总得分由高到低顺序推荐中标候选人3名，并标明排序，但投标报价低于其成本的除外。如总得分相等，以投标报价低的优先，投标报价仍相等，由评标委员会主任委员或招标人随机抽取确定排名。</w:t>
      </w:r>
    </w:p>
    <w:p w14:paraId="48B37EC7">
      <w:pPr>
        <w:spacing w:line="440" w:lineRule="exact"/>
        <w:ind w:firstLine="315"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613A3F3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534DE6AC">
      <w:pPr>
        <w:numPr>
          <w:ilvl w:val="0"/>
          <w:numId w:val="3"/>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527957BB">
      <w:pPr>
        <w:spacing w:line="440" w:lineRule="exact"/>
        <w:ind w:firstLine="315" w:firstLineChars="150"/>
        <w:jc w:val="left"/>
        <w:rPr>
          <w:rFonts w:hint="eastAsia" w:ascii="宋体" w:hAnsi="宋体"/>
          <w:color w:val="000000"/>
          <w:szCs w:val="21"/>
          <w:highlight w:val="none"/>
        </w:rPr>
      </w:pPr>
      <w:bookmarkStart w:id="59" w:name="_Toc95223402"/>
      <w:r>
        <w:rPr>
          <w:rFonts w:hint="eastAsia" w:ascii="宋体" w:hAnsi="宋体"/>
          <w:color w:val="000000"/>
          <w:szCs w:val="21"/>
          <w:highlight w:val="none"/>
        </w:rPr>
        <w:t>评标先做准备工作，再进行资格、技术标评审，然后进行商务标评审。</w:t>
      </w:r>
    </w:p>
    <w:p w14:paraId="47B24EE5">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59"/>
    </w:p>
    <w:p w14:paraId="63D5A20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2A36535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0" w:name="_Toc60061499"/>
      <w:bookmarkStart w:id="61" w:name="_Toc15058916"/>
      <w:r>
        <w:rPr>
          <w:rFonts w:hint="eastAsia" w:ascii="宋体" w:hAnsi="宋体" w:eastAsia="宋体" w:cs="宋体"/>
          <w:color w:val="000000"/>
          <w:highlight w:val="none"/>
        </w:rPr>
        <w:t>托的代理机构编</w:t>
      </w:r>
      <w:bookmarkEnd w:id="60"/>
      <w:bookmarkEnd w:id="61"/>
      <w:r>
        <w:rPr>
          <w:rFonts w:hint="eastAsia" w:ascii="宋体" w:hAnsi="宋体" w:eastAsia="宋体" w:cs="宋体"/>
          <w:color w:val="000000"/>
          <w:highlight w:val="none"/>
        </w:rPr>
        <w:t>制的招标项目情况材料。</w:t>
      </w:r>
    </w:p>
    <w:p w14:paraId="569B513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（2）阅读、研究招标文件和相关评标资料，获取评标所需要的重要信息和数据，至少应了解和熟悉以下内容：招标项目的范围和性质，招标文件规定的主要技术要求、标准和条款。</w:t>
      </w:r>
    </w:p>
    <w:p w14:paraId="3171DABC">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644F3A0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2CEA3350">
      <w:pPr>
        <w:spacing w:line="440" w:lineRule="exact"/>
        <w:ind w:firstLine="315" w:firstLineChars="150"/>
        <w:jc w:val="left"/>
        <w:rPr>
          <w:rFonts w:hint="eastAsia" w:ascii="宋体" w:hAnsi="宋体" w:eastAsia="宋体" w:cs="宋体"/>
          <w:color w:val="000000"/>
          <w:highlight w:val="none"/>
        </w:rPr>
      </w:pPr>
      <w:bookmarkStart w:id="62" w:name="_Toc15058917"/>
      <w:bookmarkStart w:id="63" w:name="_Toc60061500"/>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2"/>
      <w:bookmarkEnd w:id="63"/>
      <w:r>
        <w:rPr>
          <w:rFonts w:hint="eastAsia" w:ascii="宋体" w:hAnsi="宋体" w:eastAsia="宋体" w:cs="宋体"/>
          <w:color w:val="000000"/>
          <w:highlight w:val="none"/>
        </w:rPr>
        <w:t>选人</w:t>
      </w:r>
    </w:p>
    <w:p w14:paraId="0994DDA8">
      <w:pPr>
        <w:spacing w:line="440" w:lineRule="exact"/>
        <w:ind w:firstLine="315" w:firstLineChars="150"/>
        <w:jc w:val="left"/>
        <w:rPr>
          <w:rFonts w:hint="eastAsia" w:ascii="宋体" w:hAnsi="宋体" w:cs="宋体"/>
          <w:color w:val="000000"/>
          <w:highlight w:val="none"/>
        </w:rPr>
      </w:pPr>
      <w:bookmarkStart w:id="64" w:name="_Toc95223405"/>
      <w:r>
        <w:rPr>
          <w:rFonts w:hint="eastAsia" w:ascii="宋体" w:hAnsi="宋体" w:cs="宋体"/>
          <w:color w:val="000000"/>
          <w:highlight w:val="none"/>
        </w:rPr>
        <w:t>资信评审、技术标评审、商务标评审后，推荐中标候选人，并标明排序。</w:t>
      </w:r>
    </w:p>
    <w:p w14:paraId="7143A2D1">
      <w:pPr>
        <w:numPr>
          <w:ilvl w:val="0"/>
          <w:numId w:val="3"/>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评审内容</w:t>
      </w:r>
      <w:bookmarkEnd w:id="64"/>
    </w:p>
    <w:p w14:paraId="260B4007">
      <w:pPr>
        <w:spacing w:line="440" w:lineRule="exact"/>
        <w:ind w:firstLine="315" w:firstLineChars="150"/>
        <w:jc w:val="left"/>
        <w:rPr>
          <w:rFonts w:hint="eastAsia" w:ascii="宋体" w:hAnsi="宋体" w:eastAsia="宋体" w:cs="宋体"/>
          <w:color w:val="000000"/>
          <w:szCs w:val="21"/>
          <w:highlight w:val="none"/>
        </w:rPr>
      </w:pPr>
      <w:bookmarkStart w:id="65"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65"/>
    </w:p>
    <w:p w14:paraId="5FF7779C">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14:paraId="6957BFB6">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66" w:name="_Toc15058921"/>
      <w:bookmarkStart w:id="67" w:name="_Toc60061504"/>
      <w:r>
        <w:rPr>
          <w:rFonts w:hint="eastAsia" w:ascii="宋体" w:hAnsi="宋体" w:eastAsia="宋体" w:cs="宋体"/>
          <w:color w:val="000000"/>
          <w:szCs w:val="21"/>
          <w:highlight w:val="none"/>
        </w:rPr>
        <w:t>形式性评审标准：</w:t>
      </w:r>
      <w:bookmarkEnd w:id="66"/>
      <w:bookmarkEnd w:id="67"/>
      <w:r>
        <w:rPr>
          <w:rFonts w:hint="eastAsia" w:ascii="宋体" w:hAnsi="宋体" w:cs="宋体"/>
          <w:color w:val="000000"/>
          <w:highlight w:val="none"/>
        </w:rPr>
        <w:t>见商务标评审表。</w:t>
      </w:r>
    </w:p>
    <w:p w14:paraId="1B1DC8DE">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w:t>
      </w:r>
      <w:r>
        <w:rPr>
          <w:rFonts w:hint="eastAsia" w:ascii="宋体" w:hAnsi="宋体" w:cs="宋体"/>
          <w:color w:val="000000"/>
          <w:highlight w:val="none"/>
        </w:rPr>
        <w:t>见商务标评审表。</w:t>
      </w:r>
    </w:p>
    <w:p w14:paraId="34389D73">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14:paraId="1F6C7561">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w:t>
      </w:r>
      <w:r>
        <w:rPr>
          <w:rFonts w:hint="eastAsia" w:ascii="宋体" w:hAnsi="宋体" w:cs="宋体"/>
          <w:color w:val="000000"/>
          <w:highlight w:val="none"/>
        </w:rPr>
        <w:t>见商务标评审表。</w:t>
      </w:r>
    </w:p>
    <w:p w14:paraId="3E7F582F">
      <w:pPr>
        <w:numPr>
          <w:ilvl w:val="0"/>
          <w:numId w:val="3"/>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68" w:name="_Hlk61815781"/>
      <w:r>
        <w:rPr>
          <w:rFonts w:hint="eastAsia" w:ascii="宋体" w:hAnsi="Times New Roman" w:eastAsia="宋体" w:cs="Times New Roman"/>
          <w:b/>
          <w:color w:val="000000"/>
          <w:szCs w:val="21"/>
          <w:highlight w:val="none"/>
          <w:lang w:val="en-US" w:eastAsia="zh-CN"/>
        </w:rPr>
        <w:t>无效投标条款</w:t>
      </w:r>
    </w:p>
    <w:p w14:paraId="6F5F5736">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.1投标人存在下列情形的招标人将拒收投标文件：</w:t>
      </w:r>
    </w:p>
    <w:p w14:paraId="465E634E">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（1）未在投标截止时间前通过电子邮箱递交有效电子投标文件的，投标将被拒绝。</w:t>
      </w:r>
    </w:p>
    <w:p w14:paraId="1B53F403">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（3）未在规定时间内发送密码或发送的密码无法正确打开投标文件的，投标文件将被拒绝。</w:t>
      </w:r>
    </w:p>
    <w:p w14:paraId="2DBC48E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.2其他无效投标情况：</w:t>
      </w:r>
    </w:p>
    <w:p w14:paraId="59985E4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94D9E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47D611A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37FD051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7766F0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w:t>
      </w:r>
    </w:p>
    <w:p w14:paraId="3C45BF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4F5F15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6E9B9B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14:paraId="7FCDD91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03BB2C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14:paraId="145E5A9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8"/>
    <w:p w14:paraId="784675F0">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69" w:name="_Toc95223439"/>
      <w:r>
        <w:rPr>
          <w:rFonts w:hint="eastAsia" w:ascii="宋体" w:hAnsi="Times New Roman" w:eastAsia="宋体" w:cs="Times New Roman"/>
          <w:b/>
          <w:color w:val="000000"/>
          <w:szCs w:val="21"/>
          <w:highlight w:val="none"/>
          <w:lang w:val="en-US" w:eastAsia="zh-CN"/>
        </w:rPr>
        <w:t>6.投标文件的澄清和补正</w:t>
      </w:r>
      <w:bookmarkEnd w:id="69"/>
    </w:p>
    <w:p w14:paraId="23C52B2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1BC46C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414C098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684FD526">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36F1BC">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14:paraId="2C7E9869">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450ED2AD">
      <w:pPr>
        <w:spacing w:line="440" w:lineRule="exact"/>
        <w:ind w:firstLine="420" w:firstLineChars="200"/>
        <w:jc w:val="left"/>
        <w:rPr>
          <w:rFonts w:hint="eastAsia" w:ascii="宋体"/>
          <w:b/>
          <w:color w:val="000000"/>
          <w:szCs w:val="21"/>
          <w:highlight w:val="none"/>
        </w:rPr>
      </w:pPr>
      <w:bookmarkStart w:id="70" w:name="_Toc95223441"/>
      <w:r>
        <w:rPr>
          <w:rFonts w:hint="eastAsia" w:ascii="宋体"/>
          <w:b/>
          <w:color w:val="000000"/>
          <w:szCs w:val="21"/>
          <w:highlight w:val="none"/>
          <w:lang w:val="en-US" w:eastAsia="zh-CN"/>
        </w:rPr>
        <w:t>7</w:t>
      </w:r>
      <w:r>
        <w:rPr>
          <w:rFonts w:hint="eastAsia" w:ascii="宋体"/>
          <w:b/>
          <w:color w:val="000000"/>
          <w:szCs w:val="21"/>
          <w:highlight w:val="none"/>
        </w:rPr>
        <w:t>.评分标准</w:t>
      </w:r>
    </w:p>
    <w:p w14:paraId="77B241AB">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lang w:val="en-US" w:eastAsia="zh-CN"/>
        </w:rPr>
        <w:t>7</w:t>
      </w:r>
      <w:r>
        <w:rPr>
          <w:rFonts w:hint="eastAsia" w:ascii="宋体" w:hAnsi="宋体" w:cs="宋体"/>
          <w:color w:val="000000"/>
          <w:szCs w:val="21"/>
          <w:highlight w:val="none"/>
        </w:rPr>
        <w:t>.1资信标评分标准：见资信标评审表。</w:t>
      </w:r>
    </w:p>
    <w:p w14:paraId="3196C979">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lang w:val="en-US" w:eastAsia="zh-CN"/>
        </w:rPr>
        <w:t>7</w:t>
      </w:r>
      <w:r>
        <w:rPr>
          <w:rFonts w:hint="eastAsia" w:ascii="宋体" w:hAnsi="宋体" w:cs="宋体"/>
          <w:color w:val="000000"/>
          <w:szCs w:val="21"/>
          <w:highlight w:val="none"/>
        </w:rPr>
        <w:t>.2技术标评分标准：见技术标评审表。</w:t>
      </w:r>
    </w:p>
    <w:p w14:paraId="13206EC1">
      <w:pPr>
        <w:snapToGrid w:val="0"/>
        <w:spacing w:line="400" w:lineRule="exact"/>
        <w:ind w:firstLine="420"/>
        <w:rPr>
          <w:rFonts w:hint="eastAsia" w:ascii="宋体" w:hAnsi="Times New Roman" w:eastAsia="宋体" w:cs="Times New Roman"/>
          <w:b/>
          <w:color w:val="000000"/>
          <w:szCs w:val="21"/>
          <w:highlight w:val="none"/>
          <w:lang w:val="en-US" w:eastAsia="zh-CN"/>
        </w:rPr>
      </w:pPr>
      <w:r>
        <w:rPr>
          <w:rFonts w:hint="eastAsia" w:ascii="宋体" w:hAnsi="宋体" w:cs="宋体"/>
          <w:color w:val="000000"/>
          <w:szCs w:val="21"/>
          <w:highlight w:val="none"/>
          <w:lang w:val="en-US" w:eastAsia="zh-CN"/>
        </w:rPr>
        <w:t>7</w:t>
      </w:r>
      <w:r>
        <w:rPr>
          <w:rFonts w:hint="eastAsia" w:ascii="宋体" w:hAnsi="宋体" w:cs="宋体"/>
          <w:color w:val="000000"/>
          <w:szCs w:val="21"/>
          <w:highlight w:val="none"/>
        </w:rPr>
        <w:t>.3商务标评分标准：见商务标评审表。</w:t>
      </w:r>
    </w:p>
    <w:p w14:paraId="5EAE64D1">
      <w:pPr>
        <w:spacing w:line="440" w:lineRule="exact"/>
        <w:ind w:firstLine="420" w:firstLineChars="20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8.评审结果</w:t>
      </w:r>
      <w:bookmarkEnd w:id="70"/>
    </w:p>
    <w:p w14:paraId="0B7F15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.1除第二章“投标人须知”及其前附表授权直接确定中标人外，评标委员会按照</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顺序推荐中标候选人。</w:t>
      </w:r>
    </w:p>
    <w:p w14:paraId="1C3FFD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606CA10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36C8C68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2FD1F4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691384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47B581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01E1D0F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3893DA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44C3C3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6484A2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270F975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5EA3F9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.3依法必须进行招标的项目，招标人应当确定</w:t>
      </w:r>
      <w:r>
        <w:rPr>
          <w:rFonts w:hint="eastAsia" w:ascii="宋体" w:hAnsi="宋体" w:eastAsia="宋体" w:cs="宋体"/>
          <w:color w:val="000000"/>
          <w:szCs w:val="21"/>
          <w:highlight w:val="none"/>
          <w:lang w:val="en-US" w:eastAsia="zh-CN"/>
        </w:rPr>
        <w:t>经评审</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45F29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62B35C2">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1" w:name="_Toc95223442"/>
      <w:r>
        <w:rPr>
          <w:rFonts w:hint="eastAsia" w:ascii="宋体" w:hAnsi="Times New Roman" w:eastAsia="宋体" w:cs="Times New Roman"/>
          <w:b/>
          <w:color w:val="000000"/>
          <w:szCs w:val="21"/>
          <w:highlight w:val="none"/>
          <w:lang w:val="en-US" w:eastAsia="zh-CN"/>
        </w:rPr>
        <w:t>9.其他</w:t>
      </w:r>
      <w:bookmarkEnd w:id="71"/>
    </w:p>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9.1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6F860D82">
      <w:pPr>
        <w:keepNext w:val="0"/>
        <w:keepLines w:val="0"/>
        <w:pageBreakBefore w:val="0"/>
        <w:widowControl w:val="0"/>
        <w:numPr>
          <w:ilvl w:val="0"/>
          <w:numId w:val="4"/>
        </w:numPr>
        <w:kinsoku/>
        <w:wordWrap/>
        <w:overflowPunct/>
        <w:topLinePunct w:val="0"/>
        <w:autoSpaceDE/>
        <w:autoSpaceDN/>
        <w:bidi w:val="0"/>
        <w:adjustRightInd/>
        <w:snapToGrid w:val="0"/>
        <w:spacing w:before="156" w:beforeLines="50" w:after="156" w:afterLines="50" w:line="520" w:lineRule="exact"/>
        <w:jc w:val="center"/>
        <w:textAlignment w:val="auto"/>
        <w:outlineLvl w:val="0"/>
        <w:rPr>
          <w:rFonts w:hint="eastAsia" w:ascii="宋体" w:cs="宋体"/>
          <w:b/>
          <w:bCs/>
          <w:color w:val="auto"/>
          <w:sz w:val="28"/>
          <w:szCs w:val="28"/>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 xml:space="preserve"> </w:t>
      </w:r>
      <w:r>
        <w:rPr>
          <w:rFonts w:hint="eastAsia" w:ascii="宋体" w:cs="宋体"/>
          <w:b/>
          <w:bCs/>
          <w:color w:val="auto"/>
          <w:sz w:val="28"/>
          <w:szCs w:val="28"/>
          <w:highlight w:val="none"/>
          <w:lang w:eastAsia="zh-CN"/>
        </w:rPr>
        <w:t>采购需求</w:t>
      </w:r>
    </w:p>
    <w:p w14:paraId="775122C3">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一、</w:t>
      </w:r>
      <w:r>
        <w:rPr>
          <w:rFonts w:hint="eastAsia" w:ascii="宋体" w:hAnsi="宋体" w:eastAsia="宋体" w:cs="宋体"/>
          <w:b/>
          <w:bCs/>
          <w:color w:val="auto"/>
          <w:szCs w:val="21"/>
          <w:highlight w:val="none"/>
        </w:rPr>
        <w:t>项目概况</w:t>
      </w:r>
    </w:p>
    <w:p w14:paraId="59983B83">
      <w:pPr>
        <w:tabs>
          <w:tab w:val="left" w:pos="420"/>
        </w:tabs>
        <w:adjustRightInd w:val="0"/>
        <w:snapToGrid w:val="0"/>
        <w:spacing w:line="440" w:lineRule="exact"/>
        <w:ind w:firstLine="420" w:firstLineChars="200"/>
        <w:jc w:val="left"/>
        <w:rPr>
          <w:rFonts w:hint="eastAsia" w:ascii="宋体" w:hAnsi="宋体" w:eastAsia="宋体" w:cs="宋体"/>
          <w:szCs w:val="21"/>
          <w:lang w:val="en-US" w:eastAsia="zh-CN"/>
        </w:rPr>
      </w:pPr>
      <w:bookmarkStart w:id="72" w:name="_Toc135638565"/>
      <w:bookmarkStart w:id="73" w:name="_Toc131471602"/>
      <w:bookmarkStart w:id="74" w:name="_Toc205352477"/>
      <w:bookmarkStart w:id="75" w:name="_Toc171477766"/>
      <w:r>
        <w:rPr>
          <w:rFonts w:hint="eastAsia" w:ascii="宋体" w:hAnsi="宋体" w:eastAsia="宋体" w:cs="宋体"/>
          <w:szCs w:val="21"/>
          <w:lang w:val="en-US" w:eastAsia="zh-CN"/>
        </w:rPr>
        <w:t>视频监视系统是保证城市轨道交通行车组织和安全的重要手段，是地铁运营、管理现代化的配套设备，是供运营、管理人员监视列车运行、客流情况、变电所设备室设备运行情况等，提高行车指挥透明度的辅助通信工具。当发生灾情时，视频监视系统可作为防灾指挥抢险的指挥工具。</w:t>
      </w:r>
    </w:p>
    <w:p w14:paraId="3F2D8171">
      <w:pPr>
        <w:tabs>
          <w:tab w:val="left" w:pos="420"/>
        </w:tabs>
        <w:adjustRightInd w:val="0"/>
        <w:snapToGrid w:val="0"/>
        <w:spacing w:line="440" w:lineRule="exact"/>
        <w:ind w:firstLine="420" w:firstLineChars="200"/>
        <w:jc w:val="left"/>
        <w:rPr>
          <w:rFonts w:hint="eastAsia" w:ascii="宋体" w:hAnsi="宋体" w:eastAsia="宋体" w:cs="宋体"/>
          <w:szCs w:val="21"/>
          <w:lang w:val="en-US" w:eastAsia="zh-CN"/>
        </w:rPr>
      </w:pPr>
      <w:r>
        <w:rPr>
          <w:rFonts w:hint="eastAsia" w:ascii="宋体" w:hAnsi="宋体" w:eastAsia="宋体" w:cs="宋体"/>
          <w:szCs w:val="21"/>
          <w:lang w:val="en-US" w:eastAsia="zh-CN"/>
        </w:rPr>
        <w:t>该项目需中标人根据国家和行业相关设计规范和现场勘测情况及招标方技术需求书要求进行勘测设计，并提交本项目设计图纸文件。设计图纸包括：施工管线图、系统图、设备柜（设备箱）布置图等。所有新增设备均需接入既有系统（设备），满足设备兼容性。</w:t>
      </w:r>
    </w:p>
    <w:p w14:paraId="4B2034FC">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420" w:firstLineChars="200"/>
        <w:textAlignment w:val="auto"/>
        <w:rPr>
          <w:rFonts w:hint="default"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二、服务内容</w:t>
      </w:r>
    </w:p>
    <w:bookmarkEnd w:id="72"/>
    <w:bookmarkEnd w:id="73"/>
    <w:bookmarkEnd w:id="74"/>
    <w:bookmarkEnd w:id="75"/>
    <w:p w14:paraId="4911BFE7">
      <w:pPr>
        <w:tabs>
          <w:tab w:val="left" w:pos="420"/>
        </w:tabs>
        <w:adjustRightInd w:val="0"/>
        <w:snapToGrid w:val="0"/>
        <w:spacing w:line="440" w:lineRule="exact"/>
        <w:ind w:firstLine="420" w:firstLineChars="200"/>
        <w:jc w:val="left"/>
        <w:rPr>
          <w:rFonts w:hint="eastAsia" w:ascii="宋体" w:hAnsi="宋体" w:eastAsia="宋体" w:cs="宋体"/>
          <w:szCs w:val="21"/>
        </w:rPr>
      </w:pPr>
      <w:r>
        <w:rPr>
          <w:rFonts w:hint="eastAsia" w:ascii="宋体" w:hAnsi="宋体" w:eastAsia="宋体" w:cs="宋体"/>
          <w:szCs w:val="21"/>
        </w:rPr>
        <w:t>2.1加装监控的工作范围为：</w:t>
      </w:r>
    </w:p>
    <w:p w14:paraId="779AEBF2">
      <w:pPr>
        <w:tabs>
          <w:tab w:val="left" w:pos="420"/>
        </w:tabs>
        <w:adjustRightInd w:val="0"/>
        <w:snapToGrid w:val="0"/>
        <w:spacing w:line="440" w:lineRule="exact"/>
        <w:ind w:firstLine="420" w:firstLineChars="200"/>
        <w:jc w:val="left"/>
        <w:rPr>
          <w:rFonts w:hint="eastAsia" w:ascii="宋体" w:hAnsi="宋体" w:eastAsia="宋体" w:cs="宋体"/>
          <w:szCs w:val="21"/>
        </w:rPr>
      </w:pPr>
      <w:r>
        <w:rPr>
          <w:rFonts w:hint="eastAsia" w:ascii="宋体" w:hAnsi="宋体" w:eastAsia="宋体" w:cs="宋体"/>
          <w:szCs w:val="21"/>
        </w:rPr>
        <w:t>滁宁城际铁路（滁州段）全线车站，相官车辆段物资总库</w:t>
      </w:r>
      <w:r>
        <w:rPr>
          <w:rFonts w:hint="eastAsia" w:ascii="宋体" w:hAnsi="宋体" w:eastAsia="宋体" w:cs="宋体"/>
          <w:szCs w:val="21"/>
          <w:lang w:eastAsia="zh-CN"/>
        </w:rPr>
        <w:t>、</w:t>
      </w:r>
      <w:r>
        <w:rPr>
          <w:rFonts w:hint="eastAsia" w:ascii="宋体" w:hAnsi="宋体" w:eastAsia="宋体" w:cs="宋体"/>
          <w:szCs w:val="21"/>
          <w:lang w:val="en-US" w:eastAsia="zh-CN"/>
        </w:rPr>
        <w:t>相官车辆段综合楼负一楼消防泵房</w:t>
      </w:r>
      <w:r>
        <w:rPr>
          <w:rFonts w:hint="eastAsia" w:ascii="宋体" w:hAnsi="宋体" w:eastAsia="宋体" w:cs="宋体"/>
          <w:szCs w:val="21"/>
        </w:rPr>
        <w:t>及门岗。</w:t>
      </w:r>
    </w:p>
    <w:p w14:paraId="074693D1">
      <w:pPr>
        <w:tabs>
          <w:tab w:val="left" w:pos="420"/>
        </w:tabs>
        <w:adjustRightInd w:val="0"/>
        <w:snapToGrid w:val="0"/>
        <w:spacing w:line="440" w:lineRule="exact"/>
        <w:ind w:firstLine="420" w:firstLineChars="200"/>
        <w:jc w:val="left"/>
        <w:rPr>
          <w:rFonts w:hint="eastAsia" w:ascii="宋体" w:hAnsi="宋体" w:eastAsia="宋体" w:cs="宋体"/>
          <w:szCs w:val="21"/>
        </w:rPr>
      </w:pPr>
      <w:r>
        <w:rPr>
          <w:rFonts w:hint="eastAsia" w:ascii="宋体" w:hAnsi="宋体" w:eastAsia="宋体" w:cs="宋体"/>
          <w:szCs w:val="21"/>
        </w:rPr>
        <w:t>2.2加装监控工作内容如下：</w:t>
      </w:r>
    </w:p>
    <w:p w14:paraId="2A1BB0BB">
      <w:pPr>
        <w:tabs>
          <w:tab w:val="left" w:pos="420"/>
        </w:tabs>
        <w:adjustRightInd w:val="0"/>
        <w:snapToGrid w:val="0"/>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全线10座车站的室外消防栓新增37个摄像机，利用既有摄像机立杆或新增立杆进行安装，并通过既有摄像机线缆接入到视频监控平台中。相官车辆段物资总库室内安装23台枪机和8台火灾探测器，物资总库室外安装7台球机，在物资总库和综合楼2楼安防设备房之间布放一根24芯光缆，将新增摄像机接入到相官车辆段安防平台中，安防平台新增火灾监测功能。相官车辆段两个门岗处新增4台枪机用来监控行人及车辆，需具备人脸识别功能并接入现有安防平台中。在北侧门岗新增一台电脑客户端接入到安防平台中，可实时查看两处门岗的行人及车辆情况。相官车辆段综合楼负一楼消防泵房内新增一台球机，监控消防设备运行状况。所有新增监控均需满足90天存储要求。</w:t>
      </w:r>
    </w:p>
    <w:p w14:paraId="656582E4">
      <w:pPr>
        <w:tabs>
          <w:tab w:val="left" w:pos="420"/>
        </w:tabs>
        <w:adjustRightInd w:val="0"/>
        <w:snapToGrid w:val="0"/>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2.3增加监控的效果：</w:t>
      </w:r>
    </w:p>
    <w:p w14:paraId="5D7527D4">
      <w:pPr>
        <w:tabs>
          <w:tab w:val="left" w:pos="420"/>
        </w:tabs>
        <w:adjustRightInd w:val="0"/>
        <w:snapToGrid w:val="0"/>
        <w:spacing w:line="440" w:lineRule="exact"/>
        <w:ind w:firstLine="420" w:firstLineChars="200"/>
        <w:jc w:val="left"/>
        <w:rPr>
          <w:rFonts w:hint="eastAsia" w:ascii="宋体" w:hAnsi="宋体" w:eastAsia="宋体" w:cs="宋体"/>
          <w:szCs w:val="21"/>
        </w:rPr>
      </w:pPr>
      <w:r>
        <w:rPr>
          <w:rFonts w:hint="eastAsia" w:ascii="宋体" w:hAnsi="宋体" w:eastAsia="宋体" w:cs="宋体"/>
          <w:szCs w:val="21"/>
        </w:rPr>
        <w:t>1）全线车站消防栓均能监控；</w:t>
      </w:r>
    </w:p>
    <w:p w14:paraId="29E52B7F">
      <w:pPr>
        <w:tabs>
          <w:tab w:val="left" w:pos="420"/>
        </w:tabs>
        <w:adjustRightInd w:val="0"/>
        <w:snapToGrid w:val="0"/>
        <w:spacing w:line="440" w:lineRule="exact"/>
        <w:ind w:firstLine="420" w:firstLineChars="200"/>
        <w:jc w:val="left"/>
        <w:rPr>
          <w:rFonts w:hint="eastAsia" w:ascii="宋体" w:hAnsi="宋体" w:eastAsia="宋体" w:cs="宋体"/>
          <w:szCs w:val="21"/>
        </w:rPr>
      </w:pPr>
      <w:r>
        <w:rPr>
          <w:rFonts w:hint="eastAsia" w:ascii="宋体" w:hAnsi="宋体" w:eastAsia="宋体" w:cs="宋体"/>
          <w:szCs w:val="21"/>
        </w:rPr>
        <w:t>2）相官车辆段门岗监控不存在盲区，且门卫室内能及时查看门岗情况；</w:t>
      </w:r>
    </w:p>
    <w:p w14:paraId="68C3C939">
      <w:pPr>
        <w:tabs>
          <w:tab w:val="left" w:pos="420"/>
        </w:tabs>
        <w:adjustRightInd w:val="0"/>
        <w:snapToGrid w:val="0"/>
        <w:spacing w:line="440" w:lineRule="exact"/>
        <w:ind w:firstLine="420" w:firstLineChars="200"/>
        <w:jc w:val="left"/>
        <w:rPr>
          <w:rFonts w:hint="default" w:ascii="宋体" w:hAnsi="宋体" w:eastAsia="宋体" w:cs="宋体"/>
          <w:szCs w:val="21"/>
          <w:lang w:val="en-US" w:eastAsia="zh-CN"/>
        </w:rPr>
      </w:pPr>
      <w:r>
        <w:rPr>
          <w:rFonts w:hint="eastAsia" w:ascii="宋体" w:hAnsi="宋体" w:eastAsia="宋体" w:cs="宋体"/>
          <w:szCs w:val="21"/>
          <w:lang w:val="en-US" w:eastAsia="zh-CN"/>
        </w:rPr>
        <w:t>3）相官车辆段综合楼负一楼消防泵房能得到监控；</w:t>
      </w:r>
    </w:p>
    <w:p w14:paraId="55B20794">
      <w:pPr>
        <w:tabs>
          <w:tab w:val="left" w:pos="420"/>
        </w:tabs>
        <w:adjustRightInd w:val="0"/>
        <w:snapToGrid w:val="0"/>
        <w:spacing w:line="440" w:lineRule="exact"/>
        <w:ind w:firstLine="420" w:firstLineChars="200"/>
        <w:jc w:val="left"/>
        <w:rPr>
          <w:rFonts w:hint="eastAsia" w:ascii="宋体" w:hAnsi="宋体" w:eastAsia="宋体" w:cs="宋体"/>
          <w:szCs w:val="21"/>
          <w:lang w:eastAsia="zh-CN"/>
        </w:rPr>
      </w:pPr>
      <w:r>
        <w:rPr>
          <w:rFonts w:hint="eastAsia" w:ascii="宋体" w:hAnsi="宋体" w:eastAsia="宋体" w:cs="宋体"/>
          <w:szCs w:val="21"/>
          <w:lang w:val="en-US" w:eastAsia="zh-CN"/>
        </w:rPr>
        <w:t>4</w:t>
      </w:r>
      <w:r>
        <w:rPr>
          <w:rFonts w:hint="eastAsia" w:ascii="宋体" w:hAnsi="宋体" w:eastAsia="宋体" w:cs="宋体"/>
          <w:szCs w:val="21"/>
        </w:rPr>
        <w:t>）相官车辆段物资总库能进行24小时监控</w:t>
      </w:r>
      <w:r>
        <w:rPr>
          <w:rFonts w:hint="eastAsia" w:ascii="宋体" w:hAnsi="宋体" w:eastAsia="宋体" w:cs="宋体"/>
          <w:szCs w:val="21"/>
          <w:lang w:eastAsia="zh-CN"/>
        </w:rPr>
        <w:t>。</w:t>
      </w:r>
    </w:p>
    <w:p w14:paraId="3C7287E7">
      <w:pPr>
        <w:tabs>
          <w:tab w:val="left" w:pos="420"/>
        </w:tabs>
        <w:adjustRightInd w:val="0"/>
        <w:snapToGrid w:val="0"/>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2.4合同期限</w:t>
      </w:r>
    </w:p>
    <w:p w14:paraId="62D5933B">
      <w:pPr>
        <w:spacing w:line="44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自接到招标人通知起90个日历天内完成全部供货、安装、调试并验收通过。</w:t>
      </w:r>
    </w:p>
    <w:p w14:paraId="04AFC48F">
      <w:pPr>
        <w:spacing w:line="440" w:lineRule="exact"/>
        <w:ind w:firstLine="420" w:firstLineChars="200"/>
        <w:rPr>
          <w:rFonts w:hint="eastAsia" w:ascii="宋体" w:hAnsi="宋体" w:cs="宋体"/>
          <w:b/>
          <w:bCs/>
          <w:szCs w:val="21"/>
        </w:rPr>
      </w:pPr>
      <w:r>
        <w:rPr>
          <w:rFonts w:hint="eastAsia" w:ascii="宋体" w:hAnsi="宋体" w:cs="宋体"/>
          <w:b/>
          <w:bCs/>
          <w:szCs w:val="21"/>
        </w:rPr>
        <w:t>三、标准技术规范</w:t>
      </w:r>
    </w:p>
    <w:p w14:paraId="5F52D54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3.1技术标准</w:t>
      </w:r>
    </w:p>
    <w:p w14:paraId="7188655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本项工程的设计、制造、安装、测试以及使用的材料，均将遵守如下标准：</w:t>
      </w:r>
    </w:p>
    <w:p w14:paraId="4011546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●国际电器与电子工程师协会IEEE有关协议；</w:t>
      </w:r>
    </w:p>
    <w:p w14:paraId="6BE8318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●《地铁设计规范》 （GB50157）</w:t>
      </w:r>
    </w:p>
    <w:p w14:paraId="450BD2D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●《城市轨道交通技术规范》（GB50490）</w:t>
      </w:r>
    </w:p>
    <w:p w14:paraId="186323D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●国际电信联盟ITU－T、国际无线电咨询委员会CCIR的有关建议；</w:t>
      </w:r>
    </w:p>
    <w:p w14:paraId="70BBF58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●欧洲邮政及电信联盟（CEPT）最新文件及其附件；</w:t>
      </w:r>
    </w:p>
    <w:p w14:paraId="55CE617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●电子工业协会（EIA）的有关标准；</w:t>
      </w:r>
    </w:p>
    <w:p w14:paraId="12C6D15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●国际电工学会  IEC；</w:t>
      </w:r>
    </w:p>
    <w:p w14:paraId="45BBBBC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●质量安全体系应符合ISO9001标准；</w:t>
      </w:r>
    </w:p>
    <w:p w14:paraId="09B2E47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●环境管理体系应符合ISO14000标准；</w:t>
      </w:r>
    </w:p>
    <w:p w14:paraId="13FACCB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●RIA标准（Railway Industry Association）；</w:t>
      </w:r>
    </w:p>
    <w:p w14:paraId="2019959A">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●欧洲电信标准协会ETSI最新文件及其附件。国际标准化组织ISO；</w:t>
      </w:r>
    </w:p>
    <w:p w14:paraId="68B2AA4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●《地下铁道设计规范》（GB50157－2003）；</w:t>
      </w:r>
    </w:p>
    <w:p w14:paraId="475CF86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●《城市快速轨道交通工程项目建设标准》试行本；</w:t>
      </w:r>
    </w:p>
    <w:p w14:paraId="78A0B32A">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●《地下铁道工程施工及验收规范》（GB50299-1999）；</w:t>
      </w:r>
    </w:p>
    <w:p w14:paraId="19F7882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●《城市轨道交通通信工程质量验收规范》（GB50382-2006）；</w:t>
      </w:r>
    </w:p>
    <w:p w14:paraId="1FF7EA2A">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●《建筑安装工程质量检验评定统一标准》（GBJ300-88)；</w:t>
      </w:r>
    </w:p>
    <w:p w14:paraId="08091C8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●《职业安全健康管理体系审核规范》（GB/T28001）；</w:t>
      </w:r>
    </w:p>
    <w:p w14:paraId="4483C9B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●《数字数据网工程设计暂行规定》YD 5029-96；</w:t>
      </w:r>
    </w:p>
    <w:p w14:paraId="6BFB89E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●《通信设备安装抗震设计规范》YD 5059-98；</w:t>
      </w:r>
    </w:p>
    <w:p w14:paraId="0AE5B26A">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●《铁路运输通信设计规范》TB10006-2005；</w:t>
      </w:r>
    </w:p>
    <w:p w14:paraId="678E45F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●《电气装置安装工程施工及验收规范》</w:t>
      </w:r>
    </w:p>
    <w:p w14:paraId="51A51F3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●《铁路工程施工安全技术规程（上、下册）》</w:t>
      </w:r>
    </w:p>
    <w:p w14:paraId="56490BC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●国家最新有关标准；</w:t>
      </w:r>
    </w:p>
    <w:p w14:paraId="213389C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●本要求中特别指定和制定的标准及技术要求</w:t>
      </w:r>
    </w:p>
    <w:p w14:paraId="2789C81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公认的中华人民共和国行业标准（同项规定的，按标准内最高要求执行或按双方商定的标准执行）上述技术标准和规范如有不涉及之处或未能达到国际和国家最新标准时，投标人应使系统符合最新版本的国际和国家标准、规范，并提供所采用的国际和国家标准、规范以及所采用版本的有关技术资料。</w:t>
      </w:r>
    </w:p>
    <w:p w14:paraId="289B4F5D">
      <w:pPr>
        <w:tabs>
          <w:tab w:val="left" w:pos="420"/>
        </w:tabs>
        <w:adjustRightInd w:val="0"/>
        <w:snapToGrid w:val="0"/>
        <w:spacing w:line="440" w:lineRule="exact"/>
        <w:ind w:firstLine="420" w:firstLineChars="200"/>
        <w:jc w:val="left"/>
        <w:rPr>
          <w:rFonts w:hint="eastAsia" w:ascii="宋体" w:hAnsi="宋体" w:cs="宋体"/>
          <w:kern w:val="0"/>
          <w:szCs w:val="21"/>
        </w:rPr>
      </w:pPr>
      <w:bookmarkStart w:id="76" w:name="_Toc440531487"/>
      <w:r>
        <w:rPr>
          <w:rFonts w:hint="eastAsia" w:ascii="宋体" w:hAnsi="宋体" w:cs="宋体"/>
          <w:kern w:val="0"/>
          <w:szCs w:val="21"/>
        </w:rPr>
        <w:t>3.2 技术要求</w:t>
      </w:r>
      <w:bookmarkEnd w:id="76"/>
    </w:p>
    <w:p w14:paraId="6C34B990">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本项目共计11个新增站点、7</w:t>
      </w:r>
      <w:r>
        <w:rPr>
          <w:rFonts w:hint="eastAsia" w:ascii="宋体" w:hAnsi="宋体" w:cs="宋体"/>
          <w:kern w:val="0"/>
          <w:szCs w:val="21"/>
          <w:lang w:val="en-US" w:eastAsia="zh-CN"/>
        </w:rPr>
        <w:t>2</w:t>
      </w:r>
      <w:r>
        <w:rPr>
          <w:rFonts w:hint="eastAsia" w:ascii="宋体" w:hAnsi="宋体" w:cs="宋体"/>
          <w:kern w:val="0"/>
          <w:szCs w:val="21"/>
        </w:rPr>
        <w:t>台摄像机增补点位；滁宁城际线视频监控系统为</w:t>
      </w:r>
      <w:r>
        <w:rPr>
          <w:rFonts w:hint="eastAsia" w:ascii="宋体" w:hAnsi="宋体" w:cs="宋体"/>
          <w:kern w:val="0"/>
          <w:szCs w:val="21"/>
          <w:lang w:val="en-US" w:eastAsia="zh-CN"/>
        </w:rPr>
        <w:t>海康</w:t>
      </w:r>
      <w:r>
        <w:rPr>
          <w:rFonts w:hint="eastAsia" w:ascii="宋体" w:hAnsi="宋体" w:cs="宋体"/>
          <w:kern w:val="0"/>
          <w:szCs w:val="21"/>
        </w:rPr>
        <w:t>数字化系统，为满足接入需要，</w:t>
      </w:r>
      <w:r>
        <w:rPr>
          <w:rFonts w:hint="eastAsia" w:ascii="宋体" w:hAnsi="宋体" w:cs="宋体"/>
          <w:kern w:val="0"/>
          <w:szCs w:val="21"/>
          <w:lang w:val="en-US" w:eastAsia="zh-CN"/>
        </w:rPr>
        <w:t>需</w:t>
      </w:r>
      <w:r>
        <w:rPr>
          <w:rFonts w:hint="eastAsia" w:ascii="宋体" w:hAnsi="宋体" w:cs="宋体"/>
          <w:kern w:val="0"/>
          <w:szCs w:val="21"/>
        </w:rPr>
        <w:t>采用与既有视频系统</w:t>
      </w:r>
      <w:r>
        <w:rPr>
          <w:rFonts w:hint="eastAsia" w:ascii="宋体" w:hAnsi="宋体" w:cs="宋体"/>
          <w:kern w:val="0"/>
          <w:szCs w:val="21"/>
          <w:lang w:val="en-US" w:eastAsia="zh-CN"/>
        </w:rPr>
        <w:t>兼容</w:t>
      </w:r>
      <w:r>
        <w:rPr>
          <w:rFonts w:hint="eastAsia" w:ascii="宋体" w:hAnsi="宋体" w:cs="宋体"/>
          <w:kern w:val="0"/>
          <w:szCs w:val="21"/>
        </w:rPr>
        <w:t>摄像机。滁宁城际线视频系统机房设备与终端均为光纤连接，安装时需考虑终端处线缆套管保护，支架安装牢固、角度固定。</w:t>
      </w:r>
    </w:p>
    <w:p w14:paraId="5FE06427">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3.3 新增设备要求</w:t>
      </w:r>
    </w:p>
    <w:p w14:paraId="635B0C81">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3.3.1 环境要求</w:t>
      </w:r>
    </w:p>
    <w:p w14:paraId="487EAFE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3.3.1.1 本项工程新增设备必须可靠地工作在以下环境条件中：</w:t>
      </w:r>
    </w:p>
    <w:tbl>
      <w:tblPr>
        <w:tblStyle w:val="23"/>
        <w:tblW w:w="7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4"/>
        <w:gridCol w:w="1650"/>
        <w:gridCol w:w="2168"/>
        <w:gridCol w:w="2166"/>
      </w:tblGrid>
      <w:tr w14:paraId="63E46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4" w:type="dxa"/>
            <w:gridSpan w:val="2"/>
            <w:tcBorders>
              <w:top w:val="single" w:color="auto" w:sz="4" w:space="0"/>
              <w:left w:val="single" w:color="auto" w:sz="4" w:space="0"/>
              <w:bottom w:val="single" w:color="auto" w:sz="4" w:space="0"/>
              <w:right w:val="single" w:color="auto" w:sz="4" w:space="0"/>
            </w:tcBorders>
            <w:noWrap w:val="0"/>
            <w:vAlign w:val="top"/>
          </w:tcPr>
          <w:p w14:paraId="75DFF099">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b/>
                <w:bCs/>
                <w:kern w:val="0"/>
                <w:szCs w:val="21"/>
              </w:rPr>
            </w:pPr>
            <w:bookmarkStart w:id="77" w:name="_Toc12283"/>
            <w:r>
              <w:rPr>
                <w:rFonts w:hint="eastAsia" w:ascii="宋体" w:hAnsi="宋体" w:cs="宋体"/>
                <w:b/>
                <w:bCs/>
                <w:kern w:val="0"/>
                <w:szCs w:val="21"/>
              </w:rPr>
              <w:t>项目</w:t>
            </w:r>
            <w:bookmarkEnd w:id="77"/>
          </w:p>
        </w:tc>
        <w:tc>
          <w:tcPr>
            <w:tcW w:w="2168" w:type="dxa"/>
            <w:tcBorders>
              <w:top w:val="single" w:color="auto" w:sz="4" w:space="0"/>
              <w:left w:val="single" w:color="auto" w:sz="4" w:space="0"/>
              <w:bottom w:val="single" w:color="auto" w:sz="4" w:space="0"/>
              <w:right w:val="single" w:color="auto" w:sz="4" w:space="0"/>
            </w:tcBorders>
            <w:noWrap w:val="0"/>
            <w:vAlign w:val="top"/>
          </w:tcPr>
          <w:p w14:paraId="501D2941">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eastAsiaTheme="minorEastAsia"/>
                <w:b/>
                <w:bCs/>
                <w:kern w:val="0"/>
                <w:szCs w:val="21"/>
                <w:lang w:val="en-US" w:eastAsia="zh-CN"/>
              </w:rPr>
            </w:pPr>
            <w:r>
              <w:rPr>
                <w:rFonts w:hint="eastAsia" w:ascii="宋体" w:hAnsi="宋体" w:cs="宋体"/>
                <w:b/>
                <w:bCs/>
                <w:kern w:val="0"/>
                <w:szCs w:val="21"/>
              </w:rPr>
              <w:t>室</w:t>
            </w:r>
            <w:r>
              <w:rPr>
                <w:rFonts w:hint="eastAsia" w:ascii="宋体" w:hAnsi="宋体" w:cs="宋体"/>
                <w:b/>
                <w:bCs/>
                <w:kern w:val="0"/>
                <w:szCs w:val="21"/>
                <w:lang w:val="en-US" w:eastAsia="zh-CN"/>
              </w:rPr>
              <w:t>内</w:t>
            </w:r>
          </w:p>
        </w:tc>
        <w:tc>
          <w:tcPr>
            <w:tcW w:w="2166" w:type="dxa"/>
            <w:tcBorders>
              <w:top w:val="single" w:color="auto" w:sz="4" w:space="0"/>
              <w:left w:val="single" w:color="auto" w:sz="4" w:space="0"/>
              <w:bottom w:val="single" w:color="auto" w:sz="4" w:space="0"/>
              <w:right w:val="single" w:color="auto" w:sz="4" w:space="0"/>
            </w:tcBorders>
            <w:noWrap w:val="0"/>
            <w:vAlign w:val="top"/>
          </w:tcPr>
          <w:p w14:paraId="58E8B4A8">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eastAsiaTheme="minorEastAsia"/>
                <w:b/>
                <w:bCs/>
                <w:kern w:val="0"/>
                <w:szCs w:val="21"/>
                <w:lang w:eastAsia="zh-CN"/>
              </w:rPr>
            </w:pPr>
            <w:r>
              <w:rPr>
                <w:rFonts w:hint="eastAsia" w:ascii="宋体" w:hAnsi="宋体" w:cs="宋体"/>
                <w:b/>
                <w:kern w:val="0"/>
                <w:szCs w:val="21"/>
                <w:lang w:val="en-US" w:eastAsia="zh-CN"/>
              </w:rPr>
              <w:t>室外</w:t>
            </w:r>
          </w:p>
        </w:tc>
      </w:tr>
      <w:tr w14:paraId="32150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434" w:type="dxa"/>
            <w:vMerge w:val="restart"/>
            <w:tcBorders>
              <w:top w:val="nil"/>
              <w:left w:val="single" w:color="auto" w:sz="4" w:space="0"/>
              <w:bottom w:val="single" w:color="auto" w:sz="4" w:space="0"/>
              <w:right w:val="single" w:color="auto" w:sz="4" w:space="0"/>
            </w:tcBorders>
            <w:noWrap w:val="0"/>
            <w:vAlign w:val="center"/>
          </w:tcPr>
          <w:p w14:paraId="3E5649E3">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温</w:t>
            </w:r>
            <w:r>
              <w:rPr>
                <w:rFonts w:hint="eastAsia" w:ascii="宋体" w:hAnsi="宋体" w:cs="宋体"/>
                <w:kern w:val="0"/>
                <w:szCs w:val="21"/>
                <w:lang w:val="en-US" w:eastAsia="zh-CN"/>
              </w:rPr>
              <w:t>温</w:t>
            </w:r>
            <w:r>
              <w:rPr>
                <w:rFonts w:hint="eastAsia" w:ascii="宋体" w:hAnsi="宋体" w:cs="宋体"/>
                <w:kern w:val="0"/>
                <w:szCs w:val="21"/>
              </w:rPr>
              <w:t>度</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C35615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工作期</w:t>
            </w:r>
          </w:p>
        </w:tc>
        <w:tc>
          <w:tcPr>
            <w:tcW w:w="2168" w:type="dxa"/>
            <w:tcBorders>
              <w:top w:val="single" w:color="auto" w:sz="4" w:space="0"/>
              <w:left w:val="single" w:color="auto" w:sz="4" w:space="0"/>
              <w:bottom w:val="single" w:color="auto" w:sz="4" w:space="0"/>
              <w:right w:val="single" w:color="auto" w:sz="4" w:space="0"/>
            </w:tcBorders>
            <w:noWrap w:val="0"/>
            <w:vAlign w:val="center"/>
          </w:tcPr>
          <w:p w14:paraId="4EC7084D">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5℃～+45℃</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77B23E57">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default" w:ascii="宋体" w:hAnsi="宋体" w:cs="宋体"/>
                <w:kern w:val="0"/>
                <w:szCs w:val="21"/>
              </w:rPr>
              <w:t>-</w:t>
            </w:r>
            <w:r>
              <w:rPr>
                <w:rFonts w:hint="eastAsia" w:ascii="宋体" w:hAnsi="宋体" w:cs="宋体"/>
                <w:kern w:val="0"/>
                <w:szCs w:val="21"/>
              </w:rPr>
              <w:t>25℃～+70℃</w:t>
            </w:r>
          </w:p>
        </w:tc>
      </w:tr>
      <w:tr w14:paraId="3850E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434" w:type="dxa"/>
            <w:vMerge w:val="continue"/>
            <w:tcBorders>
              <w:top w:val="nil"/>
              <w:left w:val="single" w:color="auto" w:sz="4" w:space="0"/>
              <w:bottom w:val="single" w:color="auto" w:sz="4" w:space="0"/>
              <w:right w:val="single" w:color="auto" w:sz="4" w:space="0"/>
            </w:tcBorders>
            <w:noWrap w:val="0"/>
            <w:vAlign w:val="center"/>
          </w:tcPr>
          <w:p w14:paraId="2752E8C9">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kern w:val="0"/>
                <w:szCs w:val="21"/>
              </w:rPr>
            </w:pPr>
          </w:p>
        </w:tc>
        <w:tc>
          <w:tcPr>
            <w:tcW w:w="1650" w:type="dxa"/>
            <w:tcBorders>
              <w:top w:val="single" w:color="auto" w:sz="4" w:space="0"/>
              <w:left w:val="single" w:color="auto" w:sz="4" w:space="0"/>
              <w:bottom w:val="single" w:color="auto" w:sz="4" w:space="0"/>
              <w:right w:val="single" w:color="auto" w:sz="4" w:space="0"/>
            </w:tcBorders>
            <w:noWrap w:val="0"/>
            <w:vAlign w:val="center"/>
          </w:tcPr>
          <w:p w14:paraId="6D09A1C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施工期</w:t>
            </w:r>
          </w:p>
        </w:tc>
        <w:tc>
          <w:tcPr>
            <w:tcW w:w="2168" w:type="dxa"/>
            <w:tcBorders>
              <w:top w:val="single" w:color="auto" w:sz="4" w:space="0"/>
              <w:left w:val="single" w:color="auto" w:sz="4" w:space="0"/>
              <w:bottom w:val="single" w:color="auto" w:sz="4" w:space="0"/>
              <w:right w:val="single" w:color="auto" w:sz="4" w:space="0"/>
            </w:tcBorders>
            <w:noWrap w:val="0"/>
            <w:vAlign w:val="center"/>
          </w:tcPr>
          <w:p w14:paraId="38C23250">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0℃～+50℃</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380F737B">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p>
        </w:tc>
      </w:tr>
      <w:tr w14:paraId="4BD42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34" w:type="dxa"/>
            <w:vMerge w:val="continue"/>
            <w:tcBorders>
              <w:top w:val="nil"/>
              <w:left w:val="single" w:color="auto" w:sz="4" w:space="0"/>
              <w:bottom w:val="single" w:color="auto" w:sz="4" w:space="0"/>
              <w:right w:val="single" w:color="auto" w:sz="4" w:space="0"/>
            </w:tcBorders>
            <w:noWrap w:val="0"/>
            <w:vAlign w:val="center"/>
          </w:tcPr>
          <w:p w14:paraId="19CB84E2">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kern w:val="0"/>
                <w:szCs w:val="21"/>
              </w:rPr>
            </w:pPr>
          </w:p>
        </w:tc>
        <w:tc>
          <w:tcPr>
            <w:tcW w:w="1650" w:type="dxa"/>
            <w:tcBorders>
              <w:top w:val="single" w:color="auto" w:sz="4" w:space="0"/>
              <w:left w:val="single" w:color="auto" w:sz="4" w:space="0"/>
              <w:bottom w:val="single" w:color="auto" w:sz="4" w:space="0"/>
              <w:right w:val="single" w:color="auto" w:sz="4" w:space="0"/>
            </w:tcBorders>
            <w:noWrap w:val="0"/>
            <w:vAlign w:val="center"/>
          </w:tcPr>
          <w:p w14:paraId="428EF9C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存储</w:t>
            </w:r>
          </w:p>
        </w:tc>
        <w:tc>
          <w:tcPr>
            <w:tcW w:w="2168" w:type="dxa"/>
            <w:tcBorders>
              <w:top w:val="single" w:color="auto" w:sz="4" w:space="0"/>
              <w:left w:val="single" w:color="auto" w:sz="4" w:space="0"/>
              <w:bottom w:val="single" w:color="auto" w:sz="4" w:space="0"/>
              <w:right w:val="single" w:color="auto" w:sz="4" w:space="0"/>
            </w:tcBorders>
            <w:noWrap w:val="0"/>
            <w:vAlign w:val="center"/>
          </w:tcPr>
          <w:p w14:paraId="6AD02C58">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default" w:ascii="宋体" w:hAnsi="宋体" w:cs="宋体"/>
                <w:kern w:val="0"/>
                <w:szCs w:val="21"/>
              </w:rPr>
              <w:t>-</w:t>
            </w:r>
            <w:r>
              <w:rPr>
                <w:rFonts w:hint="eastAsia" w:ascii="宋体" w:hAnsi="宋体" w:cs="宋体"/>
                <w:kern w:val="0"/>
                <w:szCs w:val="21"/>
              </w:rPr>
              <w:t>20℃～+55℃</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66D9B5C3">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default" w:ascii="宋体" w:hAnsi="宋体" w:cs="宋体"/>
                <w:kern w:val="0"/>
                <w:szCs w:val="21"/>
              </w:rPr>
              <w:t>-</w:t>
            </w:r>
            <w:r>
              <w:rPr>
                <w:rFonts w:hint="eastAsia" w:ascii="宋体" w:hAnsi="宋体" w:cs="宋体"/>
                <w:kern w:val="0"/>
                <w:szCs w:val="21"/>
              </w:rPr>
              <w:t>20℃～+70℃</w:t>
            </w:r>
          </w:p>
        </w:tc>
      </w:tr>
      <w:tr w14:paraId="2AA2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34" w:type="dxa"/>
            <w:vMerge w:val="restart"/>
            <w:tcBorders>
              <w:top w:val="nil"/>
              <w:left w:val="single" w:color="auto" w:sz="4" w:space="0"/>
              <w:bottom w:val="single" w:color="auto" w:sz="4" w:space="0"/>
              <w:right w:val="single" w:color="auto" w:sz="4" w:space="0"/>
            </w:tcBorders>
            <w:noWrap w:val="0"/>
            <w:vAlign w:val="center"/>
          </w:tcPr>
          <w:p w14:paraId="3431FD8E">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湿</w:t>
            </w:r>
            <w:r>
              <w:rPr>
                <w:rFonts w:hint="eastAsia" w:ascii="宋体" w:hAnsi="宋体" w:cs="宋体"/>
                <w:kern w:val="0"/>
                <w:szCs w:val="21"/>
                <w:lang w:val="en-US" w:eastAsia="zh-CN"/>
              </w:rPr>
              <w:t>湿</w:t>
            </w:r>
            <w:r>
              <w:rPr>
                <w:rFonts w:hint="eastAsia" w:ascii="宋体" w:hAnsi="宋体" w:cs="宋体"/>
                <w:kern w:val="0"/>
                <w:szCs w:val="21"/>
              </w:rPr>
              <w:t>度</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7402DD8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工作</w:t>
            </w:r>
          </w:p>
        </w:tc>
        <w:tc>
          <w:tcPr>
            <w:tcW w:w="2168" w:type="dxa"/>
            <w:tcBorders>
              <w:top w:val="single" w:color="auto" w:sz="4" w:space="0"/>
              <w:left w:val="single" w:color="auto" w:sz="4" w:space="0"/>
              <w:bottom w:val="single" w:color="auto" w:sz="4" w:space="0"/>
              <w:right w:val="single" w:color="auto" w:sz="4" w:space="0"/>
            </w:tcBorders>
            <w:noWrap w:val="0"/>
            <w:vAlign w:val="center"/>
          </w:tcPr>
          <w:p w14:paraId="5EC39C9B">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5～90%</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1EDE7EA6">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0～100%</w:t>
            </w:r>
          </w:p>
        </w:tc>
      </w:tr>
      <w:tr w14:paraId="6E0A2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34" w:type="dxa"/>
            <w:vMerge w:val="continue"/>
            <w:tcBorders>
              <w:top w:val="nil"/>
              <w:left w:val="single" w:color="auto" w:sz="4" w:space="0"/>
              <w:bottom w:val="single" w:color="auto" w:sz="4" w:space="0"/>
              <w:right w:val="single" w:color="auto" w:sz="4" w:space="0"/>
            </w:tcBorders>
            <w:noWrap w:val="0"/>
            <w:vAlign w:val="center"/>
          </w:tcPr>
          <w:p w14:paraId="04A4EA11">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kern w:val="0"/>
                <w:szCs w:val="21"/>
              </w:rPr>
            </w:pP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9CAE54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存储</w:t>
            </w:r>
          </w:p>
        </w:tc>
        <w:tc>
          <w:tcPr>
            <w:tcW w:w="2168" w:type="dxa"/>
            <w:tcBorders>
              <w:top w:val="single" w:color="auto" w:sz="4" w:space="0"/>
              <w:left w:val="single" w:color="auto" w:sz="4" w:space="0"/>
              <w:bottom w:val="single" w:color="auto" w:sz="4" w:space="0"/>
              <w:right w:val="single" w:color="auto" w:sz="4" w:space="0"/>
            </w:tcBorders>
            <w:noWrap w:val="0"/>
            <w:vAlign w:val="center"/>
          </w:tcPr>
          <w:p w14:paraId="73AD9237">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5～100%</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36449152">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0─100%</w:t>
            </w:r>
          </w:p>
        </w:tc>
      </w:tr>
      <w:tr w14:paraId="1A95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4" w:type="dxa"/>
            <w:gridSpan w:val="2"/>
            <w:tcBorders>
              <w:top w:val="single" w:color="auto" w:sz="4" w:space="0"/>
              <w:left w:val="single" w:color="auto" w:sz="4" w:space="0"/>
              <w:bottom w:val="single" w:color="auto" w:sz="4" w:space="0"/>
              <w:right w:val="single" w:color="auto" w:sz="4" w:space="0"/>
            </w:tcBorders>
            <w:noWrap w:val="0"/>
            <w:vAlign w:val="center"/>
          </w:tcPr>
          <w:p w14:paraId="1DF85AAB">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机械冲击</w:t>
            </w:r>
          </w:p>
        </w:tc>
        <w:tc>
          <w:tcPr>
            <w:tcW w:w="2168" w:type="dxa"/>
            <w:tcBorders>
              <w:top w:val="single" w:color="auto" w:sz="4" w:space="0"/>
              <w:left w:val="single" w:color="auto" w:sz="4" w:space="0"/>
              <w:bottom w:val="single" w:color="auto" w:sz="4" w:space="0"/>
              <w:right w:val="single" w:color="auto" w:sz="4" w:space="0"/>
            </w:tcBorders>
            <w:noWrap w:val="0"/>
            <w:vAlign w:val="center"/>
          </w:tcPr>
          <w:p w14:paraId="4CB0363E">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4G</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0647477A">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10G</w:t>
            </w:r>
          </w:p>
        </w:tc>
      </w:tr>
      <w:tr w14:paraId="2E5F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84" w:type="dxa"/>
            <w:gridSpan w:val="2"/>
            <w:vMerge w:val="restart"/>
            <w:tcBorders>
              <w:top w:val="nil"/>
              <w:left w:val="single" w:color="auto" w:sz="4" w:space="0"/>
              <w:bottom w:val="single" w:color="auto" w:sz="4" w:space="0"/>
              <w:right w:val="single" w:color="auto" w:sz="4" w:space="0"/>
            </w:tcBorders>
            <w:noWrap w:val="0"/>
            <w:vAlign w:val="center"/>
          </w:tcPr>
          <w:p w14:paraId="193BF758">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振动</w:t>
            </w:r>
          </w:p>
        </w:tc>
        <w:tc>
          <w:tcPr>
            <w:tcW w:w="2168" w:type="dxa"/>
            <w:tcBorders>
              <w:top w:val="single" w:color="auto" w:sz="4" w:space="0"/>
              <w:left w:val="single" w:color="auto" w:sz="4" w:space="0"/>
              <w:bottom w:val="single" w:color="auto" w:sz="4" w:space="0"/>
              <w:right w:val="single" w:color="auto" w:sz="4" w:space="0"/>
            </w:tcBorders>
            <w:noWrap w:val="0"/>
            <w:vAlign w:val="center"/>
          </w:tcPr>
          <w:p w14:paraId="46DD8CC0">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5-20HZ</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519E9C80">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5-20HZ</w:t>
            </w:r>
          </w:p>
        </w:tc>
      </w:tr>
      <w:tr w14:paraId="01FA1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84" w:type="dxa"/>
            <w:gridSpan w:val="2"/>
            <w:vMerge w:val="continue"/>
            <w:tcBorders>
              <w:top w:val="nil"/>
              <w:left w:val="single" w:color="auto" w:sz="4" w:space="0"/>
              <w:bottom w:val="single" w:color="auto" w:sz="4" w:space="0"/>
              <w:right w:val="single" w:color="auto" w:sz="4" w:space="0"/>
            </w:tcBorders>
            <w:noWrap w:val="0"/>
            <w:vAlign w:val="center"/>
          </w:tcPr>
          <w:p w14:paraId="52870EFF">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kern w:val="0"/>
                <w:szCs w:val="21"/>
              </w:rPr>
            </w:pPr>
          </w:p>
        </w:tc>
        <w:tc>
          <w:tcPr>
            <w:tcW w:w="2168" w:type="dxa"/>
            <w:tcBorders>
              <w:top w:val="single" w:color="auto" w:sz="4" w:space="0"/>
              <w:left w:val="single" w:color="auto" w:sz="4" w:space="0"/>
              <w:bottom w:val="single" w:color="auto" w:sz="4" w:space="0"/>
              <w:right w:val="single" w:color="auto" w:sz="4" w:space="0"/>
            </w:tcBorders>
            <w:noWrap w:val="0"/>
            <w:vAlign w:val="center"/>
          </w:tcPr>
          <w:p w14:paraId="42720D98">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0.2PP</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082C7AD4">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0.2PP</w:t>
            </w:r>
          </w:p>
        </w:tc>
      </w:tr>
      <w:tr w14:paraId="1C189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84" w:type="dxa"/>
            <w:gridSpan w:val="2"/>
            <w:vMerge w:val="continue"/>
            <w:tcBorders>
              <w:top w:val="nil"/>
              <w:left w:val="single" w:color="auto" w:sz="4" w:space="0"/>
              <w:bottom w:val="single" w:color="auto" w:sz="4" w:space="0"/>
              <w:right w:val="single" w:color="auto" w:sz="4" w:space="0"/>
            </w:tcBorders>
            <w:noWrap w:val="0"/>
            <w:vAlign w:val="center"/>
          </w:tcPr>
          <w:p w14:paraId="10847623">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kern w:val="0"/>
                <w:szCs w:val="21"/>
              </w:rPr>
            </w:pPr>
          </w:p>
        </w:tc>
        <w:tc>
          <w:tcPr>
            <w:tcW w:w="2168" w:type="dxa"/>
            <w:tcBorders>
              <w:top w:val="single" w:color="auto" w:sz="4" w:space="0"/>
              <w:left w:val="single" w:color="auto" w:sz="4" w:space="0"/>
              <w:bottom w:val="single" w:color="auto" w:sz="4" w:space="0"/>
              <w:right w:val="single" w:color="auto" w:sz="4" w:space="0"/>
            </w:tcBorders>
            <w:noWrap w:val="0"/>
            <w:vAlign w:val="center"/>
          </w:tcPr>
          <w:p w14:paraId="6E03A255">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12-100HZ</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10415402">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12-100HZ</w:t>
            </w:r>
          </w:p>
        </w:tc>
      </w:tr>
      <w:tr w14:paraId="48729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84" w:type="dxa"/>
            <w:gridSpan w:val="2"/>
            <w:vMerge w:val="continue"/>
            <w:tcBorders>
              <w:top w:val="nil"/>
              <w:left w:val="single" w:color="auto" w:sz="4" w:space="0"/>
              <w:bottom w:val="single" w:color="auto" w:sz="4" w:space="0"/>
              <w:right w:val="single" w:color="auto" w:sz="4" w:space="0"/>
            </w:tcBorders>
            <w:noWrap w:val="0"/>
            <w:vAlign w:val="center"/>
          </w:tcPr>
          <w:p w14:paraId="72E062B0">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kern w:val="0"/>
                <w:szCs w:val="21"/>
              </w:rPr>
            </w:pPr>
          </w:p>
        </w:tc>
        <w:tc>
          <w:tcPr>
            <w:tcW w:w="2168" w:type="dxa"/>
            <w:tcBorders>
              <w:top w:val="single" w:color="auto" w:sz="4" w:space="0"/>
              <w:left w:val="single" w:color="auto" w:sz="4" w:space="0"/>
              <w:bottom w:val="single" w:color="auto" w:sz="4" w:space="0"/>
              <w:right w:val="single" w:color="auto" w:sz="4" w:space="0"/>
            </w:tcBorders>
            <w:noWrap w:val="0"/>
            <w:vAlign w:val="center"/>
          </w:tcPr>
          <w:p w14:paraId="24721651">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1.4PP</w:t>
            </w:r>
          </w:p>
        </w:tc>
        <w:tc>
          <w:tcPr>
            <w:tcW w:w="2166" w:type="dxa"/>
            <w:tcBorders>
              <w:top w:val="single" w:color="auto" w:sz="4" w:space="0"/>
              <w:left w:val="single" w:color="auto" w:sz="4" w:space="0"/>
              <w:bottom w:val="single" w:color="auto" w:sz="4" w:space="0"/>
              <w:right w:val="single" w:color="auto" w:sz="4" w:space="0"/>
            </w:tcBorders>
            <w:noWrap w:val="0"/>
            <w:vAlign w:val="center"/>
          </w:tcPr>
          <w:p w14:paraId="75852F66">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rPr>
            </w:pPr>
            <w:r>
              <w:rPr>
                <w:rFonts w:hint="eastAsia" w:ascii="宋体" w:hAnsi="宋体" w:cs="宋体"/>
                <w:kern w:val="0"/>
                <w:szCs w:val="21"/>
              </w:rPr>
              <w:t>4.2PP</w:t>
            </w:r>
          </w:p>
        </w:tc>
      </w:tr>
    </w:tbl>
    <w:p w14:paraId="624C0C9C">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rPr>
        <w:t>3.3.1.2 本工程涉及</w:t>
      </w:r>
      <w:r>
        <w:rPr>
          <w:rFonts w:hint="eastAsia" w:ascii="宋体" w:hAnsi="宋体" w:cs="宋体"/>
          <w:kern w:val="0"/>
          <w:szCs w:val="21"/>
          <w:highlight w:val="none"/>
        </w:rPr>
        <w:t>的系统是安全、可靠的，并能适应连续24小时不间断地运行。</w:t>
      </w:r>
    </w:p>
    <w:p w14:paraId="5CC52AC0">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3.3.1.3 本工程的设备是灵活的，即满足</w:t>
      </w:r>
      <w:r>
        <w:rPr>
          <w:rFonts w:hint="eastAsia" w:ascii="宋体" w:hAnsi="宋体" w:cs="宋体"/>
          <w:kern w:val="0"/>
          <w:szCs w:val="21"/>
          <w:highlight w:val="none"/>
          <w:lang w:val="en-US" w:eastAsia="zh-CN"/>
        </w:rPr>
        <w:t>滁宁城</w:t>
      </w:r>
      <w:r>
        <w:rPr>
          <w:rFonts w:hint="eastAsia" w:ascii="宋体" w:hAnsi="宋体" w:cs="宋体"/>
          <w:kern w:val="0"/>
          <w:szCs w:val="21"/>
          <w:highlight w:val="none"/>
        </w:rPr>
        <w:t>铁本项工程需要，又适应其它引入或扩展的需要。</w:t>
      </w:r>
    </w:p>
    <w:p w14:paraId="0DFC62A7">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3.3.1.4 本工程具有集中维护、故障监视管理的功能。</w:t>
      </w:r>
    </w:p>
    <w:p w14:paraId="36D98D6E">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3.3.1.5 本工程的设备是便于安装和操作的。</w:t>
      </w:r>
    </w:p>
    <w:p w14:paraId="67935CC2">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3.3.1.6 本工程设备适应地面、高架环境、地下及隧道条件，选用体积小、重量轻、耗能少、防尘、防锈、防震、防潮、防晒的设备和材料，并不侵入设备限界。</w:t>
      </w:r>
    </w:p>
    <w:p w14:paraId="2F937D72">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3.3.1.7 本工程采用的设备充分考虑地下电气铁道的特性，采用抗电气干扰性强的设备和电缆。</w:t>
      </w:r>
    </w:p>
    <w:p w14:paraId="6FA209CA">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3.3.1.8、在地下环境中，电缆采用阻燃、低烟、无毒、防蚀的产品；在高架桥上明敷的电缆，具有防潮及抗阳光辐射能力，并注意防鼠害和防杂散电流腐蚀。</w:t>
      </w:r>
    </w:p>
    <w:p w14:paraId="628D7F72">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3.3.2 技术要求</w:t>
      </w:r>
    </w:p>
    <w:p w14:paraId="3F5D5EC3">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3.3..2.1 可靠性要求</w:t>
      </w:r>
    </w:p>
    <w:p w14:paraId="640256FD">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3.3.2.1.1 系统是安全、可靠的，并能适应连续24小时不间断地运行。</w:t>
      </w:r>
    </w:p>
    <w:p w14:paraId="30BEF50B">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3.3.2.1.2 本项目的系统设备通过采用冗余和已证明具有高可靠性的元件的技术降低系统故障概率和有关影响正常运行的随机性：</w:t>
      </w:r>
    </w:p>
    <w:p w14:paraId="2DED4B43">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3.3.2.2 可维护性要求</w:t>
      </w:r>
    </w:p>
    <w:p w14:paraId="30F237DA">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3.3.2.2.1 模块化设计，方便维修、替换。</w:t>
      </w:r>
    </w:p>
    <w:p w14:paraId="2BB01659">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3.3.2.2.2 本项目的监控部分具有集中维护、故障监视管理的功能。监控部分应具备自诊断和检测功能。</w:t>
      </w:r>
    </w:p>
    <w:p w14:paraId="2020EE33">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3.3.2.2.3 故障隔离措施和在线维修措施，以减少停机和修复时间。</w:t>
      </w:r>
    </w:p>
    <w:p w14:paraId="7FD122A0">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3.3.3 可扩展性要求</w:t>
      </w:r>
    </w:p>
    <w:p w14:paraId="4B2D58A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highlight w:val="none"/>
        </w:rPr>
        <w:t>3.3.3.1 本项目的设备是灵活的，即满足</w:t>
      </w:r>
      <w:r>
        <w:rPr>
          <w:rFonts w:hint="eastAsia" w:ascii="宋体" w:hAnsi="宋体" w:cs="宋体"/>
          <w:kern w:val="0"/>
          <w:szCs w:val="21"/>
          <w:highlight w:val="none"/>
          <w:lang w:val="en-US" w:eastAsia="zh-CN"/>
        </w:rPr>
        <w:t>滁宁城铁</w:t>
      </w:r>
      <w:r>
        <w:rPr>
          <w:rFonts w:hint="eastAsia" w:ascii="宋体" w:hAnsi="宋体" w:cs="宋体"/>
          <w:kern w:val="0"/>
          <w:szCs w:val="21"/>
          <w:highlight w:val="none"/>
        </w:rPr>
        <w:t>本</w:t>
      </w:r>
      <w:r>
        <w:rPr>
          <w:rFonts w:hint="eastAsia" w:ascii="宋体" w:hAnsi="宋体" w:cs="宋体"/>
          <w:kern w:val="0"/>
          <w:szCs w:val="21"/>
        </w:rPr>
        <w:t>项工程需要，又适应其它引入或扩展的需要。</w:t>
      </w:r>
    </w:p>
    <w:p w14:paraId="36EA17F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3.3.3.2 设备具有可扩展性。系统扩展，做到不影响已开通设备的正常运行，并能适应未来系统扩展的需要。</w:t>
      </w:r>
    </w:p>
    <w:p w14:paraId="771D2F8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3.3.3 制造工艺要求</w:t>
      </w:r>
    </w:p>
    <w:p w14:paraId="7A282271">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3.3.3.1 印刷电路板采用波峰焊以上技术。</w:t>
      </w:r>
    </w:p>
    <w:p w14:paraId="702A6BA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3.3.3.2 大电流插件采用镀银或镀金技术。</w:t>
      </w:r>
    </w:p>
    <w:p w14:paraId="28AC2BF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3.3.3.3 每块印刷电路板都具有防护涂层，以防止因潮气/盐气或其他腐蚀环境引起的开裂、生锈、变质。</w:t>
      </w:r>
    </w:p>
    <w:p w14:paraId="53F106E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3.3.3.4 零部件的布置、固定和排列应使检查、拆除和更换时不影响或损坏连线上的其他零部件。</w:t>
      </w:r>
    </w:p>
    <w:p w14:paraId="0964800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3.3.3.5 所有批量生产的设备、零部件、元器件都是标准产品，相同规格的设备、卡、盘、零件是可互换的。</w:t>
      </w:r>
    </w:p>
    <w:p w14:paraId="274D5D0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3.3.3.6 所选设备实现组成模块化、标准化、维护管理自动化。</w:t>
      </w:r>
    </w:p>
    <w:p w14:paraId="56F4FBA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3.3.3.7 设备和仪器的金属构件表面除了加工装配面和电镀表面以外，都进行防锈或喷涂处理。在装配前，对封闭结构的内表面也有必要喷涂或进行防锈处理，处理质量符合SSPC标准。</w:t>
      </w:r>
    </w:p>
    <w:p w14:paraId="1F665D9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3.3.4 电磁兼容要求</w:t>
      </w:r>
    </w:p>
    <w:p w14:paraId="5132162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3.3.4.1 电磁兼容，是指设备或系统在其电磁环境中能正常工作，且不对该环境中任何事物及设施构成不能承受的电磁干扰的能力。</w:t>
      </w:r>
    </w:p>
    <w:p w14:paraId="1C201911">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rPr>
        <w:t>3.3</w:t>
      </w:r>
      <w:r>
        <w:rPr>
          <w:rFonts w:hint="eastAsia" w:ascii="宋体" w:hAnsi="宋体" w:cs="宋体"/>
          <w:kern w:val="0"/>
          <w:szCs w:val="21"/>
          <w:highlight w:val="none"/>
        </w:rPr>
        <w:t xml:space="preserve">.4.2 </w:t>
      </w:r>
      <w:r>
        <w:rPr>
          <w:rFonts w:hint="eastAsia" w:ascii="宋体" w:hAnsi="宋体" w:cs="宋体"/>
          <w:kern w:val="0"/>
          <w:szCs w:val="21"/>
          <w:highlight w:val="none"/>
          <w:lang w:val="en-US" w:eastAsia="zh-CN"/>
        </w:rPr>
        <w:t>中标人</w:t>
      </w:r>
      <w:r>
        <w:rPr>
          <w:rFonts w:hint="eastAsia" w:ascii="宋体" w:hAnsi="宋体" w:cs="宋体"/>
          <w:kern w:val="0"/>
          <w:szCs w:val="21"/>
          <w:highlight w:val="none"/>
        </w:rPr>
        <w:t>充分认识系统设备的使用环境，系统设备应不受地铁其他系统的电磁干扰，也不对其他系统产生电磁干扰。</w:t>
      </w:r>
    </w:p>
    <w:p w14:paraId="5C560744">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3.3.4.3 </w:t>
      </w:r>
      <w:r>
        <w:rPr>
          <w:rFonts w:hint="eastAsia" w:ascii="宋体" w:hAnsi="宋体" w:cs="宋体"/>
          <w:kern w:val="0"/>
          <w:szCs w:val="21"/>
          <w:highlight w:val="none"/>
          <w:lang w:eastAsia="zh-CN"/>
        </w:rPr>
        <w:t>中标人</w:t>
      </w:r>
      <w:r>
        <w:rPr>
          <w:rFonts w:hint="eastAsia" w:ascii="宋体" w:hAnsi="宋体" w:cs="宋体"/>
          <w:kern w:val="0"/>
          <w:szCs w:val="21"/>
          <w:highlight w:val="none"/>
        </w:rPr>
        <w:t>提供的所有设备满足所有相关国际及国内电磁兼容标准，并提供相关的证明文件或合格测试报告供审核。</w:t>
      </w:r>
    </w:p>
    <w:p w14:paraId="0DA849C4">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3.3.4.4 系统接地考虑避免电线/电缆受到周围的电磁干扰而影响连接的设备。</w:t>
      </w:r>
      <w:r>
        <w:rPr>
          <w:rFonts w:hint="eastAsia" w:ascii="宋体" w:hAnsi="宋体" w:cs="宋体"/>
          <w:kern w:val="0"/>
          <w:szCs w:val="21"/>
          <w:highlight w:val="none"/>
          <w:lang w:eastAsia="zh-CN"/>
        </w:rPr>
        <w:t>中标人</w:t>
      </w:r>
      <w:r>
        <w:rPr>
          <w:rFonts w:hint="eastAsia" w:ascii="宋体" w:hAnsi="宋体" w:cs="宋体"/>
          <w:kern w:val="0"/>
          <w:szCs w:val="21"/>
          <w:highlight w:val="none"/>
        </w:rPr>
        <w:t>同时考虑设备的安全及信号接地方法，以维护系统整体的安全和电磁兼容性。</w:t>
      </w:r>
    </w:p>
    <w:p w14:paraId="586F920A">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3.3.4.5 所有强弱电缆/电线分开布置。在设计电缆/电线布置时，</w:t>
      </w:r>
      <w:r>
        <w:rPr>
          <w:rFonts w:hint="eastAsia" w:ascii="宋体" w:hAnsi="宋体" w:cs="宋体"/>
          <w:kern w:val="0"/>
          <w:szCs w:val="21"/>
          <w:highlight w:val="none"/>
          <w:lang w:eastAsia="zh-CN"/>
        </w:rPr>
        <w:t>中标人</w:t>
      </w:r>
      <w:r>
        <w:rPr>
          <w:rFonts w:hint="eastAsia" w:ascii="宋体" w:hAnsi="宋体" w:cs="宋体"/>
          <w:kern w:val="0"/>
          <w:szCs w:val="21"/>
          <w:highlight w:val="none"/>
        </w:rPr>
        <w:t>考虑强电对弱电的电磁干扰，制定适当的分隔距离或电磁保护措施。</w:t>
      </w:r>
      <w:r>
        <w:rPr>
          <w:rFonts w:hint="eastAsia" w:ascii="宋体" w:hAnsi="宋体" w:cs="宋体"/>
          <w:kern w:val="0"/>
          <w:szCs w:val="21"/>
          <w:highlight w:val="none"/>
          <w:lang w:eastAsia="zh-CN"/>
        </w:rPr>
        <w:t>中标人</w:t>
      </w:r>
      <w:r>
        <w:rPr>
          <w:rFonts w:hint="eastAsia" w:ascii="宋体" w:hAnsi="宋体" w:cs="宋体"/>
          <w:kern w:val="0"/>
          <w:szCs w:val="21"/>
          <w:highlight w:val="none"/>
        </w:rPr>
        <w:t>考虑附近的电磁环境而选取适当的电缆/电线。</w:t>
      </w:r>
    </w:p>
    <w:p w14:paraId="10D6EA79">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3.3.5 设备机柜要求</w:t>
      </w:r>
    </w:p>
    <w:p w14:paraId="36E80421">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3.3.5.1 </w:t>
      </w:r>
      <w:r>
        <w:rPr>
          <w:rFonts w:hint="eastAsia" w:ascii="宋体" w:hAnsi="宋体" w:cs="宋体"/>
          <w:kern w:val="0"/>
          <w:szCs w:val="21"/>
          <w:highlight w:val="none"/>
          <w:lang w:eastAsia="zh-CN"/>
        </w:rPr>
        <w:t>中标人</w:t>
      </w:r>
      <w:r>
        <w:rPr>
          <w:rFonts w:hint="eastAsia" w:ascii="宋体" w:hAnsi="宋体" w:cs="宋体"/>
          <w:kern w:val="0"/>
          <w:szCs w:val="21"/>
          <w:highlight w:val="none"/>
        </w:rPr>
        <w:t>提供容纳和保护所供设备所需的所有机柜、机架和其他机箱。钢制机柜、机架、盘和其他支撑结构已经细致清洗和防锈处理，并可适应</w:t>
      </w:r>
      <w:r>
        <w:rPr>
          <w:rFonts w:hint="eastAsia" w:ascii="宋体" w:hAnsi="宋体" w:cs="宋体"/>
          <w:kern w:val="0"/>
          <w:szCs w:val="21"/>
          <w:highlight w:val="none"/>
          <w:lang w:val="en-US" w:eastAsia="zh-CN"/>
        </w:rPr>
        <w:t>滁宁城铁</w:t>
      </w:r>
      <w:r>
        <w:rPr>
          <w:rFonts w:hint="eastAsia" w:ascii="宋体" w:hAnsi="宋体" w:cs="宋体"/>
          <w:kern w:val="0"/>
          <w:szCs w:val="21"/>
          <w:highlight w:val="none"/>
        </w:rPr>
        <w:t>的环境条件。</w:t>
      </w:r>
    </w:p>
    <w:p w14:paraId="7A307BF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3.3.5.2 机柜骨架采用6冷轧型钢制造，保证承重性能。</w:t>
      </w:r>
    </w:p>
    <w:p w14:paraId="37C295D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3.3.5.3 设备的金属表面除了加工装配面和电镀表面外，都进行防锈喷塑处理。机柜采用PU发泡密封材料，对封闭结构的内表面也进行喷涂或防锈处理，机柜的防护等级可达IP55。处理符合SSPC标准。</w:t>
      </w:r>
    </w:p>
    <w:p w14:paraId="6C0E12B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3.3.5.4 所有机柜可随意安置，并可固定于地板上。电缆可从底部进出机柜。</w:t>
      </w:r>
    </w:p>
    <w:p w14:paraId="09BE161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3.3.5.5 所有机柜均有前后门，工艺一致性要好，柜门可互换。柜门提供钥匙或扳手等安全措施，相同功能的锁用一把通用钥匙。</w:t>
      </w:r>
    </w:p>
    <w:p w14:paraId="301C7F8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3.3.5.6 机柜有利于通风散热同时考虑防止虫害、灰尘的侵入。</w:t>
      </w:r>
    </w:p>
    <w:p w14:paraId="5CEE684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3.3.5.7 除墙壁安装的设备外，机柜采用42U冷加工服务器机柜，机柜尺寸2000㎜（高）×600㎜（宽）×800mm（深），并有可互换性的附件便于快速安装。采用冷轧钢板制造，冷轧钢板厚度不小于2mm，静电喷塑，美观耐用不变形，前、后、左、右均可灵活拆卸，机柜内部配线布局合理、整齐；在接线端口处不露出裸露的导体。</w:t>
      </w:r>
    </w:p>
    <w:p w14:paraId="4AE38151">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3.3.5.8 机柜采用统一风格的标志、字母、符号。每一机柜的规格需要和既有设备机柜相一致，且正面有描述设备功能的铭牌。</w:t>
      </w:r>
    </w:p>
    <w:p w14:paraId="65EA587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3.3.5.9 为避免机柜内设备发热，柜体具备自然冷却，在机柜温度超过设备正常工作温度时具备强制冷却功能。</w:t>
      </w:r>
    </w:p>
    <w:p w14:paraId="2CA3B67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3.3.5.10 机柜内后方两侧配备足够宽度的镀锌金属桥架，便于捆扎各种线缆。</w:t>
      </w:r>
    </w:p>
    <w:p w14:paraId="0EBA5AA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3.3.5.11 机柜内的输出电源分路器或连接器需认真考虑，不允许多条线缆压接到一个接线端子上，每条线缆均需配备接线端子并预留出充足的扩展接口，做好标识；后端设备均使用PDU方式进行取电，不能采用普通接线板连接AC220V电源，必要时可设置电源分配空气开关；对所有电源的连接需做好防护，但维修人员必须可以清晰的看到电源端子或开关的连接情况。</w:t>
      </w:r>
    </w:p>
    <w:p w14:paraId="5F2D8548">
      <w:pPr>
        <w:tabs>
          <w:tab w:val="left" w:pos="420"/>
        </w:tabs>
        <w:adjustRightInd w:val="0"/>
        <w:snapToGrid w:val="0"/>
        <w:spacing w:line="440" w:lineRule="exact"/>
        <w:ind w:firstLine="420" w:firstLineChars="200"/>
        <w:jc w:val="left"/>
        <w:rPr>
          <w:rFonts w:hint="eastAsia" w:ascii="宋体" w:hAnsi="宋体" w:eastAsia="宋体" w:cs="宋体"/>
          <w:kern w:val="0"/>
          <w:szCs w:val="21"/>
          <w:lang w:eastAsia="zh-CN"/>
        </w:rPr>
      </w:pPr>
      <w:r>
        <w:rPr>
          <w:rFonts w:hint="eastAsia" w:ascii="宋体" w:hAnsi="宋体" w:cs="宋体"/>
          <w:kern w:val="0"/>
          <w:szCs w:val="21"/>
        </w:rPr>
        <w:t>3.3.5.12 机柜要有保护地和工作地等接地保护装置，接入地线排的地线不低于10方，且机柜地阻值不高于0.1欧姆</w:t>
      </w:r>
      <w:r>
        <w:rPr>
          <w:rFonts w:hint="eastAsia" w:ascii="宋体" w:hAnsi="宋体" w:cs="宋体"/>
          <w:kern w:val="0"/>
          <w:szCs w:val="21"/>
          <w:lang w:eastAsia="zh-CN"/>
        </w:rPr>
        <w:t>。</w:t>
      </w:r>
    </w:p>
    <w:p w14:paraId="63DFE06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 设备安装技术要求</w:t>
      </w:r>
    </w:p>
    <w:p w14:paraId="0A98F8B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3.3.6.1 电源设备及接地装置安装</w:t>
      </w:r>
    </w:p>
    <w:p w14:paraId="50EC0AF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3.3.6.1.1 电源设备类型容量和安装位置符合设计规定，设备附件齐全、完整，设备安装平稳、固定牢靠。</w:t>
      </w:r>
    </w:p>
    <w:p w14:paraId="35C490C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3.3.6.1.2 交直流配线应分开布放，不得绑在同一线槽内。</w:t>
      </w:r>
    </w:p>
    <w:p w14:paraId="4C7480D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3.3.6.1.3 接地装置的种类、接地电阻阻值、用材规格、引入方式符合设计规定。</w:t>
      </w:r>
    </w:p>
    <w:p w14:paraId="2FDEE6D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3.3.6.2 摄像机的安装</w:t>
      </w:r>
    </w:p>
    <w:p w14:paraId="538AAED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3.3.6.2.1摄像机安装前应按下列要求进行检查：</w:t>
      </w:r>
    </w:p>
    <w:p w14:paraId="5197FC8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3.3.6.2.2 将摄像机逐个通电进行检测和精调，在摄像机处于下沉工作状态后，方可安装；</w:t>
      </w:r>
    </w:p>
    <w:p w14:paraId="07BB0A6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3.3.6.2.3 检查摄像机在防护套内的紧固情况；</w:t>
      </w:r>
    </w:p>
    <w:p w14:paraId="105EA6F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3.3.6.2.4 检查摄像机座与支架的安装尺寸；</w:t>
      </w:r>
    </w:p>
    <w:p w14:paraId="6E8BCD1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3.3.6.2.5 在搬动、架设摄像机过程中，不得打开镜头盖。</w:t>
      </w:r>
    </w:p>
    <w:p w14:paraId="4087AE7A">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3.3.6.2.6 在高压带电设备附近安装摄像机时，应根据带电设备的要求，确定安全距离。</w:t>
      </w:r>
    </w:p>
    <w:p w14:paraId="19113A1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3.3.6.2.7 摄像机的安装应牢靠、稳固。</w:t>
      </w:r>
    </w:p>
    <w:p w14:paraId="73D34D9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3.3.6.2.8 先对摄像机进行初步安装，经通电试看、细调、检查各项功能、观察监视区域的覆盖范围和图像质量，符合要求后方可固定。</w:t>
      </w:r>
    </w:p>
    <w:p w14:paraId="78F91A0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3.3.6.3 设备模块的安装</w:t>
      </w:r>
    </w:p>
    <w:p w14:paraId="7E5D6F5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3.3.6.3.1 设备模块在机柜内的安装应牢靠、稳固。</w:t>
      </w:r>
    </w:p>
    <w:p w14:paraId="4CD6CAD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3.3.6.3.2 设备模块的安装应使设备本身易于通风散热，同时易于更换、维护。</w:t>
      </w:r>
    </w:p>
    <w:p w14:paraId="60CA9E4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3.3.6.4 线缆的敷设安装</w:t>
      </w:r>
    </w:p>
    <w:p w14:paraId="36BE85A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3.3.6.4.1 各种线缆规格、敷设路径和走线固定方法符合设计规定及安装手册要求，配线用吊架、支架加工、安装符合安装手册规定。</w:t>
      </w:r>
    </w:p>
    <w:p w14:paraId="077E04A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3.3.6.4.2 配线无损伤、扭绞交叉现象。</w:t>
      </w:r>
    </w:p>
    <w:p w14:paraId="602FD3E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3.3.6.4.3 各种线缆从摄像机前端到机柜内设备，遵循既有线缆配线方式，中间不得接续。</w:t>
      </w:r>
    </w:p>
    <w:p w14:paraId="126D6A6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3.3.6.4.4 露天电缆需要穿管防护。</w:t>
      </w:r>
    </w:p>
    <w:p w14:paraId="373B08E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3.3.6.4.5 线缆经过道床或马路时，线管需放入电缆槽道或按规范进入地下（挖电缆沟或修建电缆井）。</w:t>
      </w:r>
    </w:p>
    <w:p w14:paraId="72BA2C0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3.3.7 综合布线技术参数要求</w:t>
      </w:r>
    </w:p>
    <w:p w14:paraId="547B52BE">
      <w:pPr>
        <w:tabs>
          <w:tab w:val="left" w:pos="420"/>
        </w:tabs>
        <w:adjustRightInd w:val="0"/>
        <w:snapToGrid w:val="0"/>
        <w:spacing w:line="440" w:lineRule="exact"/>
        <w:ind w:firstLine="420" w:firstLineChars="200"/>
        <w:jc w:val="left"/>
        <w:rPr>
          <w:rFonts w:hint="eastAsia" w:ascii="宋体" w:hAnsi="宋体" w:cs="宋体"/>
          <w:b/>
          <w:bCs/>
          <w:kern w:val="0"/>
          <w:szCs w:val="21"/>
        </w:rPr>
      </w:pPr>
      <w:r>
        <w:rPr>
          <w:rFonts w:hint="eastAsia" w:ascii="宋体" w:hAnsi="宋体" w:cs="宋体"/>
          <w:bCs/>
          <w:kern w:val="0"/>
          <w:szCs w:val="21"/>
        </w:rPr>
        <w:t>3.3.7.1 综合布线系统应根据综合布线国际及国内标准的要求，为用户提供保证现在及未来应用的高速、防干扰线路平台。</w:t>
      </w:r>
    </w:p>
    <w:p w14:paraId="662449E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3.3.7.2 在整个布线系统中，所有元器件均为模块式连接方式，语音和数据模块通用，以便于使用与管理，且降低维护成本，节约空间与人力资源。</w:t>
      </w:r>
    </w:p>
    <w:p w14:paraId="0BC7D1A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3.3.7.3 满足电磁兼容性各项综合布线标准的要求。</w:t>
      </w:r>
    </w:p>
    <w:p w14:paraId="12328DD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3.3.7.4 线缆均采用屏蔽线缆，提供高标准的安防、环保产品。</w:t>
      </w:r>
    </w:p>
    <w:p w14:paraId="6D00A241">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rPr>
        <w:t>3.3.7.5 综合布线系统的设计充分考虑到系统的长期可靠性。如带线缆管理托盘的配线架，可减小线缆所受机械外力；通过水平管理环进行跳线的管理，降低跳线所受拉力以及保证RJ45头与信息端口的最佳接触状态</w:t>
      </w:r>
      <w:r>
        <w:rPr>
          <w:rFonts w:hint="eastAsia" w:ascii="宋体" w:hAnsi="宋体" w:cs="宋体"/>
          <w:kern w:val="0"/>
          <w:szCs w:val="21"/>
          <w:highlight w:val="none"/>
        </w:rPr>
        <w:t>。</w:t>
      </w:r>
    </w:p>
    <w:p w14:paraId="499634D3">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3.3.7.6 所有控制电缆均选用阻燃屏蔽型，阻燃性能不低于B类，防白蚁。</w:t>
      </w:r>
    </w:p>
    <w:p w14:paraId="3ACB4D21">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3.3.7.7 所有供电、接地线缆采用阻燃型，阻燃性能不低于B类，防白蚁。</w:t>
      </w:r>
    </w:p>
    <w:p w14:paraId="0DE3B588">
      <w:pPr>
        <w:tabs>
          <w:tab w:val="left" w:pos="420"/>
        </w:tabs>
        <w:adjustRightInd w:val="0"/>
        <w:snapToGrid w:val="0"/>
        <w:spacing w:line="440" w:lineRule="exact"/>
        <w:ind w:firstLine="420" w:firstLineChars="200"/>
        <w:jc w:val="left"/>
        <w:rPr>
          <w:rFonts w:hint="eastAsia" w:ascii="宋体" w:hAnsi="宋体" w:eastAsia="宋体" w:cs="宋体"/>
          <w:kern w:val="0"/>
          <w:szCs w:val="21"/>
          <w:highlight w:val="none"/>
          <w:lang w:eastAsia="zh-CN"/>
        </w:rPr>
      </w:pPr>
      <w:r>
        <w:rPr>
          <w:rFonts w:hint="eastAsia" w:ascii="宋体" w:hAnsi="宋体" w:cs="宋体"/>
          <w:kern w:val="0"/>
          <w:szCs w:val="21"/>
        </w:rPr>
        <w:t>3.3.7.8 所有电缆电线的生产厂家须通</w:t>
      </w:r>
      <w:r>
        <w:rPr>
          <w:rFonts w:hint="eastAsia" w:ascii="宋体" w:hAnsi="宋体" w:cs="宋体"/>
          <w:kern w:val="0"/>
          <w:szCs w:val="21"/>
          <w:highlight w:val="none"/>
        </w:rPr>
        <w:t>过IS09000认证，</w:t>
      </w:r>
      <w:r>
        <w:rPr>
          <w:rFonts w:hint="eastAsia" w:ascii="宋体" w:hAnsi="宋体" w:cs="宋体"/>
          <w:kern w:val="0"/>
          <w:szCs w:val="21"/>
          <w:highlight w:val="none"/>
          <w:lang w:eastAsia="zh-CN"/>
        </w:rPr>
        <w:t>中标人</w:t>
      </w:r>
      <w:r>
        <w:rPr>
          <w:rFonts w:hint="eastAsia" w:ascii="宋体" w:hAnsi="宋体" w:cs="宋体"/>
          <w:kern w:val="0"/>
          <w:szCs w:val="21"/>
          <w:highlight w:val="none"/>
          <w:lang w:val="en-US" w:eastAsia="zh-CN"/>
        </w:rPr>
        <w:t>供货时</w:t>
      </w:r>
      <w:r>
        <w:rPr>
          <w:rFonts w:hint="eastAsia" w:ascii="宋体" w:hAnsi="宋体" w:cs="宋体"/>
          <w:kern w:val="0"/>
          <w:szCs w:val="21"/>
          <w:highlight w:val="none"/>
        </w:rPr>
        <w:t>须提供国家权威机构的检验报告或型式试验报告。</w:t>
      </w:r>
    </w:p>
    <w:p w14:paraId="32CD57F6">
      <w:pPr>
        <w:tabs>
          <w:tab w:val="left" w:pos="420"/>
        </w:tabs>
        <w:adjustRightInd w:val="0"/>
        <w:snapToGrid w:val="0"/>
        <w:spacing w:line="440" w:lineRule="exact"/>
        <w:ind w:firstLine="420" w:firstLineChars="200"/>
        <w:jc w:val="left"/>
        <w:rPr>
          <w:rFonts w:hint="eastAsia" w:ascii="宋体" w:hAnsi="宋体" w:eastAsia="宋体" w:cs="宋体"/>
          <w:kern w:val="0"/>
          <w:szCs w:val="21"/>
          <w:highlight w:val="none"/>
          <w:lang w:eastAsia="zh-CN"/>
        </w:rPr>
      </w:pPr>
      <w:r>
        <w:rPr>
          <w:rFonts w:hint="eastAsia" w:ascii="宋体" w:hAnsi="宋体" w:cs="宋体"/>
          <w:kern w:val="0"/>
          <w:szCs w:val="21"/>
          <w:highlight w:val="none"/>
        </w:rPr>
        <w:t>3.3.7.9 钢管应符合：GB/T3091-93标准，镀锌层厚度大于80μm</w:t>
      </w:r>
      <w:r>
        <w:rPr>
          <w:rFonts w:hint="eastAsia" w:ascii="宋体" w:hAnsi="宋体" w:cs="宋体"/>
          <w:kern w:val="0"/>
          <w:szCs w:val="21"/>
          <w:highlight w:val="none"/>
          <w:lang w:eastAsia="zh-CN"/>
        </w:rPr>
        <w:t>。</w:t>
      </w:r>
    </w:p>
    <w:p w14:paraId="57001FBF">
      <w:pPr>
        <w:tabs>
          <w:tab w:val="left" w:pos="420"/>
        </w:tabs>
        <w:adjustRightInd w:val="0"/>
        <w:snapToGrid w:val="0"/>
        <w:spacing w:line="440" w:lineRule="exact"/>
        <w:ind w:firstLine="420" w:firstLineChars="200"/>
        <w:jc w:val="left"/>
        <w:rPr>
          <w:rFonts w:hint="eastAsia" w:ascii="宋体" w:hAnsi="宋体" w:eastAsia="宋体" w:cs="宋体"/>
          <w:kern w:val="0"/>
          <w:szCs w:val="21"/>
          <w:highlight w:val="none"/>
          <w:lang w:eastAsia="zh-CN"/>
        </w:rPr>
      </w:pPr>
      <w:r>
        <w:rPr>
          <w:rFonts w:hint="eastAsia" w:ascii="宋体" w:hAnsi="宋体" w:cs="宋体"/>
          <w:kern w:val="0"/>
          <w:szCs w:val="21"/>
          <w:highlight w:val="none"/>
        </w:rPr>
        <w:t>3.3.7.10 工业以太网超五类双绞线应符合对通讯电缆的技术要求，保证100Mbps速率的正常通讯。</w:t>
      </w:r>
    </w:p>
    <w:p w14:paraId="2ADFCE09">
      <w:pPr>
        <w:tabs>
          <w:tab w:val="left" w:pos="420"/>
        </w:tabs>
        <w:adjustRightInd w:val="0"/>
        <w:snapToGrid w:val="0"/>
        <w:spacing w:line="440" w:lineRule="exact"/>
        <w:ind w:firstLine="420" w:firstLineChars="200"/>
        <w:jc w:val="left"/>
        <w:rPr>
          <w:rFonts w:hint="eastAsia" w:ascii="宋体" w:hAnsi="宋体" w:eastAsia="宋体" w:cs="宋体"/>
          <w:kern w:val="0"/>
          <w:szCs w:val="21"/>
          <w:highlight w:val="none"/>
          <w:lang w:eastAsia="zh-CN"/>
        </w:rPr>
      </w:pPr>
      <w:r>
        <w:rPr>
          <w:rFonts w:hint="eastAsia" w:ascii="宋体" w:hAnsi="宋体" w:cs="宋体"/>
          <w:kern w:val="0"/>
          <w:szCs w:val="21"/>
          <w:highlight w:val="none"/>
        </w:rPr>
        <w:t>3.3.7.11 工业以太网超五类双绞线应为阻燃电缆。</w:t>
      </w:r>
    </w:p>
    <w:p w14:paraId="42808780">
      <w:pPr>
        <w:tabs>
          <w:tab w:val="left" w:pos="420"/>
        </w:tabs>
        <w:adjustRightInd w:val="0"/>
        <w:snapToGrid w:val="0"/>
        <w:spacing w:line="440" w:lineRule="exact"/>
        <w:ind w:firstLine="420" w:firstLineChars="200"/>
        <w:jc w:val="left"/>
        <w:rPr>
          <w:rFonts w:hint="eastAsia" w:ascii="宋体" w:hAnsi="宋体" w:eastAsia="宋体" w:cs="宋体"/>
          <w:kern w:val="0"/>
          <w:szCs w:val="21"/>
          <w:highlight w:val="none"/>
          <w:lang w:eastAsia="zh-CN"/>
        </w:rPr>
      </w:pPr>
      <w:r>
        <w:rPr>
          <w:rFonts w:hint="eastAsia" w:ascii="宋体" w:hAnsi="宋体" w:cs="宋体"/>
          <w:kern w:val="0"/>
          <w:szCs w:val="21"/>
          <w:highlight w:val="none"/>
        </w:rPr>
        <w:t>3.3.7.12 工业以太网超五类双绞线电缆应带屏蔽层、4对线。</w:t>
      </w:r>
    </w:p>
    <w:p w14:paraId="0967BAEB">
      <w:pPr>
        <w:tabs>
          <w:tab w:val="left" w:pos="420"/>
        </w:tabs>
        <w:adjustRightInd w:val="0"/>
        <w:snapToGrid w:val="0"/>
        <w:spacing w:line="440" w:lineRule="exact"/>
        <w:ind w:firstLine="420" w:firstLineChars="200"/>
        <w:jc w:val="left"/>
        <w:rPr>
          <w:rFonts w:hint="eastAsia" w:ascii="宋体" w:hAnsi="宋体" w:eastAsia="宋体" w:cs="宋体"/>
          <w:kern w:val="0"/>
          <w:szCs w:val="21"/>
          <w:highlight w:val="none"/>
          <w:lang w:eastAsia="zh-CN"/>
        </w:rPr>
      </w:pPr>
      <w:r>
        <w:rPr>
          <w:rFonts w:hint="eastAsia" w:ascii="宋体" w:hAnsi="宋体" w:cs="宋体"/>
          <w:kern w:val="0"/>
          <w:szCs w:val="21"/>
          <w:highlight w:val="none"/>
        </w:rPr>
        <w:t>3.3.7.13 工业以太网超五类双绞线的生产厂家</w:t>
      </w:r>
      <w:r>
        <w:rPr>
          <w:rFonts w:hint="eastAsia" w:ascii="宋体" w:hAnsi="宋体" w:cs="宋体"/>
          <w:kern w:val="0"/>
          <w:szCs w:val="21"/>
          <w:highlight w:val="none"/>
          <w:lang w:val="en-US" w:eastAsia="zh-CN"/>
        </w:rPr>
        <w:t>须</w:t>
      </w:r>
      <w:r>
        <w:rPr>
          <w:rFonts w:hint="eastAsia" w:ascii="宋体" w:hAnsi="宋体" w:cs="宋体"/>
          <w:kern w:val="0"/>
          <w:szCs w:val="21"/>
          <w:highlight w:val="none"/>
        </w:rPr>
        <w:t>通过ISO9000系列质量体系认证。</w:t>
      </w:r>
    </w:p>
    <w:p w14:paraId="3E90D87D">
      <w:pPr>
        <w:tabs>
          <w:tab w:val="left" w:pos="420"/>
        </w:tabs>
        <w:adjustRightInd w:val="0"/>
        <w:snapToGrid w:val="0"/>
        <w:spacing w:line="440" w:lineRule="exact"/>
        <w:ind w:firstLine="420" w:firstLineChars="200"/>
        <w:jc w:val="left"/>
        <w:rPr>
          <w:rFonts w:hint="eastAsia" w:ascii="宋体" w:hAnsi="宋体" w:eastAsia="宋体" w:cs="宋体"/>
          <w:kern w:val="0"/>
          <w:szCs w:val="21"/>
          <w:lang w:eastAsia="zh-CN"/>
        </w:rPr>
      </w:pPr>
      <w:r>
        <w:rPr>
          <w:rFonts w:hint="eastAsia" w:ascii="宋体" w:hAnsi="宋体" w:cs="宋体"/>
          <w:kern w:val="0"/>
          <w:szCs w:val="21"/>
          <w:highlight w:val="none"/>
        </w:rPr>
        <w:t>3.3.7.14 新增线缆为暗敷，墙内的暗敷线缆由PVC管进行防护，不得有明线，损坏的墙面由乙</w:t>
      </w:r>
      <w:r>
        <w:rPr>
          <w:rFonts w:hint="eastAsia" w:ascii="宋体" w:hAnsi="宋体" w:cs="宋体"/>
          <w:kern w:val="0"/>
          <w:szCs w:val="21"/>
        </w:rPr>
        <w:t>方负责恢复，要求正面墙无色差；</w:t>
      </w:r>
    </w:p>
    <w:p w14:paraId="28F259DF">
      <w:pPr>
        <w:tabs>
          <w:tab w:val="left" w:pos="420"/>
        </w:tabs>
        <w:adjustRightInd w:val="0"/>
        <w:snapToGrid w:val="0"/>
        <w:spacing w:line="440" w:lineRule="exact"/>
        <w:ind w:firstLine="420" w:firstLineChars="200"/>
        <w:jc w:val="left"/>
        <w:rPr>
          <w:rFonts w:hint="eastAsia" w:ascii="宋体" w:hAnsi="宋体" w:eastAsia="宋体" w:cs="宋体"/>
          <w:kern w:val="0"/>
          <w:szCs w:val="21"/>
          <w:lang w:eastAsia="zh-CN"/>
        </w:rPr>
      </w:pPr>
      <w:r>
        <w:rPr>
          <w:rFonts w:hint="eastAsia" w:ascii="宋体" w:hAnsi="宋体" w:cs="宋体"/>
          <w:kern w:val="0"/>
          <w:szCs w:val="21"/>
        </w:rPr>
        <w:t>3.3.7.15 本次新增面板需在墙面开孔安装，损坏的墙面由乙方负责恢复，要求正面墙无色差；</w:t>
      </w:r>
    </w:p>
    <w:p w14:paraId="29BD5ED2">
      <w:pPr>
        <w:tabs>
          <w:tab w:val="left" w:pos="420"/>
        </w:tabs>
        <w:adjustRightInd w:val="0"/>
        <w:snapToGrid w:val="0"/>
        <w:spacing w:line="440" w:lineRule="exact"/>
        <w:ind w:firstLine="420" w:firstLineChars="200"/>
        <w:jc w:val="left"/>
        <w:rPr>
          <w:rFonts w:hint="eastAsia" w:ascii="宋体" w:hAnsi="宋体" w:eastAsia="宋体" w:cs="宋体"/>
          <w:kern w:val="0"/>
          <w:szCs w:val="21"/>
          <w:highlight w:val="none"/>
          <w:lang w:eastAsia="zh-CN"/>
        </w:rPr>
      </w:pPr>
      <w:r>
        <w:rPr>
          <w:rFonts w:hint="eastAsia" w:ascii="宋体" w:hAnsi="宋体" w:cs="宋体"/>
          <w:kern w:val="0"/>
          <w:szCs w:val="21"/>
          <w:highlight w:val="none"/>
        </w:rPr>
        <w:t>3.3.7.16 线缆敷设可利用既有的桥架或线槽，无既有桥架和线槽的需用钢管或PVC等管材进行防护；</w:t>
      </w:r>
    </w:p>
    <w:p w14:paraId="0252C9E6">
      <w:pPr>
        <w:tabs>
          <w:tab w:val="left" w:pos="420"/>
        </w:tabs>
        <w:adjustRightInd w:val="0"/>
        <w:snapToGrid w:val="0"/>
        <w:spacing w:line="440" w:lineRule="exact"/>
        <w:ind w:firstLine="420" w:firstLineChars="200"/>
        <w:jc w:val="left"/>
        <w:rPr>
          <w:rFonts w:ascii="宋体" w:hAnsi="宋体" w:cs="宋体"/>
          <w:kern w:val="0"/>
          <w:szCs w:val="21"/>
          <w:highlight w:val="none"/>
        </w:rPr>
      </w:pPr>
      <w:r>
        <w:rPr>
          <w:rFonts w:hint="eastAsia" w:ascii="宋体" w:hAnsi="宋体" w:cs="宋体"/>
          <w:kern w:val="0"/>
          <w:szCs w:val="21"/>
          <w:highlight w:val="none"/>
        </w:rPr>
        <w:t>3.3.7.17 新增测试排和面板不得低于LSA-PLUS series2或KRONE模块，测试排和面板</w:t>
      </w:r>
      <w:r>
        <w:rPr>
          <w:rFonts w:hint="eastAsia" w:ascii="宋体" w:hAnsi="宋体" w:eastAsia="宋体" w:cs="宋体"/>
          <w:kern w:val="0"/>
          <w:szCs w:val="21"/>
          <w:highlight w:val="none"/>
          <w:lang w:eastAsia="zh-CN"/>
        </w:rPr>
        <w:t>中标人</w:t>
      </w:r>
      <w:r>
        <w:rPr>
          <w:rFonts w:hint="eastAsia" w:ascii="宋体" w:hAnsi="宋体" w:eastAsia="宋体" w:cs="宋体"/>
          <w:kern w:val="0"/>
          <w:szCs w:val="21"/>
          <w:highlight w:val="none"/>
          <w:lang w:val="en-US" w:eastAsia="zh-CN"/>
        </w:rPr>
        <w:t>供货时</w:t>
      </w:r>
      <w:r>
        <w:rPr>
          <w:rFonts w:hint="eastAsia" w:ascii="宋体" w:hAnsi="宋体" w:eastAsia="宋体" w:cs="宋体"/>
          <w:kern w:val="0"/>
          <w:szCs w:val="21"/>
          <w:highlight w:val="none"/>
        </w:rPr>
        <w:t>须提</w:t>
      </w:r>
      <w:r>
        <w:rPr>
          <w:rFonts w:hint="eastAsia" w:ascii="宋体" w:hAnsi="宋体" w:cs="宋体"/>
          <w:kern w:val="0"/>
          <w:szCs w:val="21"/>
          <w:highlight w:val="none"/>
        </w:rPr>
        <w:t>供原厂的证明文件。</w:t>
      </w:r>
    </w:p>
    <w:p w14:paraId="1CE39EC2">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3.4 推荐品牌</w:t>
      </w:r>
    </w:p>
    <w:tbl>
      <w:tblPr>
        <w:tblStyle w:val="23"/>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645"/>
        <w:gridCol w:w="2159"/>
        <w:gridCol w:w="2157"/>
        <w:gridCol w:w="2605"/>
      </w:tblGrid>
      <w:tr w14:paraId="205CA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962" w:type="dxa"/>
            <w:tcBorders>
              <w:top w:val="single" w:color="auto" w:sz="4" w:space="0"/>
              <w:left w:val="single" w:color="auto" w:sz="4" w:space="0"/>
              <w:bottom w:val="single" w:color="auto" w:sz="4" w:space="0"/>
              <w:right w:val="single" w:color="auto" w:sz="4" w:space="0"/>
            </w:tcBorders>
            <w:noWrap w:val="0"/>
            <w:vAlign w:val="top"/>
          </w:tcPr>
          <w:p w14:paraId="7EA7E55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b/>
                <w:bCs/>
                <w:kern w:val="0"/>
                <w:szCs w:val="21"/>
                <w:highlight w:val="none"/>
              </w:rPr>
            </w:pPr>
            <w:r>
              <w:rPr>
                <w:rFonts w:hint="eastAsia" w:ascii="宋体" w:hAnsi="宋体" w:cs="宋体"/>
                <w:b/>
                <w:bCs/>
                <w:kern w:val="0"/>
                <w:szCs w:val="21"/>
                <w:highlight w:val="none"/>
              </w:rPr>
              <w:t>项目名称</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61DABF7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
                <w:bCs/>
                <w:kern w:val="0"/>
                <w:szCs w:val="21"/>
                <w:highlight w:val="none"/>
              </w:rPr>
            </w:pPr>
            <w:r>
              <w:rPr>
                <w:rFonts w:hint="eastAsia" w:ascii="宋体" w:hAnsi="宋体" w:cs="宋体"/>
                <w:b/>
                <w:bCs/>
                <w:kern w:val="0"/>
                <w:szCs w:val="21"/>
                <w:highlight w:val="none"/>
              </w:rPr>
              <w:t>序号</w:t>
            </w:r>
          </w:p>
        </w:tc>
        <w:tc>
          <w:tcPr>
            <w:tcW w:w="2159" w:type="dxa"/>
            <w:tcBorders>
              <w:top w:val="single" w:color="auto" w:sz="4" w:space="0"/>
              <w:left w:val="single" w:color="auto" w:sz="4" w:space="0"/>
              <w:bottom w:val="single" w:color="auto" w:sz="4" w:space="0"/>
              <w:right w:val="single" w:color="auto" w:sz="4" w:space="0"/>
            </w:tcBorders>
            <w:noWrap w:val="0"/>
            <w:vAlign w:val="center"/>
          </w:tcPr>
          <w:p w14:paraId="40F23CE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
                <w:bCs/>
                <w:kern w:val="0"/>
                <w:szCs w:val="21"/>
                <w:highlight w:val="none"/>
              </w:rPr>
            </w:pPr>
            <w:r>
              <w:rPr>
                <w:rFonts w:hint="eastAsia" w:ascii="宋体" w:hAnsi="宋体" w:cs="宋体"/>
                <w:b/>
                <w:bCs/>
                <w:kern w:val="0"/>
                <w:szCs w:val="21"/>
                <w:highlight w:val="none"/>
              </w:rPr>
              <w:t>设备名称</w:t>
            </w:r>
          </w:p>
        </w:tc>
        <w:tc>
          <w:tcPr>
            <w:tcW w:w="2157" w:type="dxa"/>
            <w:tcBorders>
              <w:top w:val="single" w:color="auto" w:sz="4" w:space="0"/>
              <w:left w:val="single" w:color="auto" w:sz="4" w:space="0"/>
              <w:bottom w:val="single" w:color="auto" w:sz="4" w:space="0"/>
              <w:right w:val="single" w:color="auto" w:sz="4" w:space="0"/>
            </w:tcBorders>
            <w:noWrap w:val="0"/>
            <w:vAlign w:val="center"/>
          </w:tcPr>
          <w:p w14:paraId="44BF6B8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
                <w:bCs/>
                <w:kern w:val="0"/>
                <w:szCs w:val="21"/>
                <w:highlight w:val="none"/>
              </w:rPr>
            </w:pPr>
            <w:r>
              <w:rPr>
                <w:rFonts w:hint="eastAsia" w:ascii="宋体" w:hAnsi="宋体" w:cs="宋体"/>
                <w:b/>
                <w:bCs/>
                <w:kern w:val="0"/>
                <w:szCs w:val="21"/>
                <w:highlight w:val="none"/>
              </w:rPr>
              <w:t>规格</w:t>
            </w:r>
          </w:p>
        </w:tc>
        <w:tc>
          <w:tcPr>
            <w:tcW w:w="2605" w:type="dxa"/>
            <w:tcBorders>
              <w:top w:val="single" w:color="auto" w:sz="4" w:space="0"/>
              <w:left w:val="single" w:color="auto" w:sz="4" w:space="0"/>
              <w:bottom w:val="single" w:color="auto" w:sz="4" w:space="0"/>
              <w:right w:val="single" w:color="auto" w:sz="4" w:space="0"/>
            </w:tcBorders>
            <w:noWrap w:val="0"/>
            <w:vAlign w:val="center"/>
          </w:tcPr>
          <w:p w14:paraId="62A0722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b/>
                <w:bCs/>
                <w:kern w:val="0"/>
                <w:szCs w:val="21"/>
                <w:highlight w:val="none"/>
                <w:lang w:val="en-US" w:eastAsia="zh-CN"/>
              </w:rPr>
            </w:pPr>
            <w:r>
              <w:rPr>
                <w:rFonts w:hint="eastAsia" w:ascii="宋体" w:hAnsi="宋体" w:cs="宋体"/>
                <w:b/>
                <w:bCs/>
                <w:kern w:val="0"/>
                <w:szCs w:val="21"/>
                <w:highlight w:val="none"/>
                <w:lang w:val="en-US" w:eastAsia="zh-CN"/>
              </w:rPr>
              <w:t>推荐品牌</w:t>
            </w:r>
          </w:p>
        </w:tc>
      </w:tr>
      <w:tr w14:paraId="2859D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2" w:type="dxa"/>
            <w:vMerge w:val="restart"/>
            <w:tcBorders>
              <w:top w:val="nil"/>
              <w:left w:val="single" w:color="auto" w:sz="4" w:space="0"/>
              <w:bottom w:val="single" w:color="auto" w:sz="4" w:space="0"/>
              <w:right w:val="single" w:color="auto" w:sz="4" w:space="0"/>
            </w:tcBorders>
            <w:noWrap w:val="0"/>
            <w:vAlign w:val="center"/>
          </w:tcPr>
          <w:p w14:paraId="74AAF55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lang w:val="en-US" w:eastAsia="zh-CN"/>
              </w:rPr>
              <w:t>滁州至南京城际铁路（滁州段）一期、二期全线监控CCTV补盲加装项目</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029AAE99">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1</w:t>
            </w:r>
          </w:p>
        </w:tc>
        <w:tc>
          <w:tcPr>
            <w:tcW w:w="2159" w:type="dxa"/>
            <w:tcBorders>
              <w:top w:val="single" w:color="auto" w:sz="4" w:space="0"/>
              <w:left w:val="single" w:color="auto" w:sz="4" w:space="0"/>
              <w:bottom w:val="single" w:color="auto" w:sz="4" w:space="0"/>
              <w:right w:val="single" w:color="auto" w:sz="4" w:space="0"/>
            </w:tcBorders>
            <w:noWrap w:val="0"/>
            <w:vAlign w:val="center"/>
          </w:tcPr>
          <w:p w14:paraId="256CED40">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高清球机</w:t>
            </w:r>
          </w:p>
        </w:tc>
        <w:tc>
          <w:tcPr>
            <w:tcW w:w="2157" w:type="dxa"/>
            <w:tcBorders>
              <w:top w:val="single" w:color="auto" w:sz="4" w:space="0"/>
              <w:left w:val="single" w:color="auto" w:sz="4" w:space="0"/>
              <w:bottom w:val="single" w:color="auto" w:sz="4" w:space="0"/>
              <w:right w:val="single" w:color="auto" w:sz="4" w:space="0"/>
            </w:tcBorders>
            <w:noWrap w:val="0"/>
            <w:vAlign w:val="center"/>
          </w:tcPr>
          <w:p w14:paraId="0A714201">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详见主要技术说明</w:t>
            </w:r>
          </w:p>
        </w:tc>
        <w:tc>
          <w:tcPr>
            <w:tcW w:w="2605" w:type="dxa"/>
            <w:tcBorders>
              <w:top w:val="single" w:color="auto" w:sz="4" w:space="0"/>
              <w:left w:val="single" w:color="auto" w:sz="4" w:space="0"/>
              <w:bottom w:val="single" w:color="auto" w:sz="4" w:space="0"/>
              <w:right w:val="single" w:color="auto" w:sz="4" w:space="0"/>
            </w:tcBorders>
            <w:noWrap w:val="0"/>
            <w:vAlign w:val="center"/>
          </w:tcPr>
          <w:p w14:paraId="6A9F0D3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宇视、大华、海康</w:t>
            </w:r>
          </w:p>
        </w:tc>
      </w:tr>
      <w:tr w14:paraId="747B3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2" w:type="dxa"/>
            <w:vMerge w:val="continue"/>
            <w:tcBorders>
              <w:top w:val="nil"/>
              <w:left w:val="single" w:color="auto" w:sz="4" w:space="0"/>
              <w:bottom w:val="single" w:color="auto" w:sz="4" w:space="0"/>
              <w:right w:val="single" w:color="auto" w:sz="4" w:space="0"/>
            </w:tcBorders>
            <w:noWrap w:val="0"/>
            <w:vAlign w:val="center"/>
          </w:tcPr>
          <w:p w14:paraId="5D26E97B">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kern w:val="0"/>
                <w:szCs w:val="21"/>
                <w:highlight w:val="none"/>
              </w:rPr>
            </w:pPr>
          </w:p>
        </w:tc>
        <w:tc>
          <w:tcPr>
            <w:tcW w:w="645" w:type="dxa"/>
            <w:tcBorders>
              <w:top w:val="single" w:color="auto" w:sz="4" w:space="0"/>
              <w:left w:val="single" w:color="auto" w:sz="4" w:space="0"/>
              <w:bottom w:val="single" w:color="auto" w:sz="4" w:space="0"/>
              <w:right w:val="single" w:color="auto" w:sz="4" w:space="0"/>
            </w:tcBorders>
            <w:noWrap w:val="0"/>
            <w:vAlign w:val="center"/>
          </w:tcPr>
          <w:p w14:paraId="7364760D">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2</w:t>
            </w:r>
          </w:p>
        </w:tc>
        <w:tc>
          <w:tcPr>
            <w:tcW w:w="2159" w:type="dxa"/>
            <w:tcBorders>
              <w:top w:val="single" w:color="auto" w:sz="4" w:space="0"/>
              <w:left w:val="single" w:color="auto" w:sz="4" w:space="0"/>
              <w:bottom w:val="single" w:color="auto" w:sz="4" w:space="0"/>
              <w:right w:val="single" w:color="auto" w:sz="4" w:space="0"/>
            </w:tcBorders>
            <w:noWrap w:val="0"/>
            <w:vAlign w:val="center"/>
          </w:tcPr>
          <w:p w14:paraId="4FE80E87">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高清枪机</w:t>
            </w:r>
          </w:p>
        </w:tc>
        <w:tc>
          <w:tcPr>
            <w:tcW w:w="2157" w:type="dxa"/>
            <w:tcBorders>
              <w:top w:val="single" w:color="auto" w:sz="4" w:space="0"/>
              <w:left w:val="single" w:color="auto" w:sz="4" w:space="0"/>
              <w:bottom w:val="single" w:color="auto" w:sz="4" w:space="0"/>
              <w:right w:val="single" w:color="auto" w:sz="4" w:space="0"/>
            </w:tcBorders>
            <w:noWrap w:val="0"/>
            <w:vAlign w:val="center"/>
          </w:tcPr>
          <w:p w14:paraId="1FFF11B1">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详见主要技术说明</w:t>
            </w:r>
          </w:p>
        </w:tc>
        <w:tc>
          <w:tcPr>
            <w:tcW w:w="2605" w:type="dxa"/>
            <w:tcBorders>
              <w:top w:val="single" w:color="auto" w:sz="4" w:space="0"/>
              <w:left w:val="single" w:color="auto" w:sz="4" w:space="0"/>
              <w:bottom w:val="single" w:color="auto" w:sz="4" w:space="0"/>
              <w:right w:val="single" w:color="auto" w:sz="4" w:space="0"/>
            </w:tcBorders>
            <w:noWrap w:val="0"/>
            <w:vAlign w:val="center"/>
          </w:tcPr>
          <w:p w14:paraId="79AABE4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宇视、大华、海康</w:t>
            </w:r>
          </w:p>
        </w:tc>
      </w:tr>
      <w:tr w14:paraId="7F831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2" w:type="dxa"/>
            <w:vMerge w:val="continue"/>
            <w:tcBorders>
              <w:top w:val="nil"/>
              <w:left w:val="single" w:color="auto" w:sz="4" w:space="0"/>
              <w:bottom w:val="single" w:color="auto" w:sz="4" w:space="0"/>
              <w:right w:val="single" w:color="auto" w:sz="4" w:space="0"/>
            </w:tcBorders>
            <w:noWrap w:val="0"/>
            <w:vAlign w:val="center"/>
          </w:tcPr>
          <w:p w14:paraId="03A489B1">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kern w:val="0"/>
                <w:szCs w:val="21"/>
                <w:highlight w:val="none"/>
              </w:rPr>
            </w:pPr>
          </w:p>
        </w:tc>
        <w:tc>
          <w:tcPr>
            <w:tcW w:w="645" w:type="dxa"/>
            <w:tcBorders>
              <w:top w:val="single" w:color="auto" w:sz="4" w:space="0"/>
              <w:left w:val="single" w:color="auto" w:sz="4" w:space="0"/>
              <w:bottom w:val="single" w:color="auto" w:sz="4" w:space="0"/>
              <w:right w:val="single" w:color="auto" w:sz="4" w:space="0"/>
            </w:tcBorders>
            <w:noWrap w:val="0"/>
            <w:vAlign w:val="center"/>
          </w:tcPr>
          <w:p w14:paraId="3BCD67A5">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3</w:t>
            </w:r>
          </w:p>
        </w:tc>
        <w:tc>
          <w:tcPr>
            <w:tcW w:w="2159" w:type="dxa"/>
            <w:tcBorders>
              <w:top w:val="single" w:color="auto" w:sz="4" w:space="0"/>
              <w:left w:val="single" w:color="auto" w:sz="4" w:space="0"/>
              <w:bottom w:val="single" w:color="auto" w:sz="4" w:space="0"/>
              <w:right w:val="single" w:color="auto" w:sz="4" w:space="0"/>
            </w:tcBorders>
            <w:noWrap w:val="0"/>
            <w:vAlign w:val="center"/>
          </w:tcPr>
          <w:p w14:paraId="720BD906">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火灾探测器</w:t>
            </w:r>
          </w:p>
        </w:tc>
        <w:tc>
          <w:tcPr>
            <w:tcW w:w="2157" w:type="dxa"/>
            <w:tcBorders>
              <w:top w:val="single" w:color="auto" w:sz="4" w:space="0"/>
              <w:left w:val="single" w:color="auto" w:sz="4" w:space="0"/>
              <w:bottom w:val="single" w:color="auto" w:sz="4" w:space="0"/>
              <w:right w:val="single" w:color="auto" w:sz="4" w:space="0"/>
            </w:tcBorders>
            <w:noWrap w:val="0"/>
            <w:vAlign w:val="center"/>
          </w:tcPr>
          <w:p w14:paraId="68D30E0A">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详见主要技术说明</w:t>
            </w:r>
          </w:p>
        </w:tc>
        <w:tc>
          <w:tcPr>
            <w:tcW w:w="2605" w:type="dxa"/>
            <w:tcBorders>
              <w:top w:val="single" w:color="auto" w:sz="4" w:space="0"/>
              <w:left w:val="single" w:color="auto" w:sz="4" w:space="0"/>
              <w:bottom w:val="single" w:color="auto" w:sz="4" w:space="0"/>
              <w:right w:val="single" w:color="auto" w:sz="4" w:space="0"/>
            </w:tcBorders>
            <w:noWrap w:val="0"/>
            <w:vAlign w:val="center"/>
          </w:tcPr>
          <w:p w14:paraId="3724BF8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宇视、大华、海康</w:t>
            </w:r>
          </w:p>
        </w:tc>
      </w:tr>
      <w:tr w14:paraId="419B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2" w:type="dxa"/>
            <w:vMerge w:val="continue"/>
            <w:tcBorders>
              <w:top w:val="nil"/>
              <w:left w:val="single" w:color="auto" w:sz="4" w:space="0"/>
              <w:bottom w:val="single" w:color="auto" w:sz="4" w:space="0"/>
              <w:right w:val="single" w:color="auto" w:sz="4" w:space="0"/>
            </w:tcBorders>
            <w:noWrap w:val="0"/>
            <w:vAlign w:val="center"/>
          </w:tcPr>
          <w:p w14:paraId="2CACE7EE">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kern w:val="0"/>
                <w:szCs w:val="21"/>
                <w:highlight w:val="none"/>
              </w:rPr>
            </w:pPr>
          </w:p>
        </w:tc>
        <w:tc>
          <w:tcPr>
            <w:tcW w:w="645" w:type="dxa"/>
            <w:tcBorders>
              <w:top w:val="single" w:color="auto" w:sz="4" w:space="0"/>
              <w:left w:val="single" w:color="auto" w:sz="4" w:space="0"/>
              <w:bottom w:val="single" w:color="auto" w:sz="4" w:space="0"/>
              <w:right w:val="single" w:color="auto" w:sz="4" w:space="0"/>
            </w:tcBorders>
            <w:noWrap w:val="0"/>
            <w:vAlign w:val="center"/>
          </w:tcPr>
          <w:p w14:paraId="10B35936">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4</w:t>
            </w:r>
          </w:p>
        </w:tc>
        <w:tc>
          <w:tcPr>
            <w:tcW w:w="2159" w:type="dxa"/>
            <w:tcBorders>
              <w:top w:val="single" w:color="auto" w:sz="4" w:space="0"/>
              <w:left w:val="single" w:color="auto" w:sz="4" w:space="0"/>
              <w:bottom w:val="single" w:color="auto" w:sz="4" w:space="0"/>
              <w:right w:val="single" w:color="auto" w:sz="4" w:space="0"/>
            </w:tcBorders>
            <w:noWrap w:val="0"/>
            <w:vAlign w:val="center"/>
          </w:tcPr>
          <w:p w14:paraId="77A424A8">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图像型火灾探测器</w:t>
            </w:r>
          </w:p>
        </w:tc>
        <w:tc>
          <w:tcPr>
            <w:tcW w:w="2157" w:type="dxa"/>
            <w:tcBorders>
              <w:top w:val="single" w:color="auto" w:sz="4" w:space="0"/>
              <w:left w:val="single" w:color="auto" w:sz="4" w:space="0"/>
              <w:bottom w:val="single" w:color="auto" w:sz="4" w:space="0"/>
              <w:right w:val="single" w:color="auto" w:sz="4" w:space="0"/>
            </w:tcBorders>
            <w:noWrap w:val="0"/>
            <w:vAlign w:val="center"/>
          </w:tcPr>
          <w:p w14:paraId="77F1E1B6">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详见主要技术说明</w:t>
            </w:r>
          </w:p>
        </w:tc>
        <w:tc>
          <w:tcPr>
            <w:tcW w:w="2605" w:type="dxa"/>
            <w:tcBorders>
              <w:top w:val="single" w:color="auto" w:sz="4" w:space="0"/>
              <w:left w:val="single" w:color="auto" w:sz="4" w:space="0"/>
              <w:bottom w:val="single" w:color="auto" w:sz="4" w:space="0"/>
              <w:right w:val="single" w:color="auto" w:sz="4" w:space="0"/>
            </w:tcBorders>
            <w:noWrap w:val="0"/>
            <w:vAlign w:val="center"/>
          </w:tcPr>
          <w:p w14:paraId="10DE447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宇视、大华、海康</w:t>
            </w:r>
          </w:p>
        </w:tc>
      </w:tr>
      <w:tr w14:paraId="48DE4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2" w:type="dxa"/>
            <w:vMerge w:val="continue"/>
            <w:tcBorders>
              <w:top w:val="nil"/>
              <w:left w:val="single" w:color="auto" w:sz="4" w:space="0"/>
              <w:bottom w:val="single" w:color="auto" w:sz="4" w:space="0"/>
              <w:right w:val="single" w:color="auto" w:sz="4" w:space="0"/>
            </w:tcBorders>
            <w:noWrap w:val="0"/>
            <w:vAlign w:val="center"/>
          </w:tcPr>
          <w:p w14:paraId="216FF811">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kern w:val="0"/>
                <w:szCs w:val="21"/>
                <w:highlight w:val="none"/>
              </w:rPr>
            </w:pPr>
          </w:p>
        </w:tc>
        <w:tc>
          <w:tcPr>
            <w:tcW w:w="645" w:type="dxa"/>
            <w:tcBorders>
              <w:top w:val="single" w:color="auto" w:sz="4" w:space="0"/>
              <w:left w:val="single" w:color="auto" w:sz="4" w:space="0"/>
              <w:bottom w:val="single" w:color="auto" w:sz="4" w:space="0"/>
              <w:right w:val="single" w:color="auto" w:sz="4" w:space="0"/>
            </w:tcBorders>
            <w:noWrap w:val="0"/>
            <w:vAlign w:val="center"/>
          </w:tcPr>
          <w:p w14:paraId="26CF217B">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5</w:t>
            </w:r>
          </w:p>
        </w:tc>
        <w:tc>
          <w:tcPr>
            <w:tcW w:w="2159" w:type="dxa"/>
            <w:tcBorders>
              <w:top w:val="single" w:color="auto" w:sz="4" w:space="0"/>
              <w:left w:val="single" w:color="auto" w:sz="4" w:space="0"/>
              <w:bottom w:val="single" w:color="auto" w:sz="4" w:space="0"/>
              <w:right w:val="single" w:color="auto" w:sz="4" w:space="0"/>
            </w:tcBorders>
            <w:noWrap w:val="0"/>
            <w:vAlign w:val="center"/>
          </w:tcPr>
          <w:p w14:paraId="4B91496C">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一体化SATA硬盘(8000G)</w:t>
            </w:r>
          </w:p>
        </w:tc>
        <w:tc>
          <w:tcPr>
            <w:tcW w:w="2157" w:type="dxa"/>
            <w:tcBorders>
              <w:top w:val="single" w:color="auto" w:sz="4" w:space="0"/>
              <w:left w:val="single" w:color="auto" w:sz="4" w:space="0"/>
              <w:bottom w:val="single" w:color="auto" w:sz="4" w:space="0"/>
              <w:right w:val="single" w:color="auto" w:sz="4" w:space="0"/>
            </w:tcBorders>
            <w:noWrap w:val="0"/>
            <w:vAlign w:val="center"/>
          </w:tcPr>
          <w:p w14:paraId="5C5D2F93">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监控级硬盘</w:t>
            </w:r>
          </w:p>
        </w:tc>
        <w:tc>
          <w:tcPr>
            <w:tcW w:w="2605" w:type="dxa"/>
            <w:tcBorders>
              <w:top w:val="single" w:color="auto" w:sz="4" w:space="0"/>
              <w:left w:val="single" w:color="auto" w:sz="4" w:space="0"/>
              <w:bottom w:val="single" w:color="auto" w:sz="4" w:space="0"/>
              <w:right w:val="single" w:color="auto" w:sz="4" w:space="0"/>
            </w:tcBorders>
            <w:noWrap w:val="0"/>
            <w:vAlign w:val="center"/>
          </w:tcPr>
          <w:p w14:paraId="6958F13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rPr>
              <w:t>希捷，西部数据</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东芝</w:t>
            </w:r>
          </w:p>
        </w:tc>
      </w:tr>
      <w:tr w14:paraId="47E98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62" w:type="dxa"/>
            <w:vMerge w:val="continue"/>
            <w:tcBorders>
              <w:top w:val="nil"/>
              <w:left w:val="single" w:color="auto" w:sz="4" w:space="0"/>
              <w:bottom w:val="single" w:color="auto" w:sz="4" w:space="0"/>
              <w:right w:val="single" w:color="auto" w:sz="4" w:space="0"/>
            </w:tcBorders>
            <w:noWrap w:val="0"/>
            <w:vAlign w:val="center"/>
          </w:tcPr>
          <w:p w14:paraId="5C11F811">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kern w:val="0"/>
                <w:szCs w:val="21"/>
                <w:highlight w:val="none"/>
              </w:rPr>
            </w:pPr>
          </w:p>
        </w:tc>
        <w:tc>
          <w:tcPr>
            <w:tcW w:w="645" w:type="dxa"/>
            <w:tcBorders>
              <w:top w:val="single" w:color="auto" w:sz="4" w:space="0"/>
              <w:left w:val="single" w:color="auto" w:sz="4" w:space="0"/>
              <w:bottom w:val="single" w:color="auto" w:sz="4" w:space="0"/>
              <w:right w:val="single" w:color="auto" w:sz="4" w:space="0"/>
            </w:tcBorders>
            <w:noWrap w:val="0"/>
            <w:vAlign w:val="center"/>
          </w:tcPr>
          <w:p w14:paraId="343C1505">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6</w:t>
            </w:r>
          </w:p>
        </w:tc>
        <w:tc>
          <w:tcPr>
            <w:tcW w:w="2159" w:type="dxa"/>
            <w:tcBorders>
              <w:top w:val="single" w:color="auto" w:sz="4" w:space="0"/>
              <w:left w:val="single" w:color="auto" w:sz="4" w:space="0"/>
              <w:bottom w:val="single" w:color="auto" w:sz="4" w:space="0"/>
              <w:right w:val="single" w:color="auto" w:sz="4" w:space="0"/>
            </w:tcBorders>
            <w:noWrap w:val="0"/>
            <w:vAlign w:val="center"/>
          </w:tcPr>
          <w:p w14:paraId="6284D15B">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交换机</w:t>
            </w:r>
          </w:p>
        </w:tc>
        <w:tc>
          <w:tcPr>
            <w:tcW w:w="2157" w:type="dxa"/>
            <w:tcBorders>
              <w:top w:val="single" w:color="auto" w:sz="4" w:space="0"/>
              <w:left w:val="single" w:color="auto" w:sz="4" w:space="0"/>
              <w:bottom w:val="single" w:color="auto" w:sz="4" w:space="0"/>
              <w:right w:val="single" w:color="auto" w:sz="4" w:space="0"/>
            </w:tcBorders>
            <w:noWrap w:val="0"/>
            <w:vAlign w:val="center"/>
          </w:tcPr>
          <w:p w14:paraId="2786D2D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详见主要技术说明</w:t>
            </w:r>
          </w:p>
        </w:tc>
        <w:tc>
          <w:tcPr>
            <w:tcW w:w="2605" w:type="dxa"/>
            <w:tcBorders>
              <w:top w:val="single" w:color="auto" w:sz="4" w:space="0"/>
              <w:left w:val="single" w:color="auto" w:sz="4" w:space="0"/>
              <w:bottom w:val="single" w:color="auto" w:sz="4" w:space="0"/>
              <w:right w:val="single" w:color="auto" w:sz="4" w:space="0"/>
            </w:tcBorders>
            <w:noWrap w:val="0"/>
            <w:vAlign w:val="center"/>
          </w:tcPr>
          <w:p w14:paraId="69436B7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rPr>
              <w:t>H3C、华为</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中兴</w:t>
            </w:r>
          </w:p>
        </w:tc>
      </w:tr>
    </w:tbl>
    <w:p w14:paraId="446CBE31">
      <w:pPr>
        <w:tabs>
          <w:tab w:val="left" w:pos="420"/>
        </w:tabs>
        <w:adjustRightInd w:val="0"/>
        <w:snapToGrid w:val="0"/>
        <w:spacing w:line="440" w:lineRule="exact"/>
        <w:ind w:firstLine="420" w:firstLineChars="200"/>
        <w:jc w:val="left"/>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对于招标人推荐品牌的材料、设备，投标人可选用推荐品牌或不低于推荐品牌技术性能指标的其他品牌；采用其他品牌的应在报价文件《招标人推荐的材料品牌响应表》中注明并提供相关技术性能指标、业绩等供评标委员会评审，未在《招标人推荐的材料品牌响应表》中注明且未提供相关技术性能指标、业绩，或经评标委员会评审未通过的，中标后只能从招标人推荐品牌中进行选择，合同价格不予调整。</w:t>
      </w:r>
    </w:p>
    <w:p w14:paraId="34A91D53">
      <w:pPr>
        <w:spacing w:line="440" w:lineRule="exact"/>
        <w:ind w:firstLine="420" w:firstLineChars="200"/>
        <w:rPr>
          <w:rFonts w:hint="eastAsia" w:ascii="宋体" w:hAnsi="宋体" w:cs="宋体"/>
          <w:b/>
          <w:bCs/>
          <w:szCs w:val="21"/>
        </w:rPr>
      </w:pPr>
      <w:r>
        <w:rPr>
          <w:rFonts w:hint="eastAsia" w:ascii="宋体" w:hAnsi="宋体" w:cs="宋体"/>
          <w:b/>
          <w:bCs/>
          <w:szCs w:val="21"/>
        </w:rPr>
        <w:t>四、服务要求与条件</w:t>
      </w:r>
    </w:p>
    <w:p w14:paraId="3AEF2958">
      <w:pPr>
        <w:tabs>
          <w:tab w:val="left" w:pos="420"/>
        </w:tabs>
        <w:adjustRightInd w:val="0"/>
        <w:snapToGrid w:val="0"/>
        <w:spacing w:line="440" w:lineRule="exact"/>
        <w:jc w:val="left"/>
        <w:rPr>
          <w:rFonts w:hint="eastAsia" w:ascii="宋体" w:hAnsi="宋体" w:cs="宋体"/>
          <w:kern w:val="0"/>
          <w:szCs w:val="21"/>
        </w:rPr>
      </w:pPr>
      <w:r>
        <w:rPr>
          <w:rFonts w:ascii="宋体" w:hAnsi="宋体" w:cs="宋体"/>
          <w:kern w:val="0"/>
          <w:szCs w:val="21"/>
        </w:rPr>
        <w:tab/>
      </w:r>
      <w:r>
        <w:rPr>
          <w:rFonts w:hint="eastAsia" w:ascii="宋体" w:hAnsi="宋体" w:cs="宋体"/>
          <w:kern w:val="0"/>
          <w:szCs w:val="21"/>
        </w:rPr>
        <w:t>4.1 项目人员要求</w:t>
      </w:r>
    </w:p>
    <w:p w14:paraId="67F6E011">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rPr>
        <w:t>项目负责人</w:t>
      </w:r>
      <w:r>
        <w:rPr>
          <w:rFonts w:hint="eastAsia" w:ascii="宋体" w:hAnsi="宋体" w:cs="宋体"/>
          <w:kern w:val="0"/>
          <w:szCs w:val="21"/>
          <w:lang w:eastAsia="zh-CN"/>
        </w:rPr>
        <w:t>（</w:t>
      </w:r>
      <w:r>
        <w:rPr>
          <w:rFonts w:hint="eastAsia" w:ascii="宋体" w:hAnsi="宋体" w:cs="宋体"/>
          <w:kern w:val="0"/>
          <w:szCs w:val="21"/>
          <w:lang w:val="en-US" w:eastAsia="zh-CN"/>
        </w:rPr>
        <w:t>仅限</w:t>
      </w:r>
      <w:r>
        <w:rPr>
          <w:rFonts w:hint="eastAsia" w:ascii="宋体" w:hAnsi="宋体" w:cs="宋体"/>
          <w:kern w:val="0"/>
          <w:szCs w:val="21"/>
        </w:rPr>
        <w:t>1名</w:t>
      </w:r>
      <w:r>
        <w:rPr>
          <w:rFonts w:hint="eastAsia" w:ascii="宋体" w:hAnsi="宋体" w:cs="宋体"/>
          <w:kern w:val="0"/>
          <w:szCs w:val="21"/>
          <w:lang w:eastAsia="zh-CN"/>
        </w:rPr>
        <w:t>）</w:t>
      </w:r>
      <w:r>
        <w:rPr>
          <w:rFonts w:hint="eastAsia" w:ascii="宋体" w:hAnsi="宋体" w:cs="宋体"/>
          <w:kern w:val="0"/>
          <w:szCs w:val="21"/>
        </w:rPr>
        <w:t>：大专以上学历，</w:t>
      </w:r>
      <w:r>
        <w:rPr>
          <w:rFonts w:hint="eastAsia" w:ascii="宋体" w:hAnsi="宋体" w:cs="宋体"/>
          <w:kern w:val="0"/>
          <w:szCs w:val="21"/>
          <w:highlight w:val="none"/>
        </w:rPr>
        <w:t>通信信号</w:t>
      </w:r>
      <w:r>
        <w:rPr>
          <w:rFonts w:hint="eastAsia" w:ascii="宋体" w:hAnsi="宋体" w:cs="宋体"/>
          <w:kern w:val="0"/>
          <w:szCs w:val="21"/>
          <w:highlight w:val="none"/>
          <w:lang w:val="en-US" w:eastAsia="zh-CN"/>
        </w:rPr>
        <w:t>或</w:t>
      </w:r>
      <w:r>
        <w:rPr>
          <w:rFonts w:hint="eastAsia" w:ascii="宋体" w:hAnsi="宋体" w:cs="宋体"/>
          <w:kern w:val="0"/>
          <w:szCs w:val="21"/>
          <w:highlight w:val="none"/>
        </w:rPr>
        <w:t>电子</w:t>
      </w:r>
      <w:r>
        <w:rPr>
          <w:rFonts w:hint="eastAsia" w:ascii="宋体" w:hAnsi="宋体" w:cs="宋体"/>
          <w:kern w:val="0"/>
          <w:szCs w:val="21"/>
          <w:highlight w:val="none"/>
          <w:lang w:val="en-US" w:eastAsia="zh-CN"/>
        </w:rPr>
        <w:t>或</w:t>
      </w:r>
      <w:r>
        <w:rPr>
          <w:rFonts w:hint="eastAsia" w:ascii="宋体" w:hAnsi="宋体" w:cs="宋体"/>
          <w:kern w:val="0"/>
          <w:szCs w:val="21"/>
          <w:highlight w:val="none"/>
        </w:rPr>
        <w:t>自动化</w:t>
      </w:r>
      <w:r>
        <w:rPr>
          <w:rFonts w:hint="eastAsia" w:ascii="宋体" w:hAnsi="宋体" w:cs="宋体"/>
          <w:kern w:val="0"/>
          <w:szCs w:val="21"/>
          <w:highlight w:val="none"/>
          <w:lang w:val="en-US" w:eastAsia="zh-CN"/>
        </w:rPr>
        <w:t>或</w:t>
      </w:r>
      <w:r>
        <w:rPr>
          <w:rFonts w:hint="eastAsia" w:ascii="宋体" w:hAnsi="宋体" w:cs="宋体"/>
          <w:kern w:val="0"/>
          <w:szCs w:val="21"/>
          <w:highlight w:val="none"/>
        </w:rPr>
        <w:t>计算机等相关专业中级及以上职称。</w:t>
      </w:r>
    </w:p>
    <w:p w14:paraId="7907E6A8">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技术负责人</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仅限</w:t>
      </w:r>
      <w:r>
        <w:rPr>
          <w:rFonts w:hint="eastAsia" w:ascii="宋体" w:hAnsi="宋体" w:cs="宋体"/>
          <w:kern w:val="0"/>
          <w:szCs w:val="21"/>
          <w:highlight w:val="none"/>
        </w:rPr>
        <w:t>1名</w:t>
      </w:r>
      <w:r>
        <w:rPr>
          <w:rFonts w:hint="eastAsia" w:ascii="宋体" w:hAnsi="宋体" w:cs="宋体"/>
          <w:kern w:val="0"/>
          <w:szCs w:val="21"/>
          <w:highlight w:val="none"/>
          <w:lang w:eastAsia="zh-CN"/>
        </w:rPr>
        <w:t>）</w:t>
      </w:r>
      <w:r>
        <w:rPr>
          <w:rFonts w:hint="eastAsia" w:ascii="宋体" w:hAnsi="宋体" w:cs="宋体"/>
          <w:kern w:val="0"/>
          <w:szCs w:val="21"/>
          <w:highlight w:val="none"/>
        </w:rPr>
        <w:t>：大专以上学历，通信信号</w:t>
      </w:r>
      <w:r>
        <w:rPr>
          <w:rFonts w:hint="eastAsia" w:ascii="宋体" w:hAnsi="宋体" w:cs="宋体"/>
          <w:kern w:val="0"/>
          <w:szCs w:val="21"/>
          <w:highlight w:val="none"/>
          <w:lang w:val="en-US" w:eastAsia="zh-CN"/>
        </w:rPr>
        <w:t>或</w:t>
      </w:r>
      <w:r>
        <w:rPr>
          <w:rFonts w:hint="eastAsia" w:ascii="宋体" w:hAnsi="宋体" w:cs="宋体"/>
          <w:kern w:val="0"/>
          <w:szCs w:val="21"/>
          <w:highlight w:val="none"/>
        </w:rPr>
        <w:t>电子</w:t>
      </w:r>
      <w:r>
        <w:rPr>
          <w:rFonts w:hint="eastAsia" w:ascii="宋体" w:hAnsi="宋体" w:cs="宋体"/>
          <w:kern w:val="0"/>
          <w:szCs w:val="21"/>
          <w:highlight w:val="none"/>
          <w:lang w:val="en-US" w:eastAsia="zh-CN"/>
        </w:rPr>
        <w:t>或</w:t>
      </w:r>
      <w:r>
        <w:rPr>
          <w:rFonts w:hint="eastAsia" w:ascii="宋体" w:hAnsi="宋体" w:cs="宋体"/>
          <w:kern w:val="0"/>
          <w:szCs w:val="21"/>
          <w:highlight w:val="none"/>
        </w:rPr>
        <w:t>自动化</w:t>
      </w:r>
      <w:r>
        <w:rPr>
          <w:rFonts w:hint="eastAsia" w:ascii="宋体" w:hAnsi="宋体" w:cs="宋体"/>
          <w:kern w:val="0"/>
          <w:szCs w:val="21"/>
          <w:highlight w:val="none"/>
          <w:lang w:val="en-US" w:eastAsia="zh-CN"/>
        </w:rPr>
        <w:t>或</w:t>
      </w:r>
      <w:r>
        <w:rPr>
          <w:rFonts w:hint="eastAsia" w:ascii="宋体" w:hAnsi="宋体" w:cs="宋体"/>
          <w:kern w:val="0"/>
          <w:szCs w:val="21"/>
          <w:highlight w:val="none"/>
        </w:rPr>
        <w:t>计算机等相关专业中级及以上职称。</w:t>
      </w:r>
    </w:p>
    <w:p w14:paraId="3E8FE641">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安全负责人</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仅限</w:t>
      </w:r>
      <w:r>
        <w:rPr>
          <w:rFonts w:hint="eastAsia" w:ascii="宋体" w:hAnsi="宋体" w:cs="宋体"/>
          <w:kern w:val="0"/>
          <w:szCs w:val="21"/>
          <w:highlight w:val="none"/>
        </w:rPr>
        <w:t>1名</w:t>
      </w:r>
      <w:r>
        <w:rPr>
          <w:rFonts w:hint="eastAsia" w:ascii="宋体" w:hAnsi="宋体" w:cs="宋体"/>
          <w:kern w:val="0"/>
          <w:szCs w:val="21"/>
          <w:highlight w:val="none"/>
          <w:lang w:eastAsia="zh-CN"/>
        </w:rPr>
        <w:t>）</w:t>
      </w:r>
      <w:r>
        <w:rPr>
          <w:rFonts w:hint="eastAsia" w:ascii="宋体" w:hAnsi="宋体" w:cs="宋体"/>
          <w:kern w:val="0"/>
          <w:szCs w:val="21"/>
          <w:highlight w:val="none"/>
        </w:rPr>
        <w:t>：大专以上学历，持有安全员C证。</w:t>
      </w:r>
    </w:p>
    <w:p w14:paraId="2F8A274F">
      <w:pPr>
        <w:tabs>
          <w:tab w:val="left" w:pos="420"/>
        </w:tabs>
        <w:adjustRightInd w:val="0"/>
        <w:snapToGrid w:val="0"/>
        <w:spacing w:line="440" w:lineRule="exact"/>
        <w:ind w:firstLine="420" w:firstLineChars="200"/>
        <w:jc w:val="left"/>
        <w:rPr>
          <w:rFonts w:hint="default" w:ascii="宋体" w:hAnsi="宋体" w:eastAsia="宋体" w:cs="宋体"/>
          <w:kern w:val="0"/>
          <w:szCs w:val="21"/>
          <w:highlight w:val="none"/>
          <w:lang w:val="en-US" w:eastAsia="zh-CN"/>
        </w:rPr>
      </w:pPr>
      <w:r>
        <w:rPr>
          <w:rFonts w:hint="eastAsia" w:ascii="宋体" w:hAnsi="宋体" w:cs="宋体"/>
          <w:kern w:val="0"/>
          <w:szCs w:val="21"/>
          <w:highlight w:val="none"/>
        </w:rPr>
        <w:t>一般作业人员：</w:t>
      </w:r>
      <w:r>
        <w:rPr>
          <w:rFonts w:hint="eastAsia" w:ascii="宋体" w:hAnsi="宋体" w:cs="宋体"/>
          <w:kern w:val="0"/>
          <w:szCs w:val="21"/>
          <w:highlight w:val="none"/>
          <w:lang w:val="en-US" w:eastAsia="zh-CN"/>
        </w:rPr>
        <w:t>不少于2名；</w:t>
      </w:r>
      <w:r>
        <w:rPr>
          <w:rFonts w:hint="eastAsia" w:ascii="宋体" w:hAnsi="宋体" w:cs="宋体"/>
          <w:kern w:val="0"/>
          <w:szCs w:val="21"/>
          <w:highlight w:val="none"/>
        </w:rPr>
        <w:t>全员持有低压电工证</w:t>
      </w:r>
      <w:r>
        <w:rPr>
          <w:rFonts w:hint="eastAsia" w:ascii="宋体" w:hAnsi="宋体" w:cs="宋体"/>
          <w:kern w:val="0"/>
          <w:szCs w:val="21"/>
          <w:highlight w:val="none"/>
          <w:lang w:val="en-US" w:eastAsia="zh-CN"/>
        </w:rPr>
        <w:t>且</w:t>
      </w:r>
      <w:r>
        <w:rPr>
          <w:rFonts w:hint="eastAsia" w:ascii="宋体" w:hAnsi="宋体" w:cs="宋体"/>
          <w:kern w:val="0"/>
          <w:szCs w:val="21"/>
          <w:highlight w:val="none"/>
        </w:rPr>
        <w:t>具备通信工程工作经验</w:t>
      </w:r>
      <w:r>
        <w:rPr>
          <w:rFonts w:hint="eastAsia" w:ascii="宋体" w:hAnsi="宋体" w:cs="宋体"/>
          <w:kern w:val="0"/>
          <w:szCs w:val="21"/>
          <w:highlight w:val="none"/>
          <w:lang w:val="en-US" w:eastAsia="zh-CN"/>
        </w:rPr>
        <w:t>。</w:t>
      </w:r>
    </w:p>
    <w:p w14:paraId="7D07EAE6">
      <w:pPr>
        <w:tabs>
          <w:tab w:val="left" w:pos="420"/>
        </w:tabs>
        <w:adjustRightInd w:val="0"/>
        <w:snapToGrid w:val="0"/>
        <w:spacing w:line="440" w:lineRule="exact"/>
        <w:ind w:firstLine="420" w:firstLineChars="200"/>
        <w:jc w:val="left"/>
        <w:rPr>
          <w:rFonts w:hint="default" w:ascii="宋体" w:hAnsi="宋体" w:eastAsia="宋体" w:cs="宋体"/>
          <w:kern w:val="0"/>
          <w:szCs w:val="21"/>
          <w:highlight w:val="none"/>
          <w:lang w:val="en-US" w:eastAsia="zh-CN"/>
        </w:rPr>
      </w:pPr>
      <w:r>
        <w:rPr>
          <w:rFonts w:hint="eastAsia" w:ascii="宋体" w:hAnsi="宋体" w:cs="宋体"/>
          <w:kern w:val="0"/>
          <w:szCs w:val="21"/>
          <w:highlight w:val="none"/>
        </w:rPr>
        <w:t>特种作业人员：</w:t>
      </w:r>
      <w:r>
        <w:rPr>
          <w:rFonts w:hint="eastAsia" w:ascii="宋体" w:hAnsi="宋体" w:cs="宋体"/>
          <w:kern w:val="0"/>
          <w:szCs w:val="21"/>
          <w:highlight w:val="none"/>
          <w:lang w:val="en-US" w:eastAsia="zh-CN"/>
        </w:rPr>
        <w:t>不少于2名；</w:t>
      </w:r>
      <w:r>
        <w:rPr>
          <w:rFonts w:hint="eastAsia" w:ascii="宋体" w:hAnsi="宋体" w:cs="宋体"/>
          <w:kern w:val="0"/>
          <w:szCs w:val="21"/>
          <w:highlight w:val="none"/>
        </w:rPr>
        <w:t>登高作业人员须持有登高作业证</w:t>
      </w:r>
      <w:r>
        <w:rPr>
          <w:rFonts w:hint="eastAsia" w:ascii="宋体" w:hAnsi="宋体" w:cs="宋体"/>
          <w:kern w:val="0"/>
          <w:szCs w:val="21"/>
          <w:highlight w:val="none"/>
          <w:lang w:eastAsia="zh-CN"/>
        </w:rPr>
        <w:t>。</w:t>
      </w:r>
    </w:p>
    <w:p w14:paraId="17D6CCE0">
      <w:pPr>
        <w:tabs>
          <w:tab w:val="left" w:pos="420"/>
        </w:tabs>
        <w:adjustRightInd w:val="0"/>
        <w:snapToGrid w:val="0"/>
        <w:spacing w:line="440" w:lineRule="exact"/>
        <w:ind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注：</w:t>
      </w:r>
      <w:r>
        <w:rPr>
          <w:rFonts w:hint="eastAsia" w:ascii="宋体" w:hAnsi="宋体" w:eastAsia="宋体" w:cs="宋体"/>
          <w:kern w:val="0"/>
          <w:szCs w:val="21"/>
          <w:highlight w:val="none"/>
          <w:lang w:val="en-US" w:eastAsia="zh-CN"/>
        </w:rPr>
        <w:t>除评分细则中要求提供的相关人员证书等证明材料作为评分条件外，投标文件中无须提供其余人员的相关证明材料，合同签订后服务实施前报招标人核查</w:t>
      </w:r>
      <w:r>
        <w:rPr>
          <w:rFonts w:hint="eastAsia" w:ascii="宋体" w:hAnsi="宋体" w:eastAsia="宋体" w:cs="宋体"/>
          <w:kern w:val="0"/>
          <w:szCs w:val="21"/>
          <w:highlight w:val="none"/>
        </w:rPr>
        <w:t>。中标人须按照上述要求配置人员，否则招标人报监督管理部门依法处理。</w:t>
      </w:r>
    </w:p>
    <w:p w14:paraId="43231C68">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4.2中标人施工过程所发生的一切交通（含地铁卡）、通信费用由中标人承担，项目所需的工器具、办公用品、管理用具、劳保用品、安全防护用具、工作服（工作服的式样、标识需征得招标人同意）等均由中标人自行解决。</w:t>
      </w:r>
    </w:p>
    <w:p w14:paraId="58CFDC9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highlight w:val="none"/>
        </w:rPr>
        <w:t>4.3 实施人员要求具备一定的施工作业经验，</w:t>
      </w:r>
      <w:r>
        <w:rPr>
          <w:rFonts w:hint="eastAsia" w:ascii="宋体" w:hAnsi="宋体" w:cs="宋体"/>
          <w:kern w:val="0"/>
          <w:szCs w:val="21"/>
        </w:rPr>
        <w:t>作业前要了解工程项目的内容和性质、服务对象及安装位置，实施人员要熟悉技术、质量要求，强化技术管理及安全保护措施。</w:t>
      </w:r>
    </w:p>
    <w:p w14:paraId="4A5FFF0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4.4必须无条件遵守运营公司所有的制度及相关管理规定。所有作业时间、作业人员资质要求、作业人员进场安全培训要求均按招标人有关规定。</w:t>
      </w:r>
    </w:p>
    <w:p w14:paraId="3DD3A58B">
      <w:pPr>
        <w:spacing w:line="440" w:lineRule="exact"/>
        <w:rPr>
          <w:rFonts w:hint="eastAsia" w:ascii="宋体" w:hAnsi="宋体" w:cs="宋体"/>
          <w:b/>
          <w:bCs/>
          <w:szCs w:val="21"/>
        </w:rPr>
      </w:pPr>
      <w:r>
        <w:rPr>
          <w:rFonts w:hint="eastAsia" w:ascii="宋体" w:hAnsi="宋体" w:cs="宋体"/>
          <w:b/>
          <w:bCs/>
          <w:szCs w:val="21"/>
        </w:rPr>
        <w:t>五、工作内容（工程量）</w:t>
      </w:r>
    </w:p>
    <w:p w14:paraId="003D6693">
      <w:pPr>
        <w:tabs>
          <w:tab w:val="left" w:pos="420"/>
        </w:tabs>
        <w:adjustRightInd w:val="0"/>
        <w:snapToGrid w:val="0"/>
        <w:spacing w:line="440" w:lineRule="exact"/>
        <w:ind w:firstLine="420" w:firstLineChars="200"/>
        <w:jc w:val="left"/>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 xml:space="preserve">5.1 </w:t>
      </w:r>
      <w:r>
        <w:rPr>
          <w:rFonts w:hint="eastAsia" w:ascii="宋体" w:hAnsi="宋体" w:eastAsia="宋体" w:cs="宋体"/>
          <w:kern w:val="0"/>
          <w:szCs w:val="21"/>
          <w:highlight w:val="none"/>
          <w:lang w:val="en-US" w:eastAsia="zh-CN"/>
        </w:rPr>
        <w:t>一期</w:t>
      </w:r>
      <w:r>
        <w:rPr>
          <w:rFonts w:hint="eastAsia" w:ascii="宋体" w:hAnsi="宋体" w:eastAsia="宋体" w:cs="宋体"/>
          <w:kern w:val="0"/>
          <w:szCs w:val="21"/>
          <w:highlight w:val="none"/>
        </w:rPr>
        <w:t>工作量清单</w:t>
      </w:r>
    </w:p>
    <w:tbl>
      <w:tblPr>
        <w:tblStyle w:val="23"/>
        <w:tblW w:w="9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668"/>
        <w:gridCol w:w="1477"/>
        <w:gridCol w:w="668"/>
        <w:gridCol w:w="668"/>
        <w:gridCol w:w="2279"/>
        <w:gridCol w:w="3548"/>
      </w:tblGrid>
      <w:tr w14:paraId="24BB1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90" w:hRule="atLeast"/>
          <w:tblHeader/>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5906BCA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eastAsia="zh-CN"/>
              </w:rPr>
              <w:t>序号</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891CC0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eastAsia="zh-CN"/>
              </w:rPr>
              <w:t>名称</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D20A59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eastAsia="zh-CN"/>
              </w:rPr>
              <w:t>数量</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38B4ADF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eastAsia="zh-CN"/>
              </w:rPr>
              <w:t>单位</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35471BB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eastAsia="zh-CN"/>
              </w:rPr>
              <w:t>技术规格或工程特性</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4F841FF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eastAsia="zh-CN"/>
              </w:rPr>
              <w:t>备注</w:t>
            </w:r>
          </w:p>
        </w:tc>
      </w:tr>
      <w:tr w14:paraId="2AC24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587DFA0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5A07B73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高清枪机</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4712F18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41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2FC1B33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台</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1EC15EF3">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参考5.3.1</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5A43E4D3">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与原系统兼容，提供升级包</w:t>
            </w:r>
          </w:p>
        </w:tc>
      </w:tr>
      <w:tr w14:paraId="4DB39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6BD9B72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2</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BF0712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高清室外球机</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FC8F46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7</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177EFC0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台</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1A20F198">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参考5.3.2</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2270BF4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与原系统兼容，提供升级包</w:t>
            </w:r>
          </w:p>
        </w:tc>
      </w:tr>
      <w:tr w14:paraId="6A64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56837DD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3</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5EC949E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高清室内球机</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000C47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CADBF2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台</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12D93783">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eastAsia="宋体" w:cs="宋体"/>
                <w:kern w:val="0"/>
                <w:szCs w:val="21"/>
                <w:highlight w:val="none"/>
                <w:lang w:val="en-US" w:eastAsia="zh-CN"/>
              </w:rPr>
            </w:pPr>
            <w:r>
              <w:rPr>
                <w:rFonts w:hint="eastAsia" w:ascii="宋体" w:hAnsi="宋体" w:cs="宋体"/>
                <w:kern w:val="0"/>
                <w:szCs w:val="21"/>
                <w:highlight w:val="none"/>
              </w:rPr>
              <w:t>参考5.3.</w:t>
            </w:r>
            <w:r>
              <w:rPr>
                <w:rFonts w:hint="eastAsia" w:ascii="宋体" w:hAnsi="宋体" w:cs="宋体"/>
                <w:kern w:val="0"/>
                <w:szCs w:val="21"/>
                <w:highlight w:val="none"/>
                <w:lang w:val="en-US" w:eastAsia="zh-CN"/>
              </w:rPr>
              <w:t>9</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1162969A">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与原系统兼容，提供升级包</w:t>
            </w:r>
          </w:p>
        </w:tc>
      </w:tr>
      <w:tr w14:paraId="03CE4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46DB263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4</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3C3789F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火灾探测器</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1B8378B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8</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6BF5F9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台</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04ABB274">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参考5.3.3</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55F6EF79">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highlight w:val="none"/>
              </w:rPr>
            </w:pPr>
          </w:p>
        </w:tc>
      </w:tr>
      <w:tr w14:paraId="431F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372BE75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5</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469A9B3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图像型火灾探测器</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51BE37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762B604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台</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55BD5DAD">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参考5.3.4</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192BD11A">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highlight w:val="none"/>
              </w:rPr>
            </w:pPr>
          </w:p>
        </w:tc>
      </w:tr>
      <w:tr w14:paraId="63E9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15A922F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6</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70D3E7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平台接入</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12ADA2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36FDA34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件</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2EE699D6">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27F1FE11">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与原系统兼容，服务器软件模块，用于新增火灾探测器及新增摄像机接入现有安防平台</w:t>
            </w:r>
          </w:p>
        </w:tc>
      </w:tr>
      <w:tr w14:paraId="37AE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0E74432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7</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4F790C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一体化SATA硬盘</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608B3A6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25</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A8F3D8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块</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79F1754A">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接口类型：SATA</w:t>
            </w:r>
          </w:p>
          <w:p w14:paraId="27373C0C">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容量：8TB</w:t>
            </w:r>
          </w:p>
          <w:p w14:paraId="2EA7CF5A">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加密支持：支持硬件加密</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785C9B7B">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与原系统兼容</w:t>
            </w:r>
          </w:p>
        </w:tc>
      </w:tr>
      <w:tr w14:paraId="0610A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082B4D8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8</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6484CFE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摄像机立杆</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8927A2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19</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2982335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套</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17506B5C">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527F0E1D">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4米，含地笼，电源箱、避雷针，防雷、摄像机支架</w:t>
            </w:r>
          </w:p>
        </w:tc>
      </w:tr>
      <w:tr w14:paraId="44D79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31DFD12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9</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03A4260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电源箱</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2E2E8EB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23</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6E41AF5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套</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1FA8C694">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4AD61EDC">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304不锈钢、含空开、防雷、接线端子</w:t>
            </w:r>
          </w:p>
        </w:tc>
      </w:tr>
      <w:tr w14:paraId="26C4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72B41CC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10</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43D7747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24芯ODF框</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6D3C398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5</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1B58530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台</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42898D4D">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材料：ABS工程塑料</w:t>
            </w:r>
          </w:p>
          <w:p w14:paraId="73D7E65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接口类型：UPC单模/多模/万兆多模/APC广电专用</w:t>
            </w:r>
          </w:p>
          <w:p w14:paraId="4428488F">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特性：阻燃、强度高、抗老化</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51280480">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含尾纤</w:t>
            </w:r>
          </w:p>
        </w:tc>
      </w:tr>
      <w:tr w14:paraId="03F5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7E3DE2E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11</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29728C0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2芯光纤熔接盒</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3406380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30</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4325FCA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个</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728769BD">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材料：ABS工程塑料</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1D733399">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含尾纤</w:t>
            </w:r>
          </w:p>
        </w:tc>
      </w:tr>
      <w:tr w14:paraId="2FE8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3E2E0A8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12</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66706E3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电缆</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3E68EF3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7000</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B16601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米</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190AE849">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参考5.3.7</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1E790D1D">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color w:val="auto"/>
                <w:kern w:val="0"/>
                <w:szCs w:val="21"/>
                <w:highlight w:val="none"/>
              </w:rPr>
            </w:pPr>
          </w:p>
        </w:tc>
      </w:tr>
      <w:tr w14:paraId="33EB6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46FF273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13</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B94E69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24芯光缆</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6346637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2200</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7E3D894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米</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06B3F80A">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参考5.3.8</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3CA60916">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单模</w:t>
            </w:r>
          </w:p>
        </w:tc>
      </w:tr>
      <w:tr w14:paraId="49F22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098AB5D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14</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374045B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2芯光缆</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79EADB8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7000</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62A7498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米</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04F8F8B2">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皮线光缆</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0BD7AA92">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单模</w:t>
            </w:r>
            <w:r>
              <w:rPr>
                <w:rFonts w:hint="eastAsia" w:ascii="宋体" w:hAnsi="宋体" w:cs="宋体"/>
                <w:color w:val="auto"/>
                <w:kern w:val="0"/>
                <w:szCs w:val="21"/>
                <w:highlight w:val="none"/>
                <w:lang w:val="en-US" w:eastAsia="zh-CN"/>
              </w:rPr>
              <w:t xml:space="preserve"> </w:t>
            </w:r>
          </w:p>
        </w:tc>
      </w:tr>
      <w:tr w14:paraId="7D546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01EB637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15</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89969C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交换机</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4CAE8B7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16A8394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台</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3D216EA3">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参考5.3.5</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6E1FE19F">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用于物资库摄像机组网</w:t>
            </w:r>
          </w:p>
        </w:tc>
      </w:tr>
      <w:tr w14:paraId="6F387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5FA99AB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16</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0DE4CBF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电源管理器</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379B90D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285C7A9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台</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510AEF72">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2ED5022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用于物资库摄像机供电</w:t>
            </w:r>
          </w:p>
        </w:tc>
      </w:tr>
      <w:tr w14:paraId="15A8A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4A314F6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17</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538A6E15">
            <w:pPr>
              <w:keepNext w:val="0"/>
              <w:keepLines w:val="0"/>
              <w:widowControl/>
              <w:suppressLineNumbers w:val="0"/>
              <w:snapToGrid w:val="0"/>
              <w:spacing w:before="0" w:beforeAutospacing="0" w:after="0" w:afterAutospacing="0"/>
              <w:ind w:left="0" w:right="0"/>
              <w:jc w:val="center"/>
              <w:rPr>
                <w:rFonts w:hint="eastAsia" w:ascii="宋体" w:hAnsi="宋体" w:cs="宋体"/>
                <w:kern w:val="0"/>
                <w:szCs w:val="21"/>
                <w:highlight w:val="none"/>
              </w:rPr>
            </w:pPr>
            <w:r>
              <w:rPr>
                <w:rFonts w:hint="eastAsia" w:ascii="宋体" w:hAnsi="宋体" w:cs="宋体"/>
                <w:kern w:val="0"/>
                <w:szCs w:val="21"/>
                <w:highlight w:val="none"/>
              </w:rPr>
              <w:t>KBG管</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66C3224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5000</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40678B7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米</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4892DD2A">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Ф50</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6D173E9D">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color w:val="auto"/>
                <w:kern w:val="0"/>
                <w:szCs w:val="21"/>
                <w:highlight w:val="none"/>
              </w:rPr>
            </w:pPr>
          </w:p>
        </w:tc>
      </w:tr>
      <w:tr w14:paraId="40EA4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35BDA41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18</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2BFFE85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辅材</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DE5D54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65538A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009AFE49">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2FAD22C3">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含波纹管、接插件、扎带、防护橡胶管等</w:t>
            </w:r>
          </w:p>
        </w:tc>
      </w:tr>
      <w:tr w14:paraId="62DF9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736C94A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19</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7C054A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设备调试费</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220B828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13FE4D3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675FC66F">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0CFE99DF">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p>
        </w:tc>
      </w:tr>
      <w:tr w14:paraId="0FCC2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034B208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20</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5080259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摄像机授权</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490F01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66E9FE1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项</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117934CA">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满足</w:t>
            </w:r>
            <w:r>
              <w:rPr>
                <w:rFonts w:hint="eastAsia" w:ascii="宋体" w:hAnsi="宋体" w:cs="宋体"/>
                <w:color w:val="auto"/>
                <w:kern w:val="0"/>
                <w:szCs w:val="21"/>
                <w:highlight w:val="none"/>
                <w:lang w:val="en-US" w:eastAsia="zh-CN"/>
              </w:rPr>
              <w:t>消防栓补盲的</w:t>
            </w:r>
            <w:r>
              <w:rPr>
                <w:rFonts w:hint="eastAsia" w:ascii="宋体" w:hAnsi="宋体" w:cs="宋体"/>
                <w:color w:val="auto"/>
                <w:kern w:val="0"/>
                <w:szCs w:val="21"/>
                <w:highlight w:val="none"/>
              </w:rPr>
              <w:t>37台摄像机接入系统需求</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39F446C6">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与原系统兼容，用于37台摄像机接入系统</w:t>
            </w:r>
          </w:p>
        </w:tc>
      </w:tr>
      <w:tr w14:paraId="2F0B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2A52910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21</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01FE500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路面、绿化开挖及恢复</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1CAA0E2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DBD43E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项</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2905612A">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0AD3CAB7">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含摄像机立杆底座施工</w:t>
            </w:r>
          </w:p>
        </w:tc>
      </w:tr>
      <w:tr w14:paraId="3FC4C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288BDFA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22</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085D6BE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视频监看终端</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336E610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C2E1B1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套</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3CB4BA5A">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参考5.3.6</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5230B98D">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highlight w:val="none"/>
              </w:rPr>
            </w:pPr>
          </w:p>
        </w:tc>
      </w:tr>
      <w:tr w14:paraId="66E22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01863B1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23</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5080CF8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人脸分析模块</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DDA84D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1D4032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套</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07DE99C0">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06B19E39">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与原系统兼容</w:t>
            </w:r>
          </w:p>
        </w:tc>
      </w:tr>
      <w:tr w14:paraId="348A1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78BF3A2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rPr>
              <w:t>2</w:t>
            </w:r>
            <w:r>
              <w:rPr>
                <w:rFonts w:hint="eastAsia" w:ascii="宋体" w:hAnsi="宋体" w:cs="宋体"/>
                <w:kern w:val="0"/>
                <w:szCs w:val="21"/>
                <w:highlight w:val="none"/>
                <w:lang w:val="en-US" w:eastAsia="zh-CN"/>
              </w:rPr>
              <w:t>4</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4968485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摄像机配电箱</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7BD708E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15</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4B4C630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套</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19A97686">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388E6343">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防尘、防水，配置24V电源、电源开关、防雷器、1光四电收发器等</w:t>
            </w:r>
          </w:p>
        </w:tc>
      </w:tr>
      <w:tr w14:paraId="6323F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2806E5F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rPr>
              <w:t>2</w:t>
            </w:r>
            <w:r>
              <w:rPr>
                <w:rFonts w:hint="eastAsia" w:ascii="宋体" w:hAnsi="宋体" w:cs="宋体"/>
                <w:kern w:val="0"/>
                <w:szCs w:val="21"/>
                <w:highlight w:val="none"/>
                <w:lang w:val="en-US" w:eastAsia="zh-CN"/>
              </w:rPr>
              <w:t>5</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213C29B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摄像机支架</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4441145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Cs w:val="21"/>
                <w:highlight w:val="none"/>
                <w:lang w:eastAsia="zh-CN"/>
              </w:rPr>
            </w:pPr>
            <w:r>
              <w:rPr>
                <w:rFonts w:hint="eastAsia" w:ascii="宋体" w:hAnsi="宋体" w:cs="宋体"/>
                <w:kern w:val="0"/>
                <w:szCs w:val="21"/>
                <w:highlight w:val="none"/>
                <w:lang w:val="en-US" w:eastAsia="zh-CN"/>
              </w:rPr>
              <w:t>6</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1400395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 xml:space="preserve">套 </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2AB263A0">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71057E9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p>
        </w:tc>
      </w:tr>
      <w:tr w14:paraId="6BB7E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3F956DB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rPr>
              <w:t>2</w:t>
            </w:r>
            <w:r>
              <w:rPr>
                <w:rFonts w:hint="eastAsia" w:ascii="宋体" w:hAnsi="宋体" w:cs="宋体"/>
                <w:kern w:val="0"/>
                <w:szCs w:val="21"/>
                <w:highlight w:val="none"/>
                <w:lang w:val="en-US" w:eastAsia="zh-CN"/>
              </w:rPr>
              <w:t>6</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3D9203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钢管</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3CFE68C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lang w:val="en-US" w:eastAsia="zh-CN"/>
              </w:rPr>
              <w:t>18</w:t>
            </w:r>
            <w:r>
              <w:rPr>
                <w:rFonts w:hint="eastAsia" w:ascii="宋体" w:hAnsi="宋体" w:cs="宋体"/>
                <w:kern w:val="0"/>
                <w:szCs w:val="21"/>
                <w:highlight w:val="none"/>
              </w:rPr>
              <w:t>00</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10EEC80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米</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49B5D3A9">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Ф50</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6768861D">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用于穿墙</w:t>
            </w:r>
          </w:p>
        </w:tc>
      </w:tr>
    </w:tbl>
    <w:p w14:paraId="1DDA55F1">
      <w:pPr>
        <w:tabs>
          <w:tab w:val="left" w:pos="420"/>
        </w:tabs>
        <w:adjustRightInd w:val="0"/>
        <w:snapToGrid w:val="0"/>
        <w:spacing w:line="440" w:lineRule="exact"/>
        <w:ind w:firstLine="420" w:firstLineChars="200"/>
        <w:jc w:val="left"/>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5.</w:t>
      </w:r>
      <w:r>
        <w:rPr>
          <w:rFonts w:hint="eastAsia" w:ascii="宋体" w:hAnsi="宋体" w:eastAsia="宋体" w:cs="宋体"/>
          <w:kern w:val="0"/>
          <w:szCs w:val="21"/>
          <w:highlight w:val="none"/>
          <w:lang w:val="en-US" w:eastAsia="zh-CN"/>
        </w:rPr>
        <w:t>2</w:t>
      </w:r>
      <w:r>
        <w:rPr>
          <w:rFonts w:hint="eastAsia" w:ascii="宋体" w:hAnsi="宋体" w:eastAsia="宋体" w:cs="宋体"/>
          <w:kern w:val="0"/>
          <w:szCs w:val="21"/>
          <w:highlight w:val="none"/>
        </w:rPr>
        <w:t xml:space="preserve"> </w:t>
      </w:r>
      <w:r>
        <w:rPr>
          <w:rFonts w:hint="eastAsia" w:ascii="宋体" w:hAnsi="宋体" w:eastAsia="宋体" w:cs="宋体"/>
          <w:kern w:val="0"/>
          <w:szCs w:val="21"/>
          <w:highlight w:val="none"/>
          <w:lang w:val="en-US" w:eastAsia="zh-CN"/>
        </w:rPr>
        <w:t>二期</w:t>
      </w:r>
      <w:r>
        <w:rPr>
          <w:rFonts w:hint="eastAsia" w:ascii="宋体" w:hAnsi="宋体" w:eastAsia="宋体" w:cs="宋体"/>
          <w:kern w:val="0"/>
          <w:szCs w:val="21"/>
          <w:highlight w:val="none"/>
        </w:rPr>
        <w:t>工作量清单</w:t>
      </w:r>
    </w:p>
    <w:tbl>
      <w:tblPr>
        <w:tblStyle w:val="23"/>
        <w:tblW w:w="9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668"/>
        <w:gridCol w:w="1477"/>
        <w:gridCol w:w="668"/>
        <w:gridCol w:w="668"/>
        <w:gridCol w:w="2279"/>
        <w:gridCol w:w="3548"/>
      </w:tblGrid>
      <w:tr w14:paraId="70831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90" w:hRule="atLeast"/>
          <w:tblHeader/>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61452F2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eastAsia="zh-CN"/>
              </w:rPr>
              <w:t>序号</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4C5EAE0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eastAsia="zh-CN"/>
              </w:rPr>
              <w:t>名称</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2D784E9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eastAsia="zh-CN"/>
              </w:rPr>
              <w:t>数量</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7AFBE4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eastAsia="zh-CN"/>
              </w:rPr>
              <w:t>单位</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6BAC93B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eastAsia="zh-CN"/>
              </w:rPr>
              <w:t>技术规格或工程特性</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7370CD6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eastAsia="zh-CN"/>
              </w:rPr>
              <w:t>备注</w:t>
            </w:r>
          </w:p>
        </w:tc>
      </w:tr>
      <w:tr w14:paraId="3C02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40CFF5A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258439A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高清枪机</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2D0757F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23</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99BE56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台</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1CAEF04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参考5.3.1</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697F53A3">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与原系统兼容，提供升级包</w:t>
            </w:r>
          </w:p>
        </w:tc>
      </w:tr>
      <w:tr w14:paraId="06CC4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4A69C1D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2</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06E4A3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摄像机配电箱</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78070C5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highlight w:val="none"/>
                <w:lang w:val="en-US"/>
              </w:rPr>
            </w:pPr>
            <w:r>
              <w:rPr>
                <w:rFonts w:hint="eastAsia" w:ascii="宋体" w:hAnsi="宋体" w:cs="宋体"/>
                <w:kern w:val="0"/>
                <w:szCs w:val="21"/>
                <w:highlight w:val="none"/>
                <w:lang w:val="en-US" w:eastAsia="zh-CN"/>
              </w:rPr>
              <w:t>23</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6923E79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套</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62F5ADDC">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7DB0E5C4">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kern w:val="0"/>
                <w:szCs w:val="21"/>
                <w:highlight w:val="none"/>
              </w:rPr>
              <w:t>防尘、防水，配置24V电源、电源开关、防雷器、1光四电收发器等</w:t>
            </w:r>
          </w:p>
        </w:tc>
      </w:tr>
      <w:tr w14:paraId="31868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1CCDB53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3</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0CB36BF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 w:val="21"/>
                <w:szCs w:val="21"/>
                <w:highlight w:val="none"/>
                <w:lang w:val="en-US" w:eastAsia="zh-CN" w:bidi="ar-SA"/>
              </w:rPr>
            </w:pPr>
            <w:r>
              <w:rPr>
                <w:rFonts w:hint="eastAsia" w:ascii="宋体" w:hAnsi="宋体" w:cs="宋体"/>
                <w:kern w:val="0"/>
                <w:szCs w:val="21"/>
                <w:highlight w:val="none"/>
              </w:rPr>
              <w:t>摄像机支架</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F0C3C2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 w:val="21"/>
                <w:szCs w:val="21"/>
                <w:highlight w:val="none"/>
                <w:lang w:val="en-US" w:eastAsia="zh-CN" w:bidi="ar-SA"/>
              </w:rPr>
            </w:pPr>
            <w:r>
              <w:rPr>
                <w:rFonts w:hint="eastAsia" w:ascii="宋体" w:hAnsi="宋体" w:cs="宋体"/>
                <w:kern w:val="0"/>
                <w:szCs w:val="21"/>
                <w:highlight w:val="none"/>
                <w:lang w:val="en-US" w:eastAsia="zh-CN"/>
              </w:rPr>
              <w:t>11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65EEEFF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 xml:space="preserve">套 </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410B7345">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23AC2964">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p>
        </w:tc>
      </w:tr>
      <w:tr w14:paraId="3FF8B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1431A88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4</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092F934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摄像机立杆</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2F308E8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 w:val="21"/>
                <w:szCs w:val="21"/>
                <w:highlight w:val="none"/>
                <w:lang w:val="en-US" w:eastAsia="zh-CN" w:bidi="ar-SA"/>
              </w:rPr>
            </w:pPr>
            <w:r>
              <w:rPr>
                <w:rFonts w:hint="eastAsia" w:ascii="宋体" w:hAnsi="宋体" w:cs="宋体"/>
                <w:kern w:val="0"/>
                <w:szCs w:val="21"/>
                <w:highlight w:val="none"/>
                <w:lang w:val="en-US" w:eastAsia="zh-CN"/>
              </w:rPr>
              <w:t>12</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4BB89F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套</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72DCD2E0">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421C2760">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4米，含地笼，电源箱、避雷针，防雷、摄像机支架</w:t>
            </w:r>
          </w:p>
        </w:tc>
      </w:tr>
      <w:tr w14:paraId="4335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2742F9D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5</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49A5212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电缆</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C56523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1700</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1762159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color w:val="auto"/>
                <w:kern w:val="0"/>
                <w:szCs w:val="21"/>
                <w:highlight w:val="none"/>
              </w:rPr>
              <w:t>米</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2404D31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kern w:val="0"/>
                <w:szCs w:val="21"/>
                <w:highlight w:val="none"/>
              </w:rPr>
            </w:pPr>
            <w:r>
              <w:rPr>
                <w:rFonts w:hint="eastAsia" w:ascii="宋体" w:hAnsi="宋体" w:cs="宋体"/>
                <w:color w:val="auto"/>
                <w:kern w:val="0"/>
                <w:szCs w:val="21"/>
                <w:highlight w:val="none"/>
              </w:rPr>
              <w:t>参考5.3.7</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717589AA">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kern w:val="0"/>
                <w:szCs w:val="21"/>
                <w:highlight w:val="none"/>
              </w:rPr>
            </w:pPr>
          </w:p>
        </w:tc>
      </w:tr>
      <w:tr w14:paraId="2A0D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5FA8852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6</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5AD75A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2芯光缆</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16CD95D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highlight w:val="none"/>
                <w:lang w:val="en-US"/>
              </w:rPr>
            </w:pPr>
            <w:r>
              <w:rPr>
                <w:rFonts w:hint="eastAsia" w:ascii="宋体" w:hAnsi="宋体" w:cs="宋体"/>
                <w:kern w:val="0"/>
                <w:szCs w:val="21"/>
                <w:highlight w:val="none"/>
                <w:lang w:val="en-US" w:eastAsia="zh-CN"/>
              </w:rPr>
              <w:t>1700</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405D14D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米</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05E61BE3">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皮线光缆</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6D3E9ACA">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单模</w:t>
            </w:r>
            <w:r>
              <w:rPr>
                <w:rFonts w:hint="eastAsia" w:ascii="宋体" w:hAnsi="宋体" w:cs="宋体"/>
                <w:color w:val="auto"/>
                <w:kern w:val="0"/>
                <w:szCs w:val="21"/>
                <w:highlight w:val="none"/>
                <w:lang w:val="en-US" w:eastAsia="zh-CN"/>
              </w:rPr>
              <w:t xml:space="preserve"> </w:t>
            </w:r>
          </w:p>
        </w:tc>
      </w:tr>
      <w:tr w14:paraId="2761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6FF6FCB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7</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135BAD3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设备调试费</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C93FFC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3A0842F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4363FA58">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6A5F1E9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p>
        </w:tc>
      </w:tr>
      <w:tr w14:paraId="17326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4E9A977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8</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0C7B258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摄像机授权</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44663C1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46405E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kern w:val="0"/>
                <w:szCs w:val="21"/>
                <w:highlight w:val="none"/>
              </w:rPr>
              <w:t>项</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5078223C">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满足</w:t>
            </w:r>
            <w:r>
              <w:rPr>
                <w:rFonts w:hint="eastAsia" w:ascii="宋体" w:hAnsi="宋体" w:cs="宋体"/>
                <w:color w:val="auto"/>
                <w:kern w:val="0"/>
                <w:szCs w:val="21"/>
                <w:highlight w:val="none"/>
                <w:lang w:val="en-US" w:eastAsia="zh-CN"/>
              </w:rPr>
              <w:t>消防栓补盲的</w:t>
            </w:r>
            <w:r>
              <w:rPr>
                <w:rFonts w:hint="eastAsia" w:ascii="宋体" w:hAnsi="宋体" w:cs="宋体"/>
                <w:color w:val="auto"/>
                <w:kern w:val="0"/>
                <w:szCs w:val="21"/>
                <w:highlight w:val="none"/>
              </w:rPr>
              <w:t>37台摄像机接入系统需求</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1AED28BD">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kern w:val="0"/>
                <w:szCs w:val="21"/>
                <w:highlight w:val="none"/>
              </w:rPr>
              <w:t>与原系统兼容，用于37台摄像机接入系统</w:t>
            </w:r>
          </w:p>
        </w:tc>
      </w:tr>
      <w:tr w14:paraId="203C4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1204036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9</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6C15B73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路面、绿化开挖及恢复</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A92F0A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AC8818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kern w:val="0"/>
                <w:szCs w:val="21"/>
                <w:highlight w:val="none"/>
              </w:rPr>
              <w:t>项</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03C07AC8">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718F4A72">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kern w:val="0"/>
                <w:szCs w:val="21"/>
                <w:highlight w:val="none"/>
                <w:lang w:val="en-US" w:eastAsia="zh-CN"/>
              </w:rPr>
              <w:t>含摄像机立杆底座施工</w:t>
            </w:r>
          </w:p>
        </w:tc>
      </w:tr>
      <w:tr w14:paraId="0AD37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72EAF20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10</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560707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rPr>
              <w:t>钢管</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47CE6C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highlight w:val="none"/>
              </w:rPr>
            </w:pPr>
            <w:r>
              <w:rPr>
                <w:rFonts w:hint="eastAsia" w:ascii="宋体" w:hAnsi="宋体" w:cs="宋体"/>
                <w:kern w:val="0"/>
                <w:szCs w:val="21"/>
                <w:highlight w:val="none"/>
                <w:lang w:val="en-US" w:eastAsia="zh-CN"/>
              </w:rPr>
              <w:t>7</w:t>
            </w:r>
            <w:r>
              <w:rPr>
                <w:rFonts w:hint="eastAsia" w:ascii="宋体" w:hAnsi="宋体" w:cs="宋体"/>
                <w:kern w:val="0"/>
                <w:szCs w:val="21"/>
                <w:highlight w:val="none"/>
              </w:rPr>
              <w:t>00</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537D8D9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kern w:val="0"/>
                <w:szCs w:val="21"/>
                <w:highlight w:val="none"/>
              </w:rPr>
              <w:t>米</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05BA102D">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kern w:val="0"/>
                <w:szCs w:val="21"/>
                <w:highlight w:val="none"/>
              </w:rPr>
              <w:t>Ф50</w:t>
            </w:r>
          </w:p>
        </w:tc>
        <w:tc>
          <w:tcPr>
            <w:tcW w:w="3548" w:type="dxa"/>
            <w:tcBorders>
              <w:top w:val="single" w:color="auto" w:sz="4" w:space="0"/>
              <w:left w:val="single" w:color="auto" w:sz="4" w:space="0"/>
              <w:bottom w:val="single" w:color="auto" w:sz="4" w:space="0"/>
              <w:right w:val="single" w:color="auto" w:sz="4" w:space="0"/>
            </w:tcBorders>
            <w:noWrap w:val="0"/>
            <w:vAlign w:val="center"/>
          </w:tcPr>
          <w:p w14:paraId="5EB0383D">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kern w:val="0"/>
                <w:szCs w:val="21"/>
                <w:highlight w:val="none"/>
              </w:rPr>
              <w:t>用于穿墙</w:t>
            </w:r>
          </w:p>
        </w:tc>
      </w:tr>
    </w:tbl>
    <w:p w14:paraId="7BD86508">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eastAsia="宋体" w:cs="宋体"/>
          <w:kern w:val="0"/>
          <w:szCs w:val="21"/>
          <w:highlight w:val="none"/>
        </w:rPr>
        <w:t>5.</w:t>
      </w: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 xml:space="preserve"> 摄像机安装点位清单</w:t>
      </w:r>
    </w:p>
    <w:tbl>
      <w:tblPr>
        <w:tblStyle w:val="23"/>
        <w:tblW w:w="9739" w:type="dxa"/>
        <w:tblInd w:w="15" w:type="dxa"/>
        <w:tblLayout w:type="fixed"/>
        <w:tblCellMar>
          <w:top w:w="15" w:type="dxa"/>
          <w:left w:w="15" w:type="dxa"/>
          <w:bottom w:w="15" w:type="dxa"/>
          <w:right w:w="15" w:type="dxa"/>
        </w:tblCellMar>
      </w:tblPr>
      <w:tblGrid>
        <w:gridCol w:w="838"/>
        <w:gridCol w:w="790"/>
        <w:gridCol w:w="2471"/>
        <w:gridCol w:w="936"/>
        <w:gridCol w:w="2424"/>
        <w:gridCol w:w="2280"/>
      </w:tblGrid>
      <w:tr w14:paraId="06E3545B">
        <w:tblPrEx>
          <w:tblCellMar>
            <w:top w:w="15" w:type="dxa"/>
            <w:left w:w="15" w:type="dxa"/>
            <w:bottom w:w="15" w:type="dxa"/>
            <w:right w:w="15" w:type="dxa"/>
          </w:tblCellMar>
        </w:tblPrEx>
        <w:trPr>
          <w:trHeight w:val="228" w:hRule="atLeast"/>
        </w:trPr>
        <w:tc>
          <w:tcPr>
            <w:tcW w:w="83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5A54B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
                <w:bCs/>
                <w:kern w:val="0"/>
                <w:szCs w:val="21"/>
              </w:rPr>
            </w:pPr>
            <w:r>
              <w:rPr>
                <w:rFonts w:hint="eastAsia" w:ascii="宋体" w:hAnsi="宋体" w:cs="宋体"/>
                <w:b/>
                <w:bCs/>
                <w:kern w:val="0"/>
                <w:szCs w:val="21"/>
              </w:rPr>
              <w:t>序号</w:t>
            </w:r>
          </w:p>
        </w:tc>
        <w:tc>
          <w:tcPr>
            <w:tcW w:w="790" w:type="dxa"/>
            <w:vMerge w:val="restart"/>
            <w:tcBorders>
              <w:top w:val="single" w:color="000000" w:sz="4" w:space="0"/>
              <w:left w:val="nil"/>
              <w:bottom w:val="single" w:color="000000" w:sz="4" w:space="0"/>
              <w:right w:val="single" w:color="auto" w:sz="4" w:space="0"/>
            </w:tcBorders>
            <w:shd w:val="clear" w:color="auto" w:fill="FFFFFF"/>
            <w:noWrap w:val="0"/>
            <w:vAlign w:val="center"/>
          </w:tcPr>
          <w:p w14:paraId="0AE0301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
                <w:bCs/>
                <w:kern w:val="0"/>
                <w:szCs w:val="21"/>
              </w:rPr>
            </w:pPr>
            <w:r>
              <w:rPr>
                <w:rFonts w:hint="eastAsia" w:ascii="宋体" w:hAnsi="宋体" w:cs="宋体"/>
                <w:b/>
                <w:bCs/>
                <w:kern w:val="0"/>
                <w:szCs w:val="21"/>
              </w:rPr>
              <w:t>车站</w:t>
            </w:r>
          </w:p>
        </w:tc>
        <w:tc>
          <w:tcPr>
            <w:tcW w:w="583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9EFBC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
                <w:bCs/>
                <w:kern w:val="0"/>
                <w:szCs w:val="21"/>
              </w:rPr>
            </w:pPr>
            <w:r>
              <w:rPr>
                <w:rFonts w:hint="eastAsia" w:ascii="宋体" w:hAnsi="宋体" w:cs="宋体"/>
                <w:b/>
                <w:bCs/>
                <w:kern w:val="0"/>
                <w:szCs w:val="21"/>
              </w:rPr>
              <w:t>增补需求</w:t>
            </w:r>
          </w:p>
        </w:tc>
        <w:tc>
          <w:tcPr>
            <w:tcW w:w="2280"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96977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
                <w:bCs/>
                <w:kern w:val="0"/>
                <w:szCs w:val="21"/>
              </w:rPr>
            </w:pPr>
            <w:r>
              <w:rPr>
                <w:rFonts w:hint="eastAsia" w:ascii="宋体" w:hAnsi="宋体" w:cs="宋体"/>
                <w:b/>
                <w:bCs/>
                <w:kern w:val="0"/>
                <w:szCs w:val="21"/>
              </w:rPr>
              <w:t>备注</w:t>
            </w:r>
          </w:p>
        </w:tc>
      </w:tr>
      <w:tr w14:paraId="18822A74">
        <w:tblPrEx>
          <w:tblCellMar>
            <w:top w:w="15" w:type="dxa"/>
            <w:left w:w="15" w:type="dxa"/>
            <w:bottom w:w="15" w:type="dxa"/>
            <w:right w:w="15" w:type="dxa"/>
          </w:tblCellMar>
        </w:tblPrEx>
        <w:trPr>
          <w:trHeight w:val="228" w:hRule="atLeast"/>
        </w:trPr>
        <w:tc>
          <w:tcPr>
            <w:tcW w:w="838" w:type="dxa"/>
            <w:vMerge w:val="continue"/>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11C667A5">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b/>
                <w:bCs/>
                <w:kern w:val="0"/>
                <w:szCs w:val="21"/>
              </w:rPr>
            </w:pPr>
          </w:p>
        </w:tc>
        <w:tc>
          <w:tcPr>
            <w:tcW w:w="790" w:type="dxa"/>
            <w:vMerge w:val="continue"/>
            <w:tcBorders>
              <w:top w:val="single" w:color="000000" w:sz="4" w:space="0"/>
              <w:left w:val="nil"/>
              <w:bottom w:val="single" w:color="auto" w:sz="4" w:space="0"/>
              <w:right w:val="single" w:color="auto" w:sz="4" w:space="0"/>
            </w:tcBorders>
            <w:shd w:val="clear" w:color="auto" w:fill="auto"/>
            <w:noWrap w:val="0"/>
            <w:vAlign w:val="center"/>
          </w:tcPr>
          <w:p w14:paraId="3C65BADD">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b/>
                <w:bCs/>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111CB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
                <w:bCs/>
                <w:kern w:val="0"/>
                <w:szCs w:val="21"/>
              </w:rPr>
            </w:pPr>
            <w:r>
              <w:rPr>
                <w:rFonts w:hint="eastAsia" w:ascii="宋体" w:hAnsi="宋体" w:cs="宋体"/>
                <w:b/>
                <w:bCs/>
                <w:kern w:val="0"/>
                <w:szCs w:val="21"/>
              </w:rPr>
              <w:t>位置</w:t>
            </w:r>
          </w:p>
        </w:tc>
        <w:tc>
          <w:tcPr>
            <w:tcW w:w="9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3A98D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
                <w:bCs/>
                <w:kern w:val="0"/>
                <w:szCs w:val="21"/>
              </w:rPr>
            </w:pPr>
            <w:r>
              <w:rPr>
                <w:rFonts w:hint="eastAsia" w:ascii="宋体" w:hAnsi="宋体" w:cs="宋体"/>
                <w:b/>
                <w:bCs/>
                <w:kern w:val="0"/>
                <w:szCs w:val="21"/>
              </w:rPr>
              <w:t>数量</w:t>
            </w:r>
          </w:p>
        </w:tc>
        <w:tc>
          <w:tcPr>
            <w:tcW w:w="24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B95637">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
                <w:bCs/>
                <w:kern w:val="0"/>
                <w:szCs w:val="21"/>
              </w:rPr>
            </w:pPr>
            <w:r>
              <w:rPr>
                <w:rFonts w:hint="eastAsia" w:ascii="宋体" w:hAnsi="宋体" w:cs="宋体"/>
                <w:b/>
                <w:bCs/>
                <w:kern w:val="0"/>
                <w:szCs w:val="21"/>
              </w:rPr>
              <w:t>类型（枪机/球机/半球机）</w:t>
            </w:r>
          </w:p>
        </w:tc>
        <w:tc>
          <w:tcPr>
            <w:tcW w:w="2280" w:type="dxa"/>
            <w:vMerge w:val="continue"/>
            <w:tcBorders>
              <w:top w:val="single" w:color="auto" w:sz="4" w:space="0"/>
              <w:left w:val="single" w:color="auto" w:sz="4" w:space="0"/>
              <w:bottom w:val="single" w:color="auto" w:sz="4" w:space="0"/>
              <w:right w:val="single" w:color="auto" w:sz="4" w:space="0"/>
            </w:tcBorders>
            <w:noWrap w:val="0"/>
            <w:vAlign w:val="center"/>
          </w:tcPr>
          <w:p w14:paraId="44292A59">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default" w:ascii="宋体" w:hAnsi="宋体" w:cs="宋体"/>
                <w:b/>
                <w:bCs/>
                <w:kern w:val="0"/>
                <w:szCs w:val="21"/>
              </w:rPr>
            </w:pPr>
          </w:p>
        </w:tc>
      </w:tr>
      <w:tr w14:paraId="099B4DEB">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602AE0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790"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4EAEA8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汊河站</w:t>
            </w: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768A3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2号口垂梯旁</w:t>
            </w:r>
          </w:p>
        </w:tc>
        <w:tc>
          <w:tcPr>
            <w:tcW w:w="936" w:type="dxa"/>
            <w:tcBorders>
              <w:top w:val="single" w:color="auto" w:sz="4" w:space="0"/>
              <w:left w:val="single" w:color="auto" w:sz="4" w:space="0"/>
              <w:bottom w:val="single" w:color="000000" w:sz="4" w:space="0"/>
              <w:right w:val="single" w:color="000000" w:sz="4" w:space="0"/>
            </w:tcBorders>
            <w:shd w:val="clear" w:color="auto" w:fill="FFFFFF"/>
            <w:noWrap w:val="0"/>
            <w:vAlign w:val="center"/>
          </w:tcPr>
          <w:p w14:paraId="3552EB2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auto" w:sz="4" w:space="0"/>
              <w:left w:val="nil"/>
              <w:bottom w:val="single" w:color="000000" w:sz="4" w:space="0"/>
              <w:right w:val="single" w:color="000000" w:sz="4" w:space="0"/>
            </w:tcBorders>
            <w:shd w:val="clear" w:color="auto" w:fill="FFFFFF"/>
            <w:noWrap w:val="0"/>
            <w:vAlign w:val="center"/>
          </w:tcPr>
          <w:p w14:paraId="4B8D903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auto" w:sz="4" w:space="0"/>
              <w:left w:val="nil"/>
              <w:bottom w:val="single" w:color="000000" w:sz="4" w:space="0"/>
              <w:right w:val="single" w:color="auto" w:sz="4" w:space="0"/>
            </w:tcBorders>
            <w:shd w:val="clear" w:color="auto" w:fill="FFFFFF"/>
            <w:noWrap w:val="0"/>
            <w:vAlign w:val="center"/>
          </w:tcPr>
          <w:p w14:paraId="09A9EB4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3A01DE3D">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796268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w:t>
            </w:r>
          </w:p>
        </w:tc>
        <w:tc>
          <w:tcPr>
            <w:tcW w:w="79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3C5EC9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014019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2号口右前方</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ACFC49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00C8E3D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2041AB7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5E4E4EDD">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C63BB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3</w:t>
            </w:r>
          </w:p>
        </w:tc>
        <w:tc>
          <w:tcPr>
            <w:tcW w:w="79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B80939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7E7F62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1号口右侧</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EB4910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6AB9A1D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4F2EDB4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4472978A">
        <w:tblPrEx>
          <w:tblCellMar>
            <w:top w:w="15" w:type="dxa"/>
            <w:left w:w="15" w:type="dxa"/>
            <w:bottom w:w="15" w:type="dxa"/>
            <w:right w:w="15" w:type="dxa"/>
          </w:tblCellMar>
        </w:tblPrEx>
        <w:trPr>
          <w:trHeight w:val="228" w:hRule="atLeast"/>
        </w:trPr>
        <w:tc>
          <w:tcPr>
            <w:tcW w:w="838" w:type="dxa"/>
            <w:tcBorders>
              <w:top w:val="single" w:color="auto" w:sz="4" w:space="0"/>
              <w:left w:val="single" w:color="000000" w:sz="4" w:space="0"/>
              <w:bottom w:val="single" w:color="000000" w:sz="4" w:space="0"/>
              <w:right w:val="single" w:color="auto" w:sz="4" w:space="0"/>
            </w:tcBorders>
            <w:shd w:val="clear" w:color="auto" w:fill="FFFFFF"/>
            <w:noWrap w:val="0"/>
            <w:vAlign w:val="center"/>
          </w:tcPr>
          <w:p w14:paraId="3EB0DD3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4</w:t>
            </w:r>
          </w:p>
        </w:tc>
        <w:tc>
          <w:tcPr>
            <w:tcW w:w="79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57389FB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汊河新城站</w:t>
            </w: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B6E87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二区后面花坛</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35FE140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759E266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618312C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40723123">
        <w:tblPrEx>
          <w:tblCellMar>
            <w:top w:w="15" w:type="dxa"/>
            <w:left w:w="15" w:type="dxa"/>
            <w:bottom w:w="15" w:type="dxa"/>
            <w:right w:w="15" w:type="dxa"/>
          </w:tblCellMar>
        </w:tblPrEx>
        <w:trPr>
          <w:trHeight w:val="228" w:hRule="atLeast"/>
        </w:trPr>
        <w:tc>
          <w:tcPr>
            <w:tcW w:w="838" w:type="dxa"/>
            <w:tcBorders>
              <w:top w:val="single" w:color="auto" w:sz="4" w:space="0"/>
              <w:left w:val="single" w:color="000000" w:sz="4" w:space="0"/>
              <w:bottom w:val="single" w:color="000000" w:sz="4" w:space="0"/>
              <w:right w:val="single" w:color="auto" w:sz="4" w:space="0"/>
            </w:tcBorders>
            <w:shd w:val="clear" w:color="auto" w:fill="FFFFFF"/>
            <w:noWrap w:val="0"/>
            <w:vAlign w:val="center"/>
          </w:tcPr>
          <w:p w14:paraId="699EED2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5</w:t>
            </w:r>
          </w:p>
        </w:tc>
        <w:tc>
          <w:tcPr>
            <w:tcW w:w="79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6FDF58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2E282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二区消防泵房斜对面</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D816A1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03D0785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33E9DE8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55E71CA7">
        <w:tblPrEx>
          <w:tblCellMar>
            <w:top w:w="15" w:type="dxa"/>
            <w:left w:w="15" w:type="dxa"/>
            <w:bottom w:w="15" w:type="dxa"/>
            <w:right w:w="15" w:type="dxa"/>
          </w:tblCellMar>
        </w:tblPrEx>
        <w:trPr>
          <w:trHeight w:val="228" w:hRule="atLeast"/>
        </w:trPr>
        <w:tc>
          <w:tcPr>
            <w:tcW w:w="838" w:type="dxa"/>
            <w:tcBorders>
              <w:top w:val="single" w:color="auto" w:sz="4" w:space="0"/>
              <w:left w:val="single" w:color="000000" w:sz="4" w:space="0"/>
              <w:bottom w:val="single" w:color="000000" w:sz="4" w:space="0"/>
              <w:right w:val="single" w:color="auto" w:sz="4" w:space="0"/>
            </w:tcBorders>
            <w:shd w:val="clear" w:color="auto" w:fill="FFFFFF"/>
            <w:noWrap w:val="0"/>
            <w:vAlign w:val="center"/>
          </w:tcPr>
          <w:p w14:paraId="1AF267D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6</w:t>
            </w:r>
          </w:p>
        </w:tc>
        <w:tc>
          <w:tcPr>
            <w:tcW w:w="79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72021B6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770519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1号出入口非机动车停放处</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33ED2B1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15BA6D8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3E65B77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2C45F40C">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5598A4B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7</w:t>
            </w:r>
          </w:p>
        </w:tc>
        <w:tc>
          <w:tcPr>
            <w:tcW w:w="79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5AAC58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748339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三区后面花坛</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F51B46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17C32EA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453E399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62518699">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2247590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8</w:t>
            </w:r>
          </w:p>
        </w:tc>
        <w:tc>
          <w:tcPr>
            <w:tcW w:w="79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D76E7C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760AB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2号出入口垂梯正前方</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DED119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16E08F0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228DC7F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5937003C">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274C193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9</w:t>
            </w:r>
          </w:p>
        </w:tc>
        <w:tc>
          <w:tcPr>
            <w:tcW w:w="79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69762DC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r>
              <w:rPr>
                <w:rFonts w:hint="eastAsia" w:ascii="宋体" w:hAnsi="宋体" w:cs="宋体"/>
                <w:kern w:val="0"/>
                <w:szCs w:val="21"/>
              </w:rPr>
              <w:t>十二里半站</w:t>
            </w: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B53A26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2号口正前方</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685BC2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7E09ED8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65A6B06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3B3ECE1C">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6E7C1C0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10</w:t>
            </w:r>
          </w:p>
        </w:tc>
        <w:tc>
          <w:tcPr>
            <w:tcW w:w="79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36AF27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31464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三区配电间后面</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EF0299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77BD6B6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71D95CC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13B71EEB">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3D3464A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11</w:t>
            </w:r>
          </w:p>
        </w:tc>
        <w:tc>
          <w:tcPr>
            <w:tcW w:w="790" w:type="dxa"/>
            <w:vMerge w:val="restart"/>
            <w:tcBorders>
              <w:top w:val="single" w:color="auto" w:sz="4" w:space="0"/>
              <w:left w:val="single" w:color="auto" w:sz="4" w:space="0"/>
              <w:right w:val="single" w:color="auto" w:sz="4" w:space="0"/>
            </w:tcBorders>
            <w:shd w:val="clear" w:color="auto" w:fill="auto"/>
            <w:noWrap w:val="0"/>
            <w:vAlign w:val="center"/>
          </w:tcPr>
          <w:p w14:paraId="54408D4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r>
              <w:rPr>
                <w:rFonts w:hint="eastAsia" w:ascii="宋体" w:hAnsi="宋体" w:cs="宋体"/>
                <w:kern w:val="0"/>
                <w:szCs w:val="21"/>
              </w:rPr>
              <w:t>林楼站</w:t>
            </w: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2FC5B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1A口西南边花坛内</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38F740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2B257C9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316F472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4FF3B130">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50B9DB9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12</w:t>
            </w:r>
          </w:p>
        </w:tc>
        <w:tc>
          <w:tcPr>
            <w:tcW w:w="790" w:type="dxa"/>
            <w:vMerge w:val="continue"/>
            <w:tcBorders>
              <w:left w:val="single" w:color="auto" w:sz="4" w:space="0"/>
              <w:bottom w:val="single" w:color="auto" w:sz="4" w:space="0"/>
              <w:right w:val="single" w:color="auto" w:sz="4" w:space="0"/>
            </w:tcBorders>
            <w:shd w:val="clear" w:color="auto" w:fill="auto"/>
            <w:noWrap w:val="0"/>
            <w:vAlign w:val="center"/>
          </w:tcPr>
          <w:p w14:paraId="663D0F7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314FC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三区后面花坛内</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7539E2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489F468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2FB2480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53C38B8C">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3B8B2A8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13</w:t>
            </w:r>
          </w:p>
        </w:tc>
        <w:tc>
          <w:tcPr>
            <w:tcW w:w="790" w:type="dxa"/>
            <w:vMerge w:val="restart"/>
            <w:tcBorders>
              <w:top w:val="single" w:color="auto" w:sz="4" w:space="0"/>
              <w:left w:val="single" w:color="auto" w:sz="4" w:space="0"/>
              <w:right w:val="single" w:color="auto" w:sz="4" w:space="0"/>
            </w:tcBorders>
            <w:shd w:val="clear" w:color="auto" w:fill="auto"/>
            <w:noWrap w:val="0"/>
            <w:vAlign w:val="center"/>
          </w:tcPr>
          <w:p w14:paraId="2CB40BE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r>
              <w:rPr>
                <w:rFonts w:hint="eastAsia" w:ascii="宋体" w:hAnsi="宋体" w:cs="宋体"/>
                <w:kern w:val="0"/>
                <w:szCs w:val="21"/>
              </w:rPr>
              <w:t>大王郢站</w:t>
            </w: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8419DA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2号口相反一侧花坛</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742864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6306E04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2FFF2C5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273295AE">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79BD703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14</w:t>
            </w:r>
          </w:p>
        </w:tc>
        <w:tc>
          <w:tcPr>
            <w:tcW w:w="790" w:type="dxa"/>
            <w:vMerge w:val="continue"/>
            <w:tcBorders>
              <w:left w:val="single" w:color="auto" w:sz="4" w:space="0"/>
              <w:bottom w:val="single" w:color="auto" w:sz="4" w:space="0"/>
              <w:right w:val="single" w:color="auto" w:sz="4" w:space="0"/>
            </w:tcBorders>
            <w:shd w:val="clear" w:color="auto" w:fill="auto"/>
            <w:noWrap w:val="0"/>
            <w:vAlign w:val="center"/>
          </w:tcPr>
          <w:p w14:paraId="7DA7871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FC40B8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1B口前方花坛里</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F955EA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4323B9C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7211073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590D6DE8">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1050886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15</w:t>
            </w:r>
          </w:p>
        </w:tc>
        <w:tc>
          <w:tcPr>
            <w:tcW w:w="790" w:type="dxa"/>
            <w:vMerge w:val="restart"/>
            <w:tcBorders>
              <w:top w:val="single" w:color="auto" w:sz="4" w:space="0"/>
              <w:left w:val="single" w:color="auto" w:sz="4" w:space="0"/>
              <w:right w:val="single" w:color="auto" w:sz="4" w:space="0"/>
            </w:tcBorders>
            <w:shd w:val="clear" w:color="auto" w:fill="auto"/>
            <w:noWrap w:val="0"/>
            <w:vAlign w:val="center"/>
          </w:tcPr>
          <w:p w14:paraId="06BF6FB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r>
              <w:rPr>
                <w:rFonts w:hint="eastAsia" w:ascii="宋体" w:hAnsi="宋体" w:cs="宋体"/>
                <w:kern w:val="0"/>
                <w:szCs w:val="21"/>
              </w:rPr>
              <w:t>苏滁商务中心站</w:t>
            </w: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3E474A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2B出入口</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181E68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1504927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64E8911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77490489">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3482BD7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16</w:t>
            </w:r>
          </w:p>
        </w:tc>
        <w:tc>
          <w:tcPr>
            <w:tcW w:w="790" w:type="dxa"/>
            <w:vMerge w:val="continue"/>
            <w:tcBorders>
              <w:left w:val="single" w:color="auto" w:sz="4" w:space="0"/>
              <w:right w:val="single" w:color="auto" w:sz="4" w:space="0"/>
            </w:tcBorders>
            <w:shd w:val="clear" w:color="auto" w:fill="auto"/>
            <w:noWrap w:val="0"/>
            <w:vAlign w:val="center"/>
          </w:tcPr>
          <w:p w14:paraId="782732C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A9319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2A出入口</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6618C7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42ACB65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48F5036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389504CF">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0D0C815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17</w:t>
            </w:r>
          </w:p>
        </w:tc>
        <w:tc>
          <w:tcPr>
            <w:tcW w:w="790" w:type="dxa"/>
            <w:vMerge w:val="continue"/>
            <w:tcBorders>
              <w:left w:val="single" w:color="auto" w:sz="4" w:space="0"/>
              <w:bottom w:val="single" w:color="auto" w:sz="4" w:space="0"/>
              <w:right w:val="single" w:color="auto" w:sz="4" w:space="0"/>
            </w:tcBorders>
            <w:shd w:val="clear" w:color="auto" w:fill="auto"/>
            <w:noWrap w:val="0"/>
            <w:vAlign w:val="center"/>
          </w:tcPr>
          <w:p w14:paraId="3939B47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317E1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消防泵房门口</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52DE3D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726AD78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59A90C7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7021CE0A">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709678E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18</w:t>
            </w:r>
          </w:p>
        </w:tc>
        <w:tc>
          <w:tcPr>
            <w:tcW w:w="790" w:type="dxa"/>
            <w:vMerge w:val="restart"/>
            <w:tcBorders>
              <w:top w:val="single" w:color="auto" w:sz="4" w:space="0"/>
              <w:left w:val="single" w:color="auto" w:sz="4" w:space="0"/>
              <w:right w:val="single" w:color="auto" w:sz="4" w:space="0"/>
            </w:tcBorders>
            <w:shd w:val="clear" w:color="auto" w:fill="auto"/>
            <w:noWrap w:val="0"/>
            <w:vAlign w:val="center"/>
          </w:tcPr>
          <w:p w14:paraId="74B4DFF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r>
              <w:rPr>
                <w:rFonts w:hint="eastAsia" w:ascii="宋体" w:hAnsi="宋体" w:cs="宋体"/>
                <w:kern w:val="0"/>
                <w:szCs w:val="21"/>
              </w:rPr>
              <w:t>政务中心站</w:t>
            </w: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1A3CDE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一号口东</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118852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001920B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6060575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35660A44">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2EDC076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19</w:t>
            </w:r>
          </w:p>
        </w:tc>
        <w:tc>
          <w:tcPr>
            <w:tcW w:w="790" w:type="dxa"/>
            <w:vMerge w:val="continue"/>
            <w:tcBorders>
              <w:left w:val="single" w:color="auto" w:sz="4" w:space="0"/>
              <w:right w:val="single" w:color="auto" w:sz="4" w:space="0"/>
            </w:tcBorders>
            <w:shd w:val="clear" w:color="auto" w:fill="auto"/>
            <w:noWrap w:val="0"/>
            <w:vAlign w:val="center"/>
          </w:tcPr>
          <w:p w14:paraId="61B8C6C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B5C0D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一号口西</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278966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448A896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48DC272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7648CA63">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602961E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20</w:t>
            </w:r>
          </w:p>
        </w:tc>
        <w:tc>
          <w:tcPr>
            <w:tcW w:w="790" w:type="dxa"/>
            <w:vMerge w:val="continue"/>
            <w:tcBorders>
              <w:left w:val="single" w:color="auto" w:sz="4" w:space="0"/>
              <w:right w:val="single" w:color="auto" w:sz="4" w:space="0"/>
            </w:tcBorders>
            <w:shd w:val="clear" w:color="auto" w:fill="auto"/>
            <w:noWrap w:val="0"/>
            <w:vAlign w:val="center"/>
          </w:tcPr>
          <w:p w14:paraId="019411C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8F91A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二号口东</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01235CD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2EA7B51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703E277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553D5CEA">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0FD9367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21</w:t>
            </w:r>
          </w:p>
        </w:tc>
        <w:tc>
          <w:tcPr>
            <w:tcW w:w="790" w:type="dxa"/>
            <w:vMerge w:val="continue"/>
            <w:tcBorders>
              <w:left w:val="single" w:color="auto" w:sz="4" w:space="0"/>
              <w:right w:val="single" w:color="auto" w:sz="4" w:space="0"/>
            </w:tcBorders>
            <w:shd w:val="clear" w:color="auto" w:fill="auto"/>
            <w:noWrap w:val="0"/>
            <w:vAlign w:val="center"/>
          </w:tcPr>
          <w:p w14:paraId="4DCA1AF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2C8ADE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二号口西</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0446575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2FF6A00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2EAA6FF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4FB9FE61">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579C71A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22</w:t>
            </w:r>
          </w:p>
        </w:tc>
        <w:tc>
          <w:tcPr>
            <w:tcW w:w="790" w:type="dxa"/>
            <w:vMerge w:val="continue"/>
            <w:tcBorders>
              <w:left w:val="single" w:color="auto" w:sz="4" w:space="0"/>
              <w:right w:val="single" w:color="auto" w:sz="4" w:space="0"/>
            </w:tcBorders>
            <w:shd w:val="clear" w:color="auto" w:fill="auto"/>
            <w:noWrap w:val="0"/>
            <w:vAlign w:val="center"/>
          </w:tcPr>
          <w:p w14:paraId="6298FC6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C1D4C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三号口东</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272E5A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2BBF181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0027985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408EC5CA">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54C5D07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23</w:t>
            </w:r>
          </w:p>
        </w:tc>
        <w:tc>
          <w:tcPr>
            <w:tcW w:w="790" w:type="dxa"/>
            <w:vMerge w:val="continue"/>
            <w:tcBorders>
              <w:left w:val="single" w:color="auto" w:sz="4" w:space="0"/>
              <w:right w:val="single" w:color="auto" w:sz="4" w:space="0"/>
            </w:tcBorders>
            <w:shd w:val="clear" w:color="auto" w:fill="auto"/>
            <w:noWrap w:val="0"/>
            <w:vAlign w:val="center"/>
          </w:tcPr>
          <w:p w14:paraId="0E396F4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541F76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三号口西</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0BB743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282939D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3EE7AC4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41D52FA6">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74E67FE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24</w:t>
            </w:r>
          </w:p>
        </w:tc>
        <w:tc>
          <w:tcPr>
            <w:tcW w:w="790" w:type="dxa"/>
            <w:vMerge w:val="continue"/>
            <w:tcBorders>
              <w:left w:val="single" w:color="auto" w:sz="4" w:space="0"/>
              <w:right w:val="single" w:color="auto" w:sz="4" w:space="0"/>
            </w:tcBorders>
            <w:shd w:val="clear" w:color="auto" w:fill="auto"/>
            <w:noWrap w:val="0"/>
            <w:vAlign w:val="center"/>
          </w:tcPr>
          <w:p w14:paraId="04CC71F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0671D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四号口东</w:t>
            </w:r>
          </w:p>
        </w:tc>
        <w:tc>
          <w:tcPr>
            <w:tcW w:w="936"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B10519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096296C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1DD05AA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76295228">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auto" w:sz="4" w:space="0"/>
              <w:right w:val="single" w:color="auto" w:sz="4" w:space="0"/>
            </w:tcBorders>
            <w:shd w:val="clear" w:color="auto" w:fill="FFFFFF"/>
            <w:noWrap w:val="0"/>
            <w:vAlign w:val="center"/>
          </w:tcPr>
          <w:p w14:paraId="631ED20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25</w:t>
            </w:r>
          </w:p>
        </w:tc>
        <w:tc>
          <w:tcPr>
            <w:tcW w:w="790" w:type="dxa"/>
            <w:vMerge w:val="continue"/>
            <w:tcBorders>
              <w:left w:val="single" w:color="auto" w:sz="4" w:space="0"/>
              <w:bottom w:val="single" w:color="auto" w:sz="4" w:space="0"/>
              <w:right w:val="single" w:color="auto" w:sz="4" w:space="0"/>
            </w:tcBorders>
            <w:shd w:val="clear" w:color="auto" w:fill="auto"/>
            <w:noWrap w:val="0"/>
            <w:vAlign w:val="center"/>
          </w:tcPr>
          <w:p w14:paraId="31C1ED9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DCC27B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四号口北</w:t>
            </w:r>
          </w:p>
        </w:tc>
        <w:tc>
          <w:tcPr>
            <w:tcW w:w="936" w:type="dxa"/>
            <w:tcBorders>
              <w:top w:val="single" w:color="000000" w:sz="4" w:space="0"/>
              <w:left w:val="single" w:color="auto" w:sz="4" w:space="0"/>
              <w:bottom w:val="single" w:color="auto" w:sz="4" w:space="0"/>
              <w:right w:val="single" w:color="000000" w:sz="4" w:space="0"/>
            </w:tcBorders>
            <w:shd w:val="clear" w:color="auto" w:fill="FFFFFF"/>
            <w:noWrap w:val="0"/>
            <w:vAlign w:val="center"/>
          </w:tcPr>
          <w:p w14:paraId="53F79E7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auto" w:sz="4" w:space="0"/>
              <w:right w:val="single" w:color="000000" w:sz="4" w:space="0"/>
            </w:tcBorders>
            <w:shd w:val="clear" w:color="auto" w:fill="FFFFFF"/>
            <w:noWrap w:val="0"/>
            <w:vAlign w:val="center"/>
          </w:tcPr>
          <w:p w14:paraId="43A1457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04009CB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15FEE8B4">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5385CC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26</w:t>
            </w:r>
          </w:p>
        </w:tc>
        <w:tc>
          <w:tcPr>
            <w:tcW w:w="79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2D52114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琅琊山站</w:t>
            </w: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51686C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2号出入口东</w:t>
            </w:r>
          </w:p>
        </w:tc>
        <w:tc>
          <w:tcPr>
            <w:tcW w:w="9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8F78C3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C1DB4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single" w:color="auto" w:sz="4" w:space="0"/>
              <w:bottom w:val="single" w:color="000000" w:sz="4" w:space="0"/>
              <w:right w:val="single" w:color="auto" w:sz="4" w:space="0"/>
            </w:tcBorders>
            <w:shd w:val="clear" w:color="auto" w:fill="FFFFFF"/>
            <w:noWrap w:val="0"/>
            <w:vAlign w:val="center"/>
          </w:tcPr>
          <w:p w14:paraId="36AAA16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0BB56F7E">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61A4D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27</w:t>
            </w:r>
          </w:p>
        </w:tc>
        <w:tc>
          <w:tcPr>
            <w:tcW w:w="79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8A5EBB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4124C1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4号出入口后侧</w:t>
            </w:r>
          </w:p>
        </w:tc>
        <w:tc>
          <w:tcPr>
            <w:tcW w:w="9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DC749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90FC6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single" w:color="auto" w:sz="4" w:space="0"/>
              <w:bottom w:val="single" w:color="000000" w:sz="4" w:space="0"/>
              <w:right w:val="single" w:color="auto" w:sz="4" w:space="0"/>
            </w:tcBorders>
            <w:shd w:val="clear" w:color="auto" w:fill="FFFFFF"/>
            <w:noWrap w:val="0"/>
            <w:vAlign w:val="center"/>
          </w:tcPr>
          <w:p w14:paraId="7F430BC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520844BD">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B2B3E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28</w:t>
            </w:r>
          </w:p>
        </w:tc>
        <w:tc>
          <w:tcPr>
            <w:tcW w:w="79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FAD054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72D3C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4号出入口西侧</w:t>
            </w:r>
          </w:p>
        </w:tc>
        <w:tc>
          <w:tcPr>
            <w:tcW w:w="9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38FC5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62C5D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single" w:color="auto" w:sz="4" w:space="0"/>
              <w:bottom w:val="single" w:color="000000" w:sz="4" w:space="0"/>
              <w:right w:val="single" w:color="auto" w:sz="4" w:space="0"/>
            </w:tcBorders>
            <w:shd w:val="clear" w:color="auto" w:fill="FFFFFF"/>
            <w:noWrap w:val="0"/>
            <w:vAlign w:val="center"/>
          </w:tcPr>
          <w:p w14:paraId="6D489FE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4D5F1105">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6B65F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29</w:t>
            </w:r>
          </w:p>
        </w:tc>
        <w:tc>
          <w:tcPr>
            <w:tcW w:w="79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78CC370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r>
              <w:rPr>
                <w:rFonts w:hint="eastAsia" w:ascii="宋体" w:hAnsi="宋体" w:cs="宋体"/>
                <w:kern w:val="0"/>
                <w:szCs w:val="21"/>
              </w:rPr>
              <w:t>花博园站</w:t>
            </w: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85B3F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1号口西南侧</w:t>
            </w:r>
          </w:p>
        </w:tc>
        <w:tc>
          <w:tcPr>
            <w:tcW w:w="9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30DF4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D8FB0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single" w:color="auto" w:sz="4" w:space="0"/>
              <w:bottom w:val="single" w:color="000000" w:sz="4" w:space="0"/>
              <w:right w:val="single" w:color="auto" w:sz="4" w:space="0"/>
            </w:tcBorders>
            <w:shd w:val="clear" w:color="auto" w:fill="FFFFFF"/>
            <w:noWrap w:val="0"/>
            <w:vAlign w:val="center"/>
          </w:tcPr>
          <w:p w14:paraId="5291BE2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0AA3A24B">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02D0D3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30</w:t>
            </w:r>
          </w:p>
        </w:tc>
        <w:tc>
          <w:tcPr>
            <w:tcW w:w="79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2002CF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41F099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eastAsiaTheme="minorEastAsia"/>
                <w:kern w:val="0"/>
                <w:szCs w:val="21"/>
                <w:highlight w:val="none"/>
                <w:lang w:val="en-US" w:eastAsia="zh-CN"/>
              </w:rPr>
            </w:pPr>
            <w:r>
              <w:rPr>
                <w:rFonts w:hint="eastAsia" w:ascii="宋体" w:hAnsi="宋体" w:cs="宋体"/>
                <w:kern w:val="0"/>
                <w:szCs w:val="21"/>
                <w:highlight w:val="none"/>
              </w:rPr>
              <w:t>设备区南面消防疏散通道</w:t>
            </w:r>
            <w:r>
              <w:rPr>
                <w:rFonts w:hint="eastAsia" w:ascii="宋体" w:hAnsi="宋体" w:cs="宋体"/>
                <w:kern w:val="0"/>
                <w:szCs w:val="21"/>
                <w:highlight w:val="none"/>
                <w:lang w:val="en-US" w:eastAsia="zh-CN"/>
              </w:rPr>
              <w:t>门口</w:t>
            </w:r>
          </w:p>
        </w:tc>
        <w:tc>
          <w:tcPr>
            <w:tcW w:w="9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12FEB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E6983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single" w:color="auto" w:sz="4" w:space="0"/>
              <w:bottom w:val="single" w:color="000000" w:sz="4" w:space="0"/>
              <w:right w:val="single" w:color="auto" w:sz="4" w:space="0"/>
            </w:tcBorders>
            <w:shd w:val="clear" w:color="auto" w:fill="FFFFFF"/>
            <w:noWrap w:val="0"/>
            <w:vAlign w:val="center"/>
          </w:tcPr>
          <w:p w14:paraId="3ECA2B4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541C53B8">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B972C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31</w:t>
            </w:r>
          </w:p>
        </w:tc>
        <w:tc>
          <w:tcPr>
            <w:tcW w:w="79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3E6AFE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65623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消防泵房门口</w:t>
            </w:r>
          </w:p>
        </w:tc>
        <w:tc>
          <w:tcPr>
            <w:tcW w:w="9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4B1D32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DD7643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single" w:color="auto" w:sz="4" w:space="0"/>
              <w:bottom w:val="single" w:color="000000" w:sz="4" w:space="0"/>
              <w:right w:val="single" w:color="auto" w:sz="4" w:space="0"/>
            </w:tcBorders>
            <w:shd w:val="clear" w:color="auto" w:fill="FFFFFF"/>
            <w:noWrap w:val="0"/>
            <w:vAlign w:val="center"/>
          </w:tcPr>
          <w:p w14:paraId="7672B3E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66EB97D0">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D5BFE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32</w:t>
            </w:r>
          </w:p>
        </w:tc>
        <w:tc>
          <w:tcPr>
            <w:tcW w:w="79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66CD6E2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F2A083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1号口高炮灯旁边</w:t>
            </w:r>
          </w:p>
        </w:tc>
        <w:tc>
          <w:tcPr>
            <w:tcW w:w="9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DC3DCA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25213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single" w:color="auto" w:sz="4" w:space="0"/>
              <w:bottom w:val="single" w:color="000000" w:sz="4" w:space="0"/>
              <w:right w:val="single" w:color="auto" w:sz="4" w:space="0"/>
            </w:tcBorders>
            <w:shd w:val="clear" w:color="auto" w:fill="FFFFFF"/>
            <w:noWrap w:val="0"/>
            <w:vAlign w:val="center"/>
          </w:tcPr>
          <w:p w14:paraId="1564695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66AD0FC4">
        <w:tblPrEx>
          <w:tblCellMar>
            <w:top w:w="15" w:type="dxa"/>
            <w:left w:w="15" w:type="dxa"/>
            <w:bottom w:w="15" w:type="dxa"/>
            <w:right w:w="15" w:type="dxa"/>
          </w:tblCellMar>
        </w:tblPrEx>
        <w:trPr>
          <w:trHeight w:val="228" w:hRule="atLeast"/>
        </w:trPr>
        <w:tc>
          <w:tcPr>
            <w:tcW w:w="838" w:type="dxa"/>
            <w:tcBorders>
              <w:top w:val="single" w:color="auto" w:sz="4" w:space="0"/>
              <w:left w:val="single" w:color="000000" w:sz="4" w:space="0"/>
              <w:bottom w:val="single" w:color="000000" w:sz="4" w:space="0"/>
              <w:right w:val="single" w:color="auto" w:sz="4" w:space="0"/>
            </w:tcBorders>
            <w:shd w:val="clear" w:color="auto" w:fill="FFFFFF"/>
            <w:noWrap w:val="0"/>
            <w:vAlign w:val="center"/>
          </w:tcPr>
          <w:p w14:paraId="25032B4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33</w:t>
            </w:r>
          </w:p>
        </w:tc>
        <w:tc>
          <w:tcPr>
            <w:tcW w:w="790" w:type="dxa"/>
            <w:vMerge w:val="restart"/>
            <w:tcBorders>
              <w:top w:val="single" w:color="auto" w:sz="4" w:space="0"/>
              <w:left w:val="single" w:color="auto" w:sz="4" w:space="0"/>
              <w:right w:val="single" w:color="auto" w:sz="4" w:space="0"/>
            </w:tcBorders>
            <w:shd w:val="clear" w:color="auto" w:fill="auto"/>
            <w:noWrap w:val="0"/>
            <w:vAlign w:val="center"/>
          </w:tcPr>
          <w:p w14:paraId="5CA13B9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r>
              <w:rPr>
                <w:rFonts w:hint="eastAsia" w:ascii="宋体" w:hAnsi="宋体" w:cs="宋体"/>
                <w:kern w:val="0"/>
                <w:szCs w:val="21"/>
              </w:rPr>
              <w:t>滁州高铁站</w:t>
            </w:r>
          </w:p>
        </w:tc>
        <w:tc>
          <w:tcPr>
            <w:tcW w:w="2471" w:type="dxa"/>
            <w:tcBorders>
              <w:top w:val="single" w:color="auto" w:sz="4" w:space="0"/>
              <w:left w:val="single" w:color="auto" w:sz="4" w:space="0"/>
              <w:bottom w:val="single" w:color="000000" w:sz="4" w:space="0"/>
              <w:right w:val="single" w:color="000000" w:sz="4" w:space="0"/>
            </w:tcBorders>
            <w:shd w:val="clear" w:color="auto" w:fill="FFFFFF"/>
            <w:noWrap w:val="0"/>
            <w:vAlign w:val="center"/>
          </w:tcPr>
          <w:p w14:paraId="25AE0A2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1号口垂梯水泵控制箱旁</w:t>
            </w:r>
          </w:p>
        </w:tc>
        <w:tc>
          <w:tcPr>
            <w:tcW w:w="936" w:type="dxa"/>
            <w:tcBorders>
              <w:top w:val="single" w:color="auto" w:sz="4" w:space="0"/>
              <w:left w:val="nil"/>
              <w:bottom w:val="single" w:color="000000" w:sz="4" w:space="0"/>
              <w:right w:val="single" w:color="000000" w:sz="4" w:space="0"/>
            </w:tcBorders>
            <w:shd w:val="clear" w:color="auto" w:fill="FFFFFF"/>
            <w:noWrap w:val="0"/>
            <w:vAlign w:val="center"/>
          </w:tcPr>
          <w:p w14:paraId="19D41D3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auto" w:sz="4" w:space="0"/>
              <w:left w:val="nil"/>
              <w:bottom w:val="single" w:color="000000" w:sz="4" w:space="0"/>
              <w:right w:val="single" w:color="000000" w:sz="4" w:space="0"/>
            </w:tcBorders>
            <w:shd w:val="clear" w:color="auto" w:fill="FFFFFF"/>
            <w:noWrap w:val="0"/>
            <w:vAlign w:val="center"/>
          </w:tcPr>
          <w:p w14:paraId="7059B1C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180C5DB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74ADAB2C">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400F889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34</w:t>
            </w:r>
          </w:p>
        </w:tc>
        <w:tc>
          <w:tcPr>
            <w:tcW w:w="790" w:type="dxa"/>
            <w:vMerge w:val="continue"/>
            <w:tcBorders>
              <w:left w:val="single" w:color="auto" w:sz="4" w:space="0"/>
              <w:right w:val="single" w:color="auto" w:sz="4" w:space="0"/>
            </w:tcBorders>
            <w:shd w:val="clear" w:color="auto" w:fill="auto"/>
            <w:noWrap w:val="0"/>
            <w:vAlign w:val="center"/>
          </w:tcPr>
          <w:p w14:paraId="1B54B26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37C292E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1号口西侧扶梯旁</w:t>
            </w:r>
          </w:p>
        </w:tc>
        <w:tc>
          <w:tcPr>
            <w:tcW w:w="936" w:type="dxa"/>
            <w:tcBorders>
              <w:top w:val="single" w:color="000000" w:sz="4" w:space="0"/>
              <w:left w:val="nil"/>
              <w:bottom w:val="single" w:color="000000" w:sz="4" w:space="0"/>
              <w:right w:val="single" w:color="000000" w:sz="4" w:space="0"/>
            </w:tcBorders>
            <w:shd w:val="clear" w:color="auto" w:fill="FFFFFF"/>
            <w:noWrap w:val="0"/>
            <w:vAlign w:val="center"/>
          </w:tcPr>
          <w:p w14:paraId="467E774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05C0E95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1579EA7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18ED6397">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7F3A3F9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35</w:t>
            </w:r>
          </w:p>
        </w:tc>
        <w:tc>
          <w:tcPr>
            <w:tcW w:w="790" w:type="dxa"/>
            <w:vMerge w:val="continue"/>
            <w:tcBorders>
              <w:left w:val="single" w:color="auto" w:sz="4" w:space="0"/>
              <w:right w:val="single" w:color="auto" w:sz="4" w:space="0"/>
            </w:tcBorders>
            <w:shd w:val="clear" w:color="auto" w:fill="auto"/>
            <w:noWrap w:val="0"/>
            <w:vAlign w:val="center"/>
          </w:tcPr>
          <w:p w14:paraId="61A1B7F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026129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2号口垂梯后侧</w:t>
            </w:r>
          </w:p>
        </w:tc>
        <w:tc>
          <w:tcPr>
            <w:tcW w:w="936" w:type="dxa"/>
            <w:tcBorders>
              <w:top w:val="single" w:color="000000" w:sz="4" w:space="0"/>
              <w:left w:val="nil"/>
              <w:bottom w:val="single" w:color="000000" w:sz="4" w:space="0"/>
              <w:right w:val="single" w:color="000000" w:sz="4" w:space="0"/>
            </w:tcBorders>
            <w:shd w:val="clear" w:color="auto" w:fill="FFFFFF"/>
            <w:noWrap w:val="0"/>
            <w:vAlign w:val="center"/>
          </w:tcPr>
          <w:p w14:paraId="1876BA6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3098819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1D09B1C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13BE285E">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13DD2F7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36</w:t>
            </w:r>
          </w:p>
        </w:tc>
        <w:tc>
          <w:tcPr>
            <w:tcW w:w="790" w:type="dxa"/>
            <w:vMerge w:val="continue"/>
            <w:tcBorders>
              <w:left w:val="single" w:color="auto" w:sz="4" w:space="0"/>
              <w:right w:val="single" w:color="auto" w:sz="4" w:space="0"/>
            </w:tcBorders>
            <w:shd w:val="clear" w:color="auto" w:fill="auto"/>
            <w:noWrap w:val="0"/>
            <w:vAlign w:val="center"/>
          </w:tcPr>
          <w:p w14:paraId="6AC82BE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C1D55A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2号口垂梯北侧</w:t>
            </w:r>
          </w:p>
        </w:tc>
        <w:tc>
          <w:tcPr>
            <w:tcW w:w="936" w:type="dxa"/>
            <w:tcBorders>
              <w:top w:val="single" w:color="000000" w:sz="4" w:space="0"/>
              <w:left w:val="nil"/>
              <w:bottom w:val="single" w:color="000000" w:sz="4" w:space="0"/>
              <w:right w:val="single" w:color="000000" w:sz="4" w:space="0"/>
            </w:tcBorders>
            <w:shd w:val="clear" w:color="auto" w:fill="FFFFFF"/>
            <w:noWrap w:val="0"/>
            <w:vAlign w:val="center"/>
          </w:tcPr>
          <w:p w14:paraId="5A877DC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000000" w:sz="4" w:space="0"/>
              <w:right w:val="single" w:color="000000" w:sz="4" w:space="0"/>
            </w:tcBorders>
            <w:shd w:val="clear" w:color="auto" w:fill="FFFFFF"/>
            <w:noWrap w:val="0"/>
            <w:vAlign w:val="center"/>
          </w:tcPr>
          <w:p w14:paraId="4EC92FA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000000" w:sz="4" w:space="0"/>
              <w:right w:val="single" w:color="auto" w:sz="4" w:space="0"/>
            </w:tcBorders>
            <w:shd w:val="clear" w:color="auto" w:fill="FFFFFF"/>
            <w:noWrap w:val="0"/>
            <w:vAlign w:val="center"/>
          </w:tcPr>
          <w:p w14:paraId="350E7A9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消防栓补盲，立杆安装</w:t>
            </w:r>
          </w:p>
        </w:tc>
      </w:tr>
      <w:tr w14:paraId="17B1327A">
        <w:tblPrEx>
          <w:tblCellMar>
            <w:top w:w="15" w:type="dxa"/>
            <w:left w:w="15" w:type="dxa"/>
            <w:bottom w:w="15" w:type="dxa"/>
            <w:right w:w="15" w:type="dxa"/>
          </w:tblCellMar>
        </w:tblPrEx>
        <w:trPr>
          <w:trHeight w:val="228" w:hRule="atLeast"/>
        </w:trPr>
        <w:tc>
          <w:tcPr>
            <w:tcW w:w="838" w:type="dxa"/>
            <w:tcBorders>
              <w:top w:val="single" w:color="000000" w:sz="4" w:space="0"/>
              <w:left w:val="single" w:color="000000" w:sz="4" w:space="0"/>
              <w:bottom w:val="single" w:color="auto" w:sz="4" w:space="0"/>
              <w:right w:val="single" w:color="auto" w:sz="4" w:space="0"/>
            </w:tcBorders>
            <w:shd w:val="clear" w:color="auto" w:fill="FFFFFF"/>
            <w:noWrap w:val="0"/>
            <w:vAlign w:val="center"/>
          </w:tcPr>
          <w:p w14:paraId="40C6146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37</w:t>
            </w:r>
          </w:p>
        </w:tc>
        <w:tc>
          <w:tcPr>
            <w:tcW w:w="790" w:type="dxa"/>
            <w:vMerge w:val="continue"/>
            <w:tcBorders>
              <w:left w:val="single" w:color="auto" w:sz="4" w:space="0"/>
              <w:bottom w:val="single" w:color="auto" w:sz="4" w:space="0"/>
              <w:right w:val="single" w:color="auto" w:sz="4" w:space="0"/>
            </w:tcBorders>
            <w:shd w:val="clear" w:color="auto" w:fill="auto"/>
            <w:noWrap w:val="0"/>
            <w:vAlign w:val="center"/>
          </w:tcPr>
          <w:p w14:paraId="31BDF6E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000000" w:sz="4" w:space="0"/>
              <w:left w:val="single" w:color="auto" w:sz="4" w:space="0"/>
              <w:bottom w:val="single" w:color="auto" w:sz="4" w:space="0"/>
              <w:right w:val="single" w:color="000000" w:sz="4" w:space="0"/>
            </w:tcBorders>
            <w:shd w:val="clear" w:color="auto" w:fill="FFFFFF"/>
            <w:noWrap w:val="0"/>
            <w:vAlign w:val="center"/>
          </w:tcPr>
          <w:p w14:paraId="344171D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东侧扶梯旁</w:t>
            </w:r>
          </w:p>
        </w:tc>
        <w:tc>
          <w:tcPr>
            <w:tcW w:w="936" w:type="dxa"/>
            <w:tcBorders>
              <w:top w:val="single" w:color="000000" w:sz="4" w:space="0"/>
              <w:left w:val="nil"/>
              <w:bottom w:val="single" w:color="auto" w:sz="4" w:space="0"/>
              <w:right w:val="single" w:color="000000" w:sz="4" w:space="0"/>
            </w:tcBorders>
            <w:shd w:val="clear" w:color="auto" w:fill="FFFFFF"/>
            <w:noWrap w:val="0"/>
            <w:vAlign w:val="center"/>
          </w:tcPr>
          <w:p w14:paraId="7EBC0B0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1</w:t>
            </w:r>
          </w:p>
        </w:tc>
        <w:tc>
          <w:tcPr>
            <w:tcW w:w="2424" w:type="dxa"/>
            <w:tcBorders>
              <w:top w:val="single" w:color="000000" w:sz="4" w:space="0"/>
              <w:left w:val="nil"/>
              <w:bottom w:val="single" w:color="auto" w:sz="4" w:space="0"/>
              <w:right w:val="single" w:color="000000" w:sz="4" w:space="0"/>
            </w:tcBorders>
            <w:shd w:val="clear" w:color="auto" w:fill="FFFFFF"/>
            <w:noWrap w:val="0"/>
            <w:vAlign w:val="center"/>
          </w:tcPr>
          <w:p w14:paraId="7AF74AD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000000" w:sz="4" w:space="0"/>
              <w:left w:val="nil"/>
              <w:bottom w:val="single" w:color="auto" w:sz="4" w:space="0"/>
              <w:right w:val="single" w:color="auto" w:sz="4" w:space="0"/>
            </w:tcBorders>
            <w:shd w:val="clear" w:color="auto" w:fill="FFFFFF"/>
            <w:noWrap w:val="0"/>
            <w:vAlign w:val="center"/>
          </w:tcPr>
          <w:p w14:paraId="2D41A87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消防栓补盲，支架安装</w:t>
            </w:r>
          </w:p>
        </w:tc>
      </w:tr>
      <w:tr w14:paraId="16910CAF">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410DF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38</w:t>
            </w:r>
          </w:p>
        </w:tc>
        <w:tc>
          <w:tcPr>
            <w:tcW w:w="790" w:type="dxa"/>
            <w:vMerge w:val="restart"/>
            <w:tcBorders>
              <w:top w:val="single" w:color="auto" w:sz="4" w:space="0"/>
              <w:left w:val="single" w:color="auto" w:sz="4" w:space="0"/>
              <w:right w:val="single" w:color="auto" w:sz="4" w:space="0"/>
            </w:tcBorders>
            <w:shd w:val="clear" w:color="auto" w:fill="auto"/>
            <w:noWrap w:val="0"/>
            <w:vAlign w:val="center"/>
          </w:tcPr>
          <w:p w14:paraId="43E8AA2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r>
              <w:rPr>
                <w:rFonts w:hint="eastAsia" w:ascii="宋体" w:hAnsi="宋体" w:cs="宋体"/>
                <w:kern w:val="0"/>
                <w:szCs w:val="21"/>
              </w:rPr>
              <w:t>相官车辆段</w:t>
            </w: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0BB74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lang w:val="en-US" w:eastAsia="zh-CN"/>
              </w:rPr>
              <w:t>南北</w:t>
            </w:r>
            <w:r>
              <w:rPr>
                <w:rFonts w:hint="eastAsia" w:ascii="宋体" w:hAnsi="宋体" w:cs="宋体"/>
                <w:kern w:val="0"/>
                <w:szCs w:val="21"/>
              </w:rPr>
              <w:t>两侧门岗</w:t>
            </w:r>
          </w:p>
        </w:tc>
        <w:tc>
          <w:tcPr>
            <w:tcW w:w="9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8015B5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4</w:t>
            </w:r>
          </w:p>
        </w:tc>
        <w:tc>
          <w:tcPr>
            <w:tcW w:w="24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F2B47B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DEE1CA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立杆安装</w:t>
            </w:r>
          </w:p>
        </w:tc>
      </w:tr>
      <w:tr w14:paraId="3444CAE0">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536A53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39</w:t>
            </w:r>
          </w:p>
        </w:tc>
        <w:tc>
          <w:tcPr>
            <w:tcW w:w="790" w:type="dxa"/>
            <w:vMerge w:val="continue"/>
            <w:tcBorders>
              <w:left w:val="single" w:color="auto" w:sz="4" w:space="0"/>
              <w:right w:val="single" w:color="auto" w:sz="4" w:space="0"/>
            </w:tcBorders>
            <w:shd w:val="clear" w:color="auto" w:fill="auto"/>
            <w:noWrap w:val="0"/>
            <w:vAlign w:val="center"/>
          </w:tcPr>
          <w:p w14:paraId="403B8E2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8F710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物资大库周界</w:t>
            </w:r>
          </w:p>
        </w:tc>
        <w:tc>
          <w:tcPr>
            <w:tcW w:w="9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90F54F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7</w:t>
            </w:r>
          </w:p>
        </w:tc>
        <w:tc>
          <w:tcPr>
            <w:tcW w:w="24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DFC48D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球机</w:t>
            </w:r>
          </w:p>
        </w:tc>
        <w:tc>
          <w:tcPr>
            <w:tcW w:w="22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B0AC8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立杆安装</w:t>
            </w:r>
          </w:p>
        </w:tc>
      </w:tr>
      <w:tr w14:paraId="603EB780">
        <w:tblPrEx>
          <w:tblCellMar>
            <w:top w:w="15" w:type="dxa"/>
            <w:left w:w="15" w:type="dxa"/>
            <w:bottom w:w="15" w:type="dxa"/>
            <w:right w:w="15" w:type="dxa"/>
          </w:tblCellMar>
        </w:tblPrEx>
        <w:trPr>
          <w:trHeight w:val="228"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44008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40</w:t>
            </w:r>
          </w:p>
        </w:tc>
        <w:tc>
          <w:tcPr>
            <w:tcW w:w="790" w:type="dxa"/>
            <w:vMerge w:val="continue"/>
            <w:tcBorders>
              <w:left w:val="single" w:color="auto" w:sz="4" w:space="0"/>
              <w:right w:val="single" w:color="auto" w:sz="4" w:space="0"/>
            </w:tcBorders>
            <w:shd w:val="clear" w:color="auto" w:fill="auto"/>
            <w:noWrap w:val="0"/>
            <w:vAlign w:val="center"/>
          </w:tcPr>
          <w:p w14:paraId="4E57FF3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319BA2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物资大库</w:t>
            </w:r>
          </w:p>
        </w:tc>
        <w:tc>
          <w:tcPr>
            <w:tcW w:w="9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6BFAE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23</w:t>
            </w:r>
          </w:p>
        </w:tc>
        <w:tc>
          <w:tcPr>
            <w:tcW w:w="24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0DD69B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枪机</w:t>
            </w:r>
          </w:p>
        </w:tc>
        <w:tc>
          <w:tcPr>
            <w:tcW w:w="22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C5B79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kern w:val="0"/>
                <w:szCs w:val="21"/>
              </w:rPr>
            </w:pPr>
            <w:r>
              <w:rPr>
                <w:rFonts w:hint="eastAsia" w:ascii="宋体" w:hAnsi="宋体" w:cs="宋体"/>
                <w:kern w:val="0"/>
                <w:szCs w:val="21"/>
              </w:rPr>
              <w:t>支架安装</w:t>
            </w:r>
          </w:p>
        </w:tc>
      </w:tr>
      <w:tr w14:paraId="1D69166D">
        <w:tblPrEx>
          <w:tblCellMar>
            <w:top w:w="15" w:type="dxa"/>
            <w:left w:w="15" w:type="dxa"/>
            <w:bottom w:w="15" w:type="dxa"/>
            <w:right w:w="15" w:type="dxa"/>
          </w:tblCellMar>
        </w:tblPrEx>
        <w:trPr>
          <w:trHeight w:val="457" w:hRule="atLeast"/>
        </w:trPr>
        <w:tc>
          <w:tcPr>
            <w:tcW w:w="8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0C60A4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lang w:val="en-US" w:eastAsia="zh-CN"/>
              </w:rPr>
            </w:pPr>
            <w:r>
              <w:rPr>
                <w:rFonts w:hint="eastAsia" w:ascii="宋体" w:hAnsi="宋体" w:cs="宋体"/>
                <w:kern w:val="0"/>
                <w:szCs w:val="21"/>
                <w:lang w:val="en-US" w:eastAsia="zh-CN"/>
              </w:rPr>
              <w:t>41</w:t>
            </w:r>
          </w:p>
        </w:tc>
        <w:tc>
          <w:tcPr>
            <w:tcW w:w="790" w:type="dxa"/>
            <w:vMerge w:val="continue"/>
            <w:tcBorders>
              <w:left w:val="single" w:color="auto" w:sz="4" w:space="0"/>
              <w:bottom w:val="single" w:color="auto" w:sz="4" w:space="0"/>
              <w:right w:val="single" w:color="auto" w:sz="4" w:space="0"/>
            </w:tcBorders>
            <w:shd w:val="clear" w:color="auto" w:fill="auto"/>
            <w:noWrap w:val="0"/>
            <w:vAlign w:val="center"/>
          </w:tcPr>
          <w:p w14:paraId="5BEEFB2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kern w:val="0"/>
                <w:szCs w:val="21"/>
              </w:rPr>
            </w:pPr>
          </w:p>
        </w:tc>
        <w:tc>
          <w:tcPr>
            <w:tcW w:w="247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A1574C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综合楼消防泵房</w:t>
            </w:r>
          </w:p>
        </w:tc>
        <w:tc>
          <w:tcPr>
            <w:tcW w:w="9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D23247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1</w:t>
            </w:r>
          </w:p>
        </w:tc>
        <w:tc>
          <w:tcPr>
            <w:tcW w:w="242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12475C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球机</w:t>
            </w:r>
          </w:p>
        </w:tc>
        <w:tc>
          <w:tcPr>
            <w:tcW w:w="22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3178B7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支架安装</w:t>
            </w:r>
          </w:p>
        </w:tc>
      </w:tr>
    </w:tbl>
    <w:p w14:paraId="1C2123B3">
      <w:pPr>
        <w:tabs>
          <w:tab w:val="left" w:pos="420"/>
        </w:tabs>
        <w:adjustRightInd w:val="0"/>
        <w:snapToGrid w:val="0"/>
        <w:spacing w:line="440" w:lineRule="exact"/>
        <w:jc w:val="left"/>
        <w:rPr>
          <w:rFonts w:ascii="宋体" w:hAnsi="宋体" w:cs="宋体"/>
          <w:b/>
          <w:kern w:val="0"/>
          <w:szCs w:val="21"/>
        </w:rPr>
      </w:pPr>
      <w:r>
        <w:rPr>
          <w:rFonts w:ascii="宋体" w:hAnsi="宋体" w:cs="宋体"/>
          <w:b/>
          <w:kern w:val="0"/>
          <w:szCs w:val="21"/>
        </w:rPr>
        <w:tab/>
      </w:r>
      <w:r>
        <w:rPr>
          <w:rFonts w:hint="eastAsia" w:ascii="宋体" w:hAnsi="宋体" w:cs="宋体"/>
          <w:b/>
          <w:kern w:val="0"/>
          <w:szCs w:val="21"/>
        </w:rPr>
        <w:t>注：以上工作量清单表为需求参考工作量，投标人投标前应组织现场勘查，实际情况以现场勘查为准。如投标人未进行现场勘查，招标人则认为，投标人已完成掌握了解现场设备实际情况。</w:t>
      </w:r>
    </w:p>
    <w:p w14:paraId="212165D1">
      <w:pPr>
        <w:tabs>
          <w:tab w:val="left" w:pos="420"/>
        </w:tabs>
        <w:adjustRightInd w:val="0"/>
        <w:snapToGrid w:val="0"/>
        <w:spacing w:line="440" w:lineRule="exact"/>
        <w:ind w:firstLine="420" w:firstLineChars="200"/>
        <w:jc w:val="left"/>
        <w:rPr>
          <w:rFonts w:ascii="宋体" w:hAnsi="宋体" w:cs="宋体"/>
          <w:kern w:val="0"/>
          <w:szCs w:val="21"/>
          <w:highlight w:val="none"/>
        </w:rPr>
      </w:pPr>
      <w:r>
        <w:rPr>
          <w:rFonts w:hint="eastAsia" w:ascii="宋体" w:hAnsi="宋体" w:cs="宋体"/>
          <w:kern w:val="0"/>
          <w:szCs w:val="21"/>
          <w:highlight w:val="none"/>
          <w:lang w:val="en-US" w:eastAsia="zh-CN"/>
        </w:rPr>
        <w:t>中</w:t>
      </w:r>
      <w:r>
        <w:rPr>
          <w:rFonts w:hint="eastAsia" w:ascii="宋体" w:hAnsi="宋体" w:cs="宋体"/>
          <w:kern w:val="0"/>
          <w:szCs w:val="21"/>
          <w:highlight w:val="none"/>
        </w:rPr>
        <w:t>标人应根据本项目实际需求提供设备明细清单。</w:t>
      </w:r>
    </w:p>
    <w:p w14:paraId="6E33F6D5">
      <w:pPr>
        <w:tabs>
          <w:tab w:val="left" w:pos="420"/>
        </w:tabs>
        <w:adjustRightInd w:val="0"/>
        <w:snapToGrid w:val="0"/>
        <w:spacing w:line="440" w:lineRule="exact"/>
        <w:jc w:val="left"/>
        <w:rPr>
          <w:rFonts w:ascii="宋体" w:hAnsi="宋体" w:cs="宋体"/>
          <w:kern w:val="0"/>
          <w:szCs w:val="21"/>
        </w:rPr>
      </w:pPr>
      <w:r>
        <w:rPr>
          <w:rFonts w:ascii="宋体" w:hAnsi="宋体" w:cs="宋体"/>
          <w:kern w:val="0"/>
          <w:szCs w:val="21"/>
        </w:rPr>
        <w:tab/>
      </w:r>
      <w:r>
        <w:rPr>
          <w:rFonts w:hint="eastAsia" w:ascii="宋体" w:hAnsi="宋体" w:cs="宋体"/>
          <w:kern w:val="0"/>
          <w:szCs w:val="21"/>
        </w:rPr>
        <w:t>5.</w:t>
      </w:r>
      <w:r>
        <w:rPr>
          <w:rFonts w:hint="eastAsia" w:ascii="宋体" w:hAnsi="宋体" w:cs="宋体"/>
          <w:kern w:val="0"/>
          <w:szCs w:val="21"/>
          <w:lang w:val="en-US" w:eastAsia="zh-CN"/>
        </w:rPr>
        <w:t>4</w:t>
      </w:r>
      <w:r>
        <w:rPr>
          <w:rFonts w:hint="eastAsia" w:ascii="宋体" w:hAnsi="宋体" w:cs="宋体"/>
          <w:kern w:val="0"/>
          <w:szCs w:val="21"/>
        </w:rPr>
        <w:t xml:space="preserve"> 设备技术规格</w:t>
      </w:r>
    </w:p>
    <w:p w14:paraId="131CE2C3">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5.</w:t>
      </w:r>
      <w:r>
        <w:rPr>
          <w:rFonts w:hint="eastAsia" w:ascii="宋体" w:hAnsi="宋体" w:cs="宋体"/>
          <w:kern w:val="0"/>
          <w:szCs w:val="21"/>
          <w:lang w:val="en-US" w:eastAsia="zh-CN"/>
        </w:rPr>
        <w:t>4</w:t>
      </w:r>
      <w:r>
        <w:rPr>
          <w:rFonts w:hint="eastAsia" w:ascii="宋体" w:hAnsi="宋体" w:cs="宋体"/>
          <w:kern w:val="0"/>
          <w:szCs w:val="21"/>
        </w:rPr>
        <w:t>.1 高清枪机</w:t>
      </w:r>
    </w:p>
    <w:p w14:paraId="55CD7A5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（1）最大图像尺寸：1920 × 1080</w:t>
      </w:r>
    </w:p>
    <w:p w14:paraId="2A1469D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（2）视频压缩标准：H.265/H.264/MJPEG</w:t>
      </w:r>
    </w:p>
    <w:p w14:paraId="1838249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（3）最低照度彩色：0.0002lx，黑白:0.0001lx，灰度等级不小于11级。</w:t>
      </w:r>
    </w:p>
    <w:p w14:paraId="17434E7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（4）镜头焦距不小于2.7mm~13.5mm。</w:t>
      </w:r>
    </w:p>
    <w:p w14:paraId="44CF4F5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（5）补光灯类型：无红暴</w:t>
      </w:r>
    </w:p>
    <w:p w14:paraId="75FEE95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（6）电流及功耗：DC：12 V，1.63 A，最大功耗：19.56 W</w:t>
      </w:r>
    </w:p>
    <w:p w14:paraId="031CEA3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（7）AC：24 V，1.53 A，最大功耗：18.36 W</w:t>
      </w:r>
    </w:p>
    <w:p w14:paraId="55656C3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（8）供电方式：DC：12 V ± 20%，支持防反接保护</w:t>
      </w:r>
    </w:p>
    <w:p w14:paraId="0E59F27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（9）AC：24 V ± 20%</w:t>
      </w:r>
    </w:p>
    <w:p w14:paraId="16AD2F3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（10）电源接口类型：3芯电源接口</w:t>
      </w:r>
    </w:p>
    <w:p w14:paraId="4F1B399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（11）线缆长度：35 cm</w:t>
      </w:r>
    </w:p>
    <w:p w14:paraId="289CB06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（12）防护：IP67</w:t>
      </w:r>
    </w:p>
    <w:p w14:paraId="636C25F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（13）接口类型：FC接口</w:t>
      </w:r>
    </w:p>
    <w:p w14:paraId="49E5FF8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（14）光纤类型：单模单纤</w:t>
      </w:r>
    </w:p>
    <w:p w14:paraId="737DE3B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（15）传输波长：TX：1310 nm，RX：1550 nm</w:t>
      </w:r>
    </w:p>
    <w:p w14:paraId="73590E4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（16）传输距离：20 km</w:t>
      </w:r>
    </w:p>
    <w:p w14:paraId="016AA04A">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（17）传输速率：155 Mbit/s</w:t>
      </w:r>
    </w:p>
    <w:p w14:paraId="399139CC">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5.</w:t>
      </w:r>
      <w:r>
        <w:rPr>
          <w:rFonts w:hint="eastAsia" w:ascii="宋体" w:hAnsi="宋体" w:cs="宋体"/>
          <w:kern w:val="0"/>
          <w:szCs w:val="21"/>
          <w:lang w:val="en-US" w:eastAsia="zh-CN"/>
        </w:rPr>
        <w:t>4</w:t>
      </w:r>
      <w:r>
        <w:rPr>
          <w:rFonts w:hint="eastAsia" w:ascii="宋体" w:hAnsi="宋体" w:cs="宋体"/>
          <w:kern w:val="0"/>
          <w:szCs w:val="21"/>
        </w:rPr>
        <w:t>.2 高清球机</w:t>
      </w:r>
    </w:p>
    <w:p w14:paraId="01A1E20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（1）镜头采用1/2.8＂CMOS传感器，高清成像</w:t>
      </w:r>
    </w:p>
    <w:p w14:paraId="46BD991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（2）最低照度：彩色：0.005 Lux @（F1.6，AGC ON）；黑白：0.001 Lux @（F1.6，AGC ON）；0 Lux with IR</w:t>
      </w:r>
    </w:p>
    <w:p w14:paraId="53273A4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（3）焦距：4.8-120mm，25倍光学变倍</w:t>
      </w:r>
    </w:p>
    <w:p w14:paraId="1CA9772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（4）视场角：57.6-2.5度(广角-望远)</w:t>
      </w:r>
    </w:p>
    <w:p w14:paraId="7A40429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（5）补光灯类型：无红暴</w:t>
      </w:r>
    </w:p>
    <w:p w14:paraId="645123A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（6）补光灯距离：红外照射距离：最远可达180 m</w:t>
      </w:r>
    </w:p>
    <w:p w14:paraId="3CA1A9D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（7）防补光过曝：支持</w:t>
      </w:r>
    </w:p>
    <w:p w14:paraId="35CC2D5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（8）水平范围：360°</w:t>
      </w:r>
    </w:p>
    <w:p w14:paraId="386482C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（9）垂直范围：-15°-90°(自动翻转)</w:t>
      </w:r>
    </w:p>
    <w:p w14:paraId="5097DFD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（10）光纤接口：采用FC接口，内置光纤模块（100 M网络数据、波长TX1310/RX1550 nm、单纤单模、20 km传输距离）</w:t>
      </w:r>
    </w:p>
    <w:p w14:paraId="72944DF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11）设备具有AI-ISP图像质量提升功能，在低照度环境下，可自动调节预览场景视频画面中人脸、人体、车辆等目标及预览场景视频画面的区域曝光、亮度、色彩饱和度、对比度、锐度等（以公安部检验报告为准）</w:t>
      </w:r>
    </w:p>
    <w:p w14:paraId="289C584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（12）网络接口：RJ45网口;自适应10M/100M网络数据</w:t>
      </w:r>
    </w:p>
    <w:p w14:paraId="763D4BA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（13）SD卡扩展：内置MicroSD/MicroSDHC/MicroSDXC 插槽，最大支持512 GB</w:t>
      </w:r>
    </w:p>
    <w:p w14:paraId="3CC3059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（14）报警：2路报警输入，1路报警输出</w:t>
      </w:r>
    </w:p>
    <w:p w14:paraId="27C0C34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（15）音频：1路音频输入，音频峰值：2-2.4V[p-p]，输入阻抗：1 kΩ±10%</w:t>
      </w:r>
    </w:p>
    <w:p w14:paraId="0A5638D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（16）1路音频输出，线性电平，阻抗：600 Ω</w:t>
      </w:r>
    </w:p>
    <w:p w14:paraId="5A6DD1BA">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（17）RS-485：采用半双工模式，支持自适应HIKVISION，PELCO-P和PELCO-D（可添加）协议</w:t>
      </w:r>
    </w:p>
    <w:p w14:paraId="6640B17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（18）电源：供电方式：DC：36 V，1.67 A</w:t>
      </w:r>
    </w:p>
    <w:p w14:paraId="798E5289">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（19）防护：IP66；符合GB/T 17626.5 认证标准</w:t>
      </w:r>
    </w:p>
    <w:p w14:paraId="151F9D94">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5.</w:t>
      </w:r>
      <w:r>
        <w:rPr>
          <w:rFonts w:hint="eastAsia" w:ascii="宋体" w:hAnsi="宋体" w:cs="宋体"/>
          <w:kern w:val="0"/>
          <w:szCs w:val="21"/>
          <w:lang w:val="en-US" w:eastAsia="zh-CN"/>
        </w:rPr>
        <w:t>4</w:t>
      </w:r>
      <w:r>
        <w:rPr>
          <w:rFonts w:hint="eastAsia" w:ascii="宋体" w:hAnsi="宋体" w:cs="宋体"/>
          <w:kern w:val="0"/>
          <w:szCs w:val="21"/>
        </w:rPr>
        <w:t>.3 火灾探测器</w:t>
      </w:r>
    </w:p>
    <w:p w14:paraId="6D5B147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（1）智能摄像机，可通过高清可见光和高灵敏度热成像双光谱架构，结合AI深度学习算法和实时融合处理技术，实现火点、烟雾、温度等多维度火灾特征分析并及时报警，且可以提供视频复核，实现精准火灾探测</w:t>
      </w:r>
    </w:p>
    <w:p w14:paraId="2653AB12">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rPr>
        <w:t>（2）采用非接触式探测方案，响应速度快、识别率高、误报率低，几乎不受扰流、烟障等影响，安全可靠</w:t>
      </w:r>
      <w:r>
        <w:rPr>
          <w:rFonts w:hint="eastAsia" w:ascii="宋体" w:hAnsi="宋体" w:cs="宋体"/>
          <w:kern w:val="0"/>
          <w:szCs w:val="21"/>
          <w:highlight w:val="none"/>
        </w:rPr>
        <w:t>，使用便捷</w:t>
      </w:r>
    </w:p>
    <w:p w14:paraId="4B9F6A65">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（3）产品具有应急管理部消防产品合格评定中心出具的CCCF证书（</w:t>
      </w:r>
      <w:r>
        <w:rPr>
          <w:rFonts w:hint="eastAsia" w:ascii="宋体" w:hAnsi="宋体" w:cs="宋体"/>
          <w:kern w:val="0"/>
          <w:szCs w:val="21"/>
          <w:highlight w:val="none"/>
          <w:lang w:val="en-US" w:eastAsia="zh-CN"/>
        </w:rPr>
        <w:t>供货时</w:t>
      </w:r>
      <w:r>
        <w:rPr>
          <w:rFonts w:hint="eastAsia" w:ascii="宋体" w:hAnsi="宋体" w:cs="宋体"/>
          <w:kern w:val="0"/>
          <w:szCs w:val="21"/>
          <w:highlight w:val="none"/>
        </w:rPr>
        <w:t>提供证书复印件并加盖制造商公章证明）</w:t>
      </w:r>
    </w:p>
    <w:p w14:paraId="29F15796">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（4）火灾报警信号传输功能：发生火灾时，探测器可将报警信息通过输入模块传输到火灾报警主机中，并通过报警主机显示该报警信息。（</w:t>
      </w:r>
      <w:r>
        <w:rPr>
          <w:rFonts w:hint="eastAsia" w:ascii="宋体" w:hAnsi="宋体" w:cs="宋体"/>
          <w:kern w:val="0"/>
          <w:szCs w:val="21"/>
          <w:highlight w:val="none"/>
          <w:lang w:val="en-US" w:eastAsia="zh-CN"/>
        </w:rPr>
        <w:t>供货时</w:t>
      </w:r>
      <w:r>
        <w:rPr>
          <w:rFonts w:hint="eastAsia" w:ascii="宋体" w:hAnsi="宋体" w:cs="宋体"/>
          <w:kern w:val="0"/>
          <w:szCs w:val="21"/>
          <w:highlight w:val="none"/>
        </w:rPr>
        <w:t>提供检验报告复印件并加盖制造商公章证明）</w:t>
      </w:r>
    </w:p>
    <w:p w14:paraId="57CA70E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（5）500W可见光高分辨率；热成像最大有效分辨率256x192</w:t>
      </w:r>
    </w:p>
    <w:p w14:paraId="726999FA">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（6）支持火焰检测，最远可覆盖80米（燃烧物：正庚烷，0.33x0.33m火盘）</w:t>
      </w:r>
    </w:p>
    <w:p w14:paraId="2F6B96B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（7）支持多级火焰检测灵敏度调节，响应时间短至2S</w:t>
      </w:r>
    </w:p>
    <w:p w14:paraId="33C1C37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（8）支持温度异常（高温，升温等）检测</w:t>
      </w:r>
    </w:p>
    <w:p w14:paraId="1C49E75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（9）支持低码率、低延时、ROI感兴趣区域增强编码、SVC自适应编码技术</w:t>
      </w:r>
    </w:p>
    <w:p w14:paraId="12E3E87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（10）1个内置麦克风，1个内置扬声器，支持双向语音对讲</w:t>
      </w:r>
    </w:p>
    <w:p w14:paraId="01C1763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（11）支持背光补偿，自动电子快门功能，适应不同监测环境</w:t>
      </w:r>
    </w:p>
    <w:p w14:paraId="331F2A9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（12）支持3D数字降噪，支持120 dB超宽动态</w:t>
      </w:r>
    </w:p>
    <w:p w14:paraId="2E195F6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（13）支持接入图像型火灾探测器控制主机，支持联动火灾报警主机</w:t>
      </w:r>
    </w:p>
    <w:p w14:paraId="37BCF55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（14）支持状态指示灯（正常、故障、火警），内置扬声器高分贝报警，且支持远程消音</w:t>
      </w:r>
    </w:p>
    <w:p w14:paraId="1082B74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（15）支持PoE供电</w:t>
      </w:r>
    </w:p>
    <w:p w14:paraId="066F8AD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（16）支持IP66等级防水防尘。</w:t>
      </w:r>
    </w:p>
    <w:p w14:paraId="484D479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（17）支持2路报警输入/输出，1路音频输入/输出，1路RS-485</w:t>
      </w:r>
    </w:p>
    <w:p w14:paraId="2C3BCE8F">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5.</w:t>
      </w:r>
      <w:r>
        <w:rPr>
          <w:rFonts w:hint="eastAsia" w:ascii="宋体" w:hAnsi="宋体" w:cs="宋体"/>
          <w:kern w:val="0"/>
          <w:szCs w:val="21"/>
          <w:lang w:val="en-US" w:eastAsia="zh-CN"/>
        </w:rPr>
        <w:t>4</w:t>
      </w:r>
      <w:r>
        <w:rPr>
          <w:rFonts w:hint="eastAsia" w:ascii="宋体" w:hAnsi="宋体" w:cs="宋体"/>
          <w:kern w:val="0"/>
          <w:szCs w:val="21"/>
        </w:rPr>
        <w:t>.4 图像型火灾探测器</w:t>
      </w:r>
    </w:p>
    <w:p w14:paraId="277DBDD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（1）内置图像型火灾探测器视频显示软件，页面友好、功能易用、系统稳定</w:t>
      </w:r>
    </w:p>
    <w:p w14:paraId="0BE0E86A">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（2）最多支持128路图像型火灾探测器设备接入</w:t>
      </w:r>
    </w:p>
    <w:p w14:paraId="0E46BA0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（3）安装方式：带桌面立式支架</w:t>
      </w:r>
    </w:p>
    <w:p w14:paraId="7034357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（4）液晶分辨率： 1366 × 768</w:t>
      </w:r>
    </w:p>
    <w:p w14:paraId="2927584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（5）音频输入接口： 1路MIC IN</w:t>
      </w:r>
    </w:p>
    <w:p w14:paraId="03EAB03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（6）音频输出接口： 1路LINE OUT</w:t>
      </w:r>
    </w:p>
    <w:p w14:paraId="46D3E4A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（7）网络接口： 2个10M/100M/1000M自适应以太网接口，支持双网隔离</w:t>
      </w:r>
    </w:p>
    <w:p w14:paraId="3B5D7E3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（8）内存： 大于等于4 GB</w:t>
      </w:r>
    </w:p>
    <w:p w14:paraId="0F87294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（9）指示灯： 7个：传输（红色）、火警（红色）、启动（红色）、反馈（红色）、故障（黄色）、屏蔽（黄色）、运行（绿色）</w:t>
      </w:r>
    </w:p>
    <w:p w14:paraId="1E111E8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（10）输出： 1路RS-232，4路RS-485，4路USB3.0</w:t>
      </w:r>
    </w:p>
    <w:p w14:paraId="2C8DFD8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（11）额定电压： AC 220 V，50 Hz</w:t>
      </w:r>
    </w:p>
    <w:p w14:paraId="65263795">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（12）额定功率： ≤ 30 W</w:t>
      </w:r>
    </w:p>
    <w:p w14:paraId="478137E1">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kern w:val="0"/>
          <w:szCs w:val="21"/>
        </w:rPr>
        <w:t>5.</w:t>
      </w:r>
      <w:r>
        <w:rPr>
          <w:rFonts w:hint="eastAsia" w:ascii="宋体" w:hAnsi="宋体" w:cs="宋体"/>
          <w:kern w:val="0"/>
          <w:szCs w:val="21"/>
          <w:lang w:val="en-US" w:eastAsia="zh-CN"/>
        </w:rPr>
        <w:t>4</w:t>
      </w:r>
      <w:r>
        <w:rPr>
          <w:rFonts w:hint="eastAsia" w:ascii="宋体" w:hAnsi="宋体" w:cs="宋体"/>
          <w:kern w:val="0"/>
          <w:szCs w:val="21"/>
        </w:rPr>
        <w:t xml:space="preserve">.5 </w:t>
      </w:r>
      <w:r>
        <w:rPr>
          <w:rFonts w:hint="eastAsia" w:ascii="宋体" w:hAnsi="宋体" w:cs="宋体"/>
          <w:color w:val="auto"/>
          <w:kern w:val="0"/>
          <w:szCs w:val="21"/>
        </w:rPr>
        <w:t>交换机</w:t>
      </w:r>
    </w:p>
    <w:p w14:paraId="3918CF66">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（1）业务端口：提供48个10/10M/1000MBaseTx以太网接口， 4个千兆以太网光接口，物资库30个摄像机及8台火灾探测器接入以太网光接口（单模，光模块满配，光模块要求交换机原厂提供），所有接口可同时使用，非端口复用的形式；</w:t>
      </w:r>
    </w:p>
    <w:p w14:paraId="2E2D0910">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（2）机箱物理槽数3；</w:t>
      </w:r>
    </w:p>
    <w:p w14:paraId="03524FE5">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（3）交换容量48Tbps；</w:t>
      </w:r>
    </w:p>
    <w:p w14:paraId="648D317B">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（4）三层包转发率16500Mpps；</w:t>
      </w:r>
    </w:p>
    <w:p w14:paraId="296FBD34">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（5）MAC地址55k；</w:t>
      </w:r>
    </w:p>
    <w:p w14:paraId="251B5044">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（6）支持FLASH存储；</w:t>
      </w:r>
    </w:p>
    <w:p w14:paraId="094EFDE7">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（7）电源模块1+1冗余配置；</w:t>
      </w:r>
    </w:p>
    <w:p w14:paraId="2D14C49A">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（8）支持基于端口的网络接入控制；</w:t>
      </w:r>
    </w:p>
    <w:p w14:paraId="6C821BBD">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（9）具有端口隔离功能；</w:t>
      </w:r>
    </w:p>
    <w:p w14:paraId="5E8FA05E">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（10）支持基于硬件的组播，支持端口组播、广播和单播风暴抑制功能，并且各种抑制功能必须可单独使用，支持PIM，IGMP等组播协议，组播条目大于1万；</w:t>
      </w:r>
    </w:p>
    <w:p w14:paraId="243BF4FD">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（11）所有模块支持IPV4，IPV6转发，路由表：IPV4≥50k，IPV6≥30k；</w:t>
      </w:r>
    </w:p>
    <w:p w14:paraId="0A2A7155">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（12）支持BGPv4，OSPF，IS-IS，RIPv2；</w:t>
      </w:r>
    </w:p>
    <w:p w14:paraId="79D15DFF">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（13）支持不间断业务在线软件升级；</w:t>
      </w:r>
    </w:p>
    <w:p w14:paraId="31665C54">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（14）所有端口均可设置输入输出双向ACL，以便于灵活实现数据包过滤，输入输出ACL表项各≥16k；</w:t>
      </w:r>
    </w:p>
    <w:p w14:paraId="4272599B">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（15）实配的所有端口支持以太网端口捆绑技术（IEEE 802.3ad），支持跨机箱链路捆绑（端口不在同一机箱也可捆绑为一组实现负载均衡）；</w:t>
      </w:r>
    </w:p>
    <w:p w14:paraId="7779CA5C">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（16）所有板卡支持热插拔；</w:t>
      </w:r>
    </w:p>
    <w:p w14:paraId="63AF54D9">
      <w:pPr>
        <w:tabs>
          <w:tab w:val="left" w:pos="420"/>
        </w:tabs>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（17）支持基于硬件反向路径检测；</w:t>
      </w:r>
    </w:p>
    <w:p w14:paraId="57FCDFB5">
      <w:pPr>
        <w:tabs>
          <w:tab w:val="left" w:pos="420"/>
        </w:tabs>
        <w:adjustRightInd w:val="0"/>
        <w:snapToGrid w:val="0"/>
        <w:spacing w:line="440" w:lineRule="exact"/>
        <w:ind w:firstLine="420" w:firstLineChars="200"/>
        <w:jc w:val="left"/>
        <w:rPr>
          <w:rFonts w:ascii="宋体" w:hAnsi="宋体" w:cs="宋体"/>
          <w:color w:val="EE0000"/>
          <w:kern w:val="0"/>
          <w:szCs w:val="21"/>
        </w:rPr>
      </w:pPr>
      <w:r>
        <w:rPr>
          <w:rFonts w:hint="eastAsia" w:ascii="宋体" w:hAnsi="宋体" w:cs="宋体"/>
          <w:color w:val="auto"/>
          <w:kern w:val="0"/>
          <w:szCs w:val="21"/>
        </w:rPr>
        <w:t>（18）支持对端口、VLAN的流量镜像功能。</w:t>
      </w:r>
    </w:p>
    <w:p w14:paraId="38E7096C">
      <w:pPr>
        <w:tabs>
          <w:tab w:val="left" w:pos="420"/>
        </w:tabs>
        <w:adjustRightInd w:val="0"/>
        <w:snapToGrid w:val="0"/>
        <w:spacing w:line="440" w:lineRule="exact"/>
        <w:jc w:val="left"/>
        <w:rPr>
          <w:rFonts w:hint="eastAsia" w:ascii="宋体" w:hAnsi="宋体" w:cs="宋体"/>
          <w:kern w:val="0"/>
          <w:szCs w:val="21"/>
        </w:rPr>
      </w:pPr>
      <w:r>
        <w:rPr>
          <w:rFonts w:ascii="宋体" w:hAnsi="宋体" w:cs="宋体"/>
          <w:kern w:val="0"/>
          <w:szCs w:val="21"/>
        </w:rPr>
        <w:tab/>
      </w:r>
      <w:r>
        <w:rPr>
          <w:rFonts w:hint="eastAsia" w:ascii="宋体" w:hAnsi="宋体" w:cs="宋体"/>
          <w:kern w:val="0"/>
          <w:szCs w:val="21"/>
        </w:rPr>
        <w:t>5.</w:t>
      </w:r>
      <w:r>
        <w:rPr>
          <w:rFonts w:hint="eastAsia" w:ascii="宋体" w:hAnsi="宋体" w:cs="宋体"/>
          <w:kern w:val="0"/>
          <w:szCs w:val="21"/>
          <w:lang w:val="en-US" w:eastAsia="zh-CN"/>
        </w:rPr>
        <w:t>4</w:t>
      </w:r>
      <w:r>
        <w:rPr>
          <w:rFonts w:hint="eastAsia" w:ascii="宋体" w:hAnsi="宋体" w:cs="宋体"/>
          <w:kern w:val="0"/>
          <w:szCs w:val="21"/>
        </w:rPr>
        <w:t>.6 视频监看终端</w:t>
      </w:r>
    </w:p>
    <w:p w14:paraId="3D97B255">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（1）单显卡视频处理能力应满足≥</w:t>
      </w:r>
      <w:r>
        <w:rPr>
          <w:rFonts w:ascii="宋体" w:hAnsi="宋体" w:cs="宋体"/>
          <w:kern w:val="0"/>
          <w:szCs w:val="21"/>
        </w:rPr>
        <w:t>9</w:t>
      </w:r>
      <w:r>
        <w:rPr>
          <w:rFonts w:hint="eastAsia" w:ascii="宋体" w:hAnsi="宋体" w:cs="宋体"/>
          <w:kern w:val="0"/>
          <w:szCs w:val="21"/>
        </w:rPr>
        <w:t>路画面的流畅解码输出，适应长时间（</w:t>
      </w:r>
      <w:r>
        <w:rPr>
          <w:rFonts w:ascii="宋体" w:hAnsi="宋体" w:cs="宋体"/>
          <w:kern w:val="0"/>
          <w:szCs w:val="21"/>
        </w:rPr>
        <w:t>7×24h</w:t>
      </w:r>
      <w:r>
        <w:rPr>
          <w:rFonts w:hint="eastAsia" w:ascii="宋体" w:hAnsi="宋体" w:cs="宋体"/>
          <w:kern w:val="0"/>
          <w:szCs w:val="21"/>
        </w:rPr>
        <w:t>）满负荷工作。</w:t>
      </w:r>
    </w:p>
    <w:p w14:paraId="6A29AE01">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（2）其配置不得低于以下指标：</w:t>
      </w:r>
    </w:p>
    <w:p w14:paraId="1A65779E">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（3）</w:t>
      </w:r>
      <w:r>
        <w:rPr>
          <w:rFonts w:ascii="宋体" w:hAnsi="宋体" w:cs="宋体"/>
          <w:kern w:val="0"/>
          <w:szCs w:val="21"/>
        </w:rPr>
        <w:t>CPU</w:t>
      </w:r>
      <w:r>
        <w:rPr>
          <w:rFonts w:hint="eastAsia" w:ascii="宋体" w:hAnsi="宋体" w:cs="宋体"/>
          <w:kern w:val="0"/>
          <w:szCs w:val="21"/>
        </w:rPr>
        <w:t>：四核处理器，不低于</w:t>
      </w:r>
      <w:r>
        <w:rPr>
          <w:rFonts w:ascii="宋体" w:hAnsi="宋体" w:cs="宋体"/>
          <w:kern w:val="0"/>
          <w:szCs w:val="21"/>
        </w:rPr>
        <w:t>3.00GHz</w:t>
      </w:r>
      <w:r>
        <w:rPr>
          <w:rFonts w:hint="eastAsia" w:ascii="宋体" w:hAnsi="宋体" w:cs="宋体"/>
          <w:kern w:val="0"/>
          <w:szCs w:val="21"/>
        </w:rPr>
        <w:t>；</w:t>
      </w:r>
      <w:r>
        <w:rPr>
          <w:rFonts w:ascii="宋体" w:hAnsi="宋体" w:cs="宋体"/>
          <w:kern w:val="0"/>
          <w:szCs w:val="21"/>
        </w:rPr>
        <w:t xml:space="preserve"> </w:t>
      </w:r>
    </w:p>
    <w:p w14:paraId="44998A02">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（4）显卡：独立显卡，分辨率不低于</w:t>
      </w:r>
      <w:r>
        <w:rPr>
          <w:rFonts w:ascii="宋体" w:hAnsi="宋体" w:cs="宋体"/>
          <w:kern w:val="0"/>
          <w:szCs w:val="21"/>
        </w:rPr>
        <w:t>1920X1080</w:t>
      </w:r>
      <w:r>
        <w:rPr>
          <w:rFonts w:hint="eastAsia" w:ascii="宋体" w:hAnsi="宋体" w:cs="宋体"/>
          <w:kern w:val="0"/>
          <w:szCs w:val="21"/>
        </w:rPr>
        <w:t>，物理显存不低于</w:t>
      </w:r>
      <w:r>
        <w:rPr>
          <w:rFonts w:ascii="宋体" w:hAnsi="宋体" w:cs="宋体"/>
          <w:kern w:val="0"/>
          <w:szCs w:val="21"/>
        </w:rPr>
        <w:t>4G</w:t>
      </w:r>
      <w:r>
        <w:rPr>
          <w:rFonts w:hint="eastAsia" w:ascii="宋体" w:hAnsi="宋体" w:cs="宋体"/>
          <w:kern w:val="0"/>
          <w:szCs w:val="21"/>
        </w:rPr>
        <w:t>；</w:t>
      </w:r>
    </w:p>
    <w:p w14:paraId="298795FA">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（5）两个</w:t>
      </w:r>
      <w:r>
        <w:rPr>
          <w:rFonts w:ascii="宋体" w:hAnsi="宋体" w:cs="宋体"/>
          <w:kern w:val="0"/>
          <w:szCs w:val="21"/>
        </w:rPr>
        <w:t>HDMI</w:t>
      </w:r>
      <w:r>
        <w:rPr>
          <w:rFonts w:hint="eastAsia" w:ascii="宋体" w:hAnsi="宋体" w:cs="宋体"/>
          <w:kern w:val="0"/>
          <w:szCs w:val="21"/>
        </w:rPr>
        <w:t>高清视频输出接口；</w:t>
      </w:r>
    </w:p>
    <w:p w14:paraId="0553171A">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（6）内存：不低于</w:t>
      </w:r>
      <w:r>
        <w:rPr>
          <w:rFonts w:ascii="宋体" w:hAnsi="宋体" w:cs="宋体"/>
          <w:kern w:val="0"/>
          <w:szCs w:val="21"/>
        </w:rPr>
        <w:t>16G DDR4</w:t>
      </w:r>
      <w:r>
        <w:rPr>
          <w:rFonts w:hint="eastAsia" w:ascii="宋体" w:hAnsi="宋体" w:cs="宋体"/>
          <w:kern w:val="0"/>
          <w:szCs w:val="21"/>
        </w:rPr>
        <w:t>；</w:t>
      </w:r>
    </w:p>
    <w:p w14:paraId="4FD59D70">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（7）硬盘：</w:t>
      </w:r>
      <w:r>
        <w:rPr>
          <w:rFonts w:ascii="宋体" w:hAnsi="宋体" w:cs="宋体"/>
          <w:kern w:val="0"/>
          <w:szCs w:val="21"/>
        </w:rPr>
        <w:t>1TB</w:t>
      </w:r>
      <w:r>
        <w:rPr>
          <w:rFonts w:hint="eastAsia" w:ascii="宋体" w:hAnsi="宋体" w:cs="宋体"/>
          <w:kern w:val="0"/>
          <w:szCs w:val="21"/>
        </w:rPr>
        <w:t>以上；</w:t>
      </w:r>
    </w:p>
    <w:p w14:paraId="1781B3F3">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（8）网卡：</w:t>
      </w:r>
      <w:r>
        <w:rPr>
          <w:rFonts w:ascii="宋体" w:hAnsi="宋体" w:cs="宋体"/>
          <w:kern w:val="0"/>
          <w:szCs w:val="21"/>
        </w:rPr>
        <w:t>10/100M</w:t>
      </w:r>
      <w:r>
        <w:rPr>
          <w:rFonts w:hint="eastAsia" w:ascii="宋体" w:hAnsi="宋体" w:cs="宋体"/>
          <w:kern w:val="0"/>
          <w:szCs w:val="21"/>
        </w:rPr>
        <w:t>自适应以太网卡</w:t>
      </w:r>
    </w:p>
    <w:p w14:paraId="6BE9781F">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（9）操作系统：预装</w:t>
      </w:r>
      <w:r>
        <w:rPr>
          <w:rFonts w:ascii="宋体" w:hAnsi="宋体" w:cs="宋体"/>
          <w:kern w:val="0"/>
          <w:szCs w:val="21"/>
        </w:rPr>
        <w:t>Windows</w:t>
      </w:r>
      <w:r>
        <w:rPr>
          <w:rFonts w:hint="eastAsia" w:ascii="宋体" w:hAnsi="宋体" w:cs="宋体"/>
          <w:kern w:val="0"/>
          <w:szCs w:val="21"/>
        </w:rPr>
        <w:t>正版主流操作系统。</w:t>
      </w:r>
    </w:p>
    <w:p w14:paraId="462DE338">
      <w:pPr>
        <w:tabs>
          <w:tab w:val="left" w:pos="420"/>
        </w:tabs>
        <w:adjustRightInd w:val="0"/>
        <w:snapToGrid w:val="0"/>
        <w:spacing w:line="440" w:lineRule="exact"/>
        <w:ind w:firstLine="420" w:firstLineChars="200"/>
        <w:jc w:val="left"/>
        <w:rPr>
          <w:rFonts w:ascii="宋体" w:hAnsi="宋体" w:cs="宋体"/>
          <w:bCs/>
          <w:kern w:val="0"/>
          <w:szCs w:val="21"/>
        </w:rPr>
      </w:pPr>
      <w:r>
        <w:rPr>
          <w:rFonts w:hint="eastAsia" w:ascii="宋体" w:hAnsi="宋体" w:cs="宋体"/>
          <w:bCs/>
          <w:kern w:val="0"/>
          <w:szCs w:val="21"/>
        </w:rPr>
        <w:t>5.</w:t>
      </w:r>
      <w:r>
        <w:rPr>
          <w:rFonts w:hint="eastAsia" w:ascii="宋体" w:hAnsi="宋体" w:cs="宋体"/>
          <w:bCs/>
          <w:kern w:val="0"/>
          <w:szCs w:val="21"/>
          <w:lang w:val="en-US" w:eastAsia="zh-CN"/>
        </w:rPr>
        <w:t>4</w:t>
      </w:r>
      <w:r>
        <w:rPr>
          <w:rFonts w:hint="eastAsia" w:ascii="宋体" w:hAnsi="宋体" w:cs="宋体"/>
          <w:bCs/>
          <w:kern w:val="0"/>
          <w:szCs w:val="21"/>
        </w:rPr>
        <w:t>.7 电源线缆</w:t>
      </w:r>
    </w:p>
    <w:p w14:paraId="4526193B">
      <w:pPr>
        <w:tabs>
          <w:tab w:val="left" w:pos="420"/>
        </w:tabs>
        <w:adjustRightInd w:val="0"/>
        <w:snapToGrid w:val="0"/>
        <w:spacing w:line="440" w:lineRule="exact"/>
        <w:ind w:firstLine="420" w:firstLineChars="200"/>
        <w:jc w:val="left"/>
        <w:rPr>
          <w:rFonts w:hint="eastAsia" w:ascii="宋体" w:hAnsi="宋体" w:cs="宋体"/>
          <w:bCs/>
          <w:kern w:val="0"/>
          <w:szCs w:val="21"/>
        </w:rPr>
      </w:pPr>
      <w:r>
        <w:rPr>
          <w:rFonts w:hint="eastAsia" w:ascii="宋体" w:hAnsi="宋体" w:cs="宋体"/>
          <w:bCs/>
          <w:kern w:val="0"/>
          <w:szCs w:val="21"/>
        </w:rPr>
        <w:t>（1）产品规格：WDZ-RVV3*1.5</w:t>
      </w:r>
    </w:p>
    <w:p w14:paraId="5B0CE94F">
      <w:pPr>
        <w:tabs>
          <w:tab w:val="left" w:pos="420"/>
        </w:tabs>
        <w:adjustRightInd w:val="0"/>
        <w:snapToGrid w:val="0"/>
        <w:spacing w:line="440" w:lineRule="exact"/>
        <w:ind w:firstLine="420" w:firstLineChars="200"/>
        <w:jc w:val="left"/>
        <w:rPr>
          <w:rFonts w:hint="eastAsia" w:ascii="宋体" w:hAnsi="宋体" w:cs="宋体"/>
          <w:bCs/>
          <w:kern w:val="0"/>
          <w:szCs w:val="21"/>
        </w:rPr>
      </w:pPr>
      <w:r>
        <w:rPr>
          <w:rFonts w:hint="eastAsia" w:ascii="宋体" w:hAnsi="宋体" w:cs="宋体"/>
          <w:bCs/>
          <w:kern w:val="0"/>
          <w:szCs w:val="21"/>
        </w:rPr>
        <w:t>（2）执行标准：JB8734.4-1998</w:t>
      </w:r>
    </w:p>
    <w:p w14:paraId="6BF5007F">
      <w:pPr>
        <w:tabs>
          <w:tab w:val="left" w:pos="420"/>
        </w:tabs>
        <w:adjustRightInd w:val="0"/>
        <w:snapToGrid w:val="0"/>
        <w:spacing w:line="440" w:lineRule="exact"/>
        <w:ind w:firstLine="420" w:firstLineChars="200"/>
        <w:jc w:val="left"/>
        <w:rPr>
          <w:rFonts w:hint="eastAsia" w:ascii="宋体" w:hAnsi="宋体" w:cs="宋体"/>
          <w:bCs/>
          <w:kern w:val="0"/>
          <w:szCs w:val="21"/>
        </w:rPr>
      </w:pPr>
      <w:r>
        <w:rPr>
          <w:rFonts w:hint="eastAsia" w:ascii="宋体" w:hAnsi="宋体" w:cs="宋体"/>
          <w:bCs/>
          <w:kern w:val="0"/>
          <w:szCs w:val="21"/>
        </w:rPr>
        <w:t>（3）额定电压：300V</w:t>
      </w:r>
    </w:p>
    <w:p w14:paraId="37AFDB06">
      <w:pPr>
        <w:tabs>
          <w:tab w:val="left" w:pos="420"/>
        </w:tabs>
        <w:adjustRightInd w:val="0"/>
        <w:snapToGrid w:val="0"/>
        <w:spacing w:line="440" w:lineRule="exact"/>
        <w:ind w:firstLine="420" w:firstLineChars="200"/>
        <w:jc w:val="left"/>
        <w:rPr>
          <w:rFonts w:hint="eastAsia" w:ascii="宋体" w:hAnsi="宋体" w:cs="宋体"/>
          <w:bCs/>
          <w:kern w:val="0"/>
          <w:szCs w:val="21"/>
        </w:rPr>
      </w:pPr>
      <w:r>
        <w:rPr>
          <w:rFonts w:hint="eastAsia" w:ascii="宋体" w:hAnsi="宋体" w:cs="宋体"/>
          <w:bCs/>
          <w:kern w:val="0"/>
          <w:szCs w:val="21"/>
        </w:rPr>
        <w:t>（4）额定温度：长期允许工作温度应不超过70摄氏度。</w:t>
      </w:r>
    </w:p>
    <w:p w14:paraId="7F2C2171">
      <w:pPr>
        <w:tabs>
          <w:tab w:val="left" w:pos="420"/>
        </w:tabs>
        <w:adjustRightInd w:val="0"/>
        <w:snapToGrid w:val="0"/>
        <w:spacing w:line="440" w:lineRule="exact"/>
        <w:ind w:firstLine="420" w:firstLineChars="200"/>
        <w:jc w:val="left"/>
        <w:rPr>
          <w:rFonts w:hint="eastAsia" w:ascii="宋体" w:hAnsi="宋体" w:cs="宋体"/>
          <w:bCs/>
          <w:kern w:val="0"/>
          <w:szCs w:val="21"/>
        </w:rPr>
      </w:pPr>
      <w:r>
        <w:rPr>
          <w:rFonts w:hint="eastAsia" w:ascii="宋体" w:hAnsi="宋体" w:cs="宋体"/>
          <w:bCs/>
          <w:kern w:val="0"/>
          <w:szCs w:val="21"/>
        </w:rPr>
        <w:t>（5）导体：多股裸铜丝（或镀锡铜）绞合</w:t>
      </w:r>
    </w:p>
    <w:p w14:paraId="6B2BDB54">
      <w:pPr>
        <w:tabs>
          <w:tab w:val="left" w:pos="420"/>
        </w:tabs>
        <w:adjustRightInd w:val="0"/>
        <w:snapToGrid w:val="0"/>
        <w:spacing w:line="440" w:lineRule="exact"/>
        <w:ind w:firstLine="420" w:firstLineChars="200"/>
        <w:jc w:val="left"/>
        <w:rPr>
          <w:rFonts w:hint="eastAsia" w:ascii="宋体" w:hAnsi="宋体" w:cs="宋体"/>
          <w:bCs/>
          <w:kern w:val="0"/>
          <w:szCs w:val="21"/>
        </w:rPr>
      </w:pPr>
      <w:r>
        <w:rPr>
          <w:rFonts w:hint="eastAsia" w:ascii="宋体" w:hAnsi="宋体" w:cs="宋体"/>
          <w:bCs/>
          <w:kern w:val="0"/>
          <w:szCs w:val="21"/>
        </w:rPr>
        <w:t>（6）绝缘：PVC/C型聚氯乙烯</w:t>
      </w:r>
    </w:p>
    <w:p w14:paraId="36C7C81B">
      <w:pPr>
        <w:tabs>
          <w:tab w:val="left" w:pos="420"/>
        </w:tabs>
        <w:adjustRightInd w:val="0"/>
        <w:snapToGrid w:val="0"/>
        <w:spacing w:line="440" w:lineRule="exact"/>
        <w:ind w:firstLine="420" w:firstLineChars="200"/>
        <w:jc w:val="left"/>
        <w:rPr>
          <w:rFonts w:hint="eastAsia" w:ascii="宋体" w:hAnsi="宋体" w:cs="宋体"/>
          <w:bCs/>
          <w:kern w:val="0"/>
          <w:szCs w:val="21"/>
        </w:rPr>
      </w:pPr>
      <w:r>
        <w:rPr>
          <w:rFonts w:hint="eastAsia" w:ascii="宋体" w:hAnsi="宋体" w:cs="宋体"/>
          <w:bCs/>
          <w:kern w:val="0"/>
          <w:szCs w:val="21"/>
        </w:rPr>
        <w:t>（7）护套：PVC/ST4型聚氯乙烯</w:t>
      </w:r>
    </w:p>
    <w:p w14:paraId="126ED4DD">
      <w:pPr>
        <w:tabs>
          <w:tab w:val="left" w:pos="420"/>
        </w:tabs>
        <w:adjustRightInd w:val="0"/>
        <w:snapToGrid w:val="0"/>
        <w:spacing w:line="440" w:lineRule="exact"/>
        <w:ind w:firstLine="420" w:firstLineChars="200"/>
        <w:jc w:val="left"/>
        <w:rPr>
          <w:rFonts w:hint="eastAsia" w:ascii="宋体" w:hAnsi="宋体" w:cs="宋体"/>
          <w:bCs/>
          <w:kern w:val="0"/>
          <w:szCs w:val="21"/>
        </w:rPr>
      </w:pPr>
      <w:r>
        <w:rPr>
          <w:rFonts w:hint="eastAsia" w:ascii="宋体" w:hAnsi="宋体" w:cs="宋体"/>
          <w:bCs/>
          <w:kern w:val="0"/>
          <w:szCs w:val="21"/>
        </w:rPr>
        <w:t>（8）护套挤包方式：挤管式（松套）或挤压式（紧套）</w:t>
      </w:r>
    </w:p>
    <w:p w14:paraId="143A0178">
      <w:pPr>
        <w:tabs>
          <w:tab w:val="left" w:pos="420"/>
        </w:tabs>
        <w:adjustRightInd w:val="0"/>
        <w:snapToGrid w:val="0"/>
        <w:spacing w:line="440" w:lineRule="exact"/>
        <w:ind w:firstLine="420" w:firstLineChars="200"/>
        <w:jc w:val="left"/>
        <w:rPr>
          <w:rFonts w:hint="eastAsia" w:ascii="宋体" w:hAnsi="宋体" w:cs="宋体"/>
          <w:bCs/>
          <w:kern w:val="0"/>
          <w:szCs w:val="21"/>
        </w:rPr>
      </w:pPr>
      <w:r>
        <w:rPr>
          <w:rFonts w:hint="eastAsia" w:ascii="宋体" w:hAnsi="宋体" w:cs="宋体"/>
          <w:bCs/>
          <w:kern w:val="0"/>
          <w:szCs w:val="21"/>
        </w:rPr>
        <w:t>（9）使用标准厚度、易剥、裁断容易</w:t>
      </w:r>
    </w:p>
    <w:p w14:paraId="109DF623">
      <w:pPr>
        <w:tabs>
          <w:tab w:val="left" w:pos="420"/>
        </w:tabs>
        <w:adjustRightInd w:val="0"/>
        <w:snapToGrid w:val="0"/>
        <w:spacing w:line="440" w:lineRule="exact"/>
        <w:ind w:firstLine="420" w:firstLineChars="200"/>
        <w:jc w:val="left"/>
        <w:rPr>
          <w:rFonts w:hint="eastAsia" w:ascii="宋体" w:hAnsi="宋体" w:eastAsia="宋体" w:cs="宋体"/>
          <w:kern w:val="0"/>
          <w:szCs w:val="21"/>
          <w:lang w:val="en-US" w:eastAsia="zh-CN"/>
        </w:rPr>
      </w:pPr>
      <w:r>
        <w:rPr>
          <w:rFonts w:hint="eastAsia" w:ascii="宋体" w:hAnsi="宋体" w:cs="宋体"/>
          <w:bCs/>
          <w:kern w:val="0"/>
          <w:szCs w:val="21"/>
        </w:rPr>
        <w:t>（10）</w:t>
      </w:r>
      <w:r>
        <w:rPr>
          <w:rFonts w:hint="eastAsia" w:ascii="宋体" w:hAnsi="宋体" w:cs="宋体"/>
          <w:bCs/>
          <w:kern w:val="0"/>
          <w:szCs w:val="21"/>
          <w:lang w:eastAsia="zh-CN"/>
        </w:rPr>
        <w:t>具有</w:t>
      </w:r>
      <w:r>
        <w:rPr>
          <w:rFonts w:hint="eastAsia" w:ascii="宋体" w:hAnsi="宋体" w:cs="宋体"/>
          <w:bCs/>
          <w:kern w:val="0"/>
          <w:szCs w:val="21"/>
        </w:rPr>
        <w:t>抗酸碱、耐油性、防潮、防霉等特</w:t>
      </w:r>
      <w:r>
        <w:rPr>
          <w:rFonts w:hint="eastAsia" w:ascii="宋体" w:hAnsi="宋体" w:cs="宋体"/>
          <w:bCs/>
          <w:kern w:val="0"/>
          <w:szCs w:val="21"/>
          <w:lang w:val="en-US" w:eastAsia="zh-CN"/>
        </w:rPr>
        <w:t>性</w:t>
      </w:r>
    </w:p>
    <w:p w14:paraId="798B4465">
      <w:pPr>
        <w:tabs>
          <w:tab w:val="left" w:pos="420"/>
        </w:tabs>
        <w:adjustRightInd w:val="0"/>
        <w:snapToGrid w:val="0"/>
        <w:spacing w:line="440" w:lineRule="exact"/>
        <w:ind w:firstLine="420" w:firstLineChars="200"/>
        <w:jc w:val="left"/>
        <w:rPr>
          <w:rFonts w:ascii="宋体" w:hAnsi="宋体" w:cs="宋体"/>
          <w:kern w:val="0"/>
          <w:szCs w:val="21"/>
        </w:rPr>
      </w:pPr>
      <w:r>
        <w:rPr>
          <w:rFonts w:hint="eastAsia" w:ascii="宋体" w:hAnsi="宋体" w:cs="宋体"/>
          <w:kern w:val="0"/>
          <w:szCs w:val="21"/>
        </w:rPr>
        <w:t>5.</w:t>
      </w:r>
      <w:r>
        <w:rPr>
          <w:rFonts w:hint="eastAsia" w:ascii="宋体" w:hAnsi="宋体" w:cs="宋体"/>
          <w:kern w:val="0"/>
          <w:szCs w:val="21"/>
          <w:lang w:val="en-US" w:eastAsia="zh-CN"/>
        </w:rPr>
        <w:t>4</w:t>
      </w:r>
      <w:r>
        <w:rPr>
          <w:rFonts w:hint="eastAsia" w:ascii="宋体" w:hAnsi="宋体" w:cs="宋体"/>
          <w:kern w:val="0"/>
          <w:szCs w:val="21"/>
        </w:rPr>
        <w:t>.8 光缆</w:t>
      </w:r>
    </w:p>
    <w:p w14:paraId="18DB949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（1）产品标准：室外单模光缆</w:t>
      </w:r>
    </w:p>
    <w:p w14:paraId="162FA9CC">
      <w:pPr>
        <w:tabs>
          <w:tab w:val="left" w:pos="420"/>
        </w:tabs>
        <w:adjustRightInd w:val="0"/>
        <w:snapToGrid w:val="0"/>
        <w:spacing w:line="440" w:lineRule="exact"/>
        <w:ind w:firstLine="420" w:firstLineChars="200"/>
        <w:jc w:val="left"/>
        <w:rPr>
          <w:rFonts w:hint="eastAsia" w:ascii="宋体" w:hAnsi="宋体" w:cs="宋体"/>
          <w:bCs/>
          <w:kern w:val="0"/>
          <w:szCs w:val="21"/>
        </w:rPr>
      </w:pPr>
      <w:r>
        <w:rPr>
          <w:rFonts w:hint="eastAsia" w:ascii="宋体" w:hAnsi="宋体" w:cs="宋体"/>
          <w:bCs/>
          <w:kern w:val="0"/>
          <w:szCs w:val="21"/>
        </w:rPr>
        <w:t>（2）产品规格：</w:t>
      </w:r>
      <w:r>
        <w:rPr>
          <w:rFonts w:hint="eastAsia" w:ascii="宋体" w:hAnsi="宋体" w:cs="宋体"/>
          <w:kern w:val="0"/>
          <w:szCs w:val="21"/>
        </w:rPr>
        <w:t>GYTA-24B1 24芯</w:t>
      </w:r>
    </w:p>
    <w:p w14:paraId="4C5222A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（3）使用条件使用温度：-40℃～+65℃</w:t>
      </w:r>
    </w:p>
    <w:p w14:paraId="444C6E5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（4）相对湿度：40℃时达98%</w:t>
      </w:r>
    </w:p>
    <w:p w14:paraId="577565EB">
      <w:pPr>
        <w:tabs>
          <w:tab w:val="left" w:pos="420"/>
        </w:tabs>
        <w:adjustRightInd w:val="0"/>
        <w:snapToGrid w:val="0"/>
        <w:spacing w:line="440" w:lineRule="exact"/>
        <w:ind w:firstLine="420" w:firstLineChars="200"/>
        <w:jc w:val="left"/>
        <w:rPr>
          <w:rFonts w:hint="eastAsia" w:ascii="宋体" w:hAnsi="宋体" w:cs="宋体"/>
          <w:kern w:val="0"/>
          <w:szCs w:val="21"/>
          <w:lang w:val="en-US" w:eastAsia="zh-CN"/>
        </w:rPr>
      </w:pPr>
      <w:r>
        <w:rPr>
          <w:rFonts w:hint="eastAsia" w:ascii="宋体" w:hAnsi="宋体" w:cs="宋体"/>
          <w:kern w:val="0"/>
          <w:szCs w:val="21"/>
        </w:rPr>
        <w:t>5.</w:t>
      </w:r>
      <w:r>
        <w:rPr>
          <w:rFonts w:hint="eastAsia" w:ascii="宋体" w:hAnsi="宋体" w:cs="宋体"/>
          <w:kern w:val="0"/>
          <w:szCs w:val="21"/>
          <w:lang w:val="en-US" w:eastAsia="zh-CN"/>
        </w:rPr>
        <w:t>4.9 高清室内球机</w:t>
      </w:r>
    </w:p>
    <w:p w14:paraId="0EAA161D">
      <w:pPr>
        <w:tabs>
          <w:tab w:val="left" w:pos="420"/>
        </w:tabs>
        <w:adjustRightInd w:val="0"/>
        <w:snapToGrid w:val="0"/>
        <w:spacing w:line="440" w:lineRule="exact"/>
        <w:ind w:firstLine="420" w:firstLineChars="200"/>
        <w:jc w:val="left"/>
        <w:rPr>
          <w:rFonts w:hint="default" w:ascii="宋体" w:hAnsi="宋体" w:cs="宋体"/>
          <w:kern w:val="0"/>
          <w:szCs w:val="21"/>
          <w:lang w:val="en-US" w:eastAsia="zh-CN"/>
        </w:rPr>
      </w:pPr>
      <w:r>
        <w:rPr>
          <w:rFonts w:hint="eastAsia" w:ascii="宋体" w:hAnsi="宋体" w:cs="宋体"/>
          <w:kern w:val="0"/>
          <w:szCs w:val="21"/>
          <w:lang w:val="en-US" w:eastAsia="zh-CN"/>
        </w:rPr>
        <w:t>（1）内置25倍变焦光学镜头，镜头采用1/2.8＂CMOS传感器，高清成像</w:t>
      </w:r>
    </w:p>
    <w:p w14:paraId="0F00087F">
      <w:pPr>
        <w:tabs>
          <w:tab w:val="left" w:pos="420"/>
        </w:tabs>
        <w:adjustRightInd w:val="0"/>
        <w:snapToGrid w:val="0"/>
        <w:spacing w:line="440" w:lineRule="exact"/>
        <w:ind w:firstLine="420" w:firstLineChars="200"/>
        <w:jc w:val="left"/>
        <w:rPr>
          <w:rFonts w:hint="eastAsia" w:ascii="宋体" w:hAnsi="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2</w:t>
      </w:r>
      <w:r>
        <w:rPr>
          <w:rFonts w:hint="eastAsia" w:ascii="宋体" w:hAnsi="宋体" w:cs="宋体"/>
          <w:kern w:val="0"/>
          <w:szCs w:val="21"/>
          <w:lang w:eastAsia="zh-CN"/>
        </w:rPr>
        <w:t>）支持多目标抓拍、Smart事件等功能，更好地助力平安城市安全管理</w:t>
      </w:r>
    </w:p>
    <w:p w14:paraId="128161B4">
      <w:pPr>
        <w:tabs>
          <w:tab w:val="left" w:pos="420"/>
        </w:tabs>
        <w:adjustRightInd w:val="0"/>
        <w:snapToGrid w:val="0"/>
        <w:spacing w:line="440" w:lineRule="exact"/>
        <w:ind w:firstLine="420" w:firstLineChars="200"/>
        <w:jc w:val="left"/>
        <w:rPr>
          <w:rFonts w:hint="eastAsia" w:ascii="宋体" w:hAnsi="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3</w:t>
      </w:r>
      <w:r>
        <w:rPr>
          <w:rFonts w:hint="eastAsia" w:ascii="宋体" w:hAnsi="宋体" w:cs="宋体"/>
          <w:kern w:val="0"/>
          <w:szCs w:val="21"/>
          <w:lang w:eastAsia="zh-CN"/>
        </w:rPr>
        <w:t>）适用于铁路沿线、铁路咽喉区等无红暴场景</w:t>
      </w:r>
    </w:p>
    <w:p w14:paraId="71734BBE">
      <w:pPr>
        <w:tabs>
          <w:tab w:val="left" w:pos="420"/>
        </w:tabs>
        <w:adjustRightInd w:val="0"/>
        <w:snapToGrid w:val="0"/>
        <w:spacing w:line="440" w:lineRule="exact"/>
        <w:ind w:firstLine="420" w:firstLineChars="200"/>
        <w:jc w:val="left"/>
        <w:rPr>
          <w:rFonts w:hint="eastAsia" w:ascii="宋体" w:hAnsi="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4</w:t>
      </w:r>
      <w:r>
        <w:rPr>
          <w:rFonts w:hint="eastAsia" w:ascii="宋体" w:hAnsi="宋体" w:cs="宋体"/>
          <w:kern w:val="0"/>
          <w:szCs w:val="21"/>
          <w:lang w:eastAsia="zh-CN"/>
        </w:rPr>
        <w:t>）支持三种智能资源切换： Smart事件(默认)、全抓拍、道路监控</w:t>
      </w:r>
    </w:p>
    <w:p w14:paraId="253D975A">
      <w:pPr>
        <w:tabs>
          <w:tab w:val="left" w:pos="420"/>
        </w:tabs>
        <w:adjustRightInd w:val="0"/>
        <w:snapToGrid w:val="0"/>
        <w:spacing w:line="440" w:lineRule="exact"/>
        <w:ind w:firstLine="420" w:firstLineChars="200"/>
        <w:jc w:val="left"/>
        <w:rPr>
          <w:rFonts w:hint="eastAsia" w:ascii="宋体" w:hAnsi="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5</w:t>
      </w:r>
      <w:r>
        <w:rPr>
          <w:rFonts w:hint="eastAsia" w:ascii="宋体" w:hAnsi="宋体" w:cs="宋体"/>
          <w:kern w:val="0"/>
          <w:szCs w:val="21"/>
          <w:lang w:eastAsia="zh-CN"/>
        </w:rPr>
        <w:t>）全抓拍：支持人、非机动车、车辆混行检测，可同时对人、非机动车、车辆进行抓拍并可对车牌识别提取</w:t>
      </w:r>
    </w:p>
    <w:p w14:paraId="5BE880F4">
      <w:pPr>
        <w:tabs>
          <w:tab w:val="left" w:pos="420"/>
        </w:tabs>
        <w:adjustRightInd w:val="0"/>
        <w:snapToGrid w:val="0"/>
        <w:spacing w:line="440" w:lineRule="exact"/>
        <w:ind w:firstLine="420" w:firstLineChars="200"/>
        <w:jc w:val="left"/>
        <w:rPr>
          <w:rFonts w:hint="eastAsia" w:ascii="宋体" w:hAnsi="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6</w:t>
      </w:r>
      <w:r>
        <w:rPr>
          <w:rFonts w:hint="eastAsia" w:ascii="宋体" w:hAnsi="宋体" w:cs="宋体"/>
          <w:kern w:val="0"/>
          <w:szCs w:val="21"/>
          <w:lang w:eastAsia="zh-CN"/>
        </w:rPr>
        <w:t>）Smart事件：越界侦测,区域入侵侦测,进入/离开区域侦测等智能侦测功能，支持基于事件触发联动球机进行跟踪</w:t>
      </w:r>
    </w:p>
    <w:p w14:paraId="741555DC">
      <w:pPr>
        <w:tabs>
          <w:tab w:val="left" w:pos="420"/>
        </w:tabs>
        <w:adjustRightInd w:val="0"/>
        <w:snapToGrid w:val="0"/>
        <w:spacing w:line="440" w:lineRule="exact"/>
        <w:ind w:firstLine="420" w:firstLineChars="200"/>
        <w:jc w:val="left"/>
        <w:rPr>
          <w:rFonts w:hint="eastAsia" w:ascii="宋体" w:hAnsi="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7</w:t>
      </w:r>
      <w:r>
        <w:rPr>
          <w:rFonts w:hint="eastAsia" w:ascii="宋体" w:hAnsi="宋体" w:cs="宋体"/>
          <w:kern w:val="0"/>
          <w:szCs w:val="21"/>
          <w:lang w:eastAsia="zh-CN"/>
        </w:rPr>
        <w:t>）道路监控：支持车辆检测（支持车牌识别，车型/车身颜色/车牌颜色识别）和混行检测</w:t>
      </w:r>
    </w:p>
    <w:p w14:paraId="18693118">
      <w:pPr>
        <w:tabs>
          <w:tab w:val="left" w:pos="420"/>
        </w:tabs>
        <w:adjustRightInd w:val="0"/>
        <w:snapToGrid w:val="0"/>
        <w:spacing w:line="440" w:lineRule="exact"/>
        <w:ind w:firstLine="420" w:firstLineChars="200"/>
        <w:jc w:val="left"/>
        <w:rPr>
          <w:rFonts w:hint="eastAsia" w:ascii="宋体" w:hAnsi="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8</w:t>
      </w:r>
      <w:r>
        <w:rPr>
          <w:rFonts w:hint="eastAsia" w:ascii="宋体" w:hAnsi="宋体" w:cs="宋体"/>
          <w:kern w:val="0"/>
          <w:szCs w:val="21"/>
          <w:lang w:eastAsia="zh-CN"/>
        </w:rPr>
        <w:t>）AI-ISP：采用去噪卷积神经网络将深度结构、学习算法用于图像去噪，最终使画面成像更清晰，噪点更小图像更干净</w:t>
      </w:r>
    </w:p>
    <w:p w14:paraId="2B76275D">
      <w:pPr>
        <w:tabs>
          <w:tab w:val="left" w:pos="420"/>
        </w:tabs>
        <w:adjustRightInd w:val="0"/>
        <w:snapToGrid w:val="0"/>
        <w:spacing w:line="440" w:lineRule="exact"/>
        <w:ind w:firstLine="420" w:firstLineChars="200"/>
        <w:jc w:val="left"/>
        <w:rPr>
          <w:rFonts w:hint="eastAsia" w:ascii="宋体" w:hAnsi="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9</w:t>
      </w:r>
      <w:r>
        <w:rPr>
          <w:rFonts w:hint="eastAsia" w:ascii="宋体" w:hAnsi="宋体" w:cs="宋体"/>
          <w:kern w:val="0"/>
          <w:szCs w:val="21"/>
          <w:lang w:eastAsia="zh-CN"/>
        </w:rPr>
        <w:t>）支持25倍光学变倍，16倍数字变倍</w:t>
      </w:r>
    </w:p>
    <w:p w14:paraId="0574FF5D">
      <w:pPr>
        <w:tabs>
          <w:tab w:val="left" w:pos="420"/>
        </w:tabs>
        <w:adjustRightInd w:val="0"/>
        <w:snapToGrid w:val="0"/>
        <w:spacing w:line="440" w:lineRule="exact"/>
        <w:ind w:firstLine="420" w:firstLineChars="200"/>
        <w:jc w:val="left"/>
        <w:rPr>
          <w:rFonts w:hint="eastAsia" w:ascii="宋体" w:hAnsi="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10</w:t>
      </w:r>
      <w:r>
        <w:rPr>
          <w:rFonts w:hint="eastAsia" w:ascii="宋体" w:hAnsi="宋体" w:cs="宋体"/>
          <w:kern w:val="0"/>
          <w:szCs w:val="21"/>
          <w:lang w:eastAsia="zh-CN"/>
        </w:rPr>
        <w:t>）支持最大1920x1080@30fps高清画面输出</w:t>
      </w:r>
    </w:p>
    <w:p w14:paraId="44750F9E">
      <w:pPr>
        <w:tabs>
          <w:tab w:val="left" w:pos="420"/>
        </w:tabs>
        <w:adjustRightInd w:val="0"/>
        <w:snapToGrid w:val="0"/>
        <w:spacing w:line="440" w:lineRule="exact"/>
        <w:ind w:firstLine="420" w:firstLineChars="200"/>
        <w:jc w:val="left"/>
        <w:rPr>
          <w:rFonts w:hint="eastAsia" w:ascii="宋体" w:hAnsi="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11</w:t>
      </w:r>
      <w:r>
        <w:rPr>
          <w:rFonts w:hint="eastAsia" w:ascii="宋体" w:hAnsi="宋体" w:cs="宋体"/>
          <w:kern w:val="0"/>
          <w:szCs w:val="21"/>
          <w:lang w:eastAsia="zh-CN"/>
        </w:rPr>
        <w:t>）支持GB35114A级安全加密</w:t>
      </w:r>
    </w:p>
    <w:p w14:paraId="041549E8">
      <w:pPr>
        <w:tabs>
          <w:tab w:val="left" w:pos="420"/>
        </w:tabs>
        <w:adjustRightInd w:val="0"/>
        <w:snapToGrid w:val="0"/>
        <w:spacing w:line="440" w:lineRule="exact"/>
        <w:ind w:firstLine="420" w:firstLineChars="200"/>
        <w:jc w:val="left"/>
        <w:rPr>
          <w:rFonts w:hint="eastAsia" w:ascii="宋体" w:hAnsi="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12</w:t>
      </w:r>
      <w:r>
        <w:rPr>
          <w:rFonts w:hint="eastAsia" w:ascii="宋体" w:hAnsi="宋体" w:cs="宋体"/>
          <w:kern w:val="0"/>
          <w:szCs w:val="21"/>
          <w:lang w:eastAsia="zh-CN"/>
        </w:rPr>
        <w:t>）采用无红暴补光，补光距离180m</w:t>
      </w:r>
    </w:p>
    <w:p w14:paraId="52C649ED">
      <w:pPr>
        <w:tabs>
          <w:tab w:val="left" w:pos="420"/>
        </w:tabs>
        <w:adjustRightInd w:val="0"/>
        <w:snapToGrid w:val="0"/>
        <w:spacing w:line="440" w:lineRule="exact"/>
        <w:ind w:firstLine="420" w:firstLineChars="200"/>
        <w:jc w:val="left"/>
        <w:rPr>
          <w:rFonts w:hint="eastAsia" w:ascii="宋体" w:hAnsi="宋体" w:cs="宋体"/>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13</w:t>
      </w:r>
      <w:r>
        <w:rPr>
          <w:rFonts w:hint="eastAsia" w:ascii="宋体" w:hAnsi="宋体" w:cs="宋体"/>
          <w:kern w:val="0"/>
          <w:szCs w:val="21"/>
          <w:lang w:eastAsia="zh-CN"/>
        </w:rPr>
        <w:t>）支持FC光纤接口</w:t>
      </w:r>
    </w:p>
    <w:p w14:paraId="178A1A84">
      <w:pPr>
        <w:spacing w:line="440" w:lineRule="exact"/>
        <w:rPr>
          <w:rFonts w:hint="eastAsia" w:ascii="宋体" w:hAnsi="宋体" w:cs="宋体"/>
          <w:b/>
          <w:bCs/>
          <w:szCs w:val="21"/>
        </w:rPr>
      </w:pPr>
      <w:bookmarkStart w:id="78" w:name="_Toc204592777"/>
      <w:bookmarkStart w:id="79" w:name="_Toc270685503"/>
      <w:bookmarkStart w:id="80" w:name="_Toc203205323"/>
      <w:bookmarkStart w:id="81" w:name="_Toc199246698"/>
      <w:bookmarkStart w:id="82" w:name="_Toc31131"/>
      <w:bookmarkStart w:id="83" w:name="_Toc414004292"/>
      <w:bookmarkStart w:id="84" w:name="_Toc270689669"/>
      <w:bookmarkStart w:id="85" w:name="_Toc270688006"/>
      <w:bookmarkStart w:id="86" w:name="_Toc270684931"/>
      <w:bookmarkStart w:id="87" w:name="_Toc203206424"/>
      <w:bookmarkStart w:id="88" w:name="_Toc145927498"/>
      <w:r>
        <w:rPr>
          <w:rFonts w:hint="eastAsia" w:ascii="宋体" w:hAnsi="宋体" w:cs="宋体"/>
          <w:b/>
          <w:bCs/>
          <w:szCs w:val="21"/>
          <w:lang w:val="en-US" w:eastAsia="zh-CN"/>
        </w:rPr>
        <w:t>六、</w:t>
      </w:r>
      <w:r>
        <w:rPr>
          <w:rFonts w:hint="eastAsia" w:ascii="宋体" w:hAnsi="宋体" w:cs="宋体"/>
          <w:b/>
          <w:bCs/>
          <w:szCs w:val="21"/>
        </w:rPr>
        <w:t>文件</w:t>
      </w:r>
      <w:bookmarkEnd w:id="78"/>
      <w:bookmarkEnd w:id="79"/>
      <w:bookmarkEnd w:id="80"/>
      <w:bookmarkEnd w:id="81"/>
      <w:bookmarkEnd w:id="82"/>
      <w:bookmarkEnd w:id="83"/>
      <w:bookmarkEnd w:id="84"/>
      <w:bookmarkEnd w:id="85"/>
      <w:bookmarkEnd w:id="86"/>
      <w:bookmarkEnd w:id="87"/>
    </w:p>
    <w:p w14:paraId="7C8F7820">
      <w:pPr>
        <w:tabs>
          <w:tab w:val="left" w:pos="420"/>
        </w:tabs>
        <w:adjustRightInd w:val="0"/>
        <w:snapToGrid w:val="0"/>
        <w:spacing w:line="440" w:lineRule="exact"/>
        <w:ind w:firstLine="420" w:firstLineChars="200"/>
        <w:jc w:val="left"/>
        <w:rPr>
          <w:rFonts w:hint="eastAsia" w:ascii="宋体" w:hAnsi="宋体" w:cs="宋体"/>
          <w:kern w:val="0"/>
          <w:szCs w:val="21"/>
        </w:rPr>
      </w:pPr>
      <w:bookmarkStart w:id="89" w:name="_Toc23408"/>
      <w:bookmarkStart w:id="90" w:name="_Toc270688007"/>
      <w:bookmarkStart w:id="91" w:name="_Toc414004293"/>
      <w:bookmarkStart w:id="92" w:name="_Toc165541667"/>
      <w:bookmarkStart w:id="93" w:name="_Toc161942217"/>
      <w:bookmarkStart w:id="94" w:name="_Toc270689670"/>
      <w:r>
        <w:rPr>
          <w:rFonts w:hint="eastAsia" w:ascii="宋体" w:hAnsi="宋体" w:cs="宋体"/>
          <w:kern w:val="0"/>
          <w:szCs w:val="21"/>
        </w:rPr>
        <w:t>6.1 图纸要求</w:t>
      </w:r>
      <w:bookmarkEnd w:id="89"/>
      <w:bookmarkEnd w:id="90"/>
      <w:bookmarkEnd w:id="91"/>
      <w:bookmarkEnd w:id="92"/>
      <w:bookmarkEnd w:id="93"/>
      <w:bookmarkEnd w:id="94"/>
    </w:p>
    <w:p w14:paraId="7542A4B8">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rPr>
        <w:t>6.1.1 提供专门为</w:t>
      </w:r>
      <w:r>
        <w:rPr>
          <w:rFonts w:hint="eastAsia" w:ascii="宋体" w:hAnsi="宋体" w:cs="宋体"/>
          <w:kern w:val="0"/>
          <w:szCs w:val="21"/>
          <w:highlight w:val="none"/>
        </w:rPr>
        <w:t>本项工程设计、生产的产品、设备</w:t>
      </w:r>
      <w:r>
        <w:rPr>
          <w:rFonts w:hint="eastAsia" w:ascii="宋体" w:hAnsi="宋体" w:cs="宋体"/>
          <w:kern w:val="0"/>
          <w:szCs w:val="21"/>
          <w:highlight w:val="none"/>
          <w:lang w:eastAsia="zh-CN"/>
        </w:rPr>
        <w:t>必需的</w:t>
      </w:r>
      <w:r>
        <w:rPr>
          <w:rFonts w:hint="eastAsia" w:ascii="宋体" w:hAnsi="宋体" w:cs="宋体"/>
          <w:kern w:val="0"/>
          <w:szCs w:val="21"/>
          <w:highlight w:val="none"/>
        </w:rPr>
        <w:t>全部图纸；</w:t>
      </w:r>
    </w:p>
    <w:p w14:paraId="29615139">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6.1.2 对于从市场上采购的产品，必须提供产品说明书和合格证，说明书应能满足</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的维修和采购的要求；</w:t>
      </w:r>
    </w:p>
    <w:p w14:paraId="6D3CD0D9">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6.1.3 图纸应符合国家标准。</w:t>
      </w:r>
    </w:p>
    <w:p w14:paraId="09BE8ECF">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6.1.4 </w:t>
      </w:r>
      <w:r>
        <w:rPr>
          <w:rFonts w:hint="eastAsia" w:ascii="宋体" w:hAnsi="宋体" w:cs="宋体"/>
          <w:kern w:val="0"/>
          <w:szCs w:val="21"/>
          <w:highlight w:val="none"/>
          <w:lang w:eastAsia="zh-CN"/>
        </w:rPr>
        <w:t>中标人</w:t>
      </w:r>
      <w:r>
        <w:rPr>
          <w:rFonts w:hint="eastAsia" w:ascii="宋体" w:hAnsi="宋体" w:cs="宋体"/>
          <w:kern w:val="0"/>
          <w:szCs w:val="21"/>
          <w:highlight w:val="none"/>
        </w:rPr>
        <w:t>正式提交的图纸和设计文件应有相应的证明，以表明所提供的资料已经过</w:t>
      </w:r>
      <w:r>
        <w:rPr>
          <w:rFonts w:hint="eastAsia" w:ascii="宋体" w:hAnsi="宋体" w:cs="宋体"/>
          <w:kern w:val="0"/>
          <w:szCs w:val="21"/>
          <w:highlight w:val="none"/>
          <w:lang w:eastAsia="zh-CN"/>
        </w:rPr>
        <w:t>中标人</w:t>
      </w:r>
      <w:r>
        <w:rPr>
          <w:rFonts w:hint="eastAsia" w:ascii="宋体" w:hAnsi="宋体" w:cs="宋体"/>
          <w:kern w:val="0"/>
          <w:szCs w:val="21"/>
          <w:highlight w:val="none"/>
        </w:rPr>
        <w:t>审核并对本工程的使用是正确的。仅供参考的图纸必须明确注明，不需确认。</w:t>
      </w:r>
    </w:p>
    <w:p w14:paraId="3282E04F">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6.1.5 </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或系统集成商对</w:t>
      </w:r>
      <w:r>
        <w:rPr>
          <w:rFonts w:hint="eastAsia" w:ascii="宋体" w:hAnsi="宋体" w:cs="宋体"/>
          <w:kern w:val="0"/>
          <w:szCs w:val="21"/>
          <w:highlight w:val="none"/>
          <w:lang w:eastAsia="zh-CN"/>
        </w:rPr>
        <w:t>中标人</w:t>
      </w:r>
      <w:r>
        <w:rPr>
          <w:rFonts w:hint="eastAsia" w:ascii="宋体" w:hAnsi="宋体" w:cs="宋体"/>
          <w:kern w:val="0"/>
          <w:szCs w:val="21"/>
          <w:highlight w:val="none"/>
        </w:rPr>
        <w:t>图纸的确认并不能减少或解除</w:t>
      </w:r>
      <w:r>
        <w:rPr>
          <w:rFonts w:hint="eastAsia" w:ascii="宋体" w:hAnsi="宋体" w:cs="宋体"/>
          <w:kern w:val="0"/>
          <w:szCs w:val="21"/>
          <w:highlight w:val="none"/>
          <w:lang w:eastAsia="zh-CN"/>
        </w:rPr>
        <w:t>中标人</w:t>
      </w:r>
      <w:r>
        <w:rPr>
          <w:rFonts w:hint="eastAsia" w:ascii="宋体" w:hAnsi="宋体" w:cs="宋体"/>
          <w:kern w:val="0"/>
          <w:szCs w:val="21"/>
          <w:highlight w:val="none"/>
        </w:rPr>
        <w:t>对于该图正确性所负的任何一部分责任。</w:t>
      </w:r>
    </w:p>
    <w:p w14:paraId="672B3D5C">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6.1.6 系统集成商和</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只能将</w:t>
      </w:r>
      <w:r>
        <w:rPr>
          <w:rFonts w:hint="eastAsia" w:ascii="宋体" w:hAnsi="宋体" w:cs="宋体"/>
          <w:kern w:val="0"/>
          <w:szCs w:val="21"/>
          <w:highlight w:val="none"/>
          <w:lang w:eastAsia="zh-CN"/>
        </w:rPr>
        <w:t>中标人</w:t>
      </w:r>
      <w:r>
        <w:rPr>
          <w:rFonts w:hint="eastAsia" w:ascii="宋体" w:hAnsi="宋体" w:cs="宋体"/>
          <w:kern w:val="0"/>
          <w:szCs w:val="21"/>
          <w:highlight w:val="none"/>
        </w:rPr>
        <w:t>提供的图纸用于本工程的操作和维护。</w:t>
      </w:r>
    </w:p>
    <w:p w14:paraId="22D326D4">
      <w:pPr>
        <w:tabs>
          <w:tab w:val="left" w:pos="420"/>
        </w:tabs>
        <w:adjustRightInd w:val="0"/>
        <w:snapToGrid w:val="0"/>
        <w:spacing w:line="440" w:lineRule="exact"/>
        <w:ind w:firstLine="420" w:firstLineChars="200"/>
        <w:jc w:val="left"/>
        <w:rPr>
          <w:rFonts w:hint="eastAsia" w:ascii="宋体" w:hAnsi="宋体" w:cs="宋体"/>
          <w:kern w:val="0"/>
          <w:szCs w:val="21"/>
        </w:rPr>
      </w:pPr>
      <w:bookmarkStart w:id="95" w:name="_Toc17251"/>
      <w:bookmarkStart w:id="96" w:name="_Toc414004294"/>
      <w:bookmarkStart w:id="97" w:name="_Toc161942218"/>
      <w:bookmarkStart w:id="98" w:name="_Toc165541668"/>
      <w:bookmarkStart w:id="99" w:name="_Toc270689671"/>
      <w:bookmarkStart w:id="100" w:name="_Toc270688008"/>
      <w:r>
        <w:rPr>
          <w:rFonts w:hint="eastAsia" w:ascii="宋体" w:hAnsi="宋体" w:cs="宋体"/>
          <w:kern w:val="0"/>
          <w:szCs w:val="21"/>
        </w:rPr>
        <w:t>6.2  手册要求</w:t>
      </w:r>
      <w:bookmarkEnd w:id="95"/>
      <w:bookmarkEnd w:id="96"/>
      <w:bookmarkEnd w:id="97"/>
      <w:bookmarkEnd w:id="98"/>
      <w:bookmarkEnd w:id="99"/>
      <w:bookmarkEnd w:id="100"/>
    </w:p>
    <w:p w14:paraId="3FCF9191">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6.2.1 安装手册：安装手册应由所需之全部图纸和文件组成，应定义：</w:t>
      </w:r>
    </w:p>
    <w:p w14:paraId="6129276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●电源、数据、控制和通信接口的配线规程；</w:t>
      </w:r>
    </w:p>
    <w:p w14:paraId="2CE0894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●为设备就位所需之地板、导轨、支架的安装、钻孔和上螺丝的方法；</w:t>
      </w:r>
    </w:p>
    <w:p w14:paraId="523D93B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●安全警告或注意事项；</w:t>
      </w:r>
    </w:p>
    <w:p w14:paraId="323533E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●接地及其连接规程；</w:t>
      </w:r>
    </w:p>
    <w:p w14:paraId="568C3A6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●通风说明；</w:t>
      </w:r>
    </w:p>
    <w:p w14:paraId="3DC5A0E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●测试和校准方法；</w:t>
      </w:r>
    </w:p>
    <w:p w14:paraId="24D2B3DA">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●气候防护、灰尘防护和其他的环境防护；</w:t>
      </w:r>
    </w:p>
    <w:p w14:paraId="39FE5C0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●正确安装设备所需要的其他规程；</w:t>
      </w:r>
    </w:p>
    <w:p w14:paraId="5CD918F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●安装所需工具的功能及建议数量。</w:t>
      </w:r>
    </w:p>
    <w:p w14:paraId="63F991F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6.2.2 操作手册：操作手册应为运营维护人员在系统操作和检查提供指导。</w:t>
      </w:r>
    </w:p>
    <w:p w14:paraId="0EE2CB8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●系统概述；</w:t>
      </w:r>
    </w:p>
    <w:p w14:paraId="70D53B5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●主要功能说明；</w:t>
      </w:r>
    </w:p>
    <w:p w14:paraId="5401008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●操作指南；</w:t>
      </w:r>
    </w:p>
    <w:p w14:paraId="5896065A">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●故障状态；</w:t>
      </w:r>
    </w:p>
    <w:p w14:paraId="7B17F17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●供货商提交的说明资料要对所规定的每一种设备及其如何操作予以阐述；</w:t>
      </w:r>
    </w:p>
    <w:p w14:paraId="54E2908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6.2.3 维修手册：</w:t>
      </w:r>
    </w:p>
    <w:p w14:paraId="0A37B53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●维修手册应为系统维修人员的维护提供指导。</w:t>
      </w:r>
    </w:p>
    <w:p w14:paraId="3FBEE2F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●手册应对各系统各级检修的内容、要求、方法、程序、设备、工具、材料等方面做出详细的说明；对主要的故障部件的更换、调整和测试做出详细的说明。</w:t>
      </w:r>
    </w:p>
    <w:p w14:paraId="6A7DCB4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●维修手册应用中文编制；</w:t>
      </w:r>
    </w:p>
    <w:p w14:paraId="05A43771">
      <w:pPr>
        <w:tabs>
          <w:tab w:val="left" w:pos="420"/>
        </w:tabs>
        <w:adjustRightInd w:val="0"/>
        <w:snapToGrid w:val="0"/>
        <w:spacing w:line="440" w:lineRule="exact"/>
        <w:ind w:firstLine="420" w:firstLineChars="200"/>
        <w:jc w:val="left"/>
        <w:rPr>
          <w:rFonts w:hint="eastAsia" w:ascii="宋体" w:hAnsi="宋体" w:cs="宋体"/>
          <w:kern w:val="0"/>
          <w:szCs w:val="21"/>
        </w:rPr>
      </w:pPr>
      <w:bookmarkStart w:id="101" w:name="_Toc165541669"/>
      <w:bookmarkStart w:id="102" w:name="_Toc161942219"/>
      <w:r>
        <w:rPr>
          <w:rFonts w:hint="eastAsia" w:ascii="宋体" w:hAnsi="宋体" w:cs="宋体"/>
          <w:kern w:val="0"/>
          <w:szCs w:val="21"/>
        </w:rPr>
        <w:t>6.2.4技术文件要求</w:t>
      </w:r>
      <w:bookmarkEnd w:id="101"/>
      <w:bookmarkEnd w:id="102"/>
    </w:p>
    <w:p w14:paraId="09C12FB6">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rPr>
        <w:t>6.2.4.1</w:t>
      </w:r>
      <w:r>
        <w:rPr>
          <w:rFonts w:hint="eastAsia" w:ascii="宋体" w:hAnsi="宋体" w:cs="宋体"/>
          <w:kern w:val="0"/>
          <w:szCs w:val="21"/>
          <w:highlight w:val="none"/>
        </w:rPr>
        <w:t xml:space="preserve"> </w:t>
      </w:r>
      <w:r>
        <w:rPr>
          <w:rFonts w:hint="eastAsia" w:ascii="宋体" w:hAnsi="宋体" w:cs="宋体"/>
          <w:kern w:val="0"/>
          <w:szCs w:val="21"/>
          <w:highlight w:val="none"/>
          <w:lang w:eastAsia="zh-CN"/>
        </w:rPr>
        <w:t>中标人</w:t>
      </w:r>
      <w:r>
        <w:rPr>
          <w:rFonts w:hint="eastAsia" w:ascii="宋体" w:hAnsi="宋体" w:cs="宋体"/>
          <w:kern w:val="0"/>
          <w:szCs w:val="21"/>
          <w:highlight w:val="none"/>
        </w:rPr>
        <w:t>提供的技术文件应包括但不限于：</w:t>
      </w:r>
    </w:p>
    <w:p w14:paraId="084197DD">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●本项工程的最终技术文件；</w:t>
      </w:r>
    </w:p>
    <w:p w14:paraId="01833628">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●非国标但经双方确认的标准。</w:t>
      </w:r>
    </w:p>
    <w:p w14:paraId="478A9EEA">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6.2.4.2 最终技术文件</w:t>
      </w:r>
    </w:p>
    <w:p w14:paraId="30D0ADC1">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最终技术文件应包括所供系统的最终技术参数，它应能清晰规定所有实现子系统要求的硬件和软件，并取得系统集成商和</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的确认。</w:t>
      </w:r>
    </w:p>
    <w:p w14:paraId="522E8C6D">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最终技术文件包括但不限于下列内容：</w:t>
      </w:r>
    </w:p>
    <w:p w14:paraId="42E51890">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●系统总说明；</w:t>
      </w:r>
    </w:p>
    <w:p w14:paraId="49638070">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●系统构成；</w:t>
      </w:r>
    </w:p>
    <w:p w14:paraId="45562020">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●功能详细描述；</w:t>
      </w:r>
    </w:p>
    <w:p w14:paraId="23F9DD2B">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●技术参数；</w:t>
      </w:r>
    </w:p>
    <w:p w14:paraId="53DEA20E">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●设备布置；</w:t>
      </w:r>
    </w:p>
    <w:p w14:paraId="2555C1DA">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6.2.4.3 试验报告</w:t>
      </w:r>
    </w:p>
    <w:p w14:paraId="192FBEE5">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lang w:eastAsia="zh-CN"/>
        </w:rPr>
        <w:t>中标人</w:t>
      </w:r>
      <w:r>
        <w:rPr>
          <w:rFonts w:hint="eastAsia" w:ascii="宋体" w:hAnsi="宋体" w:cs="宋体"/>
          <w:kern w:val="0"/>
          <w:szCs w:val="21"/>
          <w:highlight w:val="none"/>
        </w:rPr>
        <w:t>在工程完成后提交试验报告，试验报告应包括所有测试记录。</w:t>
      </w:r>
    </w:p>
    <w:p w14:paraId="0E43C5E0">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该报告应提供以正确的顺序列出所需要的全部检验和测试内容。所有试验结果均应记录在测试报告中，由</w:t>
      </w:r>
      <w:r>
        <w:rPr>
          <w:rFonts w:hint="eastAsia" w:ascii="宋体" w:hAnsi="宋体" w:cs="宋体"/>
          <w:kern w:val="0"/>
          <w:szCs w:val="21"/>
          <w:highlight w:val="none"/>
          <w:lang w:eastAsia="zh-CN"/>
        </w:rPr>
        <w:t>中标人</w:t>
      </w:r>
      <w:r>
        <w:rPr>
          <w:rFonts w:hint="eastAsia" w:ascii="宋体" w:hAnsi="宋体" w:cs="宋体"/>
          <w:kern w:val="0"/>
          <w:szCs w:val="21"/>
          <w:highlight w:val="none"/>
        </w:rPr>
        <w:t>签字后，提交</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进行确认。</w:t>
      </w:r>
    </w:p>
    <w:p w14:paraId="474EEF06">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103" w:name="_Toc165541670"/>
      <w:bookmarkStart w:id="104" w:name="_Toc161942220"/>
      <w:r>
        <w:rPr>
          <w:rFonts w:hint="eastAsia" w:ascii="宋体" w:hAnsi="宋体" w:cs="宋体"/>
          <w:kern w:val="0"/>
          <w:szCs w:val="21"/>
          <w:highlight w:val="none"/>
        </w:rPr>
        <w:t>6.2.5 技术文件清单</w:t>
      </w:r>
      <w:bookmarkEnd w:id="103"/>
      <w:bookmarkEnd w:id="104"/>
    </w:p>
    <w:tbl>
      <w:tblPr>
        <w:tblStyle w:val="23"/>
        <w:tblW w:w="852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70"/>
        <w:gridCol w:w="1776"/>
        <w:gridCol w:w="6082"/>
      </w:tblGrid>
      <w:tr w14:paraId="082FCF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blHeader/>
          <w:jc w:val="center"/>
        </w:trPr>
        <w:tc>
          <w:tcPr>
            <w:tcW w:w="670" w:type="dxa"/>
            <w:noWrap w:val="0"/>
            <w:vAlign w:val="center"/>
          </w:tcPr>
          <w:p w14:paraId="5667D6D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highlight w:val="none"/>
              </w:rPr>
            </w:pPr>
            <w:r>
              <w:rPr>
                <w:rFonts w:hint="eastAsia" w:ascii="宋体" w:hAnsi="宋体" w:cs="宋体"/>
                <w:bCs/>
                <w:kern w:val="0"/>
                <w:szCs w:val="21"/>
                <w:highlight w:val="none"/>
              </w:rPr>
              <w:t>序号</w:t>
            </w:r>
          </w:p>
        </w:tc>
        <w:tc>
          <w:tcPr>
            <w:tcW w:w="1776" w:type="dxa"/>
            <w:noWrap w:val="0"/>
            <w:vAlign w:val="center"/>
          </w:tcPr>
          <w:p w14:paraId="0FD6EEC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highlight w:val="none"/>
              </w:rPr>
            </w:pPr>
            <w:r>
              <w:rPr>
                <w:rFonts w:hint="eastAsia" w:ascii="宋体" w:hAnsi="宋体" w:cs="宋体"/>
                <w:bCs/>
                <w:kern w:val="0"/>
                <w:szCs w:val="21"/>
                <w:highlight w:val="none"/>
              </w:rPr>
              <w:t>工程阶段</w:t>
            </w:r>
          </w:p>
        </w:tc>
        <w:tc>
          <w:tcPr>
            <w:tcW w:w="6082" w:type="dxa"/>
            <w:noWrap w:val="0"/>
            <w:vAlign w:val="center"/>
          </w:tcPr>
          <w:p w14:paraId="4F66D61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highlight w:val="none"/>
              </w:rPr>
            </w:pPr>
            <w:r>
              <w:rPr>
                <w:rFonts w:hint="eastAsia" w:ascii="宋体" w:hAnsi="宋体" w:cs="宋体"/>
                <w:bCs/>
                <w:kern w:val="0"/>
                <w:szCs w:val="21"/>
                <w:highlight w:val="none"/>
                <w:lang w:eastAsia="zh-CN"/>
              </w:rPr>
              <w:t>中标人</w:t>
            </w:r>
            <w:r>
              <w:rPr>
                <w:rFonts w:hint="eastAsia" w:ascii="宋体" w:hAnsi="宋体" w:cs="宋体"/>
                <w:bCs/>
                <w:kern w:val="0"/>
                <w:szCs w:val="21"/>
                <w:highlight w:val="none"/>
              </w:rPr>
              <w:t>提交的技术文件</w:t>
            </w:r>
          </w:p>
          <w:p w14:paraId="672A4C4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highlight w:val="none"/>
              </w:rPr>
            </w:pPr>
            <w:r>
              <w:rPr>
                <w:rFonts w:hint="eastAsia" w:ascii="宋体" w:hAnsi="宋体" w:cs="宋体"/>
                <w:bCs/>
                <w:kern w:val="0"/>
                <w:szCs w:val="21"/>
                <w:highlight w:val="none"/>
              </w:rPr>
              <w:t>（包括图纸、资料、手册、说明等）</w:t>
            </w:r>
          </w:p>
        </w:tc>
      </w:tr>
      <w:tr w14:paraId="3064E4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670" w:type="dxa"/>
            <w:noWrap w:val="0"/>
            <w:vAlign w:val="center"/>
          </w:tcPr>
          <w:p w14:paraId="4A4695F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rPr>
            </w:pPr>
            <w:r>
              <w:rPr>
                <w:rFonts w:hint="eastAsia" w:ascii="宋体" w:hAnsi="宋体" w:cs="宋体"/>
                <w:bCs/>
                <w:kern w:val="0"/>
                <w:szCs w:val="21"/>
              </w:rPr>
              <w:t>1</w:t>
            </w:r>
          </w:p>
        </w:tc>
        <w:tc>
          <w:tcPr>
            <w:tcW w:w="1776" w:type="dxa"/>
            <w:noWrap w:val="0"/>
            <w:vAlign w:val="center"/>
          </w:tcPr>
          <w:p w14:paraId="34320CB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rPr>
            </w:pPr>
            <w:r>
              <w:rPr>
                <w:rFonts w:hint="eastAsia" w:ascii="宋体" w:hAnsi="宋体" w:cs="宋体"/>
                <w:bCs/>
                <w:kern w:val="0"/>
                <w:szCs w:val="21"/>
              </w:rPr>
              <w:t>需求调研阶段</w:t>
            </w:r>
          </w:p>
        </w:tc>
        <w:tc>
          <w:tcPr>
            <w:tcW w:w="6082" w:type="dxa"/>
            <w:noWrap w:val="0"/>
            <w:vAlign w:val="center"/>
          </w:tcPr>
          <w:p w14:paraId="4EFAC377">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1、现场调研报告</w:t>
            </w:r>
          </w:p>
        </w:tc>
      </w:tr>
      <w:tr w14:paraId="05A280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670" w:type="dxa"/>
            <w:noWrap w:val="0"/>
            <w:vAlign w:val="center"/>
          </w:tcPr>
          <w:p w14:paraId="24CE9C2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rPr>
            </w:pPr>
            <w:r>
              <w:rPr>
                <w:rFonts w:hint="eastAsia" w:ascii="宋体" w:hAnsi="宋体" w:cs="宋体"/>
                <w:bCs/>
                <w:kern w:val="0"/>
                <w:szCs w:val="21"/>
              </w:rPr>
              <w:t>2</w:t>
            </w:r>
          </w:p>
        </w:tc>
        <w:tc>
          <w:tcPr>
            <w:tcW w:w="1776" w:type="dxa"/>
            <w:noWrap w:val="0"/>
            <w:vAlign w:val="center"/>
          </w:tcPr>
          <w:p w14:paraId="7CC6E99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rPr>
            </w:pPr>
            <w:r>
              <w:rPr>
                <w:rFonts w:hint="eastAsia" w:ascii="宋体" w:hAnsi="宋体" w:cs="宋体"/>
                <w:bCs/>
                <w:kern w:val="0"/>
                <w:szCs w:val="21"/>
              </w:rPr>
              <w:t>系统设计阶段</w:t>
            </w:r>
          </w:p>
        </w:tc>
        <w:tc>
          <w:tcPr>
            <w:tcW w:w="6082" w:type="dxa"/>
            <w:noWrap w:val="0"/>
            <w:vAlign w:val="center"/>
          </w:tcPr>
          <w:p w14:paraId="7ECF8A24">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1、系统设计方案及图纸（含安装配置说明）</w:t>
            </w:r>
          </w:p>
          <w:p w14:paraId="35AE4CD5">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2、设备清单</w:t>
            </w:r>
          </w:p>
          <w:p w14:paraId="0B500531">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3、施工组织方案（包含进度控制计划）</w:t>
            </w:r>
          </w:p>
          <w:p w14:paraId="3F1411CD">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4、风险分析报告及应对措施</w:t>
            </w:r>
          </w:p>
          <w:p w14:paraId="2347DBB7">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5、系统测试方案</w:t>
            </w:r>
          </w:p>
        </w:tc>
      </w:tr>
      <w:tr w14:paraId="3966BA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670" w:type="dxa"/>
            <w:noWrap w:val="0"/>
            <w:vAlign w:val="center"/>
          </w:tcPr>
          <w:p w14:paraId="5151EFE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rPr>
            </w:pPr>
            <w:r>
              <w:rPr>
                <w:rFonts w:hint="eastAsia" w:ascii="宋体" w:hAnsi="宋体" w:cs="宋体"/>
                <w:bCs/>
                <w:kern w:val="0"/>
                <w:szCs w:val="21"/>
              </w:rPr>
              <w:t>3</w:t>
            </w:r>
          </w:p>
        </w:tc>
        <w:tc>
          <w:tcPr>
            <w:tcW w:w="1776" w:type="dxa"/>
            <w:noWrap w:val="0"/>
            <w:vAlign w:val="center"/>
          </w:tcPr>
          <w:p w14:paraId="434C5DF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rPr>
            </w:pPr>
            <w:r>
              <w:rPr>
                <w:rFonts w:hint="eastAsia" w:ascii="宋体" w:hAnsi="宋体" w:cs="宋体"/>
                <w:bCs/>
                <w:kern w:val="0"/>
                <w:szCs w:val="21"/>
              </w:rPr>
              <w:t>包装、运输阶段</w:t>
            </w:r>
          </w:p>
        </w:tc>
        <w:tc>
          <w:tcPr>
            <w:tcW w:w="6082" w:type="dxa"/>
            <w:noWrap w:val="0"/>
            <w:vAlign w:val="center"/>
          </w:tcPr>
          <w:p w14:paraId="3B73E289">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1、装箱清单</w:t>
            </w:r>
          </w:p>
          <w:p w14:paraId="792F5C75">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2、设备质量证明书</w:t>
            </w:r>
          </w:p>
          <w:p w14:paraId="12C43C5F">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3、设备技术文件（说明书）</w:t>
            </w:r>
          </w:p>
        </w:tc>
      </w:tr>
      <w:tr w14:paraId="20DF90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670" w:type="dxa"/>
            <w:noWrap w:val="0"/>
            <w:vAlign w:val="center"/>
          </w:tcPr>
          <w:p w14:paraId="36C73CF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rPr>
            </w:pPr>
            <w:r>
              <w:rPr>
                <w:rFonts w:hint="eastAsia" w:ascii="宋体" w:hAnsi="宋体" w:cs="宋体"/>
                <w:bCs/>
                <w:kern w:val="0"/>
                <w:szCs w:val="21"/>
              </w:rPr>
              <w:t>4</w:t>
            </w:r>
          </w:p>
        </w:tc>
        <w:tc>
          <w:tcPr>
            <w:tcW w:w="1776" w:type="dxa"/>
            <w:noWrap w:val="0"/>
            <w:vAlign w:val="center"/>
          </w:tcPr>
          <w:p w14:paraId="2C28EE3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rPr>
            </w:pPr>
            <w:r>
              <w:rPr>
                <w:rFonts w:hint="eastAsia" w:ascii="宋体" w:hAnsi="宋体" w:cs="宋体"/>
                <w:bCs/>
                <w:kern w:val="0"/>
                <w:szCs w:val="21"/>
              </w:rPr>
              <w:t>设备安装</w:t>
            </w:r>
          </w:p>
        </w:tc>
        <w:tc>
          <w:tcPr>
            <w:tcW w:w="6082" w:type="dxa"/>
            <w:noWrap w:val="0"/>
            <w:vAlign w:val="center"/>
          </w:tcPr>
          <w:p w14:paraId="33AE85EF">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1、开箱检验计划</w:t>
            </w:r>
          </w:p>
          <w:p w14:paraId="5BB0B299">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2、设备开箱清点清单</w:t>
            </w:r>
          </w:p>
          <w:p w14:paraId="2320ECB0">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3、开箱检验报告</w:t>
            </w:r>
          </w:p>
          <w:p w14:paraId="2459E734">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4、设备安装记录报告</w:t>
            </w:r>
          </w:p>
        </w:tc>
      </w:tr>
      <w:tr w14:paraId="770D37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670" w:type="dxa"/>
            <w:noWrap w:val="0"/>
            <w:vAlign w:val="center"/>
          </w:tcPr>
          <w:p w14:paraId="1FA5E02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rPr>
            </w:pPr>
            <w:r>
              <w:rPr>
                <w:rFonts w:hint="eastAsia" w:ascii="宋体" w:hAnsi="宋体" w:cs="宋体"/>
                <w:bCs/>
                <w:kern w:val="0"/>
                <w:szCs w:val="21"/>
              </w:rPr>
              <w:t>5</w:t>
            </w:r>
          </w:p>
        </w:tc>
        <w:tc>
          <w:tcPr>
            <w:tcW w:w="1776" w:type="dxa"/>
            <w:noWrap w:val="0"/>
            <w:vAlign w:val="center"/>
          </w:tcPr>
          <w:p w14:paraId="23FC5C1D">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bCs/>
                <w:kern w:val="0"/>
                <w:szCs w:val="21"/>
              </w:rPr>
            </w:pPr>
            <w:r>
              <w:rPr>
                <w:rFonts w:hint="eastAsia" w:ascii="宋体" w:hAnsi="宋体" w:cs="宋体"/>
                <w:bCs/>
                <w:kern w:val="0"/>
                <w:szCs w:val="21"/>
              </w:rPr>
              <w:t>安装验收</w:t>
            </w:r>
          </w:p>
        </w:tc>
        <w:tc>
          <w:tcPr>
            <w:tcW w:w="6082" w:type="dxa"/>
            <w:noWrap w:val="0"/>
            <w:vAlign w:val="center"/>
          </w:tcPr>
          <w:p w14:paraId="6EF63578">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1、安装验收计划</w:t>
            </w:r>
          </w:p>
          <w:p w14:paraId="672944DC">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2、安装验收文件</w:t>
            </w:r>
          </w:p>
          <w:p w14:paraId="6899549F">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3、系统操作手册</w:t>
            </w:r>
          </w:p>
          <w:p w14:paraId="296B2BDA">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4、系统维护手册</w:t>
            </w:r>
          </w:p>
          <w:p w14:paraId="7AB4C3E3">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5、系统说明书</w:t>
            </w:r>
          </w:p>
          <w:p w14:paraId="62F649D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6、系统安装手册</w:t>
            </w:r>
          </w:p>
        </w:tc>
      </w:tr>
      <w:tr w14:paraId="01B6C0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670" w:type="dxa"/>
            <w:noWrap w:val="0"/>
            <w:vAlign w:val="center"/>
          </w:tcPr>
          <w:p w14:paraId="0475C005">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rPr>
            </w:pPr>
            <w:r>
              <w:rPr>
                <w:rFonts w:hint="eastAsia" w:ascii="宋体" w:hAnsi="宋体" w:cs="宋体"/>
                <w:bCs/>
                <w:kern w:val="0"/>
                <w:szCs w:val="21"/>
              </w:rPr>
              <w:t>6</w:t>
            </w:r>
          </w:p>
        </w:tc>
        <w:tc>
          <w:tcPr>
            <w:tcW w:w="1776" w:type="dxa"/>
            <w:noWrap w:val="0"/>
            <w:vAlign w:val="center"/>
          </w:tcPr>
          <w:p w14:paraId="5C1899BC">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bCs/>
                <w:kern w:val="0"/>
                <w:szCs w:val="21"/>
              </w:rPr>
            </w:pPr>
            <w:r>
              <w:rPr>
                <w:rFonts w:hint="eastAsia" w:ascii="宋体" w:hAnsi="宋体" w:cs="宋体"/>
                <w:bCs/>
                <w:kern w:val="0"/>
                <w:szCs w:val="21"/>
              </w:rPr>
              <w:t>系统测试</w:t>
            </w:r>
          </w:p>
        </w:tc>
        <w:tc>
          <w:tcPr>
            <w:tcW w:w="6082" w:type="dxa"/>
            <w:noWrap w:val="0"/>
            <w:vAlign w:val="center"/>
          </w:tcPr>
          <w:p w14:paraId="5EE67923">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1、系统测试计划</w:t>
            </w:r>
          </w:p>
          <w:p w14:paraId="7BF05C73">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2、系统测试报告</w:t>
            </w:r>
          </w:p>
          <w:p w14:paraId="2F8BDB62">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3、故障处理报告</w:t>
            </w:r>
          </w:p>
        </w:tc>
      </w:tr>
      <w:tr w14:paraId="196FB9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670" w:type="dxa"/>
            <w:noWrap w:val="0"/>
            <w:vAlign w:val="center"/>
          </w:tcPr>
          <w:p w14:paraId="6A91FBF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bCs/>
                <w:kern w:val="0"/>
                <w:szCs w:val="21"/>
              </w:rPr>
            </w:pPr>
            <w:r>
              <w:rPr>
                <w:rFonts w:hint="eastAsia" w:ascii="宋体" w:hAnsi="宋体" w:cs="宋体"/>
                <w:bCs/>
                <w:kern w:val="0"/>
                <w:szCs w:val="21"/>
              </w:rPr>
              <w:t>7</w:t>
            </w:r>
          </w:p>
        </w:tc>
        <w:tc>
          <w:tcPr>
            <w:tcW w:w="1776" w:type="dxa"/>
            <w:noWrap w:val="0"/>
            <w:vAlign w:val="center"/>
          </w:tcPr>
          <w:p w14:paraId="18DD072F">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left"/>
              <w:rPr>
                <w:rFonts w:hint="eastAsia" w:ascii="宋体" w:hAnsi="宋体" w:cs="宋体"/>
                <w:bCs/>
                <w:kern w:val="0"/>
                <w:szCs w:val="21"/>
              </w:rPr>
            </w:pPr>
            <w:r>
              <w:rPr>
                <w:rFonts w:hint="eastAsia" w:ascii="宋体" w:hAnsi="宋体" w:cs="宋体"/>
                <w:bCs/>
                <w:kern w:val="0"/>
                <w:szCs w:val="21"/>
              </w:rPr>
              <w:t>终验阶段</w:t>
            </w:r>
          </w:p>
        </w:tc>
        <w:tc>
          <w:tcPr>
            <w:tcW w:w="6082" w:type="dxa"/>
            <w:noWrap w:val="0"/>
            <w:vAlign w:val="center"/>
          </w:tcPr>
          <w:p w14:paraId="253F62F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1、系统终验报告</w:t>
            </w:r>
          </w:p>
          <w:p w14:paraId="7BC8B442">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2、最终技术文件</w:t>
            </w:r>
          </w:p>
          <w:p w14:paraId="1FB1F182">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3、项目竣工文档(纸质文件6套、电子文件二套)</w:t>
            </w:r>
          </w:p>
          <w:p w14:paraId="6A6311E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bCs/>
                <w:kern w:val="0"/>
                <w:szCs w:val="21"/>
              </w:rPr>
            </w:pPr>
            <w:r>
              <w:rPr>
                <w:rFonts w:hint="eastAsia" w:ascii="宋体" w:hAnsi="宋体" w:cs="宋体"/>
                <w:bCs/>
                <w:kern w:val="0"/>
                <w:szCs w:val="21"/>
              </w:rPr>
              <w:t>4、培训文档</w:t>
            </w:r>
          </w:p>
        </w:tc>
      </w:tr>
      <w:bookmarkEnd w:id="88"/>
    </w:tbl>
    <w:p w14:paraId="6F87BDF4">
      <w:pPr>
        <w:spacing w:line="440" w:lineRule="exact"/>
        <w:rPr>
          <w:rFonts w:hint="eastAsia" w:ascii="宋体" w:hAnsi="宋体" w:eastAsia="宋体" w:cs="宋体"/>
          <w:b/>
          <w:bCs/>
          <w:szCs w:val="21"/>
        </w:rPr>
      </w:pPr>
      <w:bookmarkStart w:id="105" w:name="_Toc270685504"/>
      <w:bookmarkStart w:id="106" w:name="_Toc204592778"/>
      <w:bookmarkStart w:id="107" w:name="_Toc119140875"/>
      <w:bookmarkStart w:id="108" w:name="_Toc136230048"/>
      <w:bookmarkStart w:id="109" w:name="_Toc203206425"/>
      <w:bookmarkStart w:id="110" w:name="_Toc119945225"/>
      <w:bookmarkStart w:id="111" w:name="_Toc20393"/>
      <w:bookmarkStart w:id="112" w:name="_Toc270684932"/>
      <w:bookmarkStart w:id="113" w:name="_Toc270688009"/>
      <w:bookmarkStart w:id="114" w:name="_Toc270689672"/>
      <w:bookmarkStart w:id="115" w:name="_Toc130888805"/>
      <w:bookmarkStart w:id="116" w:name="_Toc509033984"/>
      <w:bookmarkStart w:id="117" w:name="_Toc203205324"/>
      <w:bookmarkStart w:id="118" w:name="_Toc119945109"/>
      <w:bookmarkStart w:id="119" w:name="_Toc414004295"/>
      <w:r>
        <w:rPr>
          <w:rFonts w:hint="eastAsia" w:ascii="宋体" w:hAnsi="宋体" w:eastAsia="宋体" w:cs="宋体"/>
          <w:b/>
          <w:bCs/>
          <w:szCs w:val="21"/>
          <w:lang w:val="en-US" w:eastAsia="zh-CN"/>
        </w:rPr>
        <w:t>七</w:t>
      </w:r>
      <w:r>
        <w:rPr>
          <w:rFonts w:hint="eastAsia" w:ascii="宋体" w:hAnsi="宋体" w:eastAsia="宋体" w:cs="宋体"/>
          <w:b/>
          <w:bCs/>
          <w:szCs w:val="21"/>
        </w:rPr>
        <w:t>、培训</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22F2B68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本项目培训为现场培训（免费，人数不限），要求如下：</w:t>
      </w:r>
    </w:p>
    <w:p w14:paraId="161C11A3">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7.1 </w:t>
      </w:r>
      <w:r>
        <w:rPr>
          <w:rFonts w:hint="eastAsia" w:ascii="宋体" w:hAnsi="宋体" w:cs="宋体"/>
          <w:kern w:val="0"/>
          <w:szCs w:val="21"/>
          <w:highlight w:val="none"/>
          <w:lang w:eastAsia="zh-CN"/>
        </w:rPr>
        <w:t>中标人</w:t>
      </w:r>
      <w:r>
        <w:rPr>
          <w:rFonts w:hint="eastAsia" w:ascii="宋体" w:hAnsi="宋体" w:cs="宋体"/>
          <w:kern w:val="0"/>
          <w:szCs w:val="21"/>
          <w:highlight w:val="none"/>
        </w:rPr>
        <w:t>派出经验丰富的技术人员对买方的维修、操作人员进行现场培训。</w:t>
      </w:r>
    </w:p>
    <w:p w14:paraId="2F2814B6">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7.2 现场培训在本项目终验之后进行，该培训在控制中心进行，培训的内容包括正常操作程序和如何处理紧急情况。</w:t>
      </w:r>
    </w:p>
    <w:p w14:paraId="0574E3B3">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7.3 现场培训包括安装、调试、维护等项内容，使维护人员掌握操作维护</w:t>
      </w:r>
      <w:r>
        <w:rPr>
          <w:rFonts w:hint="eastAsia" w:ascii="宋体" w:hAnsi="宋体" w:cs="宋体"/>
          <w:kern w:val="0"/>
          <w:szCs w:val="21"/>
          <w:highlight w:val="none"/>
          <w:lang w:eastAsia="zh-CN"/>
        </w:rPr>
        <w:t>中标人</w:t>
      </w:r>
      <w:r>
        <w:rPr>
          <w:rFonts w:hint="eastAsia" w:ascii="宋体" w:hAnsi="宋体" w:cs="宋体"/>
          <w:kern w:val="0"/>
          <w:szCs w:val="21"/>
          <w:highlight w:val="none"/>
        </w:rPr>
        <w:t>提供的设备、专用仪表的能力。</w:t>
      </w:r>
    </w:p>
    <w:p w14:paraId="0D770F16">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7.4 </w:t>
      </w:r>
      <w:r>
        <w:rPr>
          <w:rFonts w:hint="eastAsia" w:ascii="宋体" w:hAnsi="宋体" w:cs="宋体"/>
          <w:kern w:val="0"/>
          <w:szCs w:val="21"/>
          <w:highlight w:val="none"/>
          <w:lang w:eastAsia="zh-CN"/>
        </w:rPr>
        <w:t>中标人</w:t>
      </w:r>
      <w:r>
        <w:rPr>
          <w:rFonts w:hint="eastAsia" w:ascii="宋体" w:hAnsi="宋体" w:cs="宋体"/>
          <w:kern w:val="0"/>
          <w:szCs w:val="21"/>
          <w:highlight w:val="none"/>
        </w:rPr>
        <w:t>提供培训人员所需的设备、工具、仪器仪表等。</w:t>
      </w:r>
    </w:p>
    <w:p w14:paraId="77048650">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120" w:name="_Toc270689673"/>
      <w:bookmarkStart w:id="121" w:name="_Toc414004296"/>
      <w:bookmarkStart w:id="122" w:name="_Toc198968314"/>
      <w:bookmarkStart w:id="123" w:name="_Toc204592783"/>
      <w:bookmarkStart w:id="124" w:name="_Toc49593672"/>
      <w:bookmarkStart w:id="125" w:name="_Toc48443677"/>
      <w:bookmarkStart w:id="126" w:name="_Toc270684933"/>
      <w:bookmarkStart w:id="127" w:name="_Toc198967522"/>
      <w:bookmarkStart w:id="128" w:name="_Toc203206432"/>
      <w:bookmarkStart w:id="129" w:name="_Toc270685505"/>
      <w:bookmarkStart w:id="130" w:name="_Toc199246701"/>
      <w:bookmarkStart w:id="131" w:name="_Toc22825"/>
      <w:bookmarkStart w:id="132" w:name="_Toc270688010"/>
      <w:bookmarkStart w:id="133" w:name="_Toc48382253"/>
      <w:r>
        <w:rPr>
          <w:rFonts w:hint="eastAsia" w:ascii="宋体" w:hAnsi="宋体" w:cs="宋体"/>
          <w:kern w:val="0"/>
          <w:szCs w:val="21"/>
          <w:highlight w:val="none"/>
        </w:rPr>
        <w:t xml:space="preserve">7.5 </w:t>
      </w:r>
      <w:r>
        <w:rPr>
          <w:rFonts w:hint="eastAsia" w:ascii="宋体" w:hAnsi="宋体" w:cs="宋体"/>
          <w:kern w:val="0"/>
          <w:szCs w:val="21"/>
          <w:highlight w:val="none"/>
          <w:lang w:eastAsia="zh-CN"/>
        </w:rPr>
        <w:t>中标人</w:t>
      </w:r>
      <w:r>
        <w:rPr>
          <w:rFonts w:hint="eastAsia" w:ascii="宋体" w:hAnsi="宋体" w:cs="宋体"/>
          <w:kern w:val="0"/>
          <w:szCs w:val="21"/>
          <w:highlight w:val="none"/>
        </w:rPr>
        <w:t>提供培训的相关资料及文本。</w:t>
      </w:r>
    </w:p>
    <w:p w14:paraId="74085C2B">
      <w:pPr>
        <w:tabs>
          <w:tab w:val="left" w:pos="420"/>
        </w:tabs>
        <w:adjustRightInd w:val="0"/>
        <w:snapToGrid w:val="0"/>
        <w:spacing w:line="440" w:lineRule="exact"/>
        <w:jc w:val="left"/>
        <w:rPr>
          <w:rFonts w:hint="eastAsia" w:ascii="宋体" w:hAnsi="宋体" w:cs="宋体"/>
          <w:b/>
          <w:kern w:val="0"/>
          <w:szCs w:val="21"/>
        </w:rPr>
      </w:pPr>
      <w:r>
        <w:rPr>
          <w:rFonts w:hint="eastAsia" w:ascii="宋体" w:hAnsi="宋体" w:cs="宋体"/>
          <w:b/>
          <w:kern w:val="0"/>
          <w:szCs w:val="21"/>
          <w:lang w:val="en-US" w:eastAsia="zh-CN"/>
        </w:rPr>
        <w:t>八</w:t>
      </w:r>
      <w:r>
        <w:rPr>
          <w:rFonts w:hint="eastAsia" w:ascii="宋体" w:hAnsi="宋体" w:cs="宋体"/>
          <w:b/>
          <w:kern w:val="0"/>
          <w:szCs w:val="21"/>
        </w:rPr>
        <w:t>、试验、检验、验收</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Start w:id="134" w:name="_Toc48382255"/>
      <w:bookmarkStart w:id="135" w:name="_Toc502480351"/>
      <w:bookmarkStart w:id="136" w:name="_Toc48443679"/>
      <w:bookmarkStart w:id="137" w:name="_Toc508704371"/>
      <w:bookmarkStart w:id="138" w:name="_Toc508089936"/>
      <w:bookmarkStart w:id="139" w:name="_Toc508685078"/>
      <w:bookmarkStart w:id="140" w:name="_Toc39297924"/>
      <w:bookmarkStart w:id="141" w:name="_Toc49593674"/>
      <w:bookmarkStart w:id="142" w:name="_Toc508685005"/>
      <w:bookmarkStart w:id="143" w:name="_Toc198968315"/>
      <w:bookmarkStart w:id="144" w:name="_Toc508891162"/>
    </w:p>
    <w:p w14:paraId="12752DFA">
      <w:pPr>
        <w:tabs>
          <w:tab w:val="left" w:pos="420"/>
        </w:tabs>
        <w:adjustRightInd w:val="0"/>
        <w:snapToGrid w:val="0"/>
        <w:spacing w:line="440" w:lineRule="exact"/>
        <w:ind w:firstLine="420" w:firstLineChars="200"/>
        <w:jc w:val="left"/>
        <w:rPr>
          <w:rFonts w:hint="eastAsia" w:ascii="宋体" w:hAnsi="宋体" w:cs="宋体"/>
          <w:kern w:val="0"/>
          <w:szCs w:val="21"/>
        </w:rPr>
      </w:pPr>
      <w:bookmarkStart w:id="145" w:name="_Toc270689674"/>
      <w:bookmarkStart w:id="146" w:name="_Toc270684934"/>
      <w:bookmarkStart w:id="147" w:name="_Toc417"/>
      <w:bookmarkStart w:id="148" w:name="_Toc414004297"/>
      <w:bookmarkStart w:id="149" w:name="_Toc203206433"/>
      <w:bookmarkStart w:id="150" w:name="_Toc270685506"/>
      <w:bookmarkStart w:id="151" w:name="_Toc270688011"/>
      <w:bookmarkStart w:id="152" w:name="_Toc204592784"/>
      <w:bookmarkStart w:id="153" w:name="_Toc199246702"/>
      <w:r>
        <w:rPr>
          <w:rFonts w:hint="eastAsia" w:ascii="宋体" w:hAnsi="宋体" w:cs="宋体"/>
          <w:kern w:val="0"/>
          <w:szCs w:val="21"/>
        </w:rPr>
        <w:t>8.1 到货检查</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518514A6">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154" w:name="_Toc203206434"/>
      <w:r>
        <w:rPr>
          <w:rFonts w:hint="eastAsia" w:ascii="宋体" w:hAnsi="宋体" w:cs="宋体"/>
          <w:kern w:val="0"/>
          <w:szCs w:val="21"/>
          <w:highlight w:val="none"/>
        </w:rPr>
        <w:t>合同项下的设备、材料和技术文件运抵规定的交货地点后，</w:t>
      </w:r>
      <w:r>
        <w:rPr>
          <w:rFonts w:hint="eastAsia" w:ascii="宋体" w:hAnsi="宋体" w:cs="宋体"/>
          <w:kern w:val="0"/>
          <w:szCs w:val="21"/>
          <w:highlight w:val="none"/>
          <w:lang w:val="en-US" w:eastAsia="zh-CN"/>
        </w:rPr>
        <w:t>招标人、中标人</w:t>
      </w:r>
      <w:r>
        <w:rPr>
          <w:rFonts w:hint="eastAsia" w:ascii="宋体" w:hAnsi="宋体" w:cs="宋体"/>
          <w:kern w:val="0"/>
          <w:szCs w:val="21"/>
          <w:highlight w:val="none"/>
        </w:rPr>
        <w:t>双方人员共同对其进行检查，并</w:t>
      </w:r>
      <w:r>
        <w:rPr>
          <w:rFonts w:hint="eastAsia" w:ascii="宋体" w:hAnsi="宋体" w:cs="宋体"/>
          <w:kern w:val="0"/>
          <w:szCs w:val="21"/>
          <w:highlight w:val="none"/>
          <w:lang w:eastAsia="zh-CN"/>
        </w:rPr>
        <w:t>认真做好</w:t>
      </w:r>
      <w:r>
        <w:rPr>
          <w:rFonts w:hint="eastAsia" w:ascii="宋体" w:hAnsi="宋体" w:cs="宋体"/>
          <w:kern w:val="0"/>
          <w:szCs w:val="21"/>
          <w:highlight w:val="none"/>
        </w:rPr>
        <w:t>交接记录，各方签字。</w:t>
      </w:r>
      <w:bookmarkEnd w:id="154"/>
    </w:p>
    <w:p w14:paraId="071FBED3">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155" w:name="_Toc203206435"/>
      <w:r>
        <w:rPr>
          <w:rFonts w:hint="eastAsia" w:ascii="宋体" w:hAnsi="宋体" w:cs="宋体"/>
          <w:kern w:val="0"/>
          <w:szCs w:val="21"/>
          <w:highlight w:val="none"/>
        </w:rPr>
        <w:t>检查的内容主要有：满足合同对包装的要求；外观良好，运输途中未受损；</w:t>
      </w:r>
      <w:bookmarkEnd w:id="155"/>
    </w:p>
    <w:p w14:paraId="134F23C0">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156" w:name="_Toc203206436"/>
      <w:r>
        <w:rPr>
          <w:rFonts w:hint="eastAsia" w:ascii="宋体" w:hAnsi="宋体" w:cs="宋体"/>
          <w:kern w:val="0"/>
          <w:szCs w:val="21"/>
          <w:highlight w:val="none"/>
        </w:rPr>
        <w:t>编号、数量和名称与合同要求的货物清单核实无误。</w:t>
      </w:r>
      <w:bookmarkEnd w:id="156"/>
    </w:p>
    <w:p w14:paraId="2593653F">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157" w:name="_Toc270689675"/>
      <w:bookmarkStart w:id="158" w:name="_Toc198968316"/>
      <w:bookmarkStart w:id="159" w:name="_Toc2437"/>
      <w:bookmarkStart w:id="160" w:name="_Toc199246703"/>
      <w:bookmarkStart w:id="161" w:name="_Toc39297925"/>
      <w:bookmarkStart w:id="162" w:name="_Toc270688012"/>
      <w:bookmarkStart w:id="163" w:name="_Toc48443680"/>
      <w:bookmarkStart w:id="164" w:name="_Toc508891163"/>
      <w:bookmarkStart w:id="165" w:name="_Toc508685006"/>
      <w:bookmarkStart w:id="166" w:name="_Toc270684935"/>
      <w:bookmarkStart w:id="167" w:name="_Toc508685079"/>
      <w:bookmarkStart w:id="168" w:name="_Toc48382256"/>
      <w:bookmarkStart w:id="169" w:name="_Toc270685507"/>
      <w:bookmarkStart w:id="170" w:name="_Toc414004298"/>
      <w:bookmarkStart w:id="171" w:name="_Toc508089937"/>
      <w:bookmarkStart w:id="172" w:name="_Toc508704372"/>
      <w:bookmarkStart w:id="173" w:name="_Toc49593675"/>
      <w:bookmarkStart w:id="174" w:name="_Toc203206437"/>
      <w:bookmarkStart w:id="175" w:name="_Toc204592785"/>
      <w:bookmarkStart w:id="176" w:name="_Toc502480352"/>
      <w:r>
        <w:rPr>
          <w:rFonts w:hint="eastAsia" w:ascii="宋体" w:hAnsi="宋体" w:cs="宋体"/>
          <w:kern w:val="0"/>
          <w:szCs w:val="21"/>
          <w:highlight w:val="none"/>
        </w:rPr>
        <w:t>8.2 开箱检验</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68AB856F">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177" w:name="_Toc203206438"/>
      <w:r>
        <w:rPr>
          <w:rFonts w:hint="eastAsia" w:ascii="宋体" w:hAnsi="宋体" w:cs="宋体"/>
          <w:kern w:val="0"/>
          <w:szCs w:val="21"/>
          <w:highlight w:val="none"/>
        </w:rPr>
        <w:t>在设备运到现场规定时间内，</w:t>
      </w:r>
      <w:r>
        <w:rPr>
          <w:rFonts w:hint="eastAsia" w:ascii="宋体" w:hAnsi="宋体" w:cs="宋体"/>
          <w:kern w:val="0"/>
          <w:szCs w:val="21"/>
          <w:highlight w:val="none"/>
          <w:lang w:val="en-US" w:eastAsia="zh-CN"/>
        </w:rPr>
        <w:t>中标人</w:t>
      </w:r>
      <w:r>
        <w:rPr>
          <w:rFonts w:hint="eastAsia" w:ascii="宋体" w:hAnsi="宋体" w:cs="宋体"/>
          <w:kern w:val="0"/>
          <w:szCs w:val="21"/>
          <w:highlight w:val="none"/>
        </w:rPr>
        <w:t>与</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到现场进行开箱检查若发现有诸如数量、型号、和外观与合同不符以及存在的质量问题，均由</w:t>
      </w:r>
      <w:r>
        <w:rPr>
          <w:rFonts w:hint="eastAsia" w:ascii="宋体" w:hAnsi="宋体" w:cs="宋体"/>
          <w:kern w:val="0"/>
          <w:szCs w:val="21"/>
          <w:highlight w:val="none"/>
          <w:lang w:val="en-US" w:eastAsia="zh-CN"/>
        </w:rPr>
        <w:t>中标人</w:t>
      </w:r>
      <w:r>
        <w:rPr>
          <w:rFonts w:hint="eastAsia" w:ascii="宋体" w:hAnsi="宋体" w:cs="宋体"/>
          <w:kern w:val="0"/>
          <w:szCs w:val="21"/>
          <w:highlight w:val="none"/>
        </w:rPr>
        <w:t>负责。开箱检查结果，不免除供应商对产品功能方面的任何责任。</w:t>
      </w:r>
      <w:bookmarkEnd w:id="177"/>
    </w:p>
    <w:p w14:paraId="6FF5531C">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178" w:name="_Toc508685007"/>
      <w:bookmarkStart w:id="179" w:name="_Toc508685080"/>
      <w:bookmarkStart w:id="180" w:name="_Toc48382257"/>
      <w:bookmarkStart w:id="181" w:name="_Toc270684936"/>
      <w:bookmarkStart w:id="182" w:name="_Toc508891164"/>
      <w:bookmarkStart w:id="183" w:name="_Toc270685508"/>
      <w:bookmarkStart w:id="184" w:name="_Toc414004299"/>
      <w:bookmarkStart w:id="185" w:name="_Toc49593676"/>
      <w:bookmarkStart w:id="186" w:name="_Toc203206439"/>
      <w:bookmarkStart w:id="187" w:name="_Toc15713"/>
      <w:bookmarkStart w:id="188" w:name="_Toc502480353"/>
      <w:bookmarkStart w:id="189" w:name="_Toc48443681"/>
      <w:bookmarkStart w:id="190" w:name="_Toc270688013"/>
      <w:bookmarkStart w:id="191" w:name="_Toc508704373"/>
      <w:bookmarkStart w:id="192" w:name="_Toc39297926"/>
      <w:bookmarkStart w:id="193" w:name="_Toc198968317"/>
      <w:bookmarkStart w:id="194" w:name="_Toc204592786"/>
      <w:bookmarkStart w:id="195" w:name="_Toc199246704"/>
      <w:bookmarkStart w:id="196" w:name="_Toc270689676"/>
      <w:bookmarkStart w:id="197" w:name="_Toc508089938"/>
      <w:r>
        <w:rPr>
          <w:rFonts w:hint="eastAsia" w:ascii="宋体" w:hAnsi="宋体" w:cs="宋体"/>
          <w:kern w:val="0"/>
          <w:szCs w:val="21"/>
          <w:highlight w:val="none"/>
        </w:rPr>
        <w:t>8.3 竣工验收</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3FB4AECE">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198" w:name="_Toc48456544"/>
      <w:bookmarkStart w:id="199" w:name="_Toc42398431"/>
      <w:r>
        <w:rPr>
          <w:rFonts w:hint="eastAsia" w:ascii="宋体" w:hAnsi="宋体" w:cs="宋体"/>
          <w:kern w:val="0"/>
          <w:szCs w:val="21"/>
          <w:highlight w:val="none"/>
        </w:rPr>
        <w:t xml:space="preserve">8.3.1 </w:t>
      </w:r>
      <w:r>
        <w:rPr>
          <w:rFonts w:hint="eastAsia" w:ascii="宋体" w:hAnsi="宋体" w:cs="宋体"/>
          <w:kern w:val="0"/>
          <w:szCs w:val="21"/>
          <w:highlight w:val="none"/>
          <w:lang w:eastAsia="zh-CN"/>
        </w:rPr>
        <w:t>中标人</w:t>
      </w:r>
      <w:r>
        <w:rPr>
          <w:rFonts w:hint="eastAsia" w:ascii="宋体" w:hAnsi="宋体" w:cs="宋体"/>
          <w:kern w:val="0"/>
          <w:szCs w:val="21"/>
          <w:highlight w:val="none"/>
        </w:rPr>
        <w:t>应提前根据工程进度要求，制定设备安装、验收计划，提交</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审核，由</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审批、确认。</w:t>
      </w:r>
    </w:p>
    <w:p w14:paraId="7C08F35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highlight w:val="none"/>
        </w:rPr>
        <w:t>8.3.2 安装完成后，</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按照</w:t>
      </w:r>
      <w:r>
        <w:rPr>
          <w:rFonts w:hint="eastAsia" w:ascii="宋体" w:hAnsi="宋体" w:cs="宋体"/>
          <w:kern w:val="0"/>
          <w:szCs w:val="21"/>
          <w:highlight w:val="none"/>
          <w:lang w:eastAsia="zh-CN"/>
        </w:rPr>
        <w:t>中标人</w:t>
      </w:r>
      <w:r>
        <w:rPr>
          <w:rFonts w:hint="eastAsia" w:ascii="宋体" w:hAnsi="宋体" w:cs="宋体"/>
          <w:kern w:val="0"/>
          <w:szCs w:val="21"/>
          <w:highlight w:val="none"/>
        </w:rPr>
        <w:t>制定安装验收计划和行</w:t>
      </w:r>
      <w:r>
        <w:rPr>
          <w:rFonts w:hint="eastAsia" w:ascii="宋体" w:hAnsi="宋体" w:cs="宋体"/>
          <w:kern w:val="0"/>
          <w:szCs w:val="21"/>
        </w:rPr>
        <w:t>业相关安装验收标准进行竣工验收。</w:t>
      </w:r>
    </w:p>
    <w:p w14:paraId="36E0B7E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竣工验收应包括但不限于以下内容：</w:t>
      </w:r>
    </w:p>
    <w:p w14:paraId="4D773EB8">
      <w:pPr>
        <w:tabs>
          <w:tab w:val="left" w:pos="420"/>
        </w:tabs>
        <w:adjustRightInd w:val="0"/>
        <w:snapToGrid w:val="0"/>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（1）所有设备、电缆布线和配电安全、可靠。</w:t>
      </w:r>
    </w:p>
    <w:p w14:paraId="57DEEAB3">
      <w:pPr>
        <w:tabs>
          <w:tab w:val="left" w:pos="420"/>
        </w:tabs>
        <w:adjustRightInd w:val="0"/>
        <w:snapToGrid w:val="0"/>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s="宋体"/>
          <w:kern w:val="0"/>
          <w:szCs w:val="21"/>
          <w:lang w:val="en-US" w:eastAsia="zh-CN"/>
        </w:rPr>
        <w:t>2</w:t>
      </w:r>
      <w:r>
        <w:rPr>
          <w:rFonts w:hint="eastAsia" w:ascii="宋体" w:hAnsi="宋体" w:eastAsia="宋体" w:cs="宋体"/>
          <w:kern w:val="0"/>
          <w:szCs w:val="21"/>
        </w:rPr>
        <w:t>）所有电源要加保险或其它保护，使得在故障情况下能安全自动断开。</w:t>
      </w:r>
    </w:p>
    <w:p w14:paraId="4798AA18">
      <w:pPr>
        <w:tabs>
          <w:tab w:val="left" w:pos="420"/>
        </w:tabs>
        <w:adjustRightInd w:val="0"/>
        <w:snapToGrid w:val="0"/>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s="宋体"/>
          <w:kern w:val="0"/>
          <w:szCs w:val="21"/>
          <w:lang w:val="en-US" w:eastAsia="zh-CN"/>
        </w:rPr>
        <w:t>3</w:t>
      </w:r>
      <w:r>
        <w:rPr>
          <w:rFonts w:hint="eastAsia" w:ascii="宋体" w:hAnsi="宋体" w:eastAsia="宋体" w:cs="宋体"/>
          <w:kern w:val="0"/>
          <w:szCs w:val="21"/>
        </w:rPr>
        <w:t>）所有保护盖要合适。提示和标签要正确，并安装在适当的位置。</w:t>
      </w:r>
    </w:p>
    <w:p w14:paraId="1727A07D">
      <w:pPr>
        <w:tabs>
          <w:tab w:val="left" w:pos="420"/>
        </w:tabs>
        <w:adjustRightInd w:val="0"/>
        <w:snapToGrid w:val="0"/>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s="宋体"/>
          <w:kern w:val="0"/>
          <w:szCs w:val="21"/>
          <w:lang w:val="en-US" w:eastAsia="zh-CN"/>
        </w:rPr>
        <w:t>4</w:t>
      </w:r>
      <w:r>
        <w:rPr>
          <w:rFonts w:hint="eastAsia" w:ascii="宋体" w:hAnsi="宋体" w:eastAsia="宋体" w:cs="宋体"/>
          <w:kern w:val="0"/>
          <w:szCs w:val="21"/>
        </w:rPr>
        <w:t>）电缆和设备的绝缘电阻要大于IEC规定要求。</w:t>
      </w:r>
    </w:p>
    <w:p w14:paraId="7C203A3C">
      <w:pPr>
        <w:tabs>
          <w:tab w:val="left" w:pos="420"/>
        </w:tabs>
        <w:adjustRightInd w:val="0"/>
        <w:snapToGrid w:val="0"/>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s="宋体"/>
          <w:kern w:val="0"/>
          <w:szCs w:val="21"/>
          <w:lang w:val="en-US" w:eastAsia="zh-CN"/>
        </w:rPr>
        <w:t>5</w:t>
      </w:r>
      <w:r>
        <w:rPr>
          <w:rFonts w:hint="eastAsia" w:ascii="宋体" w:hAnsi="宋体" w:eastAsia="宋体" w:cs="宋体"/>
          <w:kern w:val="0"/>
          <w:szCs w:val="21"/>
        </w:rPr>
        <w:t>）所有用于故障指示和报警的电子回路应工作正常。</w:t>
      </w:r>
    </w:p>
    <w:p w14:paraId="3D0EB5EC">
      <w:pPr>
        <w:tabs>
          <w:tab w:val="left" w:pos="420"/>
        </w:tabs>
        <w:adjustRightInd w:val="0"/>
        <w:snapToGrid w:val="0"/>
        <w:spacing w:line="440" w:lineRule="exac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rPr>
        <w:t>（</w:t>
      </w:r>
      <w:r>
        <w:rPr>
          <w:rFonts w:hint="eastAsia" w:ascii="宋体" w:hAnsi="宋体" w:eastAsia="宋体" w:cs="宋体"/>
          <w:kern w:val="0"/>
          <w:szCs w:val="21"/>
          <w:lang w:val="en-US" w:eastAsia="zh-CN"/>
        </w:rPr>
        <w:t>6</w:t>
      </w:r>
      <w:r>
        <w:rPr>
          <w:rFonts w:hint="eastAsia" w:ascii="宋体" w:hAnsi="宋体" w:eastAsia="宋体" w:cs="宋体"/>
          <w:kern w:val="0"/>
          <w:szCs w:val="21"/>
        </w:rPr>
        <w:t>）设备外观检查：（现场检查，据图核对）</w:t>
      </w:r>
      <w:r>
        <w:rPr>
          <w:rFonts w:hint="eastAsia" w:ascii="宋体" w:hAnsi="宋体" w:eastAsia="宋体" w:cs="宋体"/>
          <w:kern w:val="0"/>
          <w:szCs w:val="21"/>
          <w:lang w:eastAsia="zh-CN"/>
        </w:rPr>
        <w:t>。</w:t>
      </w:r>
    </w:p>
    <w:p w14:paraId="164BB90F">
      <w:pPr>
        <w:tabs>
          <w:tab w:val="left" w:pos="420"/>
        </w:tabs>
        <w:adjustRightInd w:val="0"/>
        <w:snapToGrid w:val="0"/>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s="宋体"/>
          <w:kern w:val="0"/>
          <w:szCs w:val="21"/>
          <w:lang w:val="en-US" w:eastAsia="zh-CN"/>
        </w:rPr>
        <w:t>7</w:t>
      </w:r>
      <w:r>
        <w:rPr>
          <w:rFonts w:hint="eastAsia" w:ascii="宋体" w:hAnsi="宋体" w:eastAsia="宋体" w:cs="宋体"/>
          <w:kern w:val="0"/>
          <w:szCs w:val="21"/>
        </w:rPr>
        <w:t>）机房内设备整齐，连接可靠，标志、标识齐全清晰，绝缘接地符合要求，</w:t>
      </w:r>
    </w:p>
    <w:p w14:paraId="3B76A010">
      <w:pPr>
        <w:tabs>
          <w:tab w:val="left" w:pos="420"/>
        </w:tabs>
        <w:adjustRightInd w:val="0"/>
        <w:snapToGrid w:val="0"/>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（8）在检查过程中，如发现</w:t>
      </w:r>
      <w:r>
        <w:rPr>
          <w:rFonts w:hint="eastAsia" w:ascii="宋体" w:hAnsi="宋体" w:eastAsia="宋体" w:cs="宋体"/>
          <w:kern w:val="0"/>
          <w:szCs w:val="21"/>
          <w:lang w:eastAsia="zh-CN"/>
        </w:rPr>
        <w:t>中标人</w:t>
      </w:r>
      <w:r>
        <w:rPr>
          <w:rFonts w:hint="eastAsia" w:ascii="宋体" w:hAnsi="宋体" w:eastAsia="宋体" w:cs="宋体"/>
          <w:kern w:val="0"/>
          <w:szCs w:val="21"/>
        </w:rPr>
        <w:t>未能满足施工图和甲方需求表的功能要求，</w:t>
      </w:r>
      <w:r>
        <w:rPr>
          <w:rFonts w:hint="eastAsia" w:ascii="宋体" w:hAnsi="宋体" w:eastAsia="宋体" w:cs="宋体"/>
          <w:kern w:val="0"/>
          <w:szCs w:val="21"/>
          <w:lang w:eastAsia="zh-CN"/>
        </w:rPr>
        <w:t>中标人</w:t>
      </w:r>
      <w:r>
        <w:rPr>
          <w:rFonts w:hint="eastAsia" w:ascii="宋体" w:hAnsi="宋体" w:eastAsia="宋体" w:cs="宋体"/>
          <w:kern w:val="0"/>
          <w:szCs w:val="21"/>
        </w:rPr>
        <w:t>应无条件的按照要求进行整改，直至达到规定的要求。</w:t>
      </w:r>
    </w:p>
    <w:p w14:paraId="161570BE">
      <w:pPr>
        <w:tabs>
          <w:tab w:val="left" w:pos="420"/>
        </w:tabs>
        <w:adjustRightInd w:val="0"/>
        <w:snapToGrid w:val="0"/>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8.3.3 对未通过验收的安装项目，</w:t>
      </w:r>
      <w:r>
        <w:rPr>
          <w:rFonts w:hint="eastAsia" w:ascii="宋体" w:hAnsi="宋体" w:eastAsia="宋体" w:cs="宋体"/>
          <w:kern w:val="0"/>
          <w:szCs w:val="21"/>
          <w:lang w:val="en-US" w:eastAsia="zh-CN"/>
        </w:rPr>
        <w:t>招标人</w:t>
      </w:r>
      <w:r>
        <w:rPr>
          <w:rFonts w:hint="eastAsia" w:ascii="宋体" w:hAnsi="宋体" w:eastAsia="宋体" w:cs="宋体"/>
          <w:kern w:val="0"/>
          <w:szCs w:val="21"/>
        </w:rPr>
        <w:t>向</w:t>
      </w:r>
      <w:r>
        <w:rPr>
          <w:rFonts w:hint="eastAsia" w:ascii="宋体" w:hAnsi="宋体" w:eastAsia="宋体" w:cs="宋体"/>
          <w:kern w:val="0"/>
          <w:szCs w:val="21"/>
          <w:lang w:eastAsia="zh-CN"/>
        </w:rPr>
        <w:t>中标人</w:t>
      </w:r>
      <w:r>
        <w:rPr>
          <w:rFonts w:hint="eastAsia" w:ascii="宋体" w:hAnsi="宋体" w:eastAsia="宋体" w:cs="宋体"/>
          <w:kern w:val="0"/>
          <w:szCs w:val="21"/>
        </w:rPr>
        <w:t>发出修改、替换通知，限期修改、替换，由此而发生的费用由</w:t>
      </w:r>
      <w:r>
        <w:rPr>
          <w:rFonts w:hint="eastAsia" w:ascii="宋体" w:hAnsi="宋体" w:eastAsia="宋体" w:cs="宋体"/>
          <w:kern w:val="0"/>
          <w:szCs w:val="21"/>
          <w:lang w:eastAsia="zh-CN"/>
        </w:rPr>
        <w:t>中标人</w:t>
      </w:r>
      <w:r>
        <w:rPr>
          <w:rFonts w:hint="eastAsia" w:ascii="宋体" w:hAnsi="宋体" w:eastAsia="宋体" w:cs="宋体"/>
          <w:kern w:val="0"/>
          <w:szCs w:val="21"/>
        </w:rPr>
        <w:t>承担。</w:t>
      </w:r>
    </w:p>
    <w:p w14:paraId="5B65D0BD">
      <w:pPr>
        <w:tabs>
          <w:tab w:val="left" w:pos="420"/>
        </w:tabs>
        <w:adjustRightInd w:val="0"/>
        <w:snapToGrid w:val="0"/>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8.3.4 竣工验收设备功能需满足</w:t>
      </w:r>
      <w:r>
        <w:rPr>
          <w:rFonts w:hint="eastAsia" w:ascii="宋体" w:hAnsi="宋体" w:eastAsia="宋体" w:cs="宋体"/>
          <w:kern w:val="0"/>
          <w:szCs w:val="21"/>
          <w:lang w:val="en-US" w:eastAsia="zh-CN"/>
        </w:rPr>
        <w:t>招标人</w:t>
      </w:r>
      <w:r>
        <w:rPr>
          <w:rFonts w:hint="eastAsia" w:ascii="宋体" w:hAnsi="宋体" w:eastAsia="宋体" w:cs="宋体"/>
          <w:kern w:val="0"/>
          <w:szCs w:val="21"/>
        </w:rPr>
        <w:t>要求的所有功能，如果系统功能不满足合同规定的技术要求，</w:t>
      </w:r>
      <w:r>
        <w:rPr>
          <w:rFonts w:hint="eastAsia" w:ascii="宋体" w:hAnsi="宋体" w:eastAsia="宋体" w:cs="宋体"/>
          <w:kern w:val="0"/>
          <w:szCs w:val="21"/>
          <w:lang w:val="en-US" w:eastAsia="zh-CN"/>
        </w:rPr>
        <w:t>中标人</w:t>
      </w:r>
      <w:r>
        <w:rPr>
          <w:rFonts w:hint="eastAsia" w:ascii="宋体" w:hAnsi="宋体" w:eastAsia="宋体" w:cs="宋体"/>
          <w:kern w:val="0"/>
          <w:szCs w:val="21"/>
        </w:rPr>
        <w:t>必须在规定的时间内进行解决，由此引起的一切费用由</w:t>
      </w:r>
      <w:r>
        <w:rPr>
          <w:rFonts w:hint="eastAsia" w:ascii="宋体" w:hAnsi="宋体" w:eastAsia="宋体" w:cs="宋体"/>
          <w:kern w:val="0"/>
          <w:szCs w:val="21"/>
          <w:lang w:val="en-US" w:eastAsia="zh-CN"/>
        </w:rPr>
        <w:t>中标人</w:t>
      </w:r>
      <w:r>
        <w:rPr>
          <w:rFonts w:hint="eastAsia" w:ascii="宋体" w:hAnsi="宋体" w:eastAsia="宋体" w:cs="宋体"/>
          <w:kern w:val="0"/>
          <w:szCs w:val="21"/>
        </w:rPr>
        <w:t>负责。</w:t>
      </w:r>
    </w:p>
    <w:p w14:paraId="22E779CC">
      <w:pPr>
        <w:tabs>
          <w:tab w:val="left" w:pos="420"/>
        </w:tabs>
        <w:adjustRightInd w:val="0"/>
        <w:snapToGrid w:val="0"/>
        <w:spacing w:line="440" w:lineRule="exact"/>
        <w:ind w:firstLine="420" w:firstLineChars="200"/>
        <w:jc w:val="left"/>
        <w:rPr>
          <w:rFonts w:hint="eastAsia" w:ascii="宋体" w:hAnsi="宋体" w:eastAsia="宋体" w:cs="宋体"/>
          <w:kern w:val="0"/>
          <w:szCs w:val="21"/>
        </w:rPr>
      </w:pPr>
      <w:bookmarkStart w:id="200" w:name="_Toc204592787"/>
      <w:bookmarkStart w:id="201" w:name="_Toc48462671"/>
      <w:bookmarkStart w:id="202" w:name="_Toc49593685"/>
      <w:bookmarkStart w:id="203" w:name="_Toc199246705"/>
      <w:bookmarkStart w:id="204" w:name="_Toc270685509"/>
      <w:bookmarkStart w:id="205" w:name="_Toc198968318"/>
      <w:bookmarkStart w:id="206" w:name="_Toc203206440"/>
      <w:bookmarkStart w:id="207" w:name="_Toc270688014"/>
      <w:bookmarkStart w:id="208" w:name="_Toc414004300"/>
      <w:bookmarkStart w:id="209" w:name="_Toc270684937"/>
      <w:bookmarkStart w:id="210" w:name="_Toc4322"/>
      <w:bookmarkStart w:id="211" w:name="_Toc270689677"/>
      <w:r>
        <w:rPr>
          <w:rFonts w:hint="eastAsia" w:ascii="宋体" w:hAnsi="宋体" w:eastAsia="宋体" w:cs="宋体"/>
          <w:kern w:val="0"/>
          <w:szCs w:val="21"/>
        </w:rPr>
        <w:t>8.4 最终验收</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14:paraId="2A42950E">
      <w:pPr>
        <w:tabs>
          <w:tab w:val="left" w:pos="420"/>
        </w:tabs>
        <w:adjustRightInd w:val="0"/>
        <w:snapToGrid w:val="0"/>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质量保证期结束后四十五(45)天内，</w:t>
      </w:r>
      <w:r>
        <w:rPr>
          <w:rFonts w:hint="eastAsia" w:ascii="宋体" w:hAnsi="宋体" w:eastAsia="宋体" w:cs="宋体"/>
          <w:kern w:val="0"/>
          <w:szCs w:val="21"/>
          <w:lang w:val="en-US" w:eastAsia="zh-CN"/>
        </w:rPr>
        <w:t>招标人</w:t>
      </w:r>
      <w:r>
        <w:rPr>
          <w:rFonts w:hint="eastAsia" w:ascii="宋体" w:hAnsi="宋体" w:eastAsia="宋体" w:cs="宋体"/>
          <w:kern w:val="0"/>
          <w:szCs w:val="21"/>
        </w:rPr>
        <w:t>确认设备运行可靠，功能齐全、各项指标及技术参数全部合格，对本工程项目无异议，即可开具最终验收证书。</w:t>
      </w:r>
    </w:p>
    <w:p w14:paraId="059BD1C8">
      <w:pPr>
        <w:tabs>
          <w:tab w:val="left" w:pos="420"/>
        </w:tabs>
        <w:adjustRightInd w:val="0"/>
        <w:snapToGrid w:val="0"/>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若</w:t>
      </w:r>
      <w:r>
        <w:rPr>
          <w:rFonts w:hint="eastAsia" w:ascii="宋体" w:hAnsi="宋体" w:eastAsia="宋体" w:cs="宋体"/>
          <w:kern w:val="0"/>
          <w:szCs w:val="21"/>
          <w:lang w:val="en-US" w:eastAsia="zh-CN"/>
        </w:rPr>
        <w:t>招标人</w:t>
      </w:r>
      <w:r>
        <w:rPr>
          <w:rFonts w:hint="eastAsia" w:ascii="宋体" w:hAnsi="宋体" w:eastAsia="宋体" w:cs="宋体"/>
          <w:kern w:val="0"/>
          <w:szCs w:val="21"/>
        </w:rPr>
        <w:t>认为设备中出现的疏漏和错误不影响最终验收证书的签署，</w:t>
      </w:r>
      <w:r>
        <w:rPr>
          <w:rFonts w:hint="eastAsia" w:ascii="宋体" w:hAnsi="宋体" w:eastAsia="宋体" w:cs="宋体"/>
          <w:kern w:val="0"/>
          <w:szCs w:val="21"/>
          <w:lang w:val="en-US" w:eastAsia="zh-CN"/>
        </w:rPr>
        <w:t>招标人</w:t>
      </w:r>
      <w:r>
        <w:rPr>
          <w:rFonts w:hint="eastAsia" w:ascii="宋体" w:hAnsi="宋体" w:eastAsia="宋体" w:cs="宋体"/>
          <w:kern w:val="0"/>
          <w:szCs w:val="21"/>
        </w:rPr>
        <w:t>应签署最终验收证书并注明存在的疏漏和错误。</w:t>
      </w:r>
      <w:r>
        <w:rPr>
          <w:rFonts w:hint="eastAsia" w:ascii="宋体" w:hAnsi="宋体" w:eastAsia="宋体" w:cs="宋体"/>
          <w:kern w:val="0"/>
          <w:szCs w:val="21"/>
          <w:lang w:val="en-US" w:eastAsia="zh-CN"/>
        </w:rPr>
        <w:t>中标人</w:t>
      </w:r>
      <w:r>
        <w:rPr>
          <w:rFonts w:hint="eastAsia" w:ascii="宋体" w:hAnsi="宋体" w:eastAsia="宋体" w:cs="宋体"/>
          <w:kern w:val="0"/>
          <w:szCs w:val="21"/>
        </w:rPr>
        <w:t>应采取措施对存在的疏漏和错误(包括潜在的)进行修正，直至使</w:t>
      </w:r>
      <w:r>
        <w:rPr>
          <w:rFonts w:hint="eastAsia" w:ascii="宋体" w:hAnsi="宋体" w:eastAsia="宋体" w:cs="宋体"/>
          <w:kern w:val="0"/>
          <w:szCs w:val="21"/>
          <w:lang w:val="en-US" w:eastAsia="zh-CN"/>
        </w:rPr>
        <w:t>招标人</w:t>
      </w:r>
      <w:r>
        <w:rPr>
          <w:rFonts w:hint="eastAsia" w:ascii="宋体" w:hAnsi="宋体" w:eastAsia="宋体" w:cs="宋体"/>
          <w:kern w:val="0"/>
          <w:szCs w:val="21"/>
        </w:rPr>
        <w:t>满意为止。</w:t>
      </w:r>
    </w:p>
    <w:p w14:paraId="54B6116F">
      <w:pPr>
        <w:tabs>
          <w:tab w:val="left" w:pos="420"/>
        </w:tabs>
        <w:adjustRightInd w:val="0"/>
        <w:snapToGrid w:val="0"/>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在质量保证期内，</w:t>
      </w:r>
      <w:r>
        <w:rPr>
          <w:rFonts w:hint="eastAsia" w:ascii="宋体" w:hAnsi="宋体" w:eastAsia="宋体" w:cs="宋体"/>
          <w:kern w:val="0"/>
          <w:szCs w:val="21"/>
          <w:lang w:val="en-US" w:eastAsia="zh-CN"/>
        </w:rPr>
        <w:t>中标人</w:t>
      </w:r>
      <w:r>
        <w:rPr>
          <w:rFonts w:hint="eastAsia" w:ascii="宋体" w:hAnsi="宋体" w:eastAsia="宋体" w:cs="宋体"/>
          <w:kern w:val="0"/>
          <w:szCs w:val="21"/>
        </w:rPr>
        <w:t>所供设备和产品出现任何质量问题，</w:t>
      </w:r>
      <w:r>
        <w:rPr>
          <w:rFonts w:hint="eastAsia" w:ascii="宋体" w:hAnsi="宋体" w:eastAsia="宋体" w:cs="宋体"/>
          <w:kern w:val="0"/>
          <w:szCs w:val="21"/>
          <w:lang w:val="en-US" w:eastAsia="zh-CN"/>
        </w:rPr>
        <w:t>中标人</w:t>
      </w:r>
      <w:r>
        <w:rPr>
          <w:rFonts w:hint="eastAsia" w:ascii="宋体" w:hAnsi="宋体" w:eastAsia="宋体" w:cs="宋体"/>
          <w:kern w:val="0"/>
          <w:szCs w:val="21"/>
        </w:rPr>
        <w:t>将负责对故障设备或模块元件予以免费维修或更换。</w:t>
      </w:r>
      <w:bookmarkStart w:id="212" w:name="安装责任"/>
      <w:bookmarkEnd w:id="212"/>
      <w:bookmarkStart w:id="213" w:name="卖方2"/>
      <w:bookmarkEnd w:id="213"/>
      <w:bookmarkStart w:id="214" w:name="买方责任"/>
      <w:bookmarkEnd w:id="214"/>
      <w:bookmarkStart w:id="215" w:name="买方的责任"/>
      <w:bookmarkEnd w:id="215"/>
      <w:bookmarkStart w:id="216" w:name="卖方"/>
      <w:bookmarkEnd w:id="216"/>
      <w:bookmarkStart w:id="217" w:name="调试"/>
      <w:bookmarkEnd w:id="217"/>
    </w:p>
    <w:p w14:paraId="207E2AA6">
      <w:pPr>
        <w:tabs>
          <w:tab w:val="left" w:pos="420"/>
        </w:tabs>
        <w:adjustRightInd w:val="0"/>
        <w:snapToGrid w:val="0"/>
        <w:spacing w:line="440" w:lineRule="exact"/>
        <w:jc w:val="left"/>
        <w:rPr>
          <w:rFonts w:hint="eastAsia" w:ascii="宋体" w:hAnsi="宋体" w:cs="宋体"/>
          <w:b/>
          <w:kern w:val="0"/>
          <w:szCs w:val="21"/>
        </w:rPr>
      </w:pPr>
      <w:bookmarkStart w:id="218" w:name="_Toc141329160"/>
      <w:bookmarkStart w:id="219" w:name="_Toc5134"/>
      <w:bookmarkStart w:id="220" w:name="_Toc414004301"/>
      <w:bookmarkStart w:id="221" w:name="_Toc270685510"/>
      <w:bookmarkStart w:id="222" w:name="_Toc270684938"/>
      <w:bookmarkStart w:id="223" w:name="_Toc203206441"/>
      <w:bookmarkStart w:id="224" w:name="_Toc145927649"/>
      <w:bookmarkStart w:id="225" w:name="_Toc204592788"/>
      <w:bookmarkStart w:id="226" w:name="_Toc145927554"/>
      <w:bookmarkStart w:id="227" w:name="_Toc199246710"/>
      <w:bookmarkStart w:id="228" w:name="_Toc270689678"/>
      <w:bookmarkStart w:id="229" w:name="_Toc145928068"/>
      <w:bookmarkStart w:id="230" w:name="_Toc270688015"/>
      <w:r>
        <w:rPr>
          <w:rFonts w:hint="eastAsia" w:ascii="宋体" w:hAnsi="宋体" w:cs="宋体"/>
          <w:b/>
          <w:kern w:val="0"/>
          <w:szCs w:val="21"/>
          <w:lang w:val="en-US" w:eastAsia="zh-CN"/>
        </w:rPr>
        <w:t>九、</w:t>
      </w:r>
      <w:r>
        <w:rPr>
          <w:rFonts w:hint="eastAsia" w:ascii="宋体" w:hAnsi="宋体" w:cs="宋体"/>
          <w:b/>
          <w:kern w:val="0"/>
          <w:szCs w:val="21"/>
        </w:rPr>
        <w:t>质保期及</w:t>
      </w:r>
      <w:r>
        <w:rPr>
          <w:rFonts w:hint="eastAsia" w:ascii="宋体" w:hAnsi="宋体" w:cs="宋体"/>
          <w:b/>
          <w:kern w:val="0"/>
          <w:szCs w:val="21"/>
          <w:lang w:eastAsia="zh-CN"/>
        </w:rPr>
        <w:t>后续服务</w:t>
      </w:r>
      <w:bookmarkEnd w:id="218"/>
      <w:bookmarkEnd w:id="219"/>
      <w:bookmarkEnd w:id="220"/>
      <w:bookmarkEnd w:id="221"/>
      <w:bookmarkEnd w:id="222"/>
      <w:bookmarkEnd w:id="223"/>
      <w:bookmarkEnd w:id="224"/>
      <w:bookmarkEnd w:id="225"/>
      <w:bookmarkEnd w:id="226"/>
      <w:bookmarkEnd w:id="227"/>
      <w:bookmarkEnd w:id="228"/>
      <w:bookmarkEnd w:id="229"/>
      <w:bookmarkEnd w:id="230"/>
    </w:p>
    <w:p w14:paraId="401B3695">
      <w:pPr>
        <w:tabs>
          <w:tab w:val="left" w:pos="420"/>
        </w:tabs>
        <w:adjustRightInd w:val="0"/>
        <w:snapToGrid w:val="0"/>
        <w:spacing w:line="440" w:lineRule="exact"/>
        <w:ind w:firstLine="420" w:firstLineChars="200"/>
        <w:jc w:val="left"/>
        <w:rPr>
          <w:rFonts w:hint="eastAsia" w:ascii="宋体" w:hAnsi="宋体" w:cs="宋体"/>
          <w:kern w:val="0"/>
          <w:szCs w:val="21"/>
        </w:rPr>
      </w:pPr>
      <w:bookmarkStart w:id="231" w:name="_Toc119140924"/>
      <w:bookmarkStart w:id="232" w:name="_Toc270685511"/>
      <w:bookmarkStart w:id="233" w:name="_Toc119379241"/>
      <w:bookmarkStart w:id="234" w:name="_Toc270689679"/>
      <w:bookmarkStart w:id="235" w:name="_Toc145927555"/>
      <w:bookmarkStart w:id="236" w:name="_Toc414004302"/>
      <w:bookmarkStart w:id="237" w:name="_Toc204592789"/>
      <w:bookmarkStart w:id="238" w:name="_Toc28847"/>
      <w:bookmarkStart w:id="239" w:name="_Toc270688016"/>
      <w:bookmarkStart w:id="240" w:name="_Toc136685266"/>
      <w:bookmarkStart w:id="241" w:name="_Toc119207184"/>
      <w:bookmarkStart w:id="242" w:name="_Toc203206442"/>
      <w:bookmarkStart w:id="243" w:name="_Toc270684939"/>
      <w:bookmarkStart w:id="244" w:name="_Toc145928069"/>
      <w:bookmarkStart w:id="245" w:name="_Toc145927650"/>
      <w:bookmarkStart w:id="246" w:name="_Toc119945233"/>
      <w:bookmarkStart w:id="247" w:name="_Toc130888812"/>
      <w:bookmarkStart w:id="248" w:name="_Toc119207257"/>
      <w:bookmarkStart w:id="249" w:name="_Toc199246711"/>
      <w:r>
        <w:rPr>
          <w:rFonts w:hint="eastAsia" w:ascii="宋体" w:hAnsi="宋体" w:cs="宋体"/>
          <w:kern w:val="0"/>
          <w:szCs w:val="21"/>
        </w:rPr>
        <w:t>9.1 质保期的服务</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Start w:id="250" w:name="_Toc132788449"/>
      <w:bookmarkStart w:id="251" w:name="_Toc132788261"/>
    </w:p>
    <w:p w14:paraId="47848AC5">
      <w:pPr>
        <w:tabs>
          <w:tab w:val="left" w:pos="420"/>
        </w:tabs>
        <w:adjustRightInd w:val="0"/>
        <w:snapToGrid w:val="0"/>
        <w:spacing w:line="440" w:lineRule="exact"/>
        <w:ind w:firstLine="420" w:firstLineChars="200"/>
        <w:jc w:val="left"/>
        <w:rPr>
          <w:rFonts w:hint="eastAsia" w:ascii="宋体" w:hAnsi="宋体" w:cs="宋体"/>
          <w:kern w:val="0"/>
          <w:szCs w:val="21"/>
        </w:rPr>
      </w:pPr>
      <w:bookmarkStart w:id="252" w:name="_Toc145927556"/>
      <w:bookmarkStart w:id="253" w:name="_Toc145927651"/>
      <w:r>
        <w:rPr>
          <w:rFonts w:hint="eastAsia" w:ascii="宋体" w:hAnsi="宋体" w:cs="宋体"/>
          <w:kern w:val="0"/>
          <w:szCs w:val="21"/>
        </w:rPr>
        <w:t>9.1.1 质量保证期（以下简称“质保期”）从设备安装调试完毕并通过竣工验收之日开始计算。本项目质保期最少为两年。</w:t>
      </w:r>
    </w:p>
    <w:p w14:paraId="19E33775">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rPr>
        <w:t>9.1.2 在质保</w:t>
      </w:r>
      <w:r>
        <w:rPr>
          <w:rFonts w:hint="eastAsia" w:ascii="宋体" w:hAnsi="宋体" w:cs="宋体"/>
          <w:kern w:val="0"/>
          <w:szCs w:val="21"/>
          <w:highlight w:val="none"/>
        </w:rPr>
        <w:t>期内，</w:t>
      </w:r>
      <w:r>
        <w:rPr>
          <w:rFonts w:hint="eastAsia" w:ascii="宋体" w:hAnsi="宋体" w:cs="宋体"/>
          <w:kern w:val="0"/>
          <w:szCs w:val="21"/>
          <w:highlight w:val="none"/>
          <w:lang w:eastAsia="zh-CN"/>
        </w:rPr>
        <w:t>中标人</w:t>
      </w:r>
      <w:r>
        <w:rPr>
          <w:rFonts w:hint="eastAsia" w:ascii="宋体" w:hAnsi="宋体" w:cs="宋体"/>
          <w:kern w:val="0"/>
          <w:szCs w:val="21"/>
          <w:highlight w:val="none"/>
        </w:rPr>
        <w:t>将做到以下几点：</w:t>
      </w:r>
    </w:p>
    <w:p w14:paraId="3A76693E">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9.1.2.1 继续对所提供的系统和设备负责。</w:t>
      </w:r>
    </w:p>
    <w:p w14:paraId="56B5AFA1">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9.1.2.2 继续</w:t>
      </w:r>
      <w:r>
        <w:rPr>
          <w:rFonts w:hint="eastAsia" w:ascii="宋体" w:hAnsi="宋体" w:cs="宋体"/>
          <w:kern w:val="0"/>
          <w:szCs w:val="21"/>
          <w:highlight w:val="none"/>
          <w:lang w:eastAsia="zh-CN"/>
        </w:rPr>
        <w:t>记录</w:t>
      </w:r>
      <w:r>
        <w:rPr>
          <w:rFonts w:hint="eastAsia" w:ascii="宋体" w:hAnsi="宋体" w:cs="宋体"/>
          <w:kern w:val="0"/>
          <w:szCs w:val="21"/>
          <w:highlight w:val="none"/>
        </w:rPr>
        <w:t>各子系统和设备运行的所有故障。</w:t>
      </w:r>
    </w:p>
    <w:p w14:paraId="4B6BE44E">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9.1.2.3 对由</w:t>
      </w:r>
      <w:r>
        <w:rPr>
          <w:rFonts w:hint="eastAsia" w:ascii="宋体" w:hAnsi="宋体" w:cs="宋体"/>
          <w:kern w:val="0"/>
          <w:szCs w:val="21"/>
          <w:highlight w:val="none"/>
          <w:lang w:eastAsia="zh-CN"/>
        </w:rPr>
        <w:t>中标人</w:t>
      </w:r>
      <w:r>
        <w:rPr>
          <w:rFonts w:hint="eastAsia" w:ascii="宋体" w:hAnsi="宋体" w:cs="宋体"/>
          <w:kern w:val="0"/>
          <w:szCs w:val="21"/>
          <w:highlight w:val="none"/>
        </w:rPr>
        <w:t>原因引起或造成系统（或设备）故障或板卡等部件损坏，</w:t>
      </w:r>
      <w:r>
        <w:rPr>
          <w:rFonts w:hint="eastAsia" w:ascii="宋体" w:hAnsi="宋体" w:cs="宋体"/>
          <w:kern w:val="0"/>
          <w:szCs w:val="21"/>
          <w:highlight w:val="none"/>
          <w:lang w:eastAsia="zh-CN"/>
        </w:rPr>
        <w:t>中标人</w:t>
      </w:r>
      <w:r>
        <w:rPr>
          <w:rFonts w:hint="eastAsia" w:ascii="宋体" w:hAnsi="宋体" w:cs="宋体"/>
          <w:kern w:val="0"/>
          <w:szCs w:val="21"/>
          <w:highlight w:val="none"/>
        </w:rPr>
        <w:t>将免费修理或更换。修理的时间为：进口设备三个月，国产设备</w:t>
      </w:r>
      <w:r>
        <w:rPr>
          <w:rFonts w:hint="eastAsia" w:ascii="宋体" w:hAnsi="宋体" w:cs="宋体"/>
          <w:kern w:val="0"/>
          <w:szCs w:val="21"/>
          <w:highlight w:val="none"/>
          <w:lang w:eastAsia="zh-CN"/>
        </w:rPr>
        <w:t>两个</w:t>
      </w:r>
      <w:r>
        <w:rPr>
          <w:rFonts w:hint="eastAsia" w:ascii="宋体" w:hAnsi="宋体" w:cs="宋体"/>
          <w:kern w:val="0"/>
          <w:szCs w:val="21"/>
          <w:highlight w:val="none"/>
        </w:rPr>
        <w:t>月。如在规定时</w:t>
      </w:r>
      <w:r>
        <w:rPr>
          <w:rFonts w:hint="eastAsia" w:ascii="宋体" w:hAnsi="宋体" w:cs="宋体"/>
          <w:kern w:val="0"/>
          <w:szCs w:val="21"/>
          <w:highlight w:val="none"/>
          <w:lang w:eastAsia="zh-CN"/>
        </w:rPr>
        <w:t>间内</w:t>
      </w:r>
      <w:r>
        <w:rPr>
          <w:rFonts w:hint="eastAsia" w:ascii="宋体" w:hAnsi="宋体" w:cs="宋体"/>
          <w:kern w:val="0"/>
          <w:szCs w:val="21"/>
          <w:highlight w:val="none"/>
        </w:rPr>
        <w:t>未能完成，且无任何原因，</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lang w:eastAsia="zh-CN"/>
        </w:rPr>
        <w:t>将</w:t>
      </w:r>
      <w:r>
        <w:rPr>
          <w:rFonts w:hint="eastAsia" w:ascii="宋体" w:hAnsi="宋体" w:cs="宋体"/>
          <w:kern w:val="0"/>
          <w:szCs w:val="21"/>
          <w:highlight w:val="none"/>
        </w:rPr>
        <w:t>视情节根据合同相关条款对其进行经济处罚。</w:t>
      </w:r>
    </w:p>
    <w:p w14:paraId="48ABB71D">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9.1.3.4 对维修（或更换）后的设备，</w:t>
      </w:r>
      <w:r>
        <w:rPr>
          <w:rFonts w:hint="eastAsia" w:ascii="宋体" w:hAnsi="宋体" w:cs="宋体"/>
          <w:kern w:val="0"/>
          <w:szCs w:val="21"/>
          <w:highlight w:val="none"/>
          <w:lang w:eastAsia="zh-CN"/>
        </w:rPr>
        <w:t>中标人</w:t>
      </w:r>
      <w:r>
        <w:rPr>
          <w:rFonts w:hint="eastAsia" w:ascii="宋体" w:hAnsi="宋体" w:cs="宋体"/>
          <w:kern w:val="0"/>
          <w:szCs w:val="21"/>
          <w:highlight w:val="none"/>
        </w:rPr>
        <w:t>同时提供设备维修（或更换）书面报告。书面报告的内容包括但不限于以下内容：</w:t>
      </w:r>
    </w:p>
    <w:p w14:paraId="532D6DFF">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（1）故障报告人（</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w:t>
      </w:r>
    </w:p>
    <w:p w14:paraId="249B4C2A">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（2）故障受理人（</w:t>
      </w:r>
      <w:r>
        <w:rPr>
          <w:rFonts w:hint="eastAsia" w:ascii="宋体" w:hAnsi="宋体" w:cs="宋体"/>
          <w:kern w:val="0"/>
          <w:szCs w:val="21"/>
          <w:highlight w:val="none"/>
          <w:lang w:eastAsia="zh-CN"/>
        </w:rPr>
        <w:t>中标人</w:t>
      </w:r>
      <w:r>
        <w:rPr>
          <w:rFonts w:hint="eastAsia" w:ascii="宋体" w:hAnsi="宋体" w:cs="宋体"/>
          <w:kern w:val="0"/>
          <w:szCs w:val="21"/>
          <w:highlight w:val="none"/>
        </w:rPr>
        <w:t>）；</w:t>
      </w:r>
    </w:p>
    <w:p w14:paraId="67BFFFC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（3）故障发生时间；</w:t>
      </w:r>
    </w:p>
    <w:p w14:paraId="63CFBD8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（4）故障现象；</w:t>
      </w:r>
    </w:p>
    <w:p w14:paraId="2441C8C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（5）故障产生的原因；</w:t>
      </w:r>
    </w:p>
    <w:p w14:paraId="2F17D59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（6）处理、解决办法；</w:t>
      </w:r>
    </w:p>
    <w:p w14:paraId="5073BA4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（7）故障修复时间；</w:t>
      </w:r>
    </w:p>
    <w:p w14:paraId="25FF5FD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（8）处理人签名。</w:t>
      </w:r>
    </w:p>
    <w:p w14:paraId="591A65B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9.1.3.5 对所提供的设备实行“三包”。既包修、包换、包退。</w:t>
      </w:r>
    </w:p>
    <w:p w14:paraId="497F18F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9.1.3.6 对所提供的设备免费提供日常维护服务、排除故障及抢修服务、软件升级服务。</w:t>
      </w:r>
    </w:p>
    <w:p w14:paraId="5B0C4CAE">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rPr>
        <w:t>9.1.3.7 如果发生故障的设备或材料需要更换</w:t>
      </w:r>
      <w:r>
        <w:rPr>
          <w:rFonts w:hint="eastAsia" w:ascii="宋体" w:hAnsi="宋体" w:cs="宋体"/>
          <w:kern w:val="0"/>
          <w:szCs w:val="21"/>
          <w:highlight w:val="none"/>
        </w:rPr>
        <w:t>或修理，在修理期间可使用</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的备件，但</w:t>
      </w:r>
      <w:r>
        <w:rPr>
          <w:rFonts w:hint="eastAsia" w:ascii="宋体" w:hAnsi="宋体" w:cs="宋体"/>
          <w:kern w:val="0"/>
          <w:szCs w:val="21"/>
          <w:highlight w:val="none"/>
          <w:lang w:eastAsia="zh-CN"/>
        </w:rPr>
        <w:t>中标人</w:t>
      </w:r>
      <w:r>
        <w:rPr>
          <w:rFonts w:hint="eastAsia" w:ascii="宋体" w:hAnsi="宋体" w:cs="宋体"/>
          <w:kern w:val="0"/>
          <w:szCs w:val="21"/>
          <w:highlight w:val="none"/>
        </w:rPr>
        <w:t>必须购买全新的替换件提供给</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w:t>
      </w:r>
    </w:p>
    <w:p w14:paraId="0FA9CD89">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9.1.3.8 如果</w:t>
      </w:r>
      <w:r>
        <w:rPr>
          <w:rFonts w:hint="eastAsia" w:ascii="宋体" w:hAnsi="宋体" w:cs="宋体"/>
          <w:kern w:val="0"/>
          <w:szCs w:val="21"/>
          <w:highlight w:val="none"/>
          <w:lang w:eastAsia="zh-CN"/>
        </w:rPr>
        <w:t>中标人</w:t>
      </w:r>
      <w:r>
        <w:rPr>
          <w:rFonts w:hint="eastAsia" w:ascii="宋体" w:hAnsi="宋体" w:cs="宋体"/>
          <w:kern w:val="0"/>
          <w:szCs w:val="21"/>
          <w:highlight w:val="none"/>
        </w:rPr>
        <w:t>提供的设备出现的故障在质保期内未能解决，</w:t>
      </w:r>
      <w:r>
        <w:rPr>
          <w:rFonts w:hint="eastAsia" w:ascii="宋体" w:hAnsi="宋体" w:cs="宋体"/>
          <w:kern w:val="0"/>
          <w:szCs w:val="21"/>
          <w:highlight w:val="none"/>
          <w:lang w:eastAsia="zh-CN"/>
        </w:rPr>
        <w:t>中标人</w:t>
      </w:r>
      <w:r>
        <w:rPr>
          <w:rFonts w:hint="eastAsia" w:ascii="宋体" w:hAnsi="宋体" w:cs="宋体"/>
          <w:kern w:val="0"/>
          <w:szCs w:val="21"/>
          <w:highlight w:val="none"/>
        </w:rPr>
        <w:t>将不受质保期制约无条件负责直至故障解决。</w:t>
      </w:r>
      <w:bookmarkEnd w:id="250"/>
      <w:bookmarkEnd w:id="251"/>
      <w:bookmarkEnd w:id="252"/>
      <w:bookmarkEnd w:id="253"/>
      <w:bookmarkStart w:id="254" w:name="_Toc132788451"/>
      <w:bookmarkStart w:id="255" w:name="_Toc132431585"/>
      <w:bookmarkStart w:id="256" w:name="_Toc132788263"/>
    </w:p>
    <w:p w14:paraId="22E90248">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257" w:name="_Toc145927655"/>
      <w:bookmarkStart w:id="258" w:name="_Toc145927560"/>
      <w:r>
        <w:rPr>
          <w:rFonts w:hint="eastAsia" w:ascii="宋体" w:hAnsi="宋体" w:cs="宋体"/>
          <w:kern w:val="0"/>
          <w:szCs w:val="21"/>
          <w:highlight w:val="none"/>
        </w:rPr>
        <w:t>9.1.3.9 重新计算质保期：对于未能通过最终验收的设备，</w:t>
      </w:r>
      <w:r>
        <w:rPr>
          <w:rFonts w:hint="eastAsia" w:ascii="宋体" w:hAnsi="宋体" w:cs="宋体"/>
          <w:kern w:val="0"/>
          <w:szCs w:val="21"/>
          <w:highlight w:val="none"/>
          <w:lang w:val="en-US" w:eastAsia="zh-CN"/>
        </w:rPr>
        <w:t>中标人</w:t>
      </w:r>
      <w:r>
        <w:rPr>
          <w:rFonts w:hint="eastAsia" w:ascii="宋体" w:hAnsi="宋体" w:cs="宋体"/>
          <w:kern w:val="0"/>
          <w:szCs w:val="21"/>
          <w:highlight w:val="none"/>
        </w:rPr>
        <w:t>应提供一台新的设备，并重新开始质保期，所产生的费用由</w:t>
      </w:r>
      <w:r>
        <w:rPr>
          <w:rFonts w:hint="eastAsia" w:ascii="宋体" w:hAnsi="宋体" w:cs="宋体"/>
          <w:kern w:val="0"/>
          <w:szCs w:val="21"/>
          <w:highlight w:val="none"/>
          <w:lang w:val="en-US" w:eastAsia="zh-CN"/>
        </w:rPr>
        <w:t>中标人</w:t>
      </w:r>
      <w:r>
        <w:rPr>
          <w:rFonts w:hint="eastAsia" w:ascii="宋体" w:hAnsi="宋体" w:cs="宋体"/>
          <w:kern w:val="0"/>
          <w:szCs w:val="21"/>
          <w:highlight w:val="none"/>
        </w:rPr>
        <w:t>承担。</w:t>
      </w:r>
      <w:bookmarkEnd w:id="254"/>
      <w:bookmarkEnd w:id="255"/>
      <w:bookmarkEnd w:id="256"/>
      <w:bookmarkEnd w:id="257"/>
      <w:bookmarkEnd w:id="258"/>
    </w:p>
    <w:p w14:paraId="65E05BD7">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259" w:name="_Toc145927561"/>
      <w:bookmarkStart w:id="260" w:name="_Toc270688017"/>
      <w:bookmarkStart w:id="261" w:name="_Toc132788452"/>
      <w:bookmarkStart w:id="262" w:name="_Toc132788264"/>
      <w:bookmarkStart w:id="263" w:name="_Toc136685267"/>
      <w:bookmarkStart w:id="264" w:name="_Toc270689680"/>
      <w:bookmarkStart w:id="265" w:name="_Toc145928070"/>
      <w:bookmarkStart w:id="266" w:name="_Toc270685512"/>
      <w:bookmarkStart w:id="267" w:name="_Toc203206443"/>
      <w:bookmarkStart w:id="268" w:name="_Toc145927656"/>
      <w:bookmarkStart w:id="269" w:name="_Toc204592790"/>
      <w:bookmarkStart w:id="270" w:name="_Toc19146"/>
      <w:bookmarkStart w:id="271" w:name="_Toc270684940"/>
      <w:bookmarkStart w:id="272" w:name="_Toc199246712"/>
      <w:bookmarkStart w:id="273" w:name="_Toc414004303"/>
      <w:r>
        <w:rPr>
          <w:rFonts w:hint="eastAsia" w:ascii="宋体" w:hAnsi="宋体" w:cs="宋体"/>
          <w:kern w:val="0"/>
          <w:szCs w:val="21"/>
          <w:highlight w:val="none"/>
        </w:rPr>
        <w:t>9.2 质保期责任</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335435CE">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274" w:name="_Toc132788265"/>
      <w:bookmarkStart w:id="275" w:name="_Toc132788453"/>
      <w:r>
        <w:rPr>
          <w:rFonts w:hint="eastAsia" w:ascii="宋体" w:hAnsi="宋体" w:cs="宋体"/>
          <w:kern w:val="0"/>
          <w:szCs w:val="21"/>
          <w:highlight w:val="none"/>
        </w:rPr>
        <w:t>9.2.1 在质保期内，由</w:t>
      </w:r>
      <w:r>
        <w:rPr>
          <w:rFonts w:hint="eastAsia" w:ascii="宋体" w:hAnsi="宋体" w:cs="宋体"/>
          <w:kern w:val="0"/>
          <w:szCs w:val="21"/>
          <w:highlight w:val="none"/>
          <w:lang w:val="en-US" w:eastAsia="zh-CN"/>
        </w:rPr>
        <w:t>中标人</w:t>
      </w:r>
      <w:r>
        <w:rPr>
          <w:rFonts w:hint="eastAsia" w:ascii="宋体" w:hAnsi="宋体" w:cs="宋体"/>
          <w:kern w:val="0"/>
          <w:szCs w:val="21"/>
          <w:highlight w:val="none"/>
        </w:rPr>
        <w:t>完成任何扫尾工作或履行质保期服务义务所致，或由发生在最终验收日期之前任何</w:t>
      </w:r>
      <w:r>
        <w:rPr>
          <w:rFonts w:hint="eastAsia" w:ascii="宋体" w:hAnsi="宋体" w:cs="宋体"/>
          <w:kern w:val="0"/>
          <w:szCs w:val="21"/>
          <w:highlight w:val="none"/>
          <w:lang w:val="en-US" w:eastAsia="zh-CN"/>
        </w:rPr>
        <w:t>中标人</w:t>
      </w:r>
      <w:r>
        <w:rPr>
          <w:rFonts w:hint="eastAsia" w:ascii="宋体" w:hAnsi="宋体" w:cs="宋体"/>
          <w:kern w:val="0"/>
          <w:szCs w:val="21"/>
          <w:highlight w:val="none"/>
        </w:rPr>
        <w:t>的风险所致的原因引起的任何损失或损害投保所需的全部保险费均由</w:t>
      </w:r>
      <w:r>
        <w:rPr>
          <w:rFonts w:hint="eastAsia" w:ascii="宋体" w:hAnsi="宋体" w:cs="宋体"/>
          <w:kern w:val="0"/>
          <w:szCs w:val="21"/>
          <w:highlight w:val="none"/>
          <w:lang w:val="en-US" w:eastAsia="zh-CN"/>
        </w:rPr>
        <w:t>中标人</w:t>
      </w:r>
      <w:r>
        <w:rPr>
          <w:rFonts w:hint="eastAsia" w:ascii="宋体" w:hAnsi="宋体" w:cs="宋体"/>
          <w:kern w:val="0"/>
          <w:szCs w:val="21"/>
          <w:highlight w:val="none"/>
        </w:rPr>
        <w:t>支付。</w:t>
      </w:r>
      <w:bookmarkEnd w:id="274"/>
      <w:bookmarkEnd w:id="275"/>
    </w:p>
    <w:p w14:paraId="443EFE5A">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9.2.2 在质保期内，供应商应在</w:t>
      </w:r>
      <w:r>
        <w:rPr>
          <w:rFonts w:hint="eastAsia" w:ascii="宋体" w:hAnsi="宋体" w:cs="宋体"/>
          <w:kern w:val="0"/>
          <w:szCs w:val="21"/>
          <w:highlight w:val="none"/>
          <w:lang w:val="en-US" w:eastAsia="zh-CN"/>
        </w:rPr>
        <w:t>滁州</w:t>
      </w:r>
      <w:r>
        <w:rPr>
          <w:rFonts w:hint="eastAsia" w:ascii="宋体" w:hAnsi="宋体" w:cs="宋体"/>
          <w:kern w:val="0"/>
          <w:szCs w:val="21"/>
          <w:highlight w:val="none"/>
        </w:rPr>
        <w:t>设置专职售后服务人员，对与设备有关的各类问题要及时回复。</w:t>
      </w:r>
    </w:p>
    <w:p w14:paraId="50C56F3A">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9.2.3 在质保期内，供应商应每年</w:t>
      </w:r>
      <w:r>
        <w:rPr>
          <w:rFonts w:hint="eastAsia" w:ascii="宋体" w:hAnsi="宋体" w:cs="宋体"/>
          <w:kern w:val="0"/>
          <w:szCs w:val="21"/>
          <w:highlight w:val="none"/>
          <w:lang w:eastAsia="zh-CN"/>
        </w:rPr>
        <w:t>安排</w:t>
      </w:r>
      <w:r>
        <w:rPr>
          <w:rFonts w:hint="eastAsia" w:ascii="宋体" w:hAnsi="宋体" w:cs="宋体"/>
          <w:kern w:val="0"/>
          <w:szCs w:val="21"/>
          <w:highlight w:val="none"/>
        </w:rPr>
        <w:t>一次以上设备的巡检与维护，并现场指导通信技术人员对设备进行养护与维修。</w:t>
      </w:r>
    </w:p>
    <w:p w14:paraId="27178EED">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276" w:name="_Toc145927657"/>
      <w:bookmarkStart w:id="277" w:name="_Toc270684941"/>
      <w:bookmarkStart w:id="278" w:name="_Toc199246713"/>
      <w:bookmarkStart w:id="279" w:name="_Toc270689681"/>
      <w:bookmarkStart w:id="280" w:name="_Toc270685513"/>
      <w:bookmarkStart w:id="281" w:name="_Toc136685268"/>
      <w:bookmarkStart w:id="282" w:name="_Toc145927562"/>
      <w:bookmarkStart w:id="283" w:name="_Toc203206444"/>
      <w:bookmarkStart w:id="284" w:name="_Toc204592791"/>
      <w:bookmarkStart w:id="285" w:name="_Toc145928071"/>
      <w:bookmarkStart w:id="286" w:name="_Toc414004304"/>
      <w:bookmarkStart w:id="287" w:name="_Toc17711"/>
      <w:bookmarkStart w:id="288" w:name="_Toc130888814"/>
      <w:bookmarkStart w:id="289" w:name="_Toc270688018"/>
      <w:r>
        <w:rPr>
          <w:rFonts w:hint="eastAsia" w:ascii="宋体" w:hAnsi="宋体" w:cs="宋体"/>
          <w:kern w:val="0"/>
          <w:szCs w:val="21"/>
          <w:highlight w:val="none"/>
        </w:rPr>
        <w:t>9.3 质保期后服务</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02950BB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highlight w:val="none"/>
        </w:rPr>
        <w:t>9.3.1 质保期过后，供应商提供相关的维修服务，并明确维修服务的流程和方法；在收到</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维</w:t>
      </w:r>
      <w:r>
        <w:rPr>
          <w:rFonts w:hint="eastAsia" w:ascii="宋体" w:hAnsi="宋体" w:cs="宋体"/>
          <w:kern w:val="0"/>
          <w:szCs w:val="21"/>
        </w:rPr>
        <w:t>修服务请求后，供应商必须在24小时内做出响应，5个工作日内赶到滁州。</w:t>
      </w:r>
    </w:p>
    <w:p w14:paraId="7F07AFF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9.3.2 供应商应经常性地进行多种方式的巡检（例如电话），随时了解设备运行情况；定期安排专职技术人员对设备进行现场巡检，并根据需要对设备的主要技术指标进行测试，保证设备的固有性能，同时提供设备检查测试报告，签字确认。</w:t>
      </w:r>
    </w:p>
    <w:p w14:paraId="1E872EB1">
      <w:pPr>
        <w:tabs>
          <w:tab w:val="left" w:pos="420"/>
        </w:tabs>
        <w:adjustRightInd w:val="0"/>
        <w:snapToGrid w:val="0"/>
        <w:spacing w:line="440" w:lineRule="exact"/>
        <w:jc w:val="left"/>
        <w:rPr>
          <w:rFonts w:hint="eastAsia" w:ascii="宋体" w:hAnsi="宋体" w:cs="宋体"/>
          <w:b/>
          <w:kern w:val="0"/>
          <w:szCs w:val="21"/>
        </w:rPr>
      </w:pPr>
      <w:r>
        <w:rPr>
          <w:rFonts w:hint="eastAsia" w:ascii="宋体" w:hAnsi="宋体" w:cs="宋体"/>
          <w:b/>
          <w:kern w:val="0"/>
          <w:szCs w:val="21"/>
          <w:lang w:val="en-US" w:eastAsia="zh-CN"/>
        </w:rPr>
        <w:t>十、</w:t>
      </w:r>
      <w:r>
        <w:rPr>
          <w:rFonts w:hint="eastAsia" w:ascii="宋体" w:hAnsi="宋体" w:cs="宋体"/>
          <w:b/>
          <w:kern w:val="0"/>
          <w:szCs w:val="21"/>
        </w:rPr>
        <w:t>施工作业要求</w:t>
      </w:r>
    </w:p>
    <w:p w14:paraId="2E895AFB">
      <w:pPr>
        <w:tabs>
          <w:tab w:val="left" w:pos="420"/>
        </w:tabs>
        <w:adjustRightInd w:val="0"/>
        <w:snapToGrid w:val="0"/>
        <w:spacing w:line="440" w:lineRule="exact"/>
        <w:ind w:firstLine="420" w:firstLineChars="200"/>
        <w:jc w:val="left"/>
        <w:rPr>
          <w:rFonts w:hint="eastAsia" w:ascii="宋体" w:hAnsi="宋体" w:cs="宋体"/>
          <w:kern w:val="0"/>
          <w:szCs w:val="21"/>
        </w:rPr>
      </w:pPr>
      <w:bookmarkStart w:id="290" w:name="_Toc29139"/>
      <w:r>
        <w:rPr>
          <w:rFonts w:hint="eastAsia" w:ascii="宋体" w:hAnsi="宋体" w:cs="宋体"/>
          <w:kern w:val="0"/>
          <w:szCs w:val="21"/>
        </w:rPr>
        <w:t>1</w:t>
      </w:r>
      <w:bookmarkStart w:id="291" w:name="_Toc270689664"/>
      <w:bookmarkStart w:id="292" w:name="_Toc199246694"/>
      <w:bookmarkStart w:id="293" w:name="_Toc415489329"/>
      <w:bookmarkStart w:id="294" w:name="_Toc270684930"/>
      <w:bookmarkStart w:id="295" w:name="_Toc270685502"/>
      <w:bookmarkStart w:id="296" w:name="_Toc203205320"/>
      <w:bookmarkStart w:id="297" w:name="_Toc270688001"/>
      <w:bookmarkStart w:id="298" w:name="_Toc203206421"/>
      <w:bookmarkStart w:id="299" w:name="_Toc204592772"/>
      <w:r>
        <w:rPr>
          <w:rFonts w:hint="eastAsia" w:ascii="宋体" w:hAnsi="宋体" w:cs="宋体"/>
          <w:kern w:val="0"/>
          <w:szCs w:val="21"/>
        </w:rPr>
        <w:t>0.1 施工工艺要求</w:t>
      </w:r>
      <w:bookmarkEnd w:id="290"/>
      <w:bookmarkEnd w:id="291"/>
      <w:bookmarkEnd w:id="292"/>
      <w:bookmarkEnd w:id="293"/>
      <w:bookmarkEnd w:id="294"/>
      <w:bookmarkEnd w:id="295"/>
      <w:bookmarkEnd w:id="296"/>
      <w:bookmarkEnd w:id="297"/>
      <w:bookmarkEnd w:id="298"/>
      <w:bookmarkEnd w:id="299"/>
    </w:p>
    <w:p w14:paraId="71DC8ECC">
      <w:pPr>
        <w:tabs>
          <w:tab w:val="left" w:pos="420"/>
        </w:tabs>
        <w:adjustRightInd w:val="0"/>
        <w:snapToGrid w:val="0"/>
        <w:spacing w:line="440" w:lineRule="exact"/>
        <w:ind w:firstLine="420" w:firstLineChars="200"/>
        <w:jc w:val="left"/>
        <w:rPr>
          <w:rFonts w:hint="eastAsia" w:ascii="宋体" w:hAnsi="宋体" w:cs="宋体"/>
          <w:kern w:val="0"/>
          <w:szCs w:val="21"/>
        </w:rPr>
      </w:pPr>
      <w:bookmarkStart w:id="300" w:name="_Toc270688002"/>
      <w:bookmarkStart w:id="301" w:name="_Toc13984"/>
      <w:bookmarkStart w:id="302" w:name="_Toc270689665"/>
      <w:bookmarkStart w:id="303" w:name="_Toc415489330"/>
      <w:r>
        <w:rPr>
          <w:rFonts w:hint="eastAsia" w:ascii="宋体" w:hAnsi="宋体" w:cs="宋体"/>
          <w:kern w:val="0"/>
          <w:szCs w:val="21"/>
        </w:rPr>
        <w:t>10.1.1 施工场地与条件</w:t>
      </w:r>
      <w:bookmarkEnd w:id="300"/>
      <w:bookmarkEnd w:id="301"/>
      <w:bookmarkEnd w:id="302"/>
      <w:bookmarkEnd w:id="303"/>
    </w:p>
    <w:p w14:paraId="14180537">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lang w:eastAsia="zh-CN"/>
        </w:rPr>
        <w:t>中标人</w:t>
      </w:r>
      <w:r>
        <w:rPr>
          <w:rFonts w:hint="eastAsia" w:ascii="宋体" w:hAnsi="宋体" w:cs="宋体"/>
          <w:kern w:val="0"/>
          <w:szCs w:val="21"/>
          <w:highlight w:val="none"/>
        </w:rPr>
        <w:t>全面负责施工范围内的现场施工管理，对施工场地内的用水、用电、施工现场的安全与卫生、场地内的施工协调负有全面的管理责任。</w:t>
      </w:r>
    </w:p>
    <w:p w14:paraId="738A9715">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304" w:name="_Toc28027"/>
      <w:bookmarkStart w:id="305" w:name="_Toc270688003"/>
      <w:bookmarkStart w:id="306" w:name="_Toc270689666"/>
      <w:bookmarkStart w:id="307" w:name="_Toc415489331"/>
      <w:r>
        <w:rPr>
          <w:rFonts w:hint="eastAsia" w:ascii="宋体" w:hAnsi="宋体" w:cs="宋体"/>
          <w:kern w:val="0"/>
          <w:szCs w:val="21"/>
          <w:highlight w:val="none"/>
        </w:rPr>
        <w:t>10.1.2 施工准备</w:t>
      </w:r>
      <w:bookmarkEnd w:id="304"/>
      <w:bookmarkEnd w:id="305"/>
      <w:bookmarkEnd w:id="306"/>
      <w:bookmarkEnd w:id="307"/>
    </w:p>
    <w:p w14:paraId="095BF4C1">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10.1.2.1 </w:t>
      </w:r>
      <w:r>
        <w:rPr>
          <w:rFonts w:hint="eastAsia" w:ascii="宋体" w:hAnsi="宋体" w:cs="宋体"/>
          <w:kern w:val="0"/>
          <w:szCs w:val="21"/>
          <w:highlight w:val="none"/>
          <w:lang w:eastAsia="zh-CN"/>
        </w:rPr>
        <w:t>中标人</w:t>
      </w:r>
      <w:r>
        <w:rPr>
          <w:rFonts w:hint="eastAsia" w:ascii="宋体" w:hAnsi="宋体" w:cs="宋体"/>
          <w:kern w:val="0"/>
          <w:szCs w:val="21"/>
          <w:highlight w:val="none"/>
        </w:rPr>
        <w:t>充分考虑本工程的特点，包括工期要求和施工时的相互干扰等，提出切实可行的施工方法和施工组织方案。</w:t>
      </w:r>
    </w:p>
    <w:p w14:paraId="4186C3B3">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10.1.2.2 认真</w:t>
      </w:r>
      <w:r>
        <w:rPr>
          <w:rFonts w:hint="eastAsia" w:ascii="宋体" w:hAnsi="宋体" w:cs="宋体"/>
          <w:kern w:val="0"/>
          <w:szCs w:val="21"/>
          <w:highlight w:val="none"/>
          <w:lang w:eastAsia="zh-CN"/>
        </w:rPr>
        <w:t>做好</w:t>
      </w:r>
      <w:r>
        <w:rPr>
          <w:rFonts w:hint="eastAsia" w:ascii="宋体" w:hAnsi="宋体" w:cs="宋体"/>
          <w:kern w:val="0"/>
          <w:szCs w:val="21"/>
          <w:highlight w:val="none"/>
        </w:rPr>
        <w:t>施工图交底工作。</w:t>
      </w:r>
      <w:r>
        <w:rPr>
          <w:rFonts w:hint="eastAsia" w:ascii="宋体" w:hAnsi="宋体" w:cs="宋体"/>
          <w:kern w:val="0"/>
          <w:szCs w:val="21"/>
          <w:highlight w:val="none"/>
          <w:lang w:eastAsia="zh-CN"/>
        </w:rPr>
        <w:t>中标人</w:t>
      </w:r>
      <w:r>
        <w:rPr>
          <w:rFonts w:hint="eastAsia" w:ascii="宋体" w:hAnsi="宋体" w:cs="宋体"/>
          <w:kern w:val="0"/>
          <w:szCs w:val="21"/>
          <w:highlight w:val="none"/>
        </w:rPr>
        <w:t>根据甲方要求做好施工图设计，负责施工图的细化工作。</w:t>
      </w:r>
    </w:p>
    <w:p w14:paraId="5878494F">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10.1.2.3 </w:t>
      </w:r>
      <w:r>
        <w:rPr>
          <w:rFonts w:hint="eastAsia" w:ascii="宋体" w:hAnsi="宋体" w:cs="宋体"/>
          <w:kern w:val="0"/>
          <w:szCs w:val="21"/>
          <w:highlight w:val="none"/>
          <w:lang w:eastAsia="zh-CN"/>
        </w:rPr>
        <w:t>中标人</w:t>
      </w:r>
      <w:r>
        <w:rPr>
          <w:rFonts w:hint="eastAsia" w:ascii="宋体" w:hAnsi="宋体" w:cs="宋体"/>
          <w:kern w:val="0"/>
          <w:szCs w:val="21"/>
          <w:highlight w:val="none"/>
        </w:rPr>
        <w:t>在开工前派出技术人员，根据</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的要求进行现场勘测。</w:t>
      </w:r>
    </w:p>
    <w:p w14:paraId="257DA75F">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10.1.2.4 编制施工组织方案，并与其他设备与建筑装修工作相协调。</w:t>
      </w:r>
    </w:p>
    <w:p w14:paraId="5D8A5380">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10.1.2.5 由</w:t>
      </w:r>
      <w:r>
        <w:rPr>
          <w:rFonts w:hint="eastAsia" w:ascii="宋体" w:hAnsi="宋体" w:cs="宋体"/>
          <w:kern w:val="0"/>
          <w:szCs w:val="21"/>
          <w:highlight w:val="none"/>
          <w:lang w:eastAsia="zh-CN"/>
        </w:rPr>
        <w:t>中标人</w:t>
      </w:r>
      <w:r>
        <w:rPr>
          <w:rFonts w:hint="eastAsia" w:ascii="宋体" w:hAnsi="宋体" w:cs="宋体"/>
          <w:kern w:val="0"/>
          <w:szCs w:val="21"/>
          <w:highlight w:val="none"/>
        </w:rPr>
        <w:t>负责所有货物的仓储，工程完毕后向</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进行交接。</w:t>
      </w:r>
    </w:p>
    <w:p w14:paraId="1E349AAA">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308" w:name="_Toc270688004"/>
      <w:bookmarkStart w:id="309" w:name="_Toc18647"/>
      <w:bookmarkStart w:id="310" w:name="_Toc270689667"/>
      <w:bookmarkStart w:id="311" w:name="_Toc415489332"/>
      <w:r>
        <w:rPr>
          <w:rFonts w:hint="eastAsia" w:ascii="宋体" w:hAnsi="宋体" w:cs="宋体"/>
          <w:kern w:val="0"/>
          <w:szCs w:val="21"/>
          <w:highlight w:val="none"/>
        </w:rPr>
        <w:t>10.1.3 开工准备</w:t>
      </w:r>
      <w:bookmarkEnd w:id="308"/>
      <w:bookmarkEnd w:id="309"/>
      <w:bookmarkEnd w:id="310"/>
      <w:bookmarkEnd w:id="311"/>
      <w:bookmarkStart w:id="312" w:name="T1306"/>
      <w:bookmarkEnd w:id="312"/>
    </w:p>
    <w:p w14:paraId="08CDC92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为保证工程顺利实施，正式开工前必须具备下列条件：</w:t>
      </w:r>
    </w:p>
    <w:p w14:paraId="0EC6B73C">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10.1.3.1 </w:t>
      </w:r>
      <w:r>
        <w:rPr>
          <w:rFonts w:hint="eastAsia" w:ascii="宋体" w:hAnsi="宋体" w:cs="宋体"/>
          <w:kern w:val="0"/>
          <w:szCs w:val="21"/>
          <w:highlight w:val="none"/>
          <w:lang w:eastAsia="zh-CN"/>
        </w:rPr>
        <w:t>中标人</w:t>
      </w:r>
      <w:r>
        <w:rPr>
          <w:rFonts w:hint="eastAsia" w:ascii="宋体" w:hAnsi="宋体" w:cs="宋体"/>
          <w:kern w:val="0"/>
          <w:szCs w:val="21"/>
          <w:highlight w:val="none"/>
        </w:rPr>
        <w:t>在开工前应组织施工调查，并根据合同做好施工组织工作，提出施工组织计划以及质量保证措施。</w:t>
      </w:r>
    </w:p>
    <w:p w14:paraId="717912F1">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10.1.3.2 安装验收规范书</w:t>
      </w:r>
    </w:p>
    <w:p w14:paraId="7C86C2C0">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lang w:eastAsia="zh-CN"/>
        </w:rPr>
        <w:t>中标人</w:t>
      </w:r>
      <w:r>
        <w:rPr>
          <w:rFonts w:hint="eastAsia" w:ascii="宋体" w:hAnsi="宋体" w:cs="宋体"/>
          <w:kern w:val="0"/>
          <w:szCs w:val="21"/>
          <w:highlight w:val="none"/>
        </w:rPr>
        <w:t>在工程进行安装前2周向买方提供安装工程规范（包括验收工程、标准、方法以及对不合格工程的修理和替换的规定等），经</w:t>
      </w:r>
      <w:r>
        <w:rPr>
          <w:rFonts w:hint="eastAsia" w:ascii="宋体" w:hAnsi="宋体" w:cs="宋体"/>
          <w:kern w:val="0"/>
          <w:szCs w:val="21"/>
          <w:highlight w:val="none"/>
          <w:lang w:val="en-US" w:eastAsia="zh-CN"/>
        </w:rPr>
        <w:t>招标人</w:t>
      </w:r>
      <w:r>
        <w:rPr>
          <w:rFonts w:hint="eastAsia" w:ascii="宋体" w:hAnsi="宋体" w:cs="宋体"/>
          <w:kern w:val="0"/>
          <w:szCs w:val="21"/>
          <w:highlight w:val="none"/>
        </w:rPr>
        <w:t>批准后，安装验收规范书正式生效。</w:t>
      </w:r>
    </w:p>
    <w:p w14:paraId="4BF35E67">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10.1.3.3 用于安装的设计文件及施工图应满足施工需要，</w:t>
      </w:r>
      <w:r>
        <w:rPr>
          <w:rFonts w:hint="eastAsia" w:ascii="宋体" w:hAnsi="宋体" w:cs="宋体"/>
          <w:kern w:val="0"/>
          <w:szCs w:val="21"/>
          <w:highlight w:val="none"/>
          <w:lang w:eastAsia="zh-CN"/>
        </w:rPr>
        <w:t>中标人</w:t>
      </w:r>
      <w:r>
        <w:rPr>
          <w:rFonts w:hint="eastAsia" w:ascii="宋体" w:hAnsi="宋体" w:cs="宋体"/>
          <w:kern w:val="0"/>
          <w:szCs w:val="21"/>
          <w:highlight w:val="none"/>
        </w:rPr>
        <w:t>应核实甲方的需求能否满足，工程能否顺利实施，发现问题应及时通知买方。施工人员应熟悉施工图纸及有关资料，包括工程特点、施工方案、工艺要求、施工质量标准等。</w:t>
      </w:r>
    </w:p>
    <w:p w14:paraId="1EE318FE">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10.1.3.4 设备、器材供货、货源、规格数量与施工图相吻合，施工机具、仪表（器），劳动力已安排落实，可满足连续施工和阶段施工要求。</w:t>
      </w:r>
    </w:p>
    <w:p w14:paraId="3331CDFD">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10.1.3.5 乙供的材料型号、规格必须符合设计要求，并有产品合格证书，未经鉴定批准的产品或不合格产品不得在本工程使用，所有乙供材料的试验和检验应执行合同的有关规定。</w:t>
      </w:r>
    </w:p>
    <w:p w14:paraId="68FB7687">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bookmarkStart w:id="313" w:name="_Toc270688005"/>
      <w:bookmarkStart w:id="314" w:name="_Toc270689668"/>
      <w:bookmarkStart w:id="315" w:name="_Toc415489333"/>
      <w:bookmarkStart w:id="316" w:name="_Toc18405"/>
      <w:r>
        <w:rPr>
          <w:rFonts w:hint="eastAsia" w:ascii="宋体" w:hAnsi="宋体" w:cs="宋体"/>
          <w:kern w:val="0"/>
          <w:szCs w:val="21"/>
          <w:highlight w:val="none"/>
        </w:rPr>
        <w:t>10.2 施工技术要求</w:t>
      </w:r>
      <w:bookmarkEnd w:id="313"/>
      <w:bookmarkEnd w:id="314"/>
      <w:bookmarkEnd w:id="315"/>
      <w:bookmarkEnd w:id="316"/>
    </w:p>
    <w:p w14:paraId="66B3E57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highlight w:val="none"/>
        </w:rPr>
        <w:t xml:space="preserve">10.2.1 </w:t>
      </w:r>
      <w:r>
        <w:rPr>
          <w:rFonts w:hint="eastAsia" w:ascii="宋体" w:hAnsi="宋体" w:cs="宋体"/>
          <w:kern w:val="0"/>
          <w:szCs w:val="21"/>
          <w:highlight w:val="none"/>
          <w:lang w:eastAsia="zh-CN"/>
        </w:rPr>
        <w:t>中标人</w:t>
      </w:r>
      <w:r>
        <w:rPr>
          <w:rFonts w:hint="eastAsia" w:ascii="宋体" w:hAnsi="宋体" w:cs="宋体"/>
          <w:kern w:val="0"/>
          <w:szCs w:val="21"/>
          <w:highlight w:val="none"/>
        </w:rPr>
        <w:t>施工中采用和推广经批准的新技术、新材料、新工艺，应制定不低于现行国家或部及行业规范水平的质量标准和工艺要求，并经买方代表批准。</w:t>
      </w:r>
      <w:r>
        <w:rPr>
          <w:rFonts w:hint="eastAsia" w:ascii="宋体" w:hAnsi="宋体" w:cs="宋体"/>
          <w:kern w:val="0"/>
          <w:szCs w:val="21"/>
          <w:highlight w:val="none"/>
          <w:lang w:eastAsia="zh-CN"/>
        </w:rPr>
        <w:t>中标人</w:t>
      </w:r>
      <w:r>
        <w:rPr>
          <w:rFonts w:hint="eastAsia" w:ascii="宋体" w:hAnsi="宋体" w:cs="宋体"/>
          <w:kern w:val="0"/>
          <w:szCs w:val="21"/>
          <w:highlight w:val="none"/>
        </w:rPr>
        <w:t>在工程中所用设</w:t>
      </w:r>
      <w:r>
        <w:rPr>
          <w:rFonts w:hint="eastAsia" w:ascii="宋体" w:hAnsi="宋体" w:cs="宋体"/>
          <w:kern w:val="0"/>
          <w:szCs w:val="21"/>
        </w:rPr>
        <w:t>备、材料及其安装必须符合设计要求及国家现行标准。</w:t>
      </w:r>
    </w:p>
    <w:p w14:paraId="13F93B8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10.2.2 在工程施工过程中，如果工程的位置、标高尺寸或准线出现错误，</w:t>
      </w:r>
      <w:r>
        <w:rPr>
          <w:rFonts w:hint="eastAsia" w:ascii="宋体" w:hAnsi="宋体" w:cs="宋体"/>
          <w:kern w:val="0"/>
          <w:szCs w:val="21"/>
          <w:highlight w:val="none"/>
          <w:lang w:eastAsia="zh-CN"/>
        </w:rPr>
        <w:t>中标人</w:t>
      </w:r>
      <w:r>
        <w:rPr>
          <w:rFonts w:hint="eastAsia" w:ascii="宋体" w:hAnsi="宋体" w:cs="宋体"/>
          <w:kern w:val="0"/>
          <w:szCs w:val="21"/>
          <w:highlight w:val="none"/>
        </w:rPr>
        <w:t>应</w:t>
      </w:r>
      <w:r>
        <w:rPr>
          <w:rFonts w:hint="eastAsia" w:ascii="宋体" w:hAnsi="宋体" w:cs="宋体"/>
          <w:kern w:val="0"/>
          <w:szCs w:val="21"/>
        </w:rPr>
        <w:t>修正上述错误并负担修正错误的一切费用。</w:t>
      </w:r>
    </w:p>
    <w:p w14:paraId="35A0427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10.2.3 乙供材料的型号、规格、货源、数量符合设计及合同规定。内部设备接 (插)件 (盘)完整，符合施工图设计。</w:t>
      </w:r>
    </w:p>
    <w:p w14:paraId="30D61EF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10.2.4 机架 (柜)的安装</w:t>
      </w:r>
    </w:p>
    <w:p w14:paraId="2801010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10.2.4.1 设备安装位置符合设计要求。机架 (柜)安装与地面垂直、平稳。吊装后机架 (柜)倾斜偏差应小于机架 (柜)身高千分之一。</w:t>
      </w:r>
    </w:p>
    <w:p w14:paraId="049E810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10.2.4.2 机架、机柜固定符合设计规定。固定螺丝、垫片和弹簧圈应按要求紧固，不得漏装。</w:t>
      </w:r>
    </w:p>
    <w:p w14:paraId="37FD735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10.2.4.3 机架 (柜)内设备、部件安装应在机架 (柜)定位并加固安装，安装牢固、端正，符合安装手册要求。</w:t>
      </w:r>
    </w:p>
    <w:p w14:paraId="2284012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10.2.5 室内配线</w:t>
      </w:r>
    </w:p>
    <w:p w14:paraId="6D128FC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10.2.5.1 配线的规格型号及敷设方式符合设计规定。</w:t>
      </w:r>
    </w:p>
    <w:p w14:paraId="7C59632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10.2.5.2 配线用线、缆应完整，无破损、发霉、受潮现象，芯线应无错线、断线、混线。配线（缆）不扭曲，不褶皱，封头良好，施工前应进行对号、环阻、绝缘测试，测试结果必须满足衰减要求并记录。</w:t>
      </w:r>
    </w:p>
    <w:p w14:paraId="3EF4CB6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10.2.5.3配线正确，无错、漏现象。</w:t>
      </w:r>
    </w:p>
    <w:p w14:paraId="7588D1F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10.2.5.4 配线电缆在室内走线架上敷设及编扎执行“TB10205-99”中的有关规定（也可参考安装手册），应按机架、机列顺序平直排列正确，互相靠拢，不得起伏不平，纽绞和交叉，绑扎线扣应正确一致。</w:t>
      </w:r>
    </w:p>
    <w:p w14:paraId="3C4D396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10.2.5.5 室内电缆走线架的安装、制作应符合有关规定，走线架安装位置与设计规定位置偏差不大于50mm，相邻走线架水平偏差不大于3mm。</w:t>
      </w:r>
    </w:p>
    <w:p w14:paraId="55D6C8A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10.2.5.6 配线焊接牢固，扭结正确、密实。</w:t>
      </w:r>
    </w:p>
    <w:p w14:paraId="761E637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10.2.5.7 接地装置的种类、接地电阻阻值、用材规格、引入方式符合设计规定。</w:t>
      </w:r>
    </w:p>
    <w:p w14:paraId="317E4511">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10.2.5.8 所有线路必须走线槽或由钢管/护套管进行防护；</w:t>
      </w:r>
    </w:p>
    <w:p w14:paraId="2727ECD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10.2.6  通信线路的敷设</w:t>
      </w:r>
    </w:p>
    <w:p w14:paraId="3430EC9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本工程中通信线路包括同轴电缆、电源电缆、控制电缆及站（段）市话电缆敷设等部分。其中明敷的电缆，应具有抗太阳辐射能力。直埋敷设时应该使用PE子管，做好线缆防护；经过路面敷设时，需使用镀锌钢管对线缆做防护；对于长距离的线缆敷设时，应该在起始端、经过的主要路面两端、穿过的建筑物两端，明确线缆标识。</w:t>
      </w:r>
    </w:p>
    <w:p w14:paraId="36E6C1F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10.2.6.1 电缆规格、型号、电气特性必须符合设计要求。</w:t>
      </w:r>
    </w:p>
    <w:p w14:paraId="6EA79AB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10.2.6.2 敷设电缆时电缆</w:t>
      </w:r>
      <w:r>
        <w:rPr>
          <w:rFonts w:hint="eastAsia" w:ascii="宋体" w:hAnsi="宋体" w:cs="宋体"/>
          <w:kern w:val="0"/>
          <w:szCs w:val="21"/>
          <w:lang w:eastAsia="zh-CN"/>
        </w:rPr>
        <w:t>弯曲</w:t>
      </w:r>
      <w:r>
        <w:rPr>
          <w:rFonts w:hint="eastAsia" w:ascii="宋体" w:hAnsi="宋体" w:cs="宋体"/>
          <w:kern w:val="0"/>
          <w:szCs w:val="21"/>
        </w:rPr>
        <w:t>半径应大于电缆直径的15倍，电缆余长为1.5米。</w:t>
      </w:r>
    </w:p>
    <w:p w14:paraId="618196C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10.2.6.3 两线对地绝缘电阻不小于2MΩ。</w:t>
      </w:r>
    </w:p>
    <w:p w14:paraId="71C0911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10.2.6.4 电缆穿管道</w:t>
      </w:r>
      <w:r>
        <w:rPr>
          <w:rFonts w:hint="eastAsia" w:ascii="宋体" w:hAnsi="宋体" w:cs="宋体"/>
          <w:kern w:val="0"/>
          <w:szCs w:val="21"/>
          <w:lang w:eastAsia="zh-CN"/>
        </w:rPr>
        <w:t>直接</w:t>
      </w:r>
      <w:r>
        <w:rPr>
          <w:rFonts w:hint="eastAsia" w:ascii="宋体" w:hAnsi="宋体" w:cs="宋体"/>
          <w:kern w:val="0"/>
          <w:szCs w:val="21"/>
        </w:rPr>
        <w:t>涂抹黄油或滑石粉，以免损伤电缆。</w:t>
      </w:r>
    </w:p>
    <w:p w14:paraId="568862F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10.2.6.5 视频电缆长度应逐盘核对，适当选配电缆。</w:t>
      </w:r>
    </w:p>
    <w:p w14:paraId="66BF50B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10.2.6.6 从摄像机引出的电缆</w:t>
      </w:r>
      <w:r>
        <w:rPr>
          <w:rFonts w:hint="eastAsia" w:ascii="宋体" w:hAnsi="宋体" w:cs="宋体"/>
          <w:kern w:val="0"/>
          <w:szCs w:val="21"/>
          <w:lang w:eastAsia="zh-CN"/>
        </w:rPr>
        <w:t>预留</w:t>
      </w:r>
      <w:r>
        <w:rPr>
          <w:rFonts w:hint="eastAsia" w:ascii="宋体" w:hAnsi="宋体" w:cs="宋体"/>
          <w:kern w:val="0"/>
          <w:szCs w:val="21"/>
        </w:rPr>
        <w:t>1m的余量。视频电缆、控制电缆、电源电缆均应固定。</w:t>
      </w:r>
    </w:p>
    <w:p w14:paraId="20B5D20E">
      <w:pPr>
        <w:spacing w:line="440" w:lineRule="exact"/>
        <w:ind w:firstLine="420" w:firstLineChars="200"/>
        <w:rPr>
          <w:rFonts w:hint="eastAsia" w:ascii="宋体" w:hAnsi="宋体" w:cs="宋体"/>
          <w:b/>
          <w:bCs/>
          <w:szCs w:val="21"/>
        </w:rPr>
      </w:pPr>
      <w:bookmarkStart w:id="317" w:name="_Toc208481056"/>
      <w:bookmarkStart w:id="318" w:name="_Toc488238909"/>
      <w:bookmarkStart w:id="319" w:name="_Toc440551886"/>
      <w:bookmarkStart w:id="320" w:name="_Toc172623577"/>
      <w:bookmarkStart w:id="321" w:name="_Toc294082656"/>
      <w:r>
        <w:rPr>
          <w:rFonts w:hint="eastAsia" w:ascii="宋体" w:hAnsi="宋体" w:cs="宋体"/>
          <w:b/>
          <w:bCs/>
          <w:szCs w:val="21"/>
        </w:rPr>
        <w:t>十一</w:t>
      </w:r>
      <w:r>
        <w:rPr>
          <w:rFonts w:hint="eastAsia" w:ascii="宋体" w:hAnsi="宋体" w:cs="宋体"/>
          <w:b/>
          <w:bCs/>
          <w:szCs w:val="21"/>
          <w:lang w:eastAsia="zh-CN"/>
        </w:rPr>
        <w:t>、</w:t>
      </w:r>
      <w:r>
        <w:rPr>
          <w:rFonts w:hint="eastAsia" w:ascii="宋体" w:hAnsi="宋体" w:cs="宋体"/>
          <w:b/>
          <w:bCs/>
          <w:szCs w:val="21"/>
        </w:rPr>
        <w:t>作业要求</w:t>
      </w:r>
    </w:p>
    <w:p w14:paraId="72F1D2FE">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11.1 中标人进场前需向招标人缴纳履约保证金及签订安全协议，要通过招标人的安全培训并且合格。</w:t>
      </w:r>
    </w:p>
    <w:p w14:paraId="76ADA0A4">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11.2 中标人自行将每日施工所需材料运至现场，并做好未完品保护。</w:t>
      </w:r>
    </w:p>
    <w:p w14:paraId="49B76C79">
      <w:pPr>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11.3 中标人每日作业完成后须经双方检查确认合格后方可撤离现场。</w:t>
      </w:r>
    </w:p>
    <w:p w14:paraId="0C49EDBD">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11.4 中标人应严格遵守</w:t>
      </w:r>
      <w:r>
        <w:rPr>
          <w:rFonts w:ascii="宋体" w:hAnsi="宋体" w:cs="宋体"/>
          <w:kern w:val="0"/>
          <w:szCs w:val="21"/>
          <w:highlight w:val="none"/>
        </w:rPr>
        <w:t>滁宁城铁</w:t>
      </w:r>
      <w:r>
        <w:rPr>
          <w:rFonts w:hint="eastAsia" w:ascii="宋体" w:hAnsi="宋体" w:cs="宋体"/>
          <w:kern w:val="0"/>
          <w:szCs w:val="21"/>
          <w:highlight w:val="none"/>
        </w:rPr>
        <w:t>的安全施工制度要求，做好现场的作业安全防护，文明施工，保证施工现场工完料清。</w:t>
      </w:r>
    </w:p>
    <w:p w14:paraId="34DE058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11.5 现场作业人员防护用品必须齐备（反光背心、安全帽、劳保手套、劳保鞋等），否则不予操作，操作时须规范佩戴防护用品。</w:t>
      </w:r>
    </w:p>
    <w:p w14:paraId="425D34E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11.6 施工完成后必须清理现场，做到“三清”，并配合招标人检查完毕后方可撤离现场。</w:t>
      </w:r>
    </w:p>
    <w:p w14:paraId="66AF602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11.7 密切加强与运营部门的协调工作，并按管理规定对人员、物件及时清场，施工场所要做到工完料尽。</w:t>
      </w:r>
    </w:p>
    <w:p w14:paraId="2B0F9BB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11.8 实施人员工作前不许饮酒，进入施工现场不准嬉笑打闹。 实施期间应做好相应的安全保护措施。</w:t>
      </w:r>
    </w:p>
    <w:p w14:paraId="40DA178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11.9 实施前须由项目负责人向操作人员进行技术交底和安全交底，并做好记录（签字确认），未经交底者不得进入现场作业。</w:t>
      </w:r>
    </w:p>
    <w:p w14:paraId="2C326C0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11.10 对既有设施、设备的操作</w:t>
      </w:r>
      <w:r>
        <w:rPr>
          <w:rFonts w:hint="eastAsia" w:ascii="宋体" w:hAnsi="宋体" w:cs="宋体"/>
          <w:kern w:val="0"/>
          <w:szCs w:val="21"/>
          <w:highlight w:val="none"/>
        </w:rPr>
        <w:t>，中标人需</w:t>
      </w:r>
      <w:r>
        <w:rPr>
          <w:rFonts w:hint="eastAsia" w:ascii="宋体" w:hAnsi="宋体" w:cs="宋体"/>
          <w:kern w:val="0"/>
          <w:szCs w:val="21"/>
        </w:rPr>
        <w:t>在招标人监督下，由相关专业配合完成。</w:t>
      </w:r>
    </w:p>
    <w:bookmarkEnd w:id="317"/>
    <w:bookmarkEnd w:id="318"/>
    <w:bookmarkEnd w:id="319"/>
    <w:bookmarkEnd w:id="320"/>
    <w:bookmarkEnd w:id="321"/>
    <w:p w14:paraId="09A7334A">
      <w:pPr>
        <w:spacing w:line="440" w:lineRule="exact"/>
        <w:ind w:firstLine="420" w:firstLineChars="200"/>
        <w:rPr>
          <w:rFonts w:hint="eastAsia" w:ascii="宋体" w:hAnsi="宋体" w:cs="宋体"/>
          <w:b/>
          <w:bCs/>
          <w:szCs w:val="21"/>
        </w:rPr>
      </w:pPr>
      <w:bookmarkStart w:id="322" w:name="_Toc172623578"/>
      <w:bookmarkStart w:id="323" w:name="_Toc440551887"/>
      <w:bookmarkStart w:id="324" w:name="_Toc294082657"/>
      <w:bookmarkStart w:id="325" w:name="_Toc208481057"/>
      <w:bookmarkStart w:id="326" w:name="_Toc488238910"/>
      <w:r>
        <w:rPr>
          <w:rFonts w:hint="eastAsia" w:ascii="宋体" w:hAnsi="宋体" w:cs="宋体"/>
          <w:b/>
          <w:bCs/>
          <w:szCs w:val="21"/>
        </w:rPr>
        <w:t>十二</w:t>
      </w:r>
      <w:r>
        <w:rPr>
          <w:rFonts w:hint="eastAsia" w:ascii="宋体" w:hAnsi="宋体" w:cs="宋体"/>
          <w:b/>
          <w:bCs/>
          <w:szCs w:val="21"/>
          <w:lang w:eastAsia="zh-CN"/>
        </w:rPr>
        <w:t>、</w:t>
      </w:r>
      <w:r>
        <w:rPr>
          <w:rFonts w:hint="eastAsia" w:ascii="宋体" w:hAnsi="宋体" w:cs="宋体"/>
          <w:b/>
          <w:bCs/>
          <w:szCs w:val="21"/>
        </w:rPr>
        <w:t>保证措施</w:t>
      </w:r>
      <w:bookmarkEnd w:id="322"/>
      <w:bookmarkEnd w:id="323"/>
      <w:bookmarkEnd w:id="324"/>
      <w:bookmarkEnd w:id="325"/>
      <w:bookmarkEnd w:id="326"/>
    </w:p>
    <w:p w14:paraId="48A0FBD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12.1严格遵守和执行国家、地方、行业的相关法律、法规、规范、规程、标准及招标人的各项管理制度及规定。</w:t>
      </w:r>
    </w:p>
    <w:p w14:paraId="1FCA73F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12.2遵守合同协议，组织足够力量的技术人员、技术工人，完成合同约定。</w:t>
      </w:r>
    </w:p>
    <w:p w14:paraId="5A7B1D3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12.3对组织机构定岗、定员。队伍人员素质、专业技术结构满足各项要求，并保证人员稳定。</w:t>
      </w:r>
    </w:p>
    <w:p w14:paraId="0196EAF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12.4严格按照招标人管理模式，及招标人审定的工作计划和方案组织实施。</w:t>
      </w:r>
    </w:p>
    <w:p w14:paraId="28CB85B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12.5按照合同协议认真执行，及时完成初验、问题反馈以及最终验收。</w:t>
      </w:r>
    </w:p>
    <w:p w14:paraId="2A5A5A6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12.6同招标人密切配合，有权利也有义务为招标人生产及设备维护提出合理化建议，形成“相溶、相敬、互通、互助”的局面。</w:t>
      </w:r>
    </w:p>
    <w:p w14:paraId="75B516CA">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12.7强化对工期的检查、监督。</w:t>
      </w:r>
    </w:p>
    <w:p w14:paraId="11DEB63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12.8严格控制质量。认真做好每一项工作任务，做到工作不留尾项，不留隐患，不出现返工，降低总体成本，提高经济效益。</w:t>
      </w:r>
    </w:p>
    <w:p w14:paraId="1F25AE0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12.9加强安全管理力度，杜绝各类事故的发生。</w:t>
      </w:r>
    </w:p>
    <w:p w14:paraId="22CCD2CC">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12.10团队人员的病假、事假、调休轮休、探亲等各种假期，中标人必须在定编不缺员的情况下合理安排，并经招标人批准。</w:t>
      </w:r>
    </w:p>
    <w:p w14:paraId="4B41C98B">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12.11项目负责人及主要技术骨干休息，离开岗位，必须向招标人办理请假手续。岗位缺员，招标人有权另行临时聘员或工作外协，所发生的费用由中标人承担。</w:t>
      </w:r>
    </w:p>
    <w:p w14:paraId="642F15AA">
      <w:pPr>
        <w:spacing w:line="440" w:lineRule="exact"/>
        <w:ind w:firstLine="420" w:firstLineChars="200"/>
        <w:rPr>
          <w:rFonts w:hint="eastAsia" w:ascii="宋体" w:hAnsi="宋体" w:cs="宋体"/>
          <w:b/>
          <w:bCs/>
          <w:szCs w:val="21"/>
          <w:highlight w:val="none"/>
        </w:rPr>
      </w:pPr>
      <w:bookmarkStart w:id="327" w:name="_Toc488238911"/>
      <w:bookmarkStart w:id="328" w:name="_Toc208481058"/>
      <w:bookmarkStart w:id="329" w:name="_Toc440551888"/>
      <w:bookmarkStart w:id="330" w:name="_Toc172623579"/>
      <w:bookmarkStart w:id="331" w:name="_Toc294082658"/>
      <w:r>
        <w:rPr>
          <w:rFonts w:hint="eastAsia" w:ascii="宋体" w:hAnsi="宋体" w:cs="宋体"/>
          <w:b/>
          <w:bCs/>
          <w:szCs w:val="21"/>
          <w:highlight w:val="none"/>
        </w:rPr>
        <w:t>十</w:t>
      </w:r>
      <w:r>
        <w:rPr>
          <w:rFonts w:hint="eastAsia" w:ascii="宋体" w:hAnsi="宋体" w:cs="宋体"/>
          <w:b/>
          <w:bCs/>
          <w:szCs w:val="21"/>
          <w:highlight w:val="none"/>
          <w:lang w:val="en-US" w:eastAsia="zh-CN"/>
        </w:rPr>
        <w:t>三、</w:t>
      </w:r>
      <w:r>
        <w:rPr>
          <w:rFonts w:hint="eastAsia" w:ascii="宋体" w:hAnsi="宋体" w:cs="宋体"/>
          <w:b/>
          <w:bCs/>
          <w:szCs w:val="21"/>
          <w:highlight w:val="none"/>
        </w:rPr>
        <w:t>质量管理</w:t>
      </w:r>
      <w:bookmarkEnd w:id="327"/>
      <w:bookmarkEnd w:id="328"/>
      <w:bookmarkEnd w:id="329"/>
      <w:bookmarkEnd w:id="330"/>
      <w:bookmarkEnd w:id="331"/>
    </w:p>
    <w:p w14:paraId="1997FA2E">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3</w:t>
      </w:r>
      <w:r>
        <w:rPr>
          <w:rFonts w:hint="eastAsia" w:ascii="宋体" w:hAnsi="宋体" w:cs="宋体"/>
          <w:kern w:val="0"/>
          <w:szCs w:val="21"/>
          <w:highlight w:val="none"/>
        </w:rPr>
        <w:t>.1中标人必须有明确的项目质量方针、质量目标并按此进行质量管理。</w:t>
      </w:r>
    </w:p>
    <w:p w14:paraId="78ECE79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3</w:t>
      </w:r>
      <w:r>
        <w:rPr>
          <w:rFonts w:hint="eastAsia" w:ascii="宋体" w:hAnsi="宋体" w:cs="宋体"/>
          <w:kern w:val="0"/>
          <w:szCs w:val="21"/>
          <w:highlight w:val="none"/>
        </w:rPr>
        <w:t>.2中标人必须认真贯彻执</w:t>
      </w:r>
      <w:r>
        <w:rPr>
          <w:rFonts w:hint="eastAsia" w:ascii="宋体" w:hAnsi="宋体" w:cs="宋体"/>
          <w:kern w:val="0"/>
          <w:szCs w:val="21"/>
        </w:rPr>
        <w:t>行GB/T19001-ISO9001质量保证标准。以完整的质量管理体系对待每一项检测工作，从准备到交工的各个环节都要做到精心组织，科学管理，对检测质量严格要求。</w:t>
      </w:r>
    </w:p>
    <w:p w14:paraId="126F8B91">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.3质量保证</w:t>
      </w:r>
    </w:p>
    <w:p w14:paraId="43DE321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.3.1认真贯彻执行国家、地方、行业及招标人有关部门对设备质量的有关规范、规定和《质量管理和质量保证》体系等有关规定。</w:t>
      </w:r>
    </w:p>
    <w:p w14:paraId="5841049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.3.2坚持把“质量第一，用户至上”作为质量控制的基本原则。</w:t>
      </w:r>
    </w:p>
    <w:p w14:paraId="6516A95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.3.3针对质量目标编制质量检验与管理体制实施细则，编制工作关键项目的施工（检修）作业技术措施或作业指导书，并严格执行，做好预防措施、控制质量通病。</w:t>
      </w:r>
    </w:p>
    <w:p w14:paraId="21DEC451">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.3.4选派作业水平较高且有丰富经验的专业人员上岗，并组织学习滁宁城铁设备特性和技术标准以及要求，努力提高人员的业务素质，避免人为失误。以人的工作质量保工序质量、促工程质量，确保作业质量。</w:t>
      </w:r>
    </w:p>
    <w:p w14:paraId="669A33D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.3.5“以人为核心”，加强对员工的质量意识教育，充分调动所有施工人员的积极性，增强人的责任感，抓好施工过程中的质量控制，加大质量管理和质量检验力度，虚心接受招标人意见。</w:t>
      </w:r>
    </w:p>
    <w:p w14:paraId="7B975B4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.3.6项目保证资料真实、完整、规范、及时、满足要求。</w:t>
      </w:r>
    </w:p>
    <w:p w14:paraId="42065C7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.3.7检测管理标准化，检测操作规范化。</w:t>
      </w:r>
    </w:p>
    <w:p w14:paraId="4002A92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.3.8强化全过程的质量管理，在工作准备阶段主动与招标人取得联系，确保质量和工期。</w:t>
      </w:r>
    </w:p>
    <w:p w14:paraId="6ED429E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.3.9加强隐蔽工程的质量管理，隐蔽工程施工必须经招标人检查，并办好签字手续后方可隐蔽。</w:t>
      </w:r>
    </w:p>
    <w:p w14:paraId="0D8753F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.3.10 坚持预防为主，确保工程的内在质量和外观质量均符合要求。</w:t>
      </w:r>
    </w:p>
    <w:p w14:paraId="33FCBABE">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.3.11对施工（检修）用机具、设备、计量器具严格管理。对施工（检修）用检验、测量和试验设备分类按期进行校验、校准，使用前进行仔细检查，保证使用合格的计量器具。</w:t>
      </w:r>
    </w:p>
    <w:p w14:paraId="7B83965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.3.12认真填写记录，做到不合格工序不转序，不合格项目不移交。尤其是对关键工序和特殊过程严加控制，确保工序质量。</w:t>
      </w:r>
    </w:p>
    <w:p w14:paraId="76E2FB25">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.3.13认真做好每次开工作业前的准备，工作结束的质量总结。</w:t>
      </w:r>
    </w:p>
    <w:p w14:paraId="774E070E">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.3.14过程中发生的质量问题或质量事故要</w:t>
      </w:r>
      <w:r>
        <w:rPr>
          <w:rFonts w:hint="eastAsia" w:ascii="宋体" w:hAnsi="宋体" w:cs="宋体"/>
          <w:kern w:val="0"/>
          <w:szCs w:val="21"/>
          <w:highlight w:val="none"/>
        </w:rPr>
        <w:t>及时报告招标人，中标人必须及时制定处理方案，经招标人和有关部门审批后</w:t>
      </w:r>
      <w:r>
        <w:rPr>
          <w:rFonts w:hint="eastAsia" w:ascii="宋体" w:hAnsi="宋体" w:cs="宋体"/>
          <w:kern w:val="0"/>
          <w:szCs w:val="21"/>
          <w:highlight w:val="none"/>
          <w:lang w:eastAsia="zh-CN"/>
        </w:rPr>
        <w:t>实施</w:t>
      </w:r>
      <w:r>
        <w:rPr>
          <w:rFonts w:hint="eastAsia" w:ascii="宋体" w:hAnsi="宋体" w:cs="宋体"/>
          <w:kern w:val="0"/>
          <w:szCs w:val="21"/>
          <w:highlight w:val="none"/>
        </w:rPr>
        <w:t>。</w:t>
      </w:r>
    </w:p>
    <w:p w14:paraId="5A1465D5">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3</w:t>
      </w:r>
      <w:r>
        <w:rPr>
          <w:rFonts w:hint="eastAsia" w:ascii="宋体" w:hAnsi="宋体" w:cs="宋体"/>
          <w:kern w:val="0"/>
          <w:szCs w:val="21"/>
          <w:highlight w:val="none"/>
        </w:rPr>
        <w:t>.3.15中标人应对工作内容认真自检，确认合格后，再报招标人确认。</w:t>
      </w:r>
    </w:p>
    <w:p w14:paraId="144D31BF">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3</w:t>
      </w:r>
      <w:r>
        <w:rPr>
          <w:rFonts w:hint="eastAsia" w:ascii="宋体" w:hAnsi="宋体" w:cs="宋体"/>
          <w:kern w:val="0"/>
          <w:szCs w:val="21"/>
          <w:highlight w:val="none"/>
        </w:rPr>
        <w:t>.3.16中标人必须对现场跟踪检查，发现问题及时组织处理。</w:t>
      </w:r>
    </w:p>
    <w:p w14:paraId="5899E5C2">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3</w:t>
      </w:r>
      <w:r>
        <w:rPr>
          <w:rFonts w:hint="eastAsia" w:ascii="宋体" w:hAnsi="宋体" w:cs="宋体"/>
          <w:kern w:val="0"/>
          <w:szCs w:val="21"/>
          <w:highlight w:val="none"/>
        </w:rPr>
        <w:t>.3.17工作完成后，及时整理完工资料，并交付招标人审核、确认。</w:t>
      </w:r>
    </w:p>
    <w:p w14:paraId="29B52FE5">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3</w:t>
      </w:r>
      <w:r>
        <w:rPr>
          <w:rFonts w:hint="eastAsia" w:ascii="宋体" w:hAnsi="宋体" w:cs="宋体"/>
          <w:kern w:val="0"/>
          <w:szCs w:val="21"/>
          <w:highlight w:val="none"/>
        </w:rPr>
        <w:t>.4 质量管理组织机构及主要职责</w:t>
      </w:r>
    </w:p>
    <w:p w14:paraId="0B21026F">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中标人必须提供该项目的质量管理组织架构图及各岗位的主要职责。</w:t>
      </w:r>
    </w:p>
    <w:p w14:paraId="2D7CDC96">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3</w:t>
      </w:r>
      <w:r>
        <w:rPr>
          <w:rFonts w:hint="eastAsia" w:ascii="宋体" w:hAnsi="宋体" w:cs="宋体"/>
          <w:kern w:val="0"/>
          <w:szCs w:val="21"/>
          <w:highlight w:val="none"/>
        </w:rPr>
        <w:t>.5中标人必须有明确的安全质量检验标准及技术规范并参照执行。</w:t>
      </w:r>
    </w:p>
    <w:p w14:paraId="6964DFA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3</w:t>
      </w:r>
      <w:r>
        <w:rPr>
          <w:rFonts w:hint="eastAsia" w:ascii="宋体" w:hAnsi="宋体" w:cs="宋体"/>
          <w:kern w:val="0"/>
          <w:szCs w:val="21"/>
          <w:highlight w:val="none"/>
        </w:rPr>
        <w:t>.6 除非另有规定，本项目应按中国技术规范和标准设计及施工（检修）作业。如遇遗漏所需项目实施的作业规范，应征得招标人同意，补充规范以满足合同要求。原则上没有国家标准、规范的，适用行业标准、规范；没有国家和行业标准、规范的，适用工程所在地地方标准、规范；国内没有相应标准、规范的，由招标人向中标人提出施工（检修）作业技术要求，中标人提出施工（检修</w:t>
      </w:r>
      <w:r>
        <w:rPr>
          <w:rFonts w:hint="eastAsia" w:ascii="宋体" w:hAnsi="宋体" w:cs="宋体"/>
          <w:kern w:val="0"/>
          <w:szCs w:val="21"/>
        </w:rPr>
        <w:t>）工艺，经招标人批准后执行。</w:t>
      </w:r>
    </w:p>
    <w:p w14:paraId="7A96C56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.7文件资料控制</w:t>
      </w:r>
    </w:p>
    <w:p w14:paraId="4E6F3A4F">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.7.1所有与检测相关文件和记录应分别进行编号、分类、登记、发放、传递、保管和回收，必须与招标人管理同步。</w:t>
      </w:r>
    </w:p>
    <w:p w14:paraId="424912A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.7.2图纸及计划、任务单、各类会议纪要（记录）按程序文件的要求统一编号、分类、登记、标识、存档，按招标人批准的范围发放、传递。</w:t>
      </w:r>
    </w:p>
    <w:p w14:paraId="2F3C27D3">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.7.3如项目修改原</w:t>
      </w:r>
      <w:r>
        <w:rPr>
          <w:rFonts w:hint="eastAsia" w:ascii="宋体" w:hAnsi="宋体" w:cs="宋体"/>
          <w:kern w:val="0"/>
          <w:szCs w:val="21"/>
          <w:highlight w:val="none"/>
        </w:rPr>
        <w:t>设计，中标人必须征得招标人同意并在资料相应位置明确标识，并将修改存档，同时将修改指令复印件附在图中。对作废图纸应及时回收，交招标人统一处理。</w:t>
      </w:r>
    </w:p>
    <w:p w14:paraId="18B9603E">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3</w:t>
      </w:r>
      <w:r>
        <w:rPr>
          <w:rFonts w:hint="eastAsia" w:ascii="宋体" w:hAnsi="宋体" w:cs="宋体"/>
          <w:kern w:val="0"/>
          <w:szCs w:val="21"/>
          <w:highlight w:val="none"/>
        </w:rPr>
        <w:t>.7.4有一整套检修规范、标准等文件，对于标准的更新及规程、规范的变化应及时报告招标人，并在相应部位做代替说明，待业方批准后执行。</w:t>
      </w:r>
    </w:p>
    <w:p w14:paraId="6C15968A">
      <w:pPr>
        <w:spacing w:line="440" w:lineRule="exact"/>
        <w:ind w:firstLine="420" w:firstLineChars="200"/>
        <w:rPr>
          <w:rFonts w:hint="eastAsia" w:ascii="宋体" w:hAnsi="宋体" w:cs="宋体"/>
          <w:b/>
          <w:bCs/>
          <w:szCs w:val="21"/>
          <w:highlight w:val="none"/>
        </w:rPr>
      </w:pPr>
      <w:bookmarkStart w:id="332" w:name="_Toc488238912"/>
      <w:bookmarkStart w:id="333" w:name="_Toc172623580"/>
      <w:bookmarkStart w:id="334" w:name="_Toc294082659"/>
      <w:bookmarkStart w:id="335" w:name="_Toc440551889"/>
      <w:bookmarkStart w:id="336" w:name="_Toc208481059"/>
      <w:r>
        <w:rPr>
          <w:rFonts w:hint="eastAsia" w:ascii="宋体" w:hAnsi="宋体" w:cs="宋体"/>
          <w:b/>
          <w:bCs/>
          <w:szCs w:val="21"/>
          <w:highlight w:val="none"/>
        </w:rPr>
        <w:t>十</w:t>
      </w:r>
      <w:r>
        <w:rPr>
          <w:rFonts w:hint="eastAsia" w:ascii="宋体" w:hAnsi="宋体" w:cs="宋体"/>
          <w:b/>
          <w:bCs/>
          <w:szCs w:val="21"/>
          <w:highlight w:val="none"/>
          <w:lang w:val="en-US" w:eastAsia="zh-CN"/>
        </w:rPr>
        <w:t>四、</w:t>
      </w:r>
      <w:r>
        <w:rPr>
          <w:rFonts w:hint="eastAsia" w:ascii="宋体" w:hAnsi="宋体" w:cs="宋体"/>
          <w:b/>
          <w:bCs/>
          <w:szCs w:val="21"/>
          <w:highlight w:val="none"/>
        </w:rPr>
        <w:t>安全管理</w:t>
      </w:r>
      <w:bookmarkEnd w:id="332"/>
      <w:bookmarkEnd w:id="333"/>
      <w:bookmarkEnd w:id="334"/>
      <w:bookmarkEnd w:id="335"/>
      <w:bookmarkEnd w:id="336"/>
    </w:p>
    <w:p w14:paraId="06146197">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4</w:t>
      </w:r>
      <w:r>
        <w:rPr>
          <w:rFonts w:hint="eastAsia" w:ascii="宋体" w:hAnsi="宋体" w:cs="宋体"/>
          <w:kern w:val="0"/>
          <w:szCs w:val="21"/>
          <w:highlight w:val="none"/>
        </w:rPr>
        <w:t>.1中标人必须有</w:t>
      </w:r>
      <w:r>
        <w:rPr>
          <w:rFonts w:hint="eastAsia" w:ascii="宋体" w:hAnsi="宋体" w:cs="宋体"/>
          <w:kern w:val="0"/>
          <w:szCs w:val="21"/>
          <w:highlight w:val="none"/>
          <w:lang w:eastAsia="zh-CN"/>
        </w:rPr>
        <w:t>明确</w:t>
      </w:r>
      <w:r>
        <w:rPr>
          <w:rFonts w:hint="eastAsia" w:ascii="宋体" w:hAnsi="宋体" w:cs="宋体"/>
          <w:kern w:val="0"/>
          <w:szCs w:val="21"/>
          <w:highlight w:val="none"/>
        </w:rPr>
        <w:t>该项目的安全目标、安全指标并进行安全管理。</w:t>
      </w:r>
    </w:p>
    <w:p w14:paraId="073BB5C0">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4</w:t>
      </w:r>
      <w:r>
        <w:rPr>
          <w:rFonts w:hint="eastAsia" w:ascii="宋体" w:hAnsi="宋体" w:cs="宋体"/>
          <w:kern w:val="0"/>
          <w:szCs w:val="21"/>
          <w:highlight w:val="none"/>
        </w:rPr>
        <w:t>.2中标人必须提供该项目的安全控制组织架构及主要岗位职责。</w:t>
      </w:r>
    </w:p>
    <w:p w14:paraId="07228059">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4</w:t>
      </w:r>
      <w:r>
        <w:rPr>
          <w:rFonts w:hint="eastAsia" w:ascii="宋体" w:hAnsi="宋体" w:cs="宋体"/>
          <w:kern w:val="0"/>
          <w:szCs w:val="21"/>
          <w:highlight w:val="none"/>
        </w:rPr>
        <w:t>.3安全控制管理制度</w:t>
      </w:r>
    </w:p>
    <w:p w14:paraId="0F6B5727">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4</w:t>
      </w:r>
      <w:r>
        <w:rPr>
          <w:rFonts w:hint="eastAsia" w:ascii="宋体" w:hAnsi="宋体" w:cs="宋体"/>
          <w:kern w:val="0"/>
          <w:szCs w:val="21"/>
          <w:highlight w:val="none"/>
        </w:rPr>
        <w:t>.3.1在作业过程中，首先牢固树立“安全第一、预防为主”的思想。</w:t>
      </w:r>
    </w:p>
    <w:p w14:paraId="5B2478A3">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4</w:t>
      </w:r>
      <w:r>
        <w:rPr>
          <w:rFonts w:hint="eastAsia" w:ascii="宋体" w:hAnsi="宋体" w:cs="宋体"/>
          <w:kern w:val="0"/>
          <w:szCs w:val="21"/>
          <w:highlight w:val="none"/>
        </w:rPr>
        <w:t>.3.2全面执行中标人发布的安全管理制度：</w:t>
      </w:r>
    </w:p>
    <w:p w14:paraId="77484969">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4</w:t>
      </w:r>
      <w:r>
        <w:rPr>
          <w:rFonts w:hint="eastAsia" w:ascii="宋体" w:hAnsi="宋体" w:cs="宋体"/>
          <w:kern w:val="0"/>
          <w:szCs w:val="21"/>
          <w:highlight w:val="none"/>
        </w:rPr>
        <w:t>.4安全组织、技术措施</w:t>
      </w:r>
    </w:p>
    <w:p w14:paraId="6D3B95C1">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4</w:t>
      </w:r>
      <w:r>
        <w:rPr>
          <w:rFonts w:hint="eastAsia" w:ascii="宋体" w:hAnsi="宋体" w:cs="宋体"/>
          <w:kern w:val="0"/>
          <w:szCs w:val="21"/>
          <w:highlight w:val="none"/>
        </w:rPr>
        <w:t>.4.1遵照现行国家及有关部门的安全法规、规范、规定对本项目进行安全管理、健康管理、环境管理，确保安全施工（检修），杜绝一切人身伤亡事故。要有完整的安全管理组织体制，有专兼职安全干部，安全员负责设备检测和日常的安全、防火工作等。</w:t>
      </w:r>
    </w:p>
    <w:p w14:paraId="155DD0E3">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4</w:t>
      </w:r>
      <w:r>
        <w:rPr>
          <w:rFonts w:hint="eastAsia" w:ascii="宋体" w:hAnsi="宋体" w:cs="宋体"/>
          <w:kern w:val="0"/>
          <w:szCs w:val="21"/>
          <w:highlight w:val="none"/>
        </w:rPr>
        <w:t>.4.2实行“三级”安全管理，坚持“管施工（检修）的同时必须抓安全”，“项目负责人是第一安全责任人”的原则，开展好正常的安全活动。中标人对本合同工作范围内的安全、消防等负责，对本单位进场人员治安保卫工作负责。</w:t>
      </w:r>
    </w:p>
    <w:p w14:paraId="63BD583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.4.3强化各级安全监察网络，一级抓一级，层层落实安全生产责任制，抓好安全基础工作，重点放在预防上，有针对性的开展好作业前的安全预想预防工作，在布置工作的同时也要布置安全，认真做好内部的各种</w:t>
      </w:r>
      <w:r>
        <w:rPr>
          <w:rFonts w:hint="eastAsia" w:ascii="宋体" w:hAnsi="宋体" w:cs="宋体"/>
          <w:kern w:val="0"/>
          <w:szCs w:val="21"/>
          <w:lang w:eastAsia="zh-CN"/>
        </w:rPr>
        <w:t>安全管理台账</w:t>
      </w:r>
      <w:r>
        <w:rPr>
          <w:rFonts w:hint="eastAsia" w:ascii="宋体" w:hAnsi="宋体" w:cs="宋体"/>
          <w:kern w:val="0"/>
          <w:szCs w:val="21"/>
        </w:rPr>
        <w:t>。</w:t>
      </w:r>
    </w:p>
    <w:p w14:paraId="0F9A83DC">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.4.4执行招标人制定的安全管理制度、安全操作规程及安全奖惩办法等规章制度，强化安全管理。</w:t>
      </w:r>
    </w:p>
    <w:p w14:paraId="5719C59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.4.5推行安全风险制，执行《“安全风险抵押金”制度》，从负责人到施工（检修）人员，逐级签订安全风险责任合同。</w:t>
      </w:r>
    </w:p>
    <w:p w14:paraId="1E02E6B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.4.6专、兼职安全员固定在作业现场，掌握安全动态，加强安全监督管理，抓好安全措施的落实，及时向负责人提供安全信息，协助抓好整个项目的安全工作。</w:t>
      </w:r>
    </w:p>
    <w:p w14:paraId="36D9773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.4.7项目负责人、安全员都有责任搞好本单位的施工（检修）安全。凡发现有违反安全操作规程者，有权令其停止工作。</w:t>
      </w:r>
    </w:p>
    <w:p w14:paraId="5CFC882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.4.8加强对职工的安全教育，定期组织安全学习，施工（检修）中严格执行安全措施和安全规程，狠抓安全措施的落实，防患于未然。</w:t>
      </w:r>
    </w:p>
    <w:p w14:paraId="473E949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.4.9在危险作业区域和交叉作业区域，增加临时性安全监察岗，加强预控和监督。</w:t>
      </w:r>
    </w:p>
    <w:p w14:paraId="015A6D3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.4.10各级领导和业务部门定期深入作业现场，进行安全大检查，查思想、查管理、查落实，查隐患，对安全上的薄弱环节决不放过。</w:t>
      </w:r>
    </w:p>
    <w:p w14:paraId="1DA699E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.4.11坚持文明施工（检修），保证施工（检修）机械、设备完好和清洁，安全操作规程齐全，持证上岗，施工（检修）现场的安全管理、安全设施、安全工器具要符合规定。</w:t>
      </w:r>
    </w:p>
    <w:p w14:paraId="4A31E28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.4.12作业现场设置安全标志，安全员上岗监督，作业人员一律戴安全帽，闲杂人员不得进入作业现场；登高时必须</w:t>
      </w:r>
      <w:r>
        <w:rPr>
          <w:rFonts w:hint="eastAsia" w:ascii="宋体" w:hAnsi="宋体" w:cs="宋体"/>
          <w:kern w:val="0"/>
          <w:szCs w:val="21"/>
          <w:lang w:eastAsia="zh-CN"/>
        </w:rPr>
        <w:t>佩戴</w:t>
      </w:r>
      <w:r>
        <w:rPr>
          <w:rFonts w:hint="eastAsia" w:ascii="宋体" w:hAnsi="宋体" w:cs="宋体"/>
          <w:kern w:val="0"/>
          <w:szCs w:val="21"/>
        </w:rPr>
        <w:t>好安全带及安全绳后才能进行高空作业，严禁高空落物。</w:t>
      </w:r>
    </w:p>
    <w:p w14:paraId="65374327">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4.13施工（检修）中严格按照安规办事，施工（检修）现场坚持特殊工种100%持有效证件上岗作业的准则；所有检测人员应办理招标人场地出入证，进入招标人场地必须执行招标人有关安全、消防和治安管理制度。所有检测人员均要有操作证及经过安全培训，并向招标人提供详细的操作技术等级证书和操作证的复印件供招标人备案。</w:t>
      </w:r>
    </w:p>
    <w:p w14:paraId="23B1D6B9">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.4.14各分项作业都制定明确的安全保证措施，贯彻执行于作业的全过程。</w:t>
      </w:r>
    </w:p>
    <w:p w14:paraId="0FD86454">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.4.15加强对机具设备的维护管理，操作前检查；操作人员必须经考试合格，才能上岗，其它人员不能顶岗操作。</w:t>
      </w:r>
    </w:p>
    <w:p w14:paraId="289D1D8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.4.16加强对车辆使用的管理，加强车辆保养和司机安全意识教育；加强所有作业人员在地铁隧道中行走的安全教育，防止行车伤害，杜绝交通事故发生。</w:t>
      </w:r>
    </w:p>
    <w:p w14:paraId="17EBB8E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.4.17作业用临时电源箱，下班后应将闸刀拉开上锁，所有机电设备都应设接地接零等保护装置，严禁乱拉、乱接电源线。</w:t>
      </w:r>
    </w:p>
    <w:p w14:paraId="3EC999C8">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.4.18夏季施工（检修）应做好防暑降温工作。</w:t>
      </w:r>
    </w:p>
    <w:p w14:paraId="4F9573BB">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.4.19工作负责人必须要办理许可手续后方可带领工作人员进入工作现场。</w:t>
      </w:r>
    </w:p>
    <w:p w14:paraId="1EE3A256">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.4.20在危险区域动火必须到招标人安保部办理动火证。并派专人监护，方可实施。</w:t>
      </w:r>
    </w:p>
    <w:p w14:paraId="6B222C2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.4.21对设备缺陷的处理工作，必须在工作前将缺陷发生的原因、处理的方法以及处理工作时对现场条件的要求、工作中的安全注意事项等核查清楚。</w:t>
      </w:r>
    </w:p>
    <w:p w14:paraId="3016D171">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4.22对大型作业等较为复杂的施工（检修）作业项目，有关人员必须在施工（检修）前深入到现场，对大型施工（检修）机械的行走路线和工作位置以及对施工（检修）构成障碍的物体等核查清楚，以确定可行的施工（检修）方案和作业中的不安全因素，制定可靠的安全防范措施。</w:t>
      </w:r>
    </w:p>
    <w:p w14:paraId="067224D3">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.4.23保证作业区内的清洁卫生。</w:t>
      </w:r>
    </w:p>
    <w:p w14:paraId="236862C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.4.24爱护招标人的消防设施，按招标人有关规定及时到指定地点调换使用过的灭火器材。</w:t>
      </w:r>
    </w:p>
    <w:p w14:paraId="0577363D">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lang w:val="en-US" w:eastAsia="zh-CN"/>
        </w:rPr>
        <w:t>14.</w:t>
      </w:r>
      <w:r>
        <w:rPr>
          <w:rFonts w:hint="eastAsia" w:ascii="宋体" w:hAnsi="宋体" w:cs="宋体"/>
          <w:kern w:val="0"/>
          <w:szCs w:val="21"/>
        </w:rPr>
        <w:t>4</w:t>
      </w:r>
      <w:r>
        <w:rPr>
          <w:rFonts w:hint="eastAsia" w:ascii="宋体" w:hAnsi="宋体" w:cs="宋体"/>
          <w:kern w:val="0"/>
          <w:szCs w:val="21"/>
          <w:highlight w:val="none"/>
        </w:rPr>
        <w:t>.25中标人必须严格遵守招标人及中标人规定的劳动纪律，中标人规定的劳动纪律及各类规章制度、规程不得与招标人的规章制度、规程相违背。</w:t>
      </w:r>
    </w:p>
    <w:p w14:paraId="29C8506A">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4</w:t>
      </w:r>
      <w:r>
        <w:rPr>
          <w:rFonts w:hint="eastAsia" w:ascii="宋体" w:hAnsi="宋体" w:cs="宋体"/>
          <w:kern w:val="0"/>
          <w:szCs w:val="21"/>
          <w:highlight w:val="none"/>
        </w:rPr>
        <w:t>.4.26中标人必须严格遵守招标人所在地的“社会治安管理条例”。</w:t>
      </w:r>
    </w:p>
    <w:p w14:paraId="762D713C">
      <w:pPr>
        <w:spacing w:line="440" w:lineRule="exact"/>
        <w:ind w:firstLine="420" w:firstLineChars="200"/>
        <w:rPr>
          <w:rFonts w:hint="eastAsia" w:ascii="宋体" w:hAnsi="宋体" w:cs="宋体"/>
          <w:b/>
          <w:bCs/>
          <w:szCs w:val="21"/>
          <w:highlight w:val="none"/>
        </w:rPr>
      </w:pPr>
      <w:bookmarkStart w:id="337" w:name="_Toc488238913"/>
      <w:bookmarkStart w:id="338" w:name="_Toc208481060"/>
      <w:bookmarkStart w:id="339" w:name="_Toc172623581"/>
      <w:bookmarkStart w:id="340" w:name="_Toc440551890"/>
      <w:bookmarkStart w:id="341" w:name="_Toc294082660"/>
      <w:r>
        <w:rPr>
          <w:rFonts w:hint="eastAsia" w:ascii="宋体" w:hAnsi="宋体" w:cs="宋体"/>
          <w:b/>
          <w:bCs/>
          <w:szCs w:val="21"/>
          <w:highlight w:val="none"/>
        </w:rPr>
        <w:t>十</w:t>
      </w:r>
      <w:r>
        <w:rPr>
          <w:rFonts w:hint="eastAsia" w:ascii="宋体" w:hAnsi="宋体" w:cs="宋体"/>
          <w:b/>
          <w:bCs/>
          <w:szCs w:val="21"/>
          <w:highlight w:val="none"/>
          <w:lang w:val="en-US" w:eastAsia="zh-CN"/>
        </w:rPr>
        <w:t>五、</w:t>
      </w:r>
      <w:r>
        <w:rPr>
          <w:rFonts w:hint="eastAsia" w:ascii="宋体" w:hAnsi="宋体" w:cs="宋体"/>
          <w:b/>
          <w:bCs/>
          <w:szCs w:val="21"/>
          <w:highlight w:val="none"/>
        </w:rPr>
        <w:t>文明管理</w:t>
      </w:r>
      <w:bookmarkEnd w:id="337"/>
      <w:bookmarkEnd w:id="338"/>
      <w:bookmarkEnd w:id="339"/>
      <w:bookmarkEnd w:id="340"/>
      <w:bookmarkEnd w:id="341"/>
    </w:p>
    <w:p w14:paraId="0164D96D">
      <w:pPr>
        <w:tabs>
          <w:tab w:val="left" w:pos="420"/>
        </w:tabs>
        <w:adjustRightInd w:val="0"/>
        <w:snapToGri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5</w:t>
      </w:r>
      <w:r>
        <w:rPr>
          <w:rFonts w:hint="eastAsia" w:ascii="宋体" w:hAnsi="宋体" w:cs="宋体"/>
          <w:kern w:val="0"/>
          <w:szCs w:val="21"/>
          <w:highlight w:val="none"/>
        </w:rPr>
        <w:t>.1作业过程中，严格按照“规范化管理、标准化作业”规定要求，实施文明管理。</w:t>
      </w:r>
    </w:p>
    <w:p w14:paraId="0D3BE6FD">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highlight w:val="none"/>
          <w:lang w:val="en-US" w:eastAsia="zh-CN"/>
        </w:rPr>
        <w:t>15</w:t>
      </w:r>
      <w:r>
        <w:rPr>
          <w:rFonts w:hint="eastAsia" w:ascii="宋体" w:hAnsi="宋体" w:cs="宋体"/>
          <w:kern w:val="0"/>
          <w:szCs w:val="21"/>
          <w:highlight w:val="none"/>
        </w:rPr>
        <w:t>.2作业过程中，中标人应合理地保持作业现场中</w:t>
      </w:r>
      <w:r>
        <w:rPr>
          <w:rFonts w:hint="eastAsia" w:ascii="宋体" w:hAnsi="宋体" w:cs="宋体"/>
          <w:kern w:val="0"/>
          <w:szCs w:val="21"/>
        </w:rPr>
        <w:t>不出现不必要的障碍，处置好作业设备及多余材料，保持现场整洁和道路畅通。</w:t>
      </w:r>
    </w:p>
    <w:p w14:paraId="24D80541">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lang w:val="en-US" w:eastAsia="zh-CN"/>
        </w:rPr>
        <w:t>15</w:t>
      </w:r>
      <w:r>
        <w:rPr>
          <w:rFonts w:hint="eastAsia" w:ascii="宋体" w:hAnsi="宋体" w:cs="宋体"/>
          <w:kern w:val="0"/>
          <w:szCs w:val="21"/>
        </w:rPr>
        <w:t>.3保护作业区域内各种管线、输电及通信线路、控制开关、生产通道、测量标点等，不得随意破坏、操作、占用。如与其他作业平面发生矛盾，应事先通报招标人，在得到招标人同意后方可按要求执行。如发现未经请示同意而擅自行事，将视其具体情况给予罚款处理。</w:t>
      </w:r>
    </w:p>
    <w:p w14:paraId="121DD3E2">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5</w:t>
      </w:r>
      <w:r>
        <w:rPr>
          <w:rFonts w:hint="eastAsia" w:ascii="宋体" w:hAnsi="宋体" w:cs="宋体"/>
          <w:kern w:val="0"/>
          <w:szCs w:val="21"/>
        </w:rPr>
        <w:t>.4必须负责作业现场日常卫生清理工作，保证公共环境整洁。</w:t>
      </w:r>
    </w:p>
    <w:p w14:paraId="7D5FE2B0">
      <w:pPr>
        <w:tabs>
          <w:tab w:val="left" w:pos="420"/>
        </w:tabs>
        <w:adjustRightInd w:val="0"/>
        <w:snapToGri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5</w:t>
      </w:r>
      <w:r>
        <w:rPr>
          <w:rFonts w:hint="eastAsia" w:ascii="宋体" w:hAnsi="宋体" w:cs="宋体"/>
          <w:kern w:val="0"/>
          <w:szCs w:val="21"/>
        </w:rPr>
        <w:t>.5运至作业现场的备品备件，剩余部分由</w:t>
      </w:r>
      <w:r>
        <w:rPr>
          <w:rFonts w:hint="eastAsia" w:ascii="宋体" w:hAnsi="宋体" w:cs="宋体"/>
          <w:kern w:val="0"/>
          <w:szCs w:val="21"/>
          <w:highlight w:val="none"/>
        </w:rPr>
        <w:t>中标人及</w:t>
      </w:r>
      <w:r>
        <w:rPr>
          <w:rFonts w:hint="eastAsia" w:ascii="宋体" w:hAnsi="宋体" w:cs="宋体"/>
          <w:kern w:val="0"/>
          <w:szCs w:val="21"/>
        </w:rPr>
        <w:t>时回收，并放到招标人指定的地点。</w:t>
      </w:r>
    </w:p>
    <w:p w14:paraId="0209C72B">
      <w:pPr>
        <w:spacing w:line="360" w:lineRule="auto"/>
        <w:ind w:firstLine="420" w:firstLineChars="200"/>
        <w:jc w:val="both"/>
        <w:rPr>
          <w:rFonts w:hint="eastAsia" w:eastAsia="宋体"/>
          <w:lang w:val="en-US" w:eastAsia="zh-CN"/>
        </w:rPr>
      </w:pPr>
      <w:r>
        <w:rPr>
          <w:rFonts w:hint="eastAsia" w:ascii="宋体" w:hAnsi="宋体" w:cs="宋体"/>
          <w:kern w:val="0"/>
          <w:szCs w:val="21"/>
        </w:rPr>
        <w:t>1</w:t>
      </w:r>
      <w:r>
        <w:rPr>
          <w:rFonts w:hint="eastAsia" w:ascii="宋体" w:hAnsi="宋体" w:cs="宋体"/>
          <w:kern w:val="0"/>
          <w:szCs w:val="21"/>
          <w:lang w:val="en-US" w:eastAsia="zh-CN"/>
        </w:rPr>
        <w:t>5</w:t>
      </w:r>
      <w:r>
        <w:rPr>
          <w:rFonts w:hint="eastAsia" w:ascii="宋体" w:hAnsi="宋体" w:cs="宋体"/>
          <w:kern w:val="0"/>
          <w:szCs w:val="21"/>
        </w:rPr>
        <w:t>.6作业现场讲文明、讲礼貌，遇事商量解决，严禁打架、斗殴。</w:t>
      </w:r>
      <w:r>
        <w:rPr>
          <w:rFonts w:hint="eastAsia" w:ascii="宋体" w:hAnsi="宋体" w:cs="宋体"/>
          <w:kern w:val="0"/>
          <w:szCs w:val="21"/>
          <w:lang w:val="en-US" w:eastAsia="zh-CN"/>
        </w:rPr>
        <w:t xml:space="preserve"> </w:t>
      </w:r>
    </w:p>
    <w:p w14:paraId="32CE5685">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14:paraId="2880BDC6">
      <w:pPr>
        <w:numPr>
          <w:ilvl w:val="0"/>
          <w:numId w:val="5"/>
        </w:num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 xml:space="preserve"> 合同条款及格式</w:t>
      </w:r>
    </w:p>
    <w:p w14:paraId="25206C00">
      <w:pPr>
        <w:numPr>
          <w:ilvl w:val="0"/>
          <w:numId w:val="0"/>
        </w:numPr>
        <w:jc w:val="left"/>
        <w:rPr>
          <w:rFonts w:hint="eastAsia" w:eastAsia="仿宋"/>
          <w:b/>
          <w:lang w:eastAsia="zh-CN"/>
        </w:rPr>
      </w:pPr>
      <w:r>
        <w:rPr>
          <w:rFonts w:hint="eastAsia" w:eastAsia="仿宋"/>
          <w:b/>
        </w:rPr>
        <w:t>甲方：</w:t>
      </w:r>
    </w:p>
    <w:p w14:paraId="441AFBEF">
      <w:pPr>
        <w:spacing w:line="360" w:lineRule="auto"/>
        <w:rPr>
          <w:rFonts w:eastAsia="仿宋"/>
          <w:b/>
          <w:u w:val="single"/>
        </w:rPr>
      </w:pPr>
      <w:r>
        <w:rPr>
          <w:rFonts w:hint="eastAsia" w:eastAsia="仿宋"/>
          <w:b/>
        </w:rPr>
        <w:t>乙方：</w:t>
      </w:r>
    </w:p>
    <w:p w14:paraId="7B550967">
      <w:pPr>
        <w:spacing w:line="360" w:lineRule="auto"/>
        <w:ind w:firstLine="420" w:firstLineChars="200"/>
        <w:rPr>
          <w:rFonts w:eastAsia="仿宋"/>
        </w:rPr>
      </w:pPr>
      <w:r>
        <w:rPr>
          <w:rFonts w:eastAsia="仿宋"/>
        </w:rPr>
        <w:t>根据有关法律</w:t>
      </w:r>
      <w:r>
        <w:rPr>
          <w:rFonts w:hint="eastAsia" w:eastAsia="仿宋"/>
        </w:rPr>
        <w:t>法规</w:t>
      </w:r>
      <w:r>
        <w:rPr>
          <w:rFonts w:eastAsia="仿宋"/>
        </w:rPr>
        <w:t>规定，遵循平等、自愿、公平和诚信的原则，</w:t>
      </w:r>
      <w:r>
        <w:rPr>
          <w:rFonts w:hint="eastAsia" w:eastAsia="仿宋"/>
        </w:rPr>
        <w:t>甲、乙</w:t>
      </w:r>
      <w:r>
        <w:rPr>
          <w:rFonts w:eastAsia="仿宋"/>
        </w:rPr>
        <w:t>双方就</w:t>
      </w:r>
      <w:r>
        <w:rPr>
          <w:rFonts w:hint="eastAsia" w:eastAsia="仿宋"/>
          <w:u w:val="single"/>
          <w:lang w:eastAsia="zh-CN"/>
        </w:rPr>
        <w:t>滁州至南京城际铁路（滁州段）一期、二期全线监控CCTV补盲加装项目</w:t>
      </w:r>
      <w:r>
        <w:rPr>
          <w:rFonts w:hint="eastAsia" w:eastAsia="仿宋"/>
        </w:rPr>
        <w:t>（以下称“本项目”）的实施</w:t>
      </w:r>
      <w:r>
        <w:rPr>
          <w:rFonts w:eastAsia="仿宋"/>
        </w:rPr>
        <w:t>及有关事项协商一致</w:t>
      </w:r>
      <w:r>
        <w:rPr>
          <w:rFonts w:hint="eastAsia" w:eastAsia="仿宋"/>
        </w:rPr>
        <w:t>，</w:t>
      </w:r>
      <w:r>
        <w:rPr>
          <w:rFonts w:eastAsia="仿宋"/>
        </w:rPr>
        <w:t>共同达成如下协议：</w:t>
      </w:r>
    </w:p>
    <w:p w14:paraId="0789248B">
      <w:pPr>
        <w:pStyle w:val="39"/>
        <w:numPr>
          <w:ilvl w:val="0"/>
          <w:numId w:val="0"/>
        </w:numPr>
        <w:spacing w:line="360" w:lineRule="auto"/>
        <w:ind w:leftChars="0"/>
        <w:rPr>
          <w:rFonts w:eastAsia="仿宋"/>
          <w:b/>
        </w:rPr>
      </w:pPr>
      <w:bookmarkStart w:id="342" w:name="_Toc351203486"/>
      <w:r>
        <w:rPr>
          <w:rFonts w:hint="eastAsia" w:eastAsia="仿宋"/>
          <w:b/>
          <w:lang w:val="en-US" w:eastAsia="zh-CN"/>
        </w:rPr>
        <w:t>一、</w:t>
      </w:r>
      <w:r>
        <w:rPr>
          <w:rFonts w:eastAsia="仿宋"/>
          <w:b/>
        </w:rPr>
        <w:t>合同文件构成</w:t>
      </w:r>
      <w:bookmarkEnd w:id="342"/>
    </w:p>
    <w:p w14:paraId="040B1419">
      <w:pPr>
        <w:spacing w:line="360" w:lineRule="auto"/>
        <w:rPr>
          <w:rFonts w:eastAsia="仿宋"/>
          <w:bCs/>
        </w:rPr>
      </w:pPr>
      <w:bookmarkStart w:id="343" w:name="_Hlk14188859"/>
      <w:r>
        <w:rPr>
          <w:rFonts w:eastAsia="仿宋"/>
          <w:bCs/>
        </w:rPr>
        <w:t>本</w:t>
      </w:r>
      <w:r>
        <w:rPr>
          <w:rFonts w:hint="eastAsia" w:eastAsia="仿宋"/>
          <w:bCs/>
          <w:lang w:eastAsia="zh-CN"/>
        </w:rPr>
        <w:t>合同</w:t>
      </w:r>
      <w:r>
        <w:rPr>
          <w:rFonts w:eastAsia="仿宋"/>
          <w:bCs/>
        </w:rPr>
        <w:t>书与下列文件一起构成合同文件：</w:t>
      </w:r>
    </w:p>
    <w:p w14:paraId="4E0A9042">
      <w:pPr>
        <w:pStyle w:val="39"/>
        <w:numPr>
          <w:ilvl w:val="0"/>
          <w:numId w:val="6"/>
        </w:numPr>
        <w:spacing w:line="360" w:lineRule="auto"/>
        <w:ind w:firstLineChars="0"/>
        <w:rPr>
          <w:rFonts w:eastAsia="仿宋"/>
        </w:rPr>
      </w:pPr>
      <w:r>
        <w:rPr>
          <w:rFonts w:hint="eastAsia" w:eastAsia="仿宋"/>
        </w:rPr>
        <w:t>招标文件、投标文件、</w:t>
      </w:r>
      <w:r>
        <w:rPr>
          <w:rFonts w:eastAsia="仿宋"/>
        </w:rPr>
        <w:t>中标通知书（如有）；</w:t>
      </w:r>
    </w:p>
    <w:p w14:paraId="739DD1EF">
      <w:pPr>
        <w:pStyle w:val="39"/>
        <w:numPr>
          <w:ilvl w:val="0"/>
          <w:numId w:val="6"/>
        </w:numPr>
        <w:spacing w:line="360" w:lineRule="auto"/>
        <w:ind w:firstLineChars="0"/>
        <w:rPr>
          <w:rFonts w:eastAsia="仿宋"/>
        </w:rPr>
      </w:pPr>
      <w:bookmarkStart w:id="344" w:name="_Hlk14189050"/>
      <w:r>
        <w:rPr>
          <w:rFonts w:hint="eastAsia" w:eastAsia="仿宋"/>
        </w:rPr>
        <w:t>竞争性磋商</w:t>
      </w:r>
      <w:r>
        <w:rPr>
          <w:rFonts w:hint="eastAsia" w:eastAsia="仿宋"/>
          <w:lang w:val="en-US" w:eastAsia="zh-CN"/>
        </w:rPr>
        <w:t>文件</w:t>
      </w:r>
      <w:r>
        <w:rPr>
          <w:rFonts w:hint="eastAsia" w:eastAsia="仿宋"/>
        </w:rPr>
        <w:t>、谈判文件及申请文件（如有）</w:t>
      </w:r>
      <w:r>
        <w:rPr>
          <w:rFonts w:eastAsia="仿宋"/>
        </w:rPr>
        <w:t>；</w:t>
      </w:r>
    </w:p>
    <w:p w14:paraId="4EBDBF58">
      <w:pPr>
        <w:numPr>
          <w:ilvl w:val="0"/>
          <w:numId w:val="6"/>
        </w:numPr>
        <w:spacing w:line="360" w:lineRule="auto"/>
        <w:ind w:left="720" w:leftChars="0" w:hanging="720" w:firstLineChars="0"/>
        <w:rPr>
          <w:rFonts w:eastAsia="仿宋"/>
        </w:rPr>
      </w:pPr>
      <w:r>
        <w:rPr>
          <w:rFonts w:eastAsia="仿宋"/>
        </w:rPr>
        <w:t>技术标准和要求</w:t>
      </w:r>
      <w:r>
        <w:rPr>
          <w:rFonts w:hint="eastAsia" w:eastAsia="仿宋"/>
          <w:lang w:eastAsia="zh-CN"/>
        </w:rPr>
        <w:t>（</w:t>
      </w:r>
      <w:r>
        <w:rPr>
          <w:rFonts w:hint="eastAsia" w:eastAsia="仿宋"/>
          <w:lang w:val="en-US" w:eastAsia="zh-CN"/>
        </w:rPr>
        <w:t>用户需求书</w:t>
      </w:r>
      <w:r>
        <w:rPr>
          <w:rFonts w:hint="eastAsia" w:eastAsia="仿宋"/>
          <w:lang w:eastAsia="zh-CN"/>
        </w:rPr>
        <w:t>）</w:t>
      </w:r>
      <w:r>
        <w:rPr>
          <w:rFonts w:eastAsia="仿宋"/>
        </w:rPr>
        <w:t>；</w:t>
      </w:r>
      <w:bookmarkEnd w:id="344"/>
    </w:p>
    <w:p w14:paraId="681E10EE">
      <w:pPr>
        <w:numPr>
          <w:ilvl w:val="0"/>
          <w:numId w:val="6"/>
        </w:numPr>
        <w:spacing w:line="360" w:lineRule="auto"/>
        <w:ind w:left="720" w:leftChars="0" w:hanging="720" w:firstLineChars="0"/>
        <w:rPr>
          <w:rFonts w:eastAsia="仿宋"/>
          <w:highlight w:val="none"/>
        </w:rPr>
      </w:pPr>
      <w:r>
        <w:rPr>
          <w:rFonts w:eastAsia="仿宋"/>
        </w:rPr>
        <w:t>图纸</w:t>
      </w:r>
      <w:r>
        <w:rPr>
          <w:rFonts w:hint="eastAsia" w:eastAsia="仿宋"/>
          <w:lang w:eastAsia="zh-CN"/>
        </w:rPr>
        <w:t>（</w:t>
      </w:r>
      <w:r>
        <w:rPr>
          <w:rFonts w:hint="eastAsia" w:eastAsia="仿宋"/>
          <w:lang w:val="en-US" w:eastAsia="zh-CN"/>
        </w:rPr>
        <w:t>如有</w:t>
      </w:r>
      <w:r>
        <w:rPr>
          <w:rFonts w:hint="eastAsia" w:eastAsia="仿宋"/>
          <w:lang w:eastAsia="zh-CN"/>
        </w:rPr>
        <w:t>）</w:t>
      </w:r>
      <w:r>
        <w:rPr>
          <w:rFonts w:eastAsia="仿宋"/>
        </w:rPr>
        <w:t>；</w:t>
      </w:r>
    </w:p>
    <w:p w14:paraId="070942C0">
      <w:pPr>
        <w:numPr>
          <w:ilvl w:val="0"/>
          <w:numId w:val="6"/>
        </w:numPr>
        <w:spacing w:line="360" w:lineRule="auto"/>
        <w:ind w:left="720" w:leftChars="0" w:hanging="720" w:firstLineChars="0"/>
        <w:rPr>
          <w:rFonts w:eastAsia="仿宋"/>
        </w:rPr>
      </w:pPr>
      <w:r>
        <w:rPr>
          <w:rFonts w:eastAsia="仿宋"/>
          <w:highlight w:val="none"/>
        </w:rPr>
        <w:t>已标价工程量清单或预算书</w:t>
      </w:r>
      <w:r>
        <w:rPr>
          <w:rFonts w:hint="eastAsia" w:eastAsia="仿宋"/>
          <w:highlight w:val="none"/>
          <w:lang w:eastAsia="zh-CN"/>
        </w:rPr>
        <w:t>（</w:t>
      </w:r>
      <w:r>
        <w:rPr>
          <w:rFonts w:hint="eastAsia" w:eastAsia="仿宋"/>
          <w:highlight w:val="none"/>
          <w:lang w:val="en-US" w:eastAsia="zh-CN"/>
        </w:rPr>
        <w:t>如有</w:t>
      </w:r>
      <w:r>
        <w:rPr>
          <w:rFonts w:hint="eastAsia" w:eastAsia="仿宋"/>
          <w:highlight w:val="none"/>
          <w:lang w:eastAsia="zh-CN"/>
        </w:rPr>
        <w:t>）</w:t>
      </w:r>
      <w:r>
        <w:rPr>
          <w:rFonts w:eastAsia="仿宋"/>
          <w:highlight w:val="none"/>
        </w:rPr>
        <w:t>；</w:t>
      </w:r>
      <w:bookmarkStart w:id="345" w:name="_Hlk14189066"/>
    </w:p>
    <w:p w14:paraId="3B8D39D1">
      <w:pPr>
        <w:numPr>
          <w:ilvl w:val="0"/>
          <w:numId w:val="6"/>
        </w:numPr>
        <w:spacing w:line="360" w:lineRule="auto"/>
        <w:ind w:left="720" w:leftChars="0" w:hanging="720" w:firstLineChars="0"/>
        <w:rPr>
          <w:rFonts w:eastAsia="仿宋"/>
        </w:rPr>
      </w:pPr>
      <w:r>
        <w:rPr>
          <w:rFonts w:hint="eastAsia" w:eastAsia="仿宋"/>
        </w:rPr>
        <w:t>其他文件：_</w:t>
      </w:r>
      <w:r>
        <w:rPr>
          <w:rFonts w:eastAsia="仿宋"/>
        </w:rPr>
        <w:t>____________________</w:t>
      </w:r>
      <w:bookmarkEnd w:id="343"/>
      <w:bookmarkEnd w:id="345"/>
    </w:p>
    <w:p w14:paraId="39501BA3">
      <w:pPr>
        <w:spacing w:line="360" w:lineRule="auto"/>
        <w:ind w:firstLine="420" w:firstLineChars="200"/>
        <w:rPr>
          <w:rFonts w:eastAsia="仿宋"/>
        </w:rPr>
      </w:pPr>
      <w:r>
        <w:rPr>
          <w:rFonts w:eastAsia="仿宋"/>
        </w:rPr>
        <w:t>上述各项合同文件包括合同当事人就该项合同文件所作出的补充和修改，属于同一类内容的文件，应以最新签署的为准。</w:t>
      </w:r>
    </w:p>
    <w:p w14:paraId="19EEF47B">
      <w:pPr>
        <w:spacing w:line="360" w:lineRule="auto"/>
        <w:outlineLvl w:val="0"/>
        <w:rPr>
          <w:rFonts w:eastAsia="仿宋"/>
          <w:b/>
          <w:bCs/>
        </w:rPr>
      </w:pPr>
      <w:r>
        <w:rPr>
          <w:rFonts w:hint="eastAsia" w:eastAsia="仿宋"/>
          <w:b/>
          <w:bCs/>
        </w:rPr>
        <w:t>二、项目概况</w:t>
      </w:r>
    </w:p>
    <w:p w14:paraId="13059FA8">
      <w:pPr>
        <w:spacing w:line="360" w:lineRule="auto"/>
        <w:rPr>
          <w:rFonts w:eastAsia="仿宋"/>
        </w:rPr>
      </w:pPr>
      <w:r>
        <w:rPr>
          <w:rFonts w:hint="eastAsia" w:eastAsia="仿宋"/>
        </w:rPr>
        <w:t>2</w:t>
      </w:r>
      <w:r>
        <w:rPr>
          <w:rFonts w:eastAsia="仿宋"/>
        </w:rPr>
        <w:t>.1</w:t>
      </w:r>
      <w:r>
        <w:rPr>
          <w:rFonts w:hint="eastAsia" w:eastAsia="仿宋"/>
          <w:lang w:val="en-US" w:eastAsia="zh-CN"/>
        </w:rPr>
        <w:t xml:space="preserve"> </w:t>
      </w:r>
      <w:r>
        <w:rPr>
          <w:rFonts w:hint="eastAsia" w:eastAsia="仿宋"/>
        </w:rPr>
        <w:t>项目实施</w:t>
      </w:r>
      <w:r>
        <w:rPr>
          <w:rFonts w:eastAsia="仿宋"/>
        </w:rPr>
        <w:t>地点：</w:t>
      </w:r>
      <w:r>
        <w:rPr>
          <w:rFonts w:hint="eastAsia" w:eastAsia="仿宋"/>
          <w:u w:val="single"/>
          <w:lang w:val="en-US" w:eastAsia="zh-CN"/>
        </w:rPr>
        <w:t xml:space="preserve"> </w:t>
      </w:r>
      <w:r>
        <w:rPr>
          <w:rFonts w:eastAsia="仿宋"/>
          <w:u w:val="single"/>
        </w:rPr>
        <w:t xml:space="preserve">    </w:t>
      </w:r>
      <w:r>
        <w:rPr>
          <w:rFonts w:hint="eastAsia" w:eastAsia="仿宋"/>
          <w:u w:val="single"/>
          <w:lang w:val="en-US" w:eastAsia="zh-CN"/>
        </w:rPr>
        <w:t xml:space="preserve">         </w:t>
      </w:r>
      <w:r>
        <w:rPr>
          <w:rFonts w:eastAsia="仿宋"/>
          <w:u w:val="single"/>
        </w:rPr>
        <w:t xml:space="preserve">   </w:t>
      </w:r>
    </w:p>
    <w:p w14:paraId="075C2815">
      <w:pPr>
        <w:spacing w:line="360" w:lineRule="auto"/>
        <w:rPr>
          <w:rFonts w:eastAsia="仿宋"/>
        </w:rPr>
      </w:pPr>
      <w:r>
        <w:rPr>
          <w:rFonts w:hint="eastAsia" w:eastAsia="仿宋"/>
        </w:rPr>
        <w:t>2</w:t>
      </w:r>
      <w:r>
        <w:rPr>
          <w:rFonts w:eastAsia="仿宋"/>
        </w:rPr>
        <w:t xml:space="preserve">.2 </w:t>
      </w:r>
      <w:r>
        <w:rPr>
          <w:rFonts w:hint="eastAsia" w:eastAsia="仿宋"/>
        </w:rPr>
        <w:t>项目内容：</w:t>
      </w:r>
      <w:r>
        <w:rPr>
          <w:rFonts w:hint="eastAsia" w:eastAsia="仿宋"/>
          <w:u w:val="single"/>
          <w:lang w:val="en-US" w:eastAsia="zh-CN"/>
        </w:rPr>
        <w:t xml:space="preserve"> </w:t>
      </w:r>
      <w:r>
        <w:rPr>
          <w:rFonts w:eastAsia="仿宋"/>
          <w:u w:val="single"/>
        </w:rPr>
        <w:t xml:space="preserve"> </w:t>
      </w:r>
      <w:r>
        <w:rPr>
          <w:rFonts w:hint="eastAsia" w:eastAsia="仿宋"/>
          <w:u w:val="single"/>
          <w:lang w:val="en-US" w:eastAsia="zh-CN"/>
        </w:rPr>
        <w:t>详见用户需求书</w:t>
      </w:r>
      <w:r>
        <w:rPr>
          <w:rFonts w:eastAsia="仿宋"/>
          <w:u w:val="single"/>
        </w:rPr>
        <w:t xml:space="preserve">     </w:t>
      </w:r>
    </w:p>
    <w:p w14:paraId="035981DF">
      <w:pPr>
        <w:spacing w:line="360" w:lineRule="auto"/>
        <w:outlineLvl w:val="0"/>
        <w:rPr>
          <w:rFonts w:hint="eastAsia" w:eastAsia="仿宋"/>
          <w:b/>
          <w:bCs/>
        </w:rPr>
      </w:pPr>
      <w:r>
        <w:rPr>
          <w:rFonts w:hint="eastAsia" w:eastAsia="仿宋"/>
          <w:b/>
          <w:bCs/>
        </w:rPr>
        <w:t>三、合同工期</w:t>
      </w:r>
    </w:p>
    <w:p w14:paraId="75E6596F">
      <w:pPr>
        <w:spacing w:line="360" w:lineRule="auto"/>
        <w:rPr>
          <w:rFonts w:eastAsia="仿宋"/>
          <w:u w:val="single"/>
        </w:rPr>
      </w:pPr>
      <w:r>
        <w:rPr>
          <w:rFonts w:hint="eastAsia" w:eastAsia="仿宋"/>
          <w:lang w:val="en-US" w:eastAsia="zh-CN"/>
        </w:rPr>
        <w:t xml:space="preserve">3.1 </w:t>
      </w:r>
      <w:r>
        <w:rPr>
          <w:rFonts w:hint="eastAsia" w:eastAsia="仿宋"/>
        </w:rPr>
        <w:t>本项目工期为</w:t>
      </w:r>
      <w:r>
        <w:rPr>
          <w:rFonts w:hint="eastAsia" w:eastAsia="仿宋"/>
          <w:u w:val="single"/>
          <w:lang w:val="en-US" w:eastAsia="zh-CN"/>
        </w:rPr>
        <w:t xml:space="preserve">     </w:t>
      </w:r>
      <w:r>
        <w:rPr>
          <w:rFonts w:hint="eastAsia" w:eastAsia="仿宋"/>
        </w:rPr>
        <w:t>天（日历天），自</w:t>
      </w:r>
      <w:r>
        <w:rPr>
          <w:rFonts w:hint="eastAsia" w:eastAsia="仿宋"/>
          <w:u w:val="single"/>
        </w:rPr>
        <w:t>甲方下达开工通知书之日起计算</w:t>
      </w:r>
      <w:r>
        <w:rPr>
          <w:rFonts w:hint="eastAsia" w:eastAsia="仿宋"/>
          <w:u w:val="none"/>
        </w:rPr>
        <w:t>。</w:t>
      </w:r>
    </w:p>
    <w:p w14:paraId="6AA8635C">
      <w:pPr>
        <w:spacing w:line="360" w:lineRule="auto"/>
        <w:rPr>
          <w:rFonts w:hint="default" w:eastAsia="仿宋"/>
          <w:b/>
          <w:lang w:val="en-US" w:eastAsia="zh-CN"/>
        </w:rPr>
      </w:pPr>
      <w:bookmarkStart w:id="346" w:name="_Toc351203484"/>
      <w:r>
        <w:rPr>
          <w:rFonts w:hint="eastAsia" w:eastAsia="仿宋"/>
          <w:b/>
        </w:rPr>
        <w:t>四</w:t>
      </w:r>
      <w:r>
        <w:rPr>
          <w:rFonts w:eastAsia="仿宋"/>
          <w:b/>
        </w:rPr>
        <w:t>、合同价</w:t>
      </w:r>
      <w:bookmarkEnd w:id="346"/>
      <w:r>
        <w:rPr>
          <w:rFonts w:hint="eastAsia" w:eastAsia="仿宋"/>
          <w:b/>
        </w:rPr>
        <w:t>款</w:t>
      </w:r>
      <w:r>
        <w:rPr>
          <w:rFonts w:hint="eastAsia" w:eastAsia="仿宋"/>
          <w:b/>
          <w:lang w:val="en-US" w:eastAsia="zh-CN"/>
        </w:rPr>
        <w:t>及付款方式</w:t>
      </w:r>
    </w:p>
    <w:p w14:paraId="11554297">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b/>
          <w:bCs/>
          <w:sz w:val="21"/>
          <w:szCs w:val="21"/>
          <w:highlight w:val="none"/>
        </w:rPr>
      </w:pPr>
      <w:r>
        <w:rPr>
          <w:rFonts w:hint="eastAsia" w:eastAsia="仿宋"/>
          <w:sz w:val="21"/>
          <w:szCs w:val="21"/>
        </w:rPr>
        <w:t>4</w:t>
      </w:r>
      <w:r>
        <w:rPr>
          <w:rFonts w:eastAsia="仿宋"/>
          <w:sz w:val="21"/>
          <w:szCs w:val="21"/>
        </w:rPr>
        <w:t xml:space="preserve">.1 </w:t>
      </w:r>
      <w:r>
        <w:rPr>
          <w:rFonts w:ascii="仿宋" w:hAnsi="仿宋" w:eastAsia="仿宋"/>
          <w:sz w:val="21"/>
          <w:szCs w:val="21"/>
        </w:rPr>
        <w:t>本合同不含税价</w:t>
      </w:r>
      <w:r>
        <w:rPr>
          <w:rFonts w:hint="eastAsia" w:ascii="仿宋" w:hAnsi="仿宋" w:eastAsia="仿宋"/>
          <w:sz w:val="21"/>
          <w:szCs w:val="21"/>
          <w:lang w:val="en-US" w:eastAsia="zh-CN"/>
        </w:rPr>
        <w:t>款</w:t>
      </w:r>
      <w:r>
        <w:rPr>
          <w:rFonts w:ascii="仿宋" w:hAnsi="仿宋" w:eastAsia="仿宋"/>
          <w:sz w:val="21"/>
          <w:szCs w:val="21"/>
        </w:rPr>
        <w:t>为</w:t>
      </w:r>
      <w:r>
        <w:rPr>
          <w:rFonts w:hint="eastAsia" w:ascii="仿宋" w:hAnsi="仿宋" w:eastAsia="仿宋"/>
          <w:sz w:val="21"/>
          <w:szCs w:val="21"/>
        </w:rPr>
        <w:t>人民币（大写）</w:t>
      </w:r>
      <w:r>
        <w:rPr>
          <w:rFonts w:hint="eastAsia" w:ascii="仿宋" w:hAnsi="仿宋" w:eastAsia="仿宋"/>
          <w:sz w:val="21"/>
          <w:szCs w:val="21"/>
          <w:u w:val="single"/>
        </w:rPr>
        <w:t xml:space="preserve">                  </w:t>
      </w:r>
      <w:r>
        <w:rPr>
          <w:rFonts w:hint="eastAsia" w:ascii="仿宋" w:hAnsi="仿宋" w:eastAsia="仿宋"/>
          <w:sz w:val="21"/>
          <w:szCs w:val="21"/>
        </w:rPr>
        <w:t>（¥</w:t>
      </w:r>
      <w:r>
        <w:rPr>
          <w:rFonts w:hint="eastAsia" w:ascii="仿宋" w:hAnsi="仿宋" w:eastAsia="仿宋"/>
          <w:sz w:val="21"/>
          <w:szCs w:val="21"/>
          <w:u w:val="single"/>
        </w:rPr>
        <w:t xml:space="preserve">           </w:t>
      </w:r>
      <w:r>
        <w:rPr>
          <w:rFonts w:hint="eastAsia" w:ascii="仿宋" w:hAnsi="仿宋" w:eastAsia="仿宋"/>
          <w:sz w:val="21"/>
          <w:szCs w:val="21"/>
        </w:rPr>
        <w:t>元）</w:t>
      </w:r>
      <w:r>
        <w:rPr>
          <w:rFonts w:ascii="仿宋" w:hAnsi="仿宋" w:eastAsia="仿宋"/>
          <w:sz w:val="21"/>
          <w:szCs w:val="21"/>
        </w:rPr>
        <w:t>，含税总价共计为</w:t>
      </w:r>
      <w:r>
        <w:rPr>
          <w:rFonts w:hint="eastAsia" w:ascii="仿宋" w:hAnsi="仿宋" w:eastAsia="仿宋"/>
          <w:sz w:val="21"/>
          <w:szCs w:val="21"/>
        </w:rPr>
        <w:t>人民币（大写）</w:t>
      </w:r>
      <w:r>
        <w:rPr>
          <w:rFonts w:hint="eastAsia" w:ascii="仿宋" w:hAnsi="仿宋" w:eastAsia="仿宋"/>
          <w:sz w:val="21"/>
          <w:szCs w:val="21"/>
          <w:u w:val="single"/>
        </w:rPr>
        <w:t xml:space="preserve">                  </w:t>
      </w:r>
      <w:r>
        <w:rPr>
          <w:rFonts w:hint="eastAsia" w:ascii="仿宋" w:hAnsi="仿宋" w:eastAsia="仿宋"/>
          <w:sz w:val="21"/>
          <w:szCs w:val="21"/>
        </w:rPr>
        <w:t>（¥</w:t>
      </w:r>
      <w:r>
        <w:rPr>
          <w:rFonts w:hint="eastAsia" w:ascii="仿宋" w:hAnsi="仿宋" w:eastAsia="仿宋"/>
          <w:sz w:val="21"/>
          <w:szCs w:val="21"/>
          <w:u w:val="single"/>
        </w:rPr>
        <w:t xml:space="preserve">           </w:t>
      </w:r>
      <w:r>
        <w:rPr>
          <w:rFonts w:hint="eastAsia" w:ascii="仿宋" w:hAnsi="仿宋" w:eastAsia="仿宋"/>
          <w:sz w:val="21"/>
          <w:szCs w:val="21"/>
        </w:rPr>
        <w:t>元）,税率为_</w:t>
      </w:r>
      <w:r>
        <w:rPr>
          <w:rFonts w:ascii="仿宋" w:hAnsi="仿宋" w:eastAsia="仿宋"/>
          <w:sz w:val="21"/>
          <w:szCs w:val="21"/>
        </w:rPr>
        <w:t>____%</w:t>
      </w:r>
      <w:r>
        <w:rPr>
          <w:rFonts w:hint="eastAsia" w:ascii="仿宋" w:hAnsi="仿宋" w:eastAsia="仿宋"/>
          <w:bCs/>
          <w:sz w:val="21"/>
          <w:szCs w:val="21"/>
        </w:rPr>
        <w:t>，</w:t>
      </w:r>
      <w:r>
        <w:rPr>
          <w:rFonts w:ascii="仿宋" w:hAnsi="仿宋" w:eastAsia="仿宋"/>
          <w:sz w:val="21"/>
          <w:szCs w:val="21"/>
        </w:rPr>
        <w:t>具体价</w:t>
      </w:r>
      <w:r>
        <w:rPr>
          <w:rFonts w:hint="eastAsia" w:ascii="仿宋" w:hAnsi="仿宋" w:eastAsia="仿宋"/>
          <w:sz w:val="21"/>
          <w:szCs w:val="21"/>
          <w:lang w:val="en-US" w:eastAsia="zh-CN"/>
        </w:rPr>
        <w:t>款</w:t>
      </w:r>
      <w:r>
        <w:rPr>
          <w:rFonts w:ascii="仿宋" w:hAnsi="仿宋" w:eastAsia="仿宋"/>
          <w:sz w:val="21"/>
          <w:szCs w:val="21"/>
        </w:rPr>
        <w:t>清单详见</w:t>
      </w:r>
      <w:r>
        <w:rPr>
          <w:rFonts w:ascii="仿宋" w:hAnsi="仿宋" w:eastAsia="仿宋"/>
          <w:sz w:val="21"/>
          <w:szCs w:val="21"/>
          <w:highlight w:val="none"/>
        </w:rPr>
        <w:t>【附件</w:t>
      </w:r>
      <w:r>
        <w:rPr>
          <w:rFonts w:hint="eastAsia" w:ascii="仿宋" w:hAnsi="仿宋" w:eastAsia="仿宋"/>
          <w:sz w:val="21"/>
          <w:szCs w:val="21"/>
          <w:highlight w:val="none"/>
          <w:lang w:eastAsia="zh-CN"/>
        </w:rPr>
        <w:t>二</w:t>
      </w:r>
      <w:r>
        <w:rPr>
          <w:rFonts w:hint="eastAsia" w:ascii="仿宋" w:hAnsi="仿宋" w:eastAsia="仿宋"/>
          <w:sz w:val="21"/>
          <w:szCs w:val="21"/>
          <w:highlight w:val="none"/>
          <w:lang w:val="en-US" w:eastAsia="zh-CN"/>
        </w:rPr>
        <w:t>价格明细表</w:t>
      </w:r>
      <w:r>
        <w:rPr>
          <w:rFonts w:ascii="仿宋" w:hAnsi="仿宋" w:eastAsia="仿宋"/>
          <w:sz w:val="21"/>
          <w:szCs w:val="21"/>
          <w:highlight w:val="none"/>
        </w:rPr>
        <w:t>】。</w:t>
      </w:r>
    </w:p>
    <w:p w14:paraId="5440D66E">
      <w:pPr>
        <w:spacing w:line="360" w:lineRule="auto"/>
        <w:rPr>
          <w:rFonts w:eastAsia="仿宋"/>
          <w:highlight w:val="none"/>
        </w:rPr>
      </w:pPr>
      <w:r>
        <w:rPr>
          <w:rFonts w:hint="eastAsia" w:eastAsia="仿宋"/>
          <w:highlight w:val="none"/>
        </w:rPr>
        <w:t>4</w:t>
      </w:r>
      <w:r>
        <w:rPr>
          <w:rFonts w:eastAsia="仿宋"/>
          <w:highlight w:val="none"/>
        </w:rPr>
        <w:t xml:space="preserve">.2 </w:t>
      </w:r>
      <w:r>
        <w:rPr>
          <w:rFonts w:hint="eastAsia" w:eastAsia="仿宋"/>
          <w:highlight w:val="none"/>
        </w:rPr>
        <w:t>本合同采用以下第</w:t>
      </w:r>
      <w:r>
        <w:rPr>
          <w:rFonts w:hint="eastAsia" w:eastAsia="仿宋"/>
          <w:highlight w:val="none"/>
          <w:u w:val="single"/>
          <w:lang w:val="en-US" w:eastAsia="zh-CN"/>
        </w:rPr>
        <w:t>1</w:t>
      </w:r>
      <w:r>
        <w:rPr>
          <w:rFonts w:hint="eastAsia" w:eastAsia="仿宋"/>
          <w:highlight w:val="none"/>
        </w:rPr>
        <w:t>种价格形式：</w:t>
      </w:r>
    </w:p>
    <w:p w14:paraId="352F481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yellow"/>
        </w:rPr>
      </w:pPr>
      <w:r>
        <w:rPr>
          <w:rFonts w:hint="eastAsia" w:eastAsia="仿宋"/>
        </w:rPr>
        <w:t>1.总价合同形式</w:t>
      </w:r>
    </w:p>
    <w:p w14:paraId="1E8F7F8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（1）合同价款包括合同项目范围内的合同设备（含合同规定的各种材料、备品备件、专用工具）、设计、土建、安装、保管、调试、试验、验收、并网、技术服务等费用。</w:t>
      </w:r>
    </w:p>
    <w:p w14:paraId="3F8128D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eastAsia="仿宋"/>
          <w:color w:val="auto"/>
        </w:rPr>
      </w:pPr>
      <w:r>
        <w:rPr>
          <w:rFonts w:hint="eastAsia" w:eastAsia="仿宋"/>
        </w:rPr>
        <w:t>（</w:t>
      </w:r>
      <w:r>
        <w:rPr>
          <w:rFonts w:eastAsia="仿宋"/>
        </w:rPr>
        <w:t>2</w:t>
      </w:r>
      <w:r>
        <w:rPr>
          <w:rFonts w:hint="eastAsia" w:eastAsia="仿宋"/>
        </w:rPr>
        <w:t>）</w:t>
      </w:r>
      <w:r>
        <w:rPr>
          <w:rFonts w:hint="eastAsia" w:eastAsia="仿宋"/>
          <w:color w:val="auto"/>
        </w:rPr>
        <w:t>以甲方提供的工程量清单包干，在合同约定的范围内合同总价原则上不作任何调整。</w:t>
      </w:r>
    </w:p>
    <w:p w14:paraId="5A5B2FE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rPr>
      </w:pPr>
      <w:r>
        <w:rPr>
          <w:rFonts w:hint="eastAsia" w:eastAsia="仿宋"/>
          <w:color w:val="auto"/>
        </w:rPr>
        <w:t>（3）</w:t>
      </w:r>
      <w:r>
        <w:rPr>
          <w:rFonts w:eastAsia="仿宋"/>
          <w:color w:val="auto"/>
        </w:rPr>
        <w:t>本合同总价在合同有效期内为不变价</w:t>
      </w:r>
      <w:r>
        <w:rPr>
          <w:rFonts w:hint="eastAsia" w:eastAsia="仿宋"/>
          <w:color w:val="auto"/>
        </w:rPr>
        <w:t>，除非发生下列情形可作调整外，不会因为其他情形发生任何调整：</w:t>
      </w:r>
    </w:p>
    <w:p w14:paraId="1BC8E5C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rPr>
      </w:pPr>
      <w:r>
        <w:rPr>
          <w:rFonts w:hint="eastAsia" w:eastAsia="仿宋"/>
          <w:color w:val="auto"/>
        </w:rPr>
        <w:t>a</w:t>
      </w:r>
      <w:r>
        <w:rPr>
          <w:rFonts w:eastAsia="仿宋"/>
          <w:color w:val="auto"/>
        </w:rPr>
        <w:t xml:space="preserve">. </w:t>
      </w:r>
      <w:r>
        <w:rPr>
          <w:rFonts w:hint="eastAsia" w:eastAsia="仿宋"/>
          <w:color w:val="auto"/>
        </w:rPr>
        <w:t>按照甲方要求或指示的设计变更，导致不包含在合同范围内的工程量或费用的增加，或者导致合同范围内的工程量或费用的减少；</w:t>
      </w:r>
    </w:p>
    <w:p w14:paraId="3AD73679">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rPr>
      </w:pPr>
      <w:r>
        <w:rPr>
          <w:rFonts w:hint="eastAsia" w:eastAsia="仿宋"/>
          <w:color w:val="auto"/>
        </w:rPr>
        <w:t>b</w:t>
      </w:r>
      <w:r>
        <w:rPr>
          <w:rFonts w:eastAsia="仿宋"/>
          <w:color w:val="auto"/>
        </w:rPr>
        <w:t>.</w:t>
      </w:r>
      <w:r>
        <w:rPr>
          <w:rFonts w:hint="eastAsia" w:eastAsia="仿宋"/>
          <w:color w:val="auto"/>
        </w:rPr>
        <w:t>经甲方签证确认的非乙方原因导致的合同工程现场签证事项。</w:t>
      </w:r>
    </w:p>
    <w:p w14:paraId="7937A90A">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rPr>
      </w:pPr>
      <w:r>
        <w:rPr>
          <w:rFonts w:hint="eastAsia" w:eastAsia="仿宋"/>
          <w:color w:val="auto"/>
        </w:rPr>
        <w:t>2.单价合同形式</w:t>
      </w:r>
    </w:p>
    <w:p w14:paraId="4D656823">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rPr>
      </w:pPr>
      <w:r>
        <w:rPr>
          <w:rFonts w:hint="eastAsia" w:eastAsia="仿宋"/>
          <w:color w:val="auto"/>
        </w:rPr>
        <w:t>（1）本合同采用固定单价合同形式，固定单价所包含的范围，除合同另有约定外，工程量清单中有标价的单价均包括了实施和完成合同项目所需的人工、材料、机械、质检、安装、缺陷修复、管理、利润等费用，以及合同明示或暗示的所有责任、风险。</w:t>
      </w:r>
    </w:p>
    <w:p w14:paraId="0466428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rPr>
      </w:pPr>
      <w:r>
        <w:rPr>
          <w:rFonts w:hint="eastAsia" w:eastAsia="仿宋"/>
          <w:color w:val="auto"/>
        </w:rPr>
        <w:t>（2）构成合同价款的项目单价一经甲方和乙方签订合同确定后不作调整。</w:t>
      </w:r>
    </w:p>
    <w:p w14:paraId="03609C4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3.其他形式</w:t>
      </w:r>
    </w:p>
    <w:p w14:paraId="7C01B5B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rPr>
      </w:pPr>
      <w:r>
        <w:rPr>
          <w:rFonts w:hint="eastAsia" w:eastAsia="仿宋" w:cs="仿宋"/>
          <w:color w:val="auto"/>
        </w:rPr>
        <w:t>本项目中的</w:t>
      </w:r>
      <w:r>
        <w:rPr>
          <w:rFonts w:hint="eastAsia" w:eastAsia="仿宋"/>
          <w:color w:val="auto"/>
        </w:rPr>
        <w:t>__________(</w:t>
      </w:r>
      <w:r>
        <w:rPr>
          <w:rFonts w:hint="eastAsia" w:eastAsia="仿宋" w:cs="仿宋"/>
          <w:color w:val="auto"/>
        </w:rPr>
        <w:t>工程量确定的子项目名称</w:t>
      </w:r>
      <w:r>
        <w:rPr>
          <w:rFonts w:hint="eastAsia" w:eastAsia="仿宋"/>
          <w:color w:val="auto"/>
        </w:rPr>
        <w:t>)</w:t>
      </w:r>
      <w:r>
        <w:rPr>
          <w:rFonts w:hint="eastAsia" w:eastAsia="仿宋" w:cs="仿宋"/>
          <w:color w:val="auto"/>
        </w:rPr>
        <w:t>以双方确认的</w:t>
      </w:r>
      <w:r>
        <w:rPr>
          <w:rFonts w:hint="eastAsia" w:eastAsia="仿宋"/>
          <w:color w:val="auto"/>
        </w:rPr>
        <w:t>/</w:t>
      </w:r>
      <w:r>
        <w:rPr>
          <w:rFonts w:hint="eastAsia" w:eastAsia="仿宋" w:cs="仿宋"/>
          <w:color w:val="auto"/>
        </w:rPr>
        <w:t>甲方提供的报价清单中固定总价包干，这部分项目的合同价款在约定的范围内原则上不作任何调整；本项目中的</w:t>
      </w:r>
      <w:r>
        <w:rPr>
          <w:rFonts w:hint="eastAsia" w:eastAsia="仿宋"/>
          <w:color w:val="auto"/>
        </w:rPr>
        <w:t>__________(</w:t>
      </w:r>
      <w:r>
        <w:rPr>
          <w:rFonts w:hint="eastAsia" w:eastAsia="仿宋" w:cs="仿宋"/>
          <w:color w:val="auto"/>
        </w:rPr>
        <w:t>工程量预估的子项目名称</w:t>
      </w:r>
      <w:r>
        <w:rPr>
          <w:rFonts w:hint="eastAsia" w:eastAsia="仿宋"/>
          <w:color w:val="auto"/>
        </w:rPr>
        <w:t>)</w:t>
      </w:r>
      <w:r>
        <w:rPr>
          <w:rFonts w:hint="eastAsia" w:eastAsia="仿宋" w:cs="仿宋"/>
          <w:color w:val="auto"/>
        </w:rPr>
        <w:t>工程量为预估，以双方或者甲方确认的报价清单中的固定单价包干，这部分项目的合同价款按双方最终确认的工程量据实计算，固定单价原则上不作任何调整。</w:t>
      </w:r>
    </w:p>
    <w:p w14:paraId="438592D4">
      <w:pPr>
        <w:spacing w:line="360" w:lineRule="auto"/>
        <w:rPr>
          <w:rFonts w:eastAsia="仿宋"/>
        </w:rPr>
      </w:pPr>
      <w:r>
        <w:rPr>
          <w:rFonts w:hint="eastAsia" w:eastAsia="仿宋"/>
          <w:color w:val="auto"/>
        </w:rPr>
        <w:t>4</w:t>
      </w:r>
      <w:r>
        <w:rPr>
          <w:rFonts w:eastAsia="仿宋"/>
          <w:color w:val="auto"/>
        </w:rPr>
        <w:t xml:space="preserve">.3 </w:t>
      </w:r>
      <w:r>
        <w:rPr>
          <w:rFonts w:hint="eastAsia" w:eastAsia="仿宋"/>
          <w:color w:val="auto"/>
        </w:rPr>
        <w:t>出现合同约定的合同价款调增事项后的七个工作日内，乙方</w:t>
      </w:r>
      <w:r>
        <w:rPr>
          <w:rFonts w:hint="eastAsia" w:eastAsia="仿宋"/>
        </w:rPr>
        <w:t>应向甲方提交合同价款调增报告并附上相关资料，若乙方在七个工作日内未提交合同价款调增报告的，视为乙方对该事项不存在调整价款。</w:t>
      </w:r>
    </w:p>
    <w:p w14:paraId="688B0130">
      <w:pPr>
        <w:spacing w:line="360" w:lineRule="auto"/>
        <w:rPr>
          <w:rFonts w:eastAsia="仿宋"/>
        </w:rPr>
      </w:pPr>
      <w:r>
        <w:rPr>
          <w:rFonts w:hint="eastAsia" w:eastAsia="仿宋"/>
        </w:rPr>
        <w:t>4</w:t>
      </w:r>
      <w:r>
        <w:rPr>
          <w:rFonts w:eastAsia="仿宋"/>
        </w:rPr>
        <w:t xml:space="preserve">.4 </w:t>
      </w:r>
      <w:r>
        <w:rPr>
          <w:rFonts w:hint="eastAsia" w:eastAsia="仿宋"/>
        </w:rPr>
        <w:t>甲方应</w:t>
      </w:r>
      <w:r>
        <w:rPr>
          <w:rFonts w:eastAsia="仿宋"/>
        </w:rPr>
        <w:t>在收到</w:t>
      </w:r>
      <w:r>
        <w:rPr>
          <w:rFonts w:hint="eastAsia" w:eastAsia="仿宋"/>
        </w:rPr>
        <w:t>乙方</w:t>
      </w:r>
      <w:r>
        <w:rPr>
          <w:rFonts w:eastAsia="仿宋"/>
        </w:rPr>
        <w:t>合同价款调增报告及相关资料之日起</w:t>
      </w:r>
      <w:r>
        <w:rPr>
          <w:rFonts w:eastAsia="仿宋"/>
          <w:u w:val="single"/>
        </w:rPr>
        <w:t>14</w:t>
      </w:r>
      <w:r>
        <w:rPr>
          <w:rFonts w:hint="eastAsia" w:eastAsia="仿宋"/>
          <w:u w:val="none"/>
          <w:lang w:val="en-US" w:eastAsia="zh-CN"/>
        </w:rPr>
        <w:t>个</w:t>
      </w:r>
      <w:r>
        <w:rPr>
          <w:rFonts w:hint="eastAsia" w:eastAsia="仿宋"/>
        </w:rPr>
        <w:t>工作日内</w:t>
      </w:r>
      <w:r>
        <w:rPr>
          <w:rFonts w:eastAsia="仿宋"/>
        </w:rPr>
        <w:t>对其核实，予以确认的</w:t>
      </w:r>
      <w:r>
        <w:rPr>
          <w:rFonts w:hint="eastAsia" w:eastAsia="仿宋"/>
        </w:rPr>
        <w:t>，</w:t>
      </w:r>
      <w:r>
        <w:rPr>
          <w:rFonts w:eastAsia="仿宋"/>
        </w:rPr>
        <w:t>应书面通知</w:t>
      </w:r>
      <w:r>
        <w:rPr>
          <w:rFonts w:hint="eastAsia" w:eastAsia="仿宋"/>
        </w:rPr>
        <w:t>乙方</w:t>
      </w:r>
      <w:r>
        <w:rPr>
          <w:rFonts w:eastAsia="仿宋"/>
        </w:rPr>
        <w:t>。</w:t>
      </w:r>
      <w:r>
        <w:rPr>
          <w:rFonts w:hint="eastAsia" w:eastAsia="仿宋"/>
        </w:rPr>
        <w:t>甲方未予确认的部分，乙方不得擅自变更或增加。</w:t>
      </w:r>
    </w:p>
    <w:p w14:paraId="6D992FED">
      <w:pPr>
        <w:spacing w:line="360" w:lineRule="auto"/>
        <w:rPr>
          <w:rFonts w:eastAsia="仿宋"/>
        </w:rPr>
      </w:pPr>
      <w:r>
        <w:rPr>
          <w:rFonts w:hint="eastAsia" w:eastAsia="仿宋"/>
        </w:rPr>
        <w:t>4</w:t>
      </w:r>
      <w:r>
        <w:rPr>
          <w:rFonts w:eastAsia="仿宋"/>
        </w:rPr>
        <w:t xml:space="preserve">.5 </w:t>
      </w:r>
      <w:r>
        <w:rPr>
          <w:rFonts w:hint="eastAsia" w:eastAsia="仿宋"/>
        </w:rPr>
        <w:t>出现合同约定的合同价款调减事项后的</w:t>
      </w:r>
      <w:r>
        <w:rPr>
          <w:rFonts w:hint="eastAsia" w:eastAsia="仿宋"/>
          <w:u w:val="single"/>
        </w:rPr>
        <w:t>7</w:t>
      </w:r>
      <w:r>
        <w:rPr>
          <w:rFonts w:hint="eastAsia" w:eastAsia="仿宋"/>
        </w:rPr>
        <w:t>个工作日内，甲方应向乙方提交合同价款调减报告并说明理由。乙方在收到甲方合同价款调减报告及相关资料之日起</w:t>
      </w:r>
      <w:r>
        <w:rPr>
          <w:rFonts w:hint="eastAsia" w:eastAsia="仿宋"/>
          <w:u w:val="single"/>
          <w:lang w:val="en-US" w:eastAsia="zh-CN"/>
        </w:rPr>
        <w:t>7</w:t>
      </w:r>
      <w:r>
        <w:rPr>
          <w:rFonts w:hint="eastAsia" w:eastAsia="仿宋"/>
        </w:rPr>
        <w:t>个工作日内不予确认也未提出不同意见的，视为乙方认可甲方的价款调减请求。</w:t>
      </w:r>
    </w:p>
    <w:p w14:paraId="1A2254B5">
      <w:pPr>
        <w:spacing w:line="360" w:lineRule="auto"/>
        <w:rPr>
          <w:rFonts w:hint="eastAsia" w:eastAsia="仿宋"/>
        </w:rPr>
      </w:pPr>
      <w:r>
        <w:rPr>
          <w:rFonts w:hint="eastAsia" w:eastAsia="仿宋"/>
        </w:rPr>
        <w:t>4</w:t>
      </w:r>
      <w:r>
        <w:rPr>
          <w:rFonts w:eastAsia="仿宋"/>
        </w:rPr>
        <w:t xml:space="preserve">.6 </w:t>
      </w:r>
      <w:r>
        <w:rPr>
          <w:rFonts w:hint="eastAsia" w:eastAsia="仿宋"/>
        </w:rPr>
        <w:t>经过甲乙双方确认调整的合同价款，作为追加（减）合同价款，与工程进度款或结算款同期支付。</w:t>
      </w:r>
    </w:p>
    <w:p w14:paraId="75330161">
      <w:pPr>
        <w:spacing w:line="360" w:lineRule="auto"/>
        <w:rPr>
          <w:rFonts w:eastAsia="仿宋"/>
        </w:rPr>
      </w:pPr>
      <w:r>
        <w:rPr>
          <w:rFonts w:hint="eastAsia" w:eastAsia="仿宋"/>
          <w:lang w:val="en-US" w:eastAsia="zh-CN"/>
        </w:rPr>
        <w:t>4.7 本合同款项应按</w:t>
      </w:r>
      <w:r>
        <w:rPr>
          <w:rFonts w:hint="eastAsia" w:eastAsia="仿宋"/>
        </w:rPr>
        <w:t>下列第</w:t>
      </w:r>
      <w:r>
        <w:rPr>
          <w:rFonts w:hint="eastAsia" w:eastAsia="仿宋"/>
          <w:u w:val="single"/>
          <w:lang w:val="en-US" w:eastAsia="zh-CN"/>
        </w:rPr>
        <w:t>1</w:t>
      </w:r>
      <w:r>
        <w:rPr>
          <w:rFonts w:hint="eastAsia" w:eastAsia="仿宋"/>
        </w:rPr>
        <w:t>种方式</w:t>
      </w:r>
      <w:r>
        <w:rPr>
          <w:rFonts w:hint="eastAsia" w:eastAsia="仿宋"/>
          <w:lang w:val="en-US" w:eastAsia="zh-CN"/>
        </w:rPr>
        <w:t>支付</w:t>
      </w:r>
      <w:r>
        <w:rPr>
          <w:rFonts w:hint="eastAsia" w:eastAsia="仿宋"/>
        </w:rPr>
        <w:t>：</w:t>
      </w:r>
    </w:p>
    <w:p w14:paraId="4CB7E36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eastAsia="仿宋"/>
          <w:color w:val="auto"/>
          <w:highlight w:val="none"/>
        </w:rPr>
        <w:t>1</w:t>
      </w:r>
      <w:r>
        <w:rPr>
          <w:rFonts w:hint="eastAsia" w:eastAsia="仿宋"/>
          <w:color w:val="auto"/>
          <w:highlight w:val="none"/>
        </w:rPr>
        <w:t>.一次性付款</w:t>
      </w:r>
    </w:p>
    <w:p w14:paraId="458D550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eastAsia="仿宋"/>
          <w:color w:val="auto"/>
          <w:highlight w:val="none"/>
        </w:rPr>
        <w:t>(1)</w:t>
      </w:r>
      <w:r>
        <w:rPr>
          <w:rFonts w:hint="eastAsia" w:eastAsia="仿宋"/>
          <w:color w:val="auto"/>
          <w:highlight w:val="none"/>
        </w:rPr>
        <w:t>在本</w:t>
      </w:r>
      <w:r>
        <w:rPr>
          <w:rFonts w:eastAsia="仿宋"/>
          <w:color w:val="auto"/>
          <w:highlight w:val="none"/>
        </w:rPr>
        <w:t>项目</w:t>
      </w:r>
      <w:r>
        <w:rPr>
          <w:rFonts w:hint="eastAsia" w:eastAsia="仿宋"/>
          <w:color w:val="auto"/>
          <w:highlight w:val="none"/>
        </w:rPr>
        <w:t>竣工验收合格后（</w:t>
      </w:r>
      <w:r>
        <w:rPr>
          <w:rFonts w:hint="eastAsia" w:ascii="仿宋" w:eastAsia="仿宋"/>
          <w:color w:val="auto"/>
          <w:szCs w:val="28"/>
          <w:highlight w:val="none"/>
        </w:rPr>
        <w:t>如达到甲方结算审计条件，还须完成结算审计</w:t>
      </w:r>
      <w:r>
        <w:rPr>
          <w:rFonts w:hint="eastAsia" w:eastAsia="仿宋"/>
          <w:color w:val="auto"/>
          <w:highlight w:val="none"/>
        </w:rPr>
        <w:t>）</w:t>
      </w:r>
      <w:r>
        <w:rPr>
          <w:rFonts w:eastAsia="仿宋"/>
          <w:color w:val="auto"/>
          <w:highlight w:val="none"/>
        </w:rPr>
        <w:t>，</w:t>
      </w:r>
      <w:r>
        <w:rPr>
          <w:rFonts w:hint="eastAsia" w:eastAsia="仿宋"/>
        </w:rPr>
        <w:t>乙方提交</w:t>
      </w:r>
      <w:r>
        <w:rPr>
          <w:rFonts w:eastAsia="仿宋"/>
        </w:rPr>
        <w:t>全额有效</w:t>
      </w:r>
      <w:r>
        <w:rPr>
          <w:rFonts w:hint="eastAsia" w:eastAsia="仿宋"/>
          <w:lang w:val="en-US" w:eastAsia="zh-CN"/>
        </w:rPr>
        <w:t>且</w:t>
      </w:r>
      <w:r>
        <w:rPr>
          <w:rFonts w:hint="eastAsia" w:eastAsia="仿宋"/>
        </w:rPr>
        <w:t>经甲方确认无误的增值税专用发票后三十日内，甲方</w:t>
      </w:r>
      <w:r>
        <w:rPr>
          <w:rFonts w:eastAsia="仿宋"/>
        </w:rPr>
        <w:t>应付至结算价的</w:t>
      </w:r>
      <w:r>
        <w:rPr>
          <w:rFonts w:hint="eastAsia" w:eastAsia="仿宋"/>
          <w:u w:val="single"/>
        </w:rPr>
        <w:t>97</w:t>
      </w:r>
      <w:r>
        <w:rPr>
          <w:rFonts w:eastAsia="仿宋"/>
        </w:rPr>
        <w:t>%</w:t>
      </w:r>
      <w:r>
        <w:rPr>
          <w:rFonts w:hint="eastAsia" w:eastAsia="仿宋"/>
        </w:rPr>
        <w:t>；</w:t>
      </w:r>
      <w:bookmarkStart w:id="347" w:name="OLE_LINK5"/>
    </w:p>
    <w:p w14:paraId="684D85A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w:t>
      </w:r>
      <w:r>
        <w:rPr>
          <w:rFonts w:eastAsia="仿宋"/>
        </w:rPr>
        <w:t>2)余下</w:t>
      </w:r>
      <w:r>
        <w:rPr>
          <w:rFonts w:hint="eastAsia" w:eastAsia="仿宋"/>
          <w:u w:val="single"/>
        </w:rPr>
        <w:t>3</w:t>
      </w:r>
      <w:r>
        <w:rPr>
          <w:rFonts w:eastAsia="仿宋"/>
        </w:rPr>
        <w:t>%</w:t>
      </w:r>
      <w:r>
        <w:rPr>
          <w:rFonts w:hint="eastAsia" w:eastAsia="仿宋"/>
        </w:rPr>
        <w:t>的</w:t>
      </w:r>
      <w:r>
        <w:rPr>
          <w:rFonts w:eastAsia="仿宋"/>
        </w:rPr>
        <w:t>合同费用作为质保金</w:t>
      </w:r>
      <w:r>
        <w:rPr>
          <w:rFonts w:hint="eastAsia" w:eastAsia="仿宋"/>
        </w:rPr>
        <w:t>，</w:t>
      </w:r>
      <w:r>
        <w:rPr>
          <w:rFonts w:eastAsia="仿宋"/>
        </w:rPr>
        <w:t>在</w:t>
      </w:r>
      <w:r>
        <w:rPr>
          <w:rFonts w:hint="eastAsia" w:eastAsia="仿宋"/>
        </w:rPr>
        <w:t>本</w:t>
      </w:r>
      <w:r>
        <w:rPr>
          <w:rFonts w:eastAsia="仿宋"/>
        </w:rPr>
        <w:t>项目</w:t>
      </w:r>
      <w:r>
        <w:rPr>
          <w:rFonts w:hint="eastAsia" w:eastAsia="仿宋"/>
        </w:rPr>
        <w:t>质保期结束并经</w:t>
      </w:r>
      <w:r>
        <w:rPr>
          <w:rFonts w:eastAsia="仿宋"/>
        </w:rPr>
        <w:t>验收</w:t>
      </w:r>
      <w:r>
        <w:rPr>
          <w:rFonts w:hint="eastAsia" w:eastAsia="仿宋"/>
        </w:rPr>
        <w:t>合格后三十日内，</w:t>
      </w:r>
      <w:r>
        <w:rPr>
          <w:rFonts w:eastAsia="仿宋"/>
        </w:rPr>
        <w:t>乙方提供（甲方</w:t>
      </w:r>
      <w:r>
        <w:rPr>
          <w:rFonts w:hint="eastAsia" w:eastAsia="仿宋"/>
        </w:rPr>
        <w:t>出具</w:t>
      </w:r>
      <w:r>
        <w:rPr>
          <w:rFonts w:eastAsia="仿宋"/>
        </w:rPr>
        <w:t>的）验收证明文件，由甲方支付给乙方。</w:t>
      </w:r>
      <w:bookmarkEnd w:id="347"/>
    </w:p>
    <w:p w14:paraId="1C42198A">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eastAsia="仿宋"/>
        </w:rPr>
        <w:t>2.</w:t>
      </w:r>
      <w:r>
        <w:rPr>
          <w:rFonts w:hint="eastAsia" w:eastAsia="仿宋"/>
        </w:rPr>
        <w:t>分阶段付款：</w:t>
      </w:r>
    </w:p>
    <w:p w14:paraId="22238C1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（1）首期付款：【</w:t>
      </w:r>
      <w:r>
        <w:rPr>
          <w:rFonts w:hint="eastAsia" w:eastAsia="仿宋"/>
          <w:u w:val="single"/>
        </w:rPr>
        <w:t>付款条件</w:t>
      </w:r>
      <w:r>
        <w:rPr>
          <w:rFonts w:hint="eastAsia" w:eastAsia="仿宋"/>
        </w:rPr>
        <w:t>】，【</w:t>
      </w:r>
      <w:r>
        <w:rPr>
          <w:rFonts w:hint="eastAsia" w:eastAsia="仿宋"/>
          <w:u w:val="single"/>
        </w:rPr>
        <w:t>付款时间</w:t>
      </w:r>
      <w:r>
        <w:rPr>
          <w:rFonts w:hint="eastAsia" w:eastAsia="仿宋"/>
        </w:rPr>
        <w:t>】，【</w:t>
      </w:r>
      <w:r>
        <w:rPr>
          <w:rFonts w:hint="eastAsia" w:eastAsia="仿宋"/>
          <w:u w:val="single"/>
        </w:rPr>
        <w:t>付款比例</w:t>
      </w:r>
      <w:r>
        <w:rPr>
          <w:rFonts w:hint="eastAsia" w:eastAsia="仿宋"/>
        </w:rPr>
        <w:t>】%，即人民币（大写）_____元(￥_____元)；</w:t>
      </w:r>
    </w:p>
    <w:p w14:paraId="438C4032">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（2）第二期付款：【</w:t>
      </w:r>
      <w:r>
        <w:rPr>
          <w:rFonts w:hint="eastAsia" w:eastAsia="仿宋"/>
          <w:u w:val="single"/>
        </w:rPr>
        <w:t>付款条件</w:t>
      </w:r>
      <w:r>
        <w:rPr>
          <w:rFonts w:hint="eastAsia" w:eastAsia="仿宋"/>
        </w:rPr>
        <w:t>】，【</w:t>
      </w:r>
      <w:r>
        <w:rPr>
          <w:rFonts w:hint="eastAsia" w:eastAsia="仿宋"/>
          <w:u w:val="single"/>
        </w:rPr>
        <w:t>付款时间</w:t>
      </w:r>
      <w:r>
        <w:rPr>
          <w:rFonts w:hint="eastAsia" w:eastAsia="仿宋"/>
        </w:rPr>
        <w:t>】，【</w:t>
      </w:r>
      <w:r>
        <w:rPr>
          <w:rFonts w:hint="eastAsia" w:eastAsia="仿宋"/>
          <w:u w:val="single"/>
        </w:rPr>
        <w:t>付款比例</w:t>
      </w:r>
      <w:r>
        <w:rPr>
          <w:rFonts w:hint="eastAsia" w:eastAsia="仿宋"/>
        </w:rPr>
        <w:t>】%，即人民币（大写）_____元(￥_____元)；</w:t>
      </w:r>
    </w:p>
    <w:p w14:paraId="2E31D88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（3）末期付款：在本</w:t>
      </w:r>
      <w:r>
        <w:rPr>
          <w:rFonts w:eastAsia="仿宋"/>
        </w:rPr>
        <w:t>项目</w:t>
      </w:r>
      <w:r>
        <w:rPr>
          <w:rFonts w:hint="eastAsia" w:eastAsia="仿宋"/>
        </w:rPr>
        <w:t>竣工验收通过后（如果存在项目变更，须完成结算审计）</w:t>
      </w:r>
      <w:r>
        <w:rPr>
          <w:rFonts w:eastAsia="仿宋"/>
        </w:rPr>
        <w:t>，甲方</w:t>
      </w:r>
      <w:r>
        <w:rPr>
          <w:rFonts w:hint="eastAsia" w:eastAsia="仿宋"/>
        </w:rPr>
        <w:t>收到</w:t>
      </w:r>
      <w:r>
        <w:rPr>
          <w:rFonts w:eastAsia="仿宋"/>
        </w:rPr>
        <w:t>乙方提供的有效</w:t>
      </w:r>
      <w:r>
        <w:rPr>
          <w:rFonts w:hint="eastAsia" w:eastAsia="仿宋"/>
        </w:rPr>
        <w:t>增值税专用发票后三十日内，甲方向乙方</w:t>
      </w:r>
      <w:r>
        <w:rPr>
          <w:rFonts w:eastAsia="仿宋"/>
        </w:rPr>
        <w:t>支付至结算价的</w:t>
      </w:r>
      <w:r>
        <w:rPr>
          <w:rFonts w:hint="eastAsia" w:eastAsia="仿宋"/>
          <w:u w:val="single"/>
        </w:rPr>
        <w:t>97</w:t>
      </w:r>
      <w:r>
        <w:rPr>
          <w:rFonts w:eastAsia="仿宋"/>
        </w:rPr>
        <w:t>%</w:t>
      </w:r>
      <w:r>
        <w:rPr>
          <w:rFonts w:hint="eastAsia" w:eastAsia="仿宋"/>
        </w:rPr>
        <w:t>；</w:t>
      </w:r>
    </w:p>
    <w:p w14:paraId="4AE5BB5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（4）</w:t>
      </w:r>
      <w:r>
        <w:rPr>
          <w:rFonts w:eastAsia="仿宋"/>
        </w:rPr>
        <w:t>余下</w:t>
      </w:r>
      <w:r>
        <w:rPr>
          <w:rFonts w:hint="eastAsia" w:eastAsia="仿宋"/>
          <w:u w:val="single"/>
        </w:rPr>
        <w:t>3</w:t>
      </w:r>
      <w:r>
        <w:rPr>
          <w:rFonts w:eastAsia="仿宋"/>
        </w:rPr>
        <w:t>%</w:t>
      </w:r>
      <w:r>
        <w:rPr>
          <w:rFonts w:hint="eastAsia" w:eastAsia="仿宋"/>
        </w:rPr>
        <w:t>的</w:t>
      </w:r>
      <w:r>
        <w:rPr>
          <w:rFonts w:eastAsia="仿宋"/>
        </w:rPr>
        <w:t>合同</w:t>
      </w:r>
      <w:r>
        <w:rPr>
          <w:rFonts w:hint="eastAsia" w:eastAsia="仿宋"/>
        </w:rPr>
        <w:t>价款</w:t>
      </w:r>
      <w:r>
        <w:rPr>
          <w:rFonts w:eastAsia="仿宋"/>
        </w:rPr>
        <w:t>作为质保金</w:t>
      </w:r>
      <w:r>
        <w:rPr>
          <w:rFonts w:hint="eastAsia" w:eastAsia="仿宋"/>
        </w:rPr>
        <w:t>，</w:t>
      </w:r>
      <w:r>
        <w:rPr>
          <w:rFonts w:eastAsia="仿宋"/>
        </w:rPr>
        <w:t>在</w:t>
      </w:r>
      <w:r>
        <w:rPr>
          <w:rFonts w:hint="eastAsia" w:eastAsia="仿宋"/>
        </w:rPr>
        <w:t>本</w:t>
      </w:r>
      <w:r>
        <w:rPr>
          <w:rFonts w:eastAsia="仿宋"/>
        </w:rPr>
        <w:t>项目</w:t>
      </w:r>
      <w:r>
        <w:rPr>
          <w:rFonts w:hint="eastAsia" w:eastAsia="仿宋"/>
        </w:rPr>
        <w:t>质保期结束并经</w:t>
      </w:r>
      <w:r>
        <w:rPr>
          <w:rFonts w:eastAsia="仿宋"/>
        </w:rPr>
        <w:t>验收</w:t>
      </w:r>
      <w:r>
        <w:rPr>
          <w:rFonts w:hint="eastAsia" w:eastAsia="仿宋"/>
        </w:rPr>
        <w:t>合格后三十日内，</w:t>
      </w:r>
      <w:r>
        <w:rPr>
          <w:rFonts w:eastAsia="仿宋"/>
        </w:rPr>
        <w:t>乙方提供（甲方</w:t>
      </w:r>
      <w:r>
        <w:rPr>
          <w:rFonts w:hint="eastAsia" w:eastAsia="仿宋"/>
        </w:rPr>
        <w:t>出具</w:t>
      </w:r>
      <w:r>
        <w:rPr>
          <w:rFonts w:eastAsia="仿宋"/>
        </w:rPr>
        <w:t>的）验收证明文件，由甲方支付给乙方。</w:t>
      </w:r>
    </w:p>
    <w:p w14:paraId="29642C90">
      <w:pPr>
        <w:spacing w:line="360" w:lineRule="auto"/>
        <w:rPr>
          <w:rFonts w:hint="eastAsia" w:eastAsia="仿宋"/>
          <w:lang w:val="en-US" w:eastAsia="zh-CN"/>
        </w:rPr>
      </w:pPr>
      <w:r>
        <w:rPr>
          <w:rFonts w:hint="eastAsia" w:eastAsia="仿宋"/>
          <w:lang w:val="en-US" w:eastAsia="zh-CN"/>
        </w:rPr>
        <w:t>4.8 合同价款以</w:t>
      </w:r>
      <w:r>
        <w:rPr>
          <w:rFonts w:hint="eastAsia" w:eastAsia="仿宋"/>
          <w:u w:val="single"/>
          <w:lang w:val="en-US" w:eastAsia="zh-CN"/>
        </w:rPr>
        <w:t xml:space="preserve"> 银行转账 </w:t>
      </w:r>
      <w:r>
        <w:rPr>
          <w:rFonts w:hint="eastAsia" w:eastAsia="仿宋"/>
          <w:lang w:val="en-US" w:eastAsia="zh-CN"/>
        </w:rPr>
        <w:t>的方式支付。</w:t>
      </w:r>
    </w:p>
    <w:p w14:paraId="4018C542">
      <w:pPr>
        <w:spacing w:line="360" w:lineRule="auto"/>
        <w:rPr>
          <w:rFonts w:hint="eastAsia" w:eastAsia="仿宋"/>
          <w:lang w:val="en-US" w:eastAsia="zh-CN"/>
        </w:rPr>
      </w:pPr>
      <w:r>
        <w:rPr>
          <w:rFonts w:hint="eastAsia" w:eastAsia="仿宋"/>
          <w:lang w:val="en-US" w:eastAsia="zh-CN"/>
        </w:rPr>
        <w:t>乙方银行账户信息确认如下：</w:t>
      </w:r>
    </w:p>
    <w:p w14:paraId="65C45F78">
      <w:pPr>
        <w:spacing w:line="360" w:lineRule="auto"/>
        <w:rPr>
          <w:rFonts w:hint="eastAsia" w:eastAsia="仿宋"/>
          <w:u w:val="none"/>
          <w:lang w:val="en-US" w:eastAsia="zh-CN"/>
        </w:rPr>
      </w:pPr>
      <w:r>
        <w:rPr>
          <w:rFonts w:hint="eastAsia" w:eastAsia="仿宋"/>
          <w:lang w:val="en-US" w:eastAsia="zh-CN"/>
        </w:rPr>
        <w:t>账户名：_____________________</w:t>
      </w:r>
      <w:r>
        <w:rPr>
          <w:rFonts w:hint="eastAsia" w:eastAsia="仿宋"/>
          <w:u w:val="none"/>
          <w:lang w:val="en-US" w:eastAsia="zh-CN"/>
        </w:rPr>
        <w:t xml:space="preserve">  </w:t>
      </w:r>
    </w:p>
    <w:p w14:paraId="59C5C8A9">
      <w:pPr>
        <w:spacing w:line="360" w:lineRule="auto"/>
        <w:rPr>
          <w:rFonts w:hint="default" w:eastAsia="仿宋"/>
          <w:lang w:val="en-US" w:eastAsia="zh-CN"/>
        </w:rPr>
      </w:pPr>
      <w:r>
        <w:rPr>
          <w:rFonts w:hint="eastAsia" w:eastAsia="仿宋"/>
          <w:lang w:val="en-US" w:eastAsia="zh-CN"/>
        </w:rPr>
        <w:t xml:space="preserve">开户行：_____________________                                   </w:t>
      </w:r>
    </w:p>
    <w:p w14:paraId="68B4FBE4">
      <w:pPr>
        <w:spacing w:line="360" w:lineRule="auto"/>
        <w:rPr>
          <w:rFonts w:hint="default" w:eastAsia="仿宋"/>
          <w:lang w:val="en-US" w:eastAsia="zh-CN"/>
        </w:rPr>
      </w:pPr>
      <w:r>
        <w:rPr>
          <w:rFonts w:hint="eastAsia" w:eastAsia="仿宋"/>
          <w:lang w:val="en-US" w:eastAsia="zh-CN"/>
        </w:rPr>
        <w:t xml:space="preserve">账号： ______________________                                         </w:t>
      </w:r>
    </w:p>
    <w:p w14:paraId="293CCCD3">
      <w:pPr>
        <w:spacing w:line="360" w:lineRule="auto"/>
        <w:rPr>
          <w:rFonts w:hint="eastAsia" w:eastAsia="仿宋"/>
          <w:lang w:val="en-US" w:eastAsia="zh-CN"/>
        </w:rPr>
      </w:pPr>
      <w:r>
        <w:rPr>
          <w:rFonts w:hint="eastAsia" w:eastAsia="仿宋"/>
          <w:lang w:val="en-US" w:eastAsia="zh-CN"/>
        </w:rPr>
        <w:t>甲方开票信息确认如下：</w:t>
      </w:r>
    </w:p>
    <w:p w14:paraId="14A355E7">
      <w:pPr>
        <w:spacing w:line="360" w:lineRule="auto"/>
        <w:rPr>
          <w:rFonts w:hint="eastAsia" w:eastAsia="仿宋"/>
          <w:lang w:val="en-US" w:eastAsia="zh-CN"/>
        </w:rPr>
      </w:pPr>
      <w:r>
        <w:rPr>
          <w:rFonts w:hint="eastAsia" w:eastAsia="仿宋"/>
          <w:lang w:val="en-US" w:eastAsia="zh-CN"/>
        </w:rPr>
        <w:t xml:space="preserve">单位名称：                                    </w:t>
      </w:r>
    </w:p>
    <w:p w14:paraId="7E7ACC75">
      <w:pPr>
        <w:spacing w:line="360" w:lineRule="auto"/>
        <w:rPr>
          <w:rFonts w:hint="eastAsia" w:eastAsia="仿宋"/>
          <w:lang w:val="en-US" w:eastAsia="zh-CN"/>
        </w:rPr>
      </w:pPr>
      <w:r>
        <w:rPr>
          <w:rFonts w:hint="eastAsia" w:eastAsia="仿宋"/>
          <w:lang w:val="en-US" w:eastAsia="zh-CN"/>
        </w:rPr>
        <w:t xml:space="preserve">纳税人识别号：                             </w:t>
      </w:r>
    </w:p>
    <w:p w14:paraId="1FCF13D4">
      <w:pPr>
        <w:spacing w:line="360" w:lineRule="auto"/>
        <w:rPr>
          <w:rFonts w:hint="eastAsia" w:eastAsia="仿宋"/>
          <w:lang w:val="en-US" w:eastAsia="zh-CN"/>
        </w:rPr>
      </w:pPr>
      <w:r>
        <w:rPr>
          <w:rFonts w:hint="eastAsia" w:eastAsia="仿宋"/>
          <w:lang w:val="en-US" w:eastAsia="zh-CN"/>
        </w:rPr>
        <w:t xml:space="preserve">地址、电话：                                  </w:t>
      </w:r>
    </w:p>
    <w:p w14:paraId="6F8E176E">
      <w:pPr>
        <w:spacing w:line="360" w:lineRule="auto"/>
        <w:rPr>
          <w:rFonts w:hint="eastAsia" w:eastAsia="仿宋"/>
          <w:lang w:val="en-US" w:eastAsia="zh-CN"/>
        </w:rPr>
      </w:pPr>
      <w:r>
        <w:rPr>
          <w:rFonts w:hint="eastAsia" w:eastAsia="仿宋"/>
          <w:lang w:val="en-US" w:eastAsia="zh-CN"/>
        </w:rPr>
        <w:t>开户行、账号：</w:t>
      </w:r>
    </w:p>
    <w:p w14:paraId="79E5541A">
      <w:pPr>
        <w:spacing w:line="360" w:lineRule="auto"/>
        <w:rPr>
          <w:rFonts w:eastAsia="仿宋"/>
          <w:highlight w:val="none"/>
        </w:rPr>
      </w:pPr>
      <w:r>
        <w:rPr>
          <w:rFonts w:hint="eastAsia" w:eastAsia="仿宋"/>
          <w:lang w:val="en-US" w:eastAsia="zh-CN"/>
        </w:rPr>
        <w:t xml:space="preserve">4.9 </w:t>
      </w:r>
      <w:r>
        <w:rPr>
          <w:rFonts w:hint="eastAsia" w:eastAsia="仿宋"/>
        </w:rPr>
        <w:t>乙方应支付的违约金、损失赔偿金等</w:t>
      </w:r>
      <w:r>
        <w:rPr>
          <w:rFonts w:hint="eastAsia" w:eastAsia="仿宋"/>
          <w:highlight w:val="none"/>
        </w:rPr>
        <w:t>均可由甲方直接从未付的合同价款、履约保证金或质保金中扣除。如不足以赔付，甲方有权向乙方另行主张赔偿。</w:t>
      </w:r>
    </w:p>
    <w:p w14:paraId="083F2074">
      <w:pPr>
        <w:spacing w:line="360" w:lineRule="auto"/>
        <w:rPr>
          <w:rFonts w:hint="eastAsia" w:eastAsia="仿宋"/>
          <w:highlight w:val="none"/>
        </w:rPr>
      </w:pPr>
      <w:r>
        <w:rPr>
          <w:rFonts w:hint="eastAsia" w:eastAsia="仿宋"/>
          <w:highlight w:val="none"/>
          <w:lang w:val="en-US" w:eastAsia="zh-CN"/>
        </w:rPr>
        <w:t xml:space="preserve">4.10 </w:t>
      </w:r>
      <w:r>
        <w:rPr>
          <w:rFonts w:hint="eastAsia" w:eastAsia="仿宋"/>
          <w:highlight w:val="none"/>
        </w:rPr>
        <w:t>本合同约定的为含税合同价款。在合同履行期间，如遇国家的税率调整或其他政策影响税率的，税率随变化而变化，则合同价款及综合单价金额不做调整。</w:t>
      </w:r>
    </w:p>
    <w:p w14:paraId="51E95700">
      <w:pPr>
        <w:spacing w:line="360" w:lineRule="auto"/>
        <w:rPr>
          <w:rFonts w:eastAsia="仿宋"/>
        </w:rPr>
      </w:pPr>
      <w:r>
        <w:rPr>
          <w:rFonts w:hint="eastAsia" w:eastAsia="仿宋"/>
          <w:lang w:val="en-US" w:eastAsia="zh-CN"/>
        </w:rPr>
        <w:t xml:space="preserve">4.11 </w:t>
      </w:r>
      <w:r>
        <w:rPr>
          <w:rFonts w:hint="eastAsia" w:eastAsia="仿宋"/>
        </w:rPr>
        <w:t>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76DE4F9A">
      <w:pPr>
        <w:spacing w:line="360" w:lineRule="auto"/>
        <w:rPr>
          <w:rFonts w:eastAsia="仿宋"/>
          <w:b/>
        </w:rPr>
      </w:pPr>
      <w:r>
        <w:rPr>
          <w:rFonts w:hint="eastAsia" w:eastAsia="仿宋"/>
          <w:b/>
        </w:rPr>
        <w:t>五、甲方权利义务</w:t>
      </w:r>
    </w:p>
    <w:p w14:paraId="323C04E8">
      <w:pPr>
        <w:spacing w:line="360" w:lineRule="auto"/>
        <w:rPr>
          <w:rFonts w:eastAsia="仿宋"/>
        </w:rPr>
      </w:pPr>
      <w:r>
        <w:rPr>
          <w:rFonts w:hint="eastAsia" w:eastAsia="仿宋"/>
        </w:rPr>
        <w:t>5</w:t>
      </w:r>
      <w:r>
        <w:rPr>
          <w:rFonts w:eastAsia="仿宋"/>
        </w:rPr>
        <w:t>.1</w:t>
      </w:r>
      <w:r>
        <w:rPr>
          <w:rFonts w:hint="eastAsia" w:eastAsia="仿宋"/>
          <w:lang w:val="en-US" w:eastAsia="zh-CN"/>
        </w:rPr>
        <w:t xml:space="preserve"> </w:t>
      </w:r>
      <w:r>
        <w:rPr>
          <w:rFonts w:hint="eastAsia" w:eastAsia="仿宋"/>
        </w:rPr>
        <w:t>负责按照本合同约定向乙方支付相应的费用。</w:t>
      </w:r>
    </w:p>
    <w:p w14:paraId="2B7F3C97">
      <w:pPr>
        <w:spacing w:line="360" w:lineRule="auto"/>
        <w:rPr>
          <w:rFonts w:eastAsia="仿宋"/>
        </w:rPr>
      </w:pPr>
      <w:r>
        <w:rPr>
          <w:rFonts w:hint="eastAsia" w:eastAsia="仿宋"/>
        </w:rPr>
        <w:t>5</w:t>
      </w:r>
      <w:r>
        <w:rPr>
          <w:rFonts w:eastAsia="仿宋"/>
        </w:rPr>
        <w:t>.2</w:t>
      </w:r>
      <w:r>
        <w:rPr>
          <w:rFonts w:hint="eastAsia" w:eastAsia="仿宋"/>
          <w:lang w:val="en-US" w:eastAsia="zh-CN"/>
        </w:rPr>
        <w:t xml:space="preserve"> </w:t>
      </w:r>
      <w:r>
        <w:rPr>
          <w:rFonts w:hint="eastAsia" w:eastAsia="仿宋"/>
        </w:rPr>
        <w:t>负责向乙方提供本项目相关的图纸和资料，并审批乙方提供的施工方案和计划。</w:t>
      </w:r>
    </w:p>
    <w:p w14:paraId="5FA7BC9C">
      <w:pPr>
        <w:spacing w:line="360" w:lineRule="auto"/>
        <w:rPr>
          <w:rFonts w:eastAsia="仿宋"/>
        </w:rPr>
      </w:pPr>
      <w:r>
        <w:rPr>
          <w:rFonts w:hint="eastAsia" w:eastAsia="仿宋"/>
        </w:rPr>
        <w:t>5</w:t>
      </w:r>
      <w:r>
        <w:rPr>
          <w:rFonts w:eastAsia="仿宋"/>
        </w:rPr>
        <w:t xml:space="preserve">.3 </w:t>
      </w:r>
      <w:r>
        <w:rPr>
          <w:rFonts w:hint="eastAsia" w:eastAsia="仿宋"/>
        </w:rPr>
        <w:t>对乙方维修中的项目的施工质量、工程进度、安全生产、文明、环保施工等有协调、监督、监察的权利。</w:t>
      </w:r>
    </w:p>
    <w:p w14:paraId="19E9C4D1">
      <w:pPr>
        <w:spacing w:line="360" w:lineRule="auto"/>
        <w:rPr>
          <w:rFonts w:eastAsia="仿宋"/>
        </w:rPr>
      </w:pPr>
      <w:r>
        <w:rPr>
          <w:rFonts w:hint="eastAsia" w:eastAsia="仿宋"/>
        </w:rPr>
        <w:t>5.</w:t>
      </w:r>
      <w:r>
        <w:rPr>
          <w:rFonts w:eastAsia="仿宋"/>
        </w:rPr>
        <w:t>4</w:t>
      </w:r>
      <w:r>
        <w:rPr>
          <w:rFonts w:hint="eastAsia" w:eastAsia="仿宋"/>
          <w:lang w:val="en-US" w:eastAsia="zh-CN"/>
        </w:rPr>
        <w:t xml:space="preserve"> </w:t>
      </w:r>
      <w:r>
        <w:rPr>
          <w:rFonts w:hint="eastAsia" w:eastAsia="仿宋"/>
        </w:rPr>
        <w:t>负责本项目的完工验收，并办理项目结算。</w:t>
      </w:r>
    </w:p>
    <w:p w14:paraId="1CE8B7FE">
      <w:pPr>
        <w:spacing w:line="360" w:lineRule="auto"/>
        <w:rPr>
          <w:rFonts w:eastAsia="仿宋"/>
          <w:b/>
        </w:rPr>
      </w:pPr>
      <w:r>
        <w:rPr>
          <w:rFonts w:hint="eastAsia" w:eastAsia="仿宋"/>
          <w:b/>
        </w:rPr>
        <w:t>六、乙方权利义务</w:t>
      </w:r>
    </w:p>
    <w:p w14:paraId="4050084B">
      <w:pPr>
        <w:spacing w:line="360" w:lineRule="auto"/>
        <w:rPr>
          <w:rFonts w:eastAsia="仿宋"/>
        </w:rPr>
      </w:pPr>
      <w:r>
        <w:rPr>
          <w:rFonts w:hint="eastAsia" w:eastAsia="仿宋"/>
        </w:rPr>
        <w:t>6</w:t>
      </w:r>
      <w:r>
        <w:rPr>
          <w:rFonts w:eastAsia="仿宋"/>
        </w:rPr>
        <w:t>.1</w:t>
      </w:r>
      <w:r>
        <w:rPr>
          <w:rFonts w:hint="eastAsia" w:eastAsia="仿宋"/>
          <w:lang w:val="en-US" w:eastAsia="zh-CN"/>
        </w:rPr>
        <w:t xml:space="preserve"> </w:t>
      </w:r>
      <w:r>
        <w:rPr>
          <w:rFonts w:hint="eastAsia" w:eastAsia="仿宋"/>
        </w:rPr>
        <w:t>乙方应具有完成本项目的施工资质，在施工前应向甲方提供符合要求的施工计划、施工方案以及施工设计图纸等材料。</w:t>
      </w:r>
    </w:p>
    <w:p w14:paraId="2E8A6ADE">
      <w:pPr>
        <w:spacing w:line="360" w:lineRule="auto"/>
        <w:rPr>
          <w:rFonts w:eastAsia="仿宋"/>
        </w:rPr>
      </w:pPr>
      <w:r>
        <w:rPr>
          <w:rFonts w:hint="eastAsia" w:eastAsia="仿宋"/>
        </w:rPr>
        <w:t>6</w:t>
      </w:r>
      <w:r>
        <w:rPr>
          <w:rFonts w:eastAsia="仿宋"/>
        </w:rPr>
        <w:t>.2</w:t>
      </w:r>
      <w:r>
        <w:rPr>
          <w:rFonts w:hint="eastAsia" w:eastAsia="仿宋"/>
          <w:lang w:val="en-US" w:eastAsia="zh-CN"/>
        </w:rPr>
        <w:t xml:space="preserve"> </w:t>
      </w:r>
      <w:r>
        <w:rPr>
          <w:rFonts w:hint="eastAsia" w:eastAsia="仿宋"/>
        </w:rPr>
        <w:t>乙方指派项目经理负责组织施工，保质、保量、按期完成施工任务。</w:t>
      </w:r>
    </w:p>
    <w:p w14:paraId="5B9C4442">
      <w:pPr>
        <w:spacing w:line="360" w:lineRule="auto"/>
        <w:rPr>
          <w:rFonts w:eastAsia="仿宋"/>
        </w:rPr>
      </w:pPr>
      <w:r>
        <w:rPr>
          <w:rFonts w:hint="eastAsia" w:eastAsia="仿宋"/>
        </w:rPr>
        <w:t>6</w:t>
      </w:r>
      <w:r>
        <w:rPr>
          <w:rFonts w:eastAsia="仿宋"/>
        </w:rPr>
        <w:t>.3</w:t>
      </w:r>
      <w:r>
        <w:rPr>
          <w:rFonts w:hint="eastAsia" w:eastAsia="仿宋"/>
          <w:lang w:val="en-US" w:eastAsia="zh-CN"/>
        </w:rPr>
        <w:t xml:space="preserve"> </w:t>
      </w:r>
      <w:r>
        <w:rPr>
          <w:rFonts w:hint="eastAsia" w:eastAsia="仿宋"/>
        </w:rPr>
        <w:t>在项目实施前向甲方提交一份现场主要施工人员和施工设备的清单，严格执行施工规范、安全操作规程，遵守防火安全、环境保护等规定，做好各项质量检查记录。</w:t>
      </w:r>
    </w:p>
    <w:p w14:paraId="78AACF17">
      <w:pPr>
        <w:spacing w:line="360" w:lineRule="auto"/>
        <w:rPr>
          <w:rFonts w:eastAsia="仿宋"/>
        </w:rPr>
      </w:pPr>
      <w:r>
        <w:rPr>
          <w:rFonts w:hint="eastAsia" w:eastAsia="仿宋"/>
        </w:rPr>
        <w:t>6</w:t>
      </w:r>
      <w:r>
        <w:rPr>
          <w:rFonts w:eastAsia="仿宋"/>
        </w:rPr>
        <w:t>.4</w:t>
      </w:r>
      <w:r>
        <w:rPr>
          <w:rFonts w:hint="eastAsia" w:eastAsia="仿宋"/>
          <w:lang w:val="en-US" w:eastAsia="zh-CN"/>
        </w:rPr>
        <w:t xml:space="preserve"> </w:t>
      </w:r>
      <w:r>
        <w:rPr>
          <w:rFonts w:hint="eastAsia" w:eastAsia="仿宋"/>
        </w:rPr>
        <w:t>本项目实施过程中，应接受甲方的检查、检验，并为检查、检验提供便利条件。</w:t>
      </w:r>
    </w:p>
    <w:p w14:paraId="279B723A">
      <w:pPr>
        <w:spacing w:line="360" w:lineRule="auto"/>
        <w:rPr>
          <w:rFonts w:eastAsia="仿宋"/>
        </w:rPr>
      </w:pPr>
      <w:r>
        <w:rPr>
          <w:rFonts w:hint="eastAsia" w:eastAsia="仿宋"/>
        </w:rPr>
        <w:t>6</w:t>
      </w:r>
      <w:r>
        <w:rPr>
          <w:rFonts w:eastAsia="仿宋"/>
        </w:rPr>
        <w:t>.5</w:t>
      </w:r>
      <w:r>
        <w:rPr>
          <w:rFonts w:hint="eastAsia" w:eastAsia="仿宋"/>
          <w:lang w:val="en-US" w:eastAsia="zh-CN"/>
        </w:rPr>
        <w:t xml:space="preserve"> </w:t>
      </w:r>
      <w:r>
        <w:rPr>
          <w:rFonts w:hint="eastAsia" w:eastAsia="仿宋"/>
        </w:rPr>
        <w:t>乙方应当严格按照国家颁布的安全法规安全施工，如本项目施工过程中发生安全、火灾等事故的，乙方应立即采取适当救助措施并通知甲方。出现安全事故或造成乙方雇员、第三人人身损害、财产损失的，由乙方承担全部赔偿责任。</w:t>
      </w:r>
    </w:p>
    <w:p w14:paraId="09B954DC">
      <w:pPr>
        <w:spacing w:line="360" w:lineRule="auto"/>
        <w:rPr>
          <w:rFonts w:eastAsia="仿宋"/>
        </w:rPr>
      </w:pPr>
      <w:r>
        <w:rPr>
          <w:rFonts w:hint="eastAsia" w:eastAsia="仿宋"/>
        </w:rPr>
        <w:t>6</w:t>
      </w:r>
      <w:r>
        <w:rPr>
          <w:rFonts w:eastAsia="仿宋"/>
        </w:rPr>
        <w:t>.6</w:t>
      </w:r>
      <w:r>
        <w:rPr>
          <w:rFonts w:hint="eastAsia" w:eastAsia="仿宋"/>
          <w:lang w:val="en-US" w:eastAsia="zh-CN"/>
        </w:rPr>
        <w:t xml:space="preserve"> </w:t>
      </w:r>
      <w:r>
        <w:rPr>
          <w:rFonts w:hint="eastAsia" w:eastAsia="仿宋"/>
        </w:rPr>
        <w:t>遵守国家、地方政府及行政主管部门对施工现场管理的规定，妥善保护好施工现场周围建筑物、设备管线不受损坏，保护期间发生侵权或损坏事件的，由乙方负责解决，并承担由此产生的一切费用和损失；做好施工现场保卫和垃圾清运等工作，保证在本项目竣工之日起7天内清理所有的垃圾。</w:t>
      </w:r>
    </w:p>
    <w:p w14:paraId="0D633E09">
      <w:pPr>
        <w:spacing w:line="360" w:lineRule="auto"/>
        <w:rPr>
          <w:rFonts w:eastAsia="仿宋"/>
        </w:rPr>
      </w:pPr>
      <w:r>
        <w:rPr>
          <w:rFonts w:hint="eastAsia" w:eastAsia="仿宋"/>
        </w:rPr>
        <w:t>6</w:t>
      </w:r>
      <w:r>
        <w:rPr>
          <w:rFonts w:eastAsia="仿宋"/>
        </w:rPr>
        <w:t>.7</w:t>
      </w:r>
      <w:r>
        <w:rPr>
          <w:rFonts w:hint="eastAsia" w:eastAsia="仿宋"/>
          <w:lang w:val="en-US" w:eastAsia="zh-CN"/>
        </w:rPr>
        <w:t xml:space="preserve"> </w:t>
      </w:r>
      <w:r>
        <w:rPr>
          <w:rFonts w:hint="eastAsia" w:eastAsia="仿宋"/>
        </w:rPr>
        <w:t>本项目完工未移交甲方之前，乙方应负责保管现场的一切设施和工程成品。</w:t>
      </w:r>
    </w:p>
    <w:p w14:paraId="19AD62F2">
      <w:pPr>
        <w:spacing w:line="360" w:lineRule="auto"/>
        <w:rPr>
          <w:rFonts w:eastAsia="仿宋"/>
        </w:rPr>
      </w:pPr>
      <w:r>
        <w:rPr>
          <w:rFonts w:hint="eastAsia" w:eastAsia="仿宋"/>
        </w:rPr>
        <w:t>6</w:t>
      </w:r>
      <w:r>
        <w:rPr>
          <w:rFonts w:eastAsia="仿宋"/>
        </w:rPr>
        <w:t>.8</w:t>
      </w:r>
      <w:r>
        <w:rPr>
          <w:rFonts w:hint="eastAsia" w:eastAsia="仿宋"/>
          <w:lang w:val="en-US" w:eastAsia="zh-CN"/>
        </w:rPr>
        <w:t xml:space="preserve"> </w:t>
      </w:r>
      <w:r>
        <w:rPr>
          <w:rFonts w:hint="eastAsia" w:eastAsia="仿宋"/>
        </w:rPr>
        <w:t>未经甲方的书面同意，乙方不得将其在本合同项下的权利和义务转让给第三方。</w:t>
      </w:r>
    </w:p>
    <w:p w14:paraId="0569550B">
      <w:pPr>
        <w:spacing w:line="360" w:lineRule="auto"/>
        <w:rPr>
          <w:rFonts w:hint="eastAsia" w:eastAsia="仿宋"/>
        </w:rPr>
      </w:pPr>
      <w:r>
        <w:rPr>
          <w:rFonts w:hint="eastAsia" w:eastAsia="仿宋"/>
        </w:rPr>
        <w:t>6</w:t>
      </w:r>
      <w:r>
        <w:rPr>
          <w:rFonts w:eastAsia="仿宋"/>
        </w:rPr>
        <w:t>.9</w:t>
      </w:r>
      <w:r>
        <w:rPr>
          <w:rFonts w:hint="eastAsia" w:eastAsia="仿宋"/>
          <w:lang w:val="en-US" w:eastAsia="zh-CN"/>
        </w:rPr>
        <w:t xml:space="preserve"> </w:t>
      </w:r>
      <w:r>
        <w:rPr>
          <w:rFonts w:hint="eastAsia" w:eastAsia="仿宋"/>
        </w:rPr>
        <w:t>负责办理</w:t>
      </w:r>
      <w:r>
        <w:rPr>
          <w:rFonts w:hint="eastAsia" w:eastAsia="仿宋"/>
          <w:lang w:val="en-US" w:eastAsia="zh-CN"/>
        </w:rPr>
        <w:t>项目</w:t>
      </w:r>
      <w:r>
        <w:rPr>
          <w:rFonts w:hint="eastAsia" w:eastAsia="仿宋"/>
        </w:rPr>
        <w:t>施工期间乙方相关雇员的工伤保险、意外伤害保险、第三者责任保险及工程设备保险等事宜并承担相关费用，并负责处理与其雇员、员工之间的劳动人事争议。</w:t>
      </w:r>
    </w:p>
    <w:p w14:paraId="6D4FF2E7">
      <w:pPr>
        <w:spacing w:line="360" w:lineRule="auto"/>
        <w:rPr>
          <w:rFonts w:hint="eastAsia" w:eastAsia="仿宋" w:cs="Times New Roman (正文 CS 字体)"/>
          <w:highlight w:val="none"/>
        </w:rPr>
      </w:pPr>
      <w:r>
        <w:rPr>
          <w:rFonts w:hint="eastAsia" w:eastAsia="仿宋"/>
          <w:lang w:val="en-US" w:eastAsia="zh-CN"/>
        </w:rPr>
        <w:t xml:space="preserve">6.10 </w:t>
      </w:r>
      <w:r>
        <w:rPr>
          <w:rFonts w:hint="eastAsia" w:eastAsia="仿宋"/>
          <w:highlight w:val="none"/>
        </w:rPr>
        <w:t>乙方承诺严格规范劳动用工，</w:t>
      </w:r>
      <w:r>
        <w:rPr>
          <w:rFonts w:hint="eastAsia" w:eastAsia="仿宋"/>
          <w:highlight w:val="none"/>
          <w:lang w:val="en-US" w:eastAsia="zh-CN"/>
        </w:rPr>
        <w:t>并</w:t>
      </w:r>
      <w:r>
        <w:rPr>
          <w:rFonts w:hint="eastAsia" w:eastAsia="仿宋"/>
          <w:highlight w:val="none"/>
        </w:rPr>
        <w:t>不得发生任何拖欠第三方材料款、拖欠农民工工资或集体聚集、上访、打架等群体事件，</w:t>
      </w:r>
      <w:r>
        <w:rPr>
          <w:rFonts w:hint="eastAsia" w:eastAsia="仿宋"/>
          <w:highlight w:val="none"/>
          <w:lang w:val="en-US" w:eastAsia="zh-CN"/>
        </w:rPr>
        <w:t>否则甲方有权解除合同，并有权从应付未付的合同款项、履约保证金中扣除因</w:t>
      </w:r>
      <w:r>
        <w:rPr>
          <w:rFonts w:hint="eastAsia" w:eastAsia="仿宋" w:cs="Times New Roman (正文 CS 字体)"/>
          <w:highlight w:val="none"/>
        </w:rPr>
        <w:t>乙方</w:t>
      </w:r>
      <w:r>
        <w:rPr>
          <w:rFonts w:hint="eastAsia" w:eastAsia="仿宋" w:cs="Times New Roman (正文 CS 字体)"/>
          <w:highlight w:val="none"/>
          <w:lang w:val="en-US" w:eastAsia="zh-CN"/>
        </w:rPr>
        <w:t>原因</w:t>
      </w:r>
      <w:r>
        <w:rPr>
          <w:rFonts w:hint="eastAsia" w:eastAsia="仿宋" w:cs="Times New Roman (正文 CS 字体)"/>
          <w:highlight w:val="none"/>
        </w:rPr>
        <w:t>导致的任何费用支出、违约金、损失或损害赔偿金。</w:t>
      </w:r>
    </w:p>
    <w:p w14:paraId="4D12B00B">
      <w:pPr>
        <w:spacing w:line="360" w:lineRule="auto"/>
        <w:rPr>
          <w:rFonts w:hint="eastAsia" w:eastAsia="仿宋"/>
          <w:highlight w:val="none"/>
          <w:lang w:val="en-US" w:eastAsia="zh-CN"/>
        </w:rPr>
      </w:pPr>
      <w:r>
        <w:rPr>
          <w:rFonts w:hint="default" w:eastAsia="仿宋"/>
          <w:highlight w:val="none"/>
          <w:lang w:eastAsia="zh-CN"/>
        </w:rPr>
        <w:t>6.11</w:t>
      </w:r>
      <w:r>
        <w:rPr>
          <w:rFonts w:hint="eastAsia" w:eastAsia="仿宋"/>
          <w:highlight w:val="none"/>
          <w:lang w:val="en-US" w:eastAsia="zh-CN"/>
        </w:rPr>
        <w:t xml:space="preserve"> 乙方</w:t>
      </w:r>
      <w:r>
        <w:rPr>
          <w:rFonts w:hint="eastAsia" w:eastAsia="仿宋"/>
          <w:highlight w:val="none"/>
          <w:lang w:val="en-US" w:eastAsia="zh-Hans"/>
        </w:rPr>
        <w:t>如</w:t>
      </w:r>
      <w:r>
        <w:rPr>
          <w:rFonts w:hint="eastAsia" w:eastAsia="仿宋"/>
          <w:highlight w:val="none"/>
          <w:lang w:val="en-US" w:eastAsia="zh-CN"/>
        </w:rPr>
        <w:t>在中标后</w:t>
      </w:r>
      <w:r>
        <w:rPr>
          <w:rFonts w:hint="eastAsia" w:eastAsia="仿宋"/>
          <w:highlight w:val="none"/>
          <w:lang w:val="en-US" w:eastAsia="zh-Hans"/>
        </w:rPr>
        <w:t>或者合同履行期间发生</w:t>
      </w:r>
      <w:r>
        <w:rPr>
          <w:rFonts w:hint="eastAsia" w:eastAsia="仿宋"/>
          <w:highlight w:val="none"/>
          <w:lang w:val="en-US" w:eastAsia="zh-CN"/>
        </w:rPr>
        <w:t>被人民法院列为失信被执行人、影响合同履约能力的重大行政处罚等情形，应及时向</w:t>
      </w:r>
      <w:r>
        <w:rPr>
          <w:rFonts w:hint="eastAsia" w:eastAsia="仿宋"/>
          <w:highlight w:val="none"/>
          <w:lang w:val="en-US" w:eastAsia="zh-Hans"/>
        </w:rPr>
        <w:t>甲方的</w:t>
      </w:r>
      <w:r>
        <w:rPr>
          <w:rFonts w:hint="eastAsia" w:eastAsia="仿宋"/>
          <w:highlight w:val="none"/>
          <w:lang w:val="en-US" w:eastAsia="zh-CN"/>
        </w:rPr>
        <w:t>履约管理单位</w:t>
      </w:r>
      <w:r>
        <w:rPr>
          <w:rFonts w:hint="eastAsia" w:eastAsia="仿宋"/>
          <w:highlight w:val="none"/>
          <w:lang w:val="en-US" w:eastAsia="zh-Hans"/>
        </w:rPr>
        <w:t>、</w:t>
      </w:r>
      <w:r>
        <w:rPr>
          <w:rFonts w:hint="eastAsia" w:eastAsia="仿宋"/>
          <w:highlight w:val="none"/>
          <w:lang w:val="en-US" w:eastAsia="zh-CN"/>
        </w:rPr>
        <w:t>物资部报备。</w:t>
      </w:r>
    </w:p>
    <w:p w14:paraId="7CBADB6F">
      <w:pPr>
        <w:spacing w:line="360" w:lineRule="auto"/>
        <w:rPr>
          <w:rFonts w:eastAsia="仿宋"/>
          <w:b/>
        </w:rPr>
      </w:pPr>
      <w:r>
        <w:rPr>
          <w:rFonts w:hint="eastAsia" w:eastAsia="仿宋"/>
          <w:b/>
          <w:lang w:val="en-US" w:eastAsia="zh-CN"/>
        </w:rPr>
        <w:t>七</w:t>
      </w:r>
      <w:r>
        <w:rPr>
          <w:rFonts w:hint="eastAsia" w:eastAsia="仿宋"/>
          <w:b/>
        </w:rPr>
        <w:t>、质量及验收要求</w:t>
      </w:r>
    </w:p>
    <w:p w14:paraId="24592128">
      <w:pPr>
        <w:spacing w:line="360" w:lineRule="auto"/>
        <w:rPr>
          <w:rFonts w:eastAsia="仿宋"/>
        </w:rPr>
      </w:pPr>
      <w:r>
        <w:rPr>
          <w:rFonts w:hint="eastAsia" w:eastAsia="仿宋"/>
        </w:rPr>
        <w:t>7</w:t>
      </w:r>
      <w:r>
        <w:rPr>
          <w:rFonts w:eastAsia="仿宋"/>
        </w:rPr>
        <w:t>.1</w:t>
      </w:r>
      <w:r>
        <w:rPr>
          <w:rFonts w:hint="eastAsia" w:eastAsia="仿宋"/>
          <w:lang w:val="en-US" w:eastAsia="zh-CN"/>
        </w:rPr>
        <w:t xml:space="preserve"> </w:t>
      </w:r>
      <w:r>
        <w:rPr>
          <w:rFonts w:hint="eastAsia" w:eastAsia="仿宋"/>
        </w:rPr>
        <w:t>乙方为本项目提供的材料均须符合国家标准，有质量合格证明，主要材料的品种、规格等经甲方认可后方可使用。</w:t>
      </w:r>
    </w:p>
    <w:p w14:paraId="232BC6F9">
      <w:pPr>
        <w:spacing w:line="360" w:lineRule="auto"/>
        <w:rPr>
          <w:rFonts w:eastAsia="仿宋"/>
        </w:rPr>
      </w:pPr>
      <w:r>
        <w:rPr>
          <w:rFonts w:hint="eastAsia" w:eastAsia="仿宋"/>
        </w:rPr>
        <w:t>7</w:t>
      </w:r>
      <w:r>
        <w:rPr>
          <w:rFonts w:eastAsia="仿宋"/>
        </w:rPr>
        <w:t>.2</w:t>
      </w:r>
      <w:r>
        <w:rPr>
          <w:rFonts w:hint="eastAsia" w:eastAsia="仿宋"/>
          <w:lang w:val="en-US" w:eastAsia="zh-CN"/>
        </w:rPr>
        <w:t xml:space="preserve"> </w:t>
      </w:r>
      <w:r>
        <w:rPr>
          <w:rFonts w:hint="eastAsia" w:eastAsia="仿宋"/>
        </w:rPr>
        <w:t>本项目施工质量应符合</w:t>
      </w:r>
      <w:r>
        <w:rPr>
          <w:rFonts w:eastAsia="仿宋"/>
        </w:rPr>
        <w:t>国家标准、行业标准、工程所在地的地方性标准</w:t>
      </w:r>
      <w:r>
        <w:rPr>
          <w:rFonts w:hint="eastAsia" w:eastAsia="仿宋"/>
        </w:rPr>
        <w:t>，并达到合同规定要求，各项技术指标符合施工图纸中所列举的指标要求。</w:t>
      </w:r>
    </w:p>
    <w:p w14:paraId="5F170DCF">
      <w:pPr>
        <w:spacing w:line="360" w:lineRule="auto"/>
        <w:rPr>
          <w:rFonts w:eastAsia="仿宋"/>
          <w:highlight w:val="none"/>
        </w:rPr>
      </w:pPr>
      <w:r>
        <w:rPr>
          <w:rFonts w:hint="eastAsia" w:eastAsia="仿宋"/>
          <w:highlight w:val="none"/>
        </w:rPr>
        <w:t>7.3</w:t>
      </w:r>
      <w:r>
        <w:rPr>
          <w:rFonts w:hint="eastAsia" w:eastAsia="仿宋"/>
          <w:highlight w:val="none"/>
          <w:lang w:val="en-US" w:eastAsia="zh-CN"/>
        </w:rPr>
        <w:t xml:space="preserve"> </w:t>
      </w:r>
      <w:r>
        <w:rPr>
          <w:rFonts w:hint="eastAsia" w:eastAsia="仿宋"/>
          <w:highlight w:val="none"/>
        </w:rPr>
        <w:t>原则上没有国家标准、规范的，适用行业标准、规范；没有国家和行业标准、规范的，适用项目所在地的地方标准、规范；国内没有相应标准、规范的，由甲方向乙方提出技术要求，乙方提出维修方案，经甲方批准后执行。</w:t>
      </w:r>
    </w:p>
    <w:p w14:paraId="52A1C298">
      <w:pPr>
        <w:spacing w:line="360" w:lineRule="auto"/>
        <w:rPr>
          <w:rFonts w:eastAsia="仿宋"/>
          <w:highlight w:val="none"/>
        </w:rPr>
      </w:pPr>
      <w:r>
        <w:rPr>
          <w:rFonts w:hint="eastAsia" w:eastAsia="仿宋"/>
          <w:highlight w:val="none"/>
        </w:rPr>
        <w:t>7.4</w:t>
      </w:r>
      <w:r>
        <w:rPr>
          <w:rFonts w:hint="eastAsia" w:eastAsia="仿宋"/>
          <w:highlight w:val="none"/>
          <w:lang w:val="en-US" w:eastAsia="zh-CN"/>
        </w:rPr>
        <w:t xml:space="preserve"> </w:t>
      </w:r>
      <w:r>
        <w:rPr>
          <w:rFonts w:hint="eastAsia" w:eastAsia="仿宋"/>
          <w:highlight w:val="none"/>
        </w:rPr>
        <w:t>如遇规范、标准、技术规程对同一问题的处理出现相互矛盾的情况时，乙方应通知甲方，提出解决办法并征得甲方的同意。本项目所用的规范及标准应采用双方最新确定的方案。</w:t>
      </w:r>
    </w:p>
    <w:p w14:paraId="6B2E976F">
      <w:pPr>
        <w:spacing w:line="360" w:lineRule="auto"/>
        <w:rPr>
          <w:rFonts w:eastAsia="仿宋"/>
        </w:rPr>
      </w:pPr>
      <w:r>
        <w:rPr>
          <w:rFonts w:hint="eastAsia" w:eastAsia="仿宋"/>
        </w:rPr>
        <w:t>7</w:t>
      </w:r>
      <w:r>
        <w:rPr>
          <w:rFonts w:eastAsia="仿宋"/>
        </w:rPr>
        <w:t>.</w:t>
      </w:r>
      <w:r>
        <w:rPr>
          <w:rFonts w:hint="eastAsia" w:eastAsia="仿宋"/>
        </w:rPr>
        <w:t>5</w:t>
      </w:r>
      <w:r>
        <w:rPr>
          <w:rFonts w:hint="eastAsia" w:eastAsia="仿宋"/>
          <w:lang w:val="en-US" w:eastAsia="zh-CN"/>
        </w:rPr>
        <w:t xml:space="preserve"> </w:t>
      </w:r>
      <w:r>
        <w:rPr>
          <w:rFonts w:hint="eastAsia" w:eastAsia="仿宋"/>
        </w:rPr>
        <w:t>工程完工后七日内，乙方应书面通知甲方验收，甲方自接到验收通知之日起七日内组织验收；如果性能及施工质量不能满足甲方要求，乙方将全部或部分重新设计施工，延误的工期以及造成的损失由乙方承担。甲、乙双方可另定验收之日组织验收，验收合格之日为质保期起算日。</w:t>
      </w:r>
    </w:p>
    <w:p w14:paraId="67B86106">
      <w:pPr>
        <w:spacing w:line="360" w:lineRule="auto"/>
        <w:rPr>
          <w:rFonts w:eastAsia="仿宋"/>
        </w:rPr>
      </w:pPr>
      <w:r>
        <w:rPr>
          <w:rFonts w:hint="eastAsia" w:eastAsia="仿宋"/>
        </w:rPr>
        <w:t>7</w:t>
      </w:r>
      <w:r>
        <w:rPr>
          <w:rFonts w:eastAsia="仿宋"/>
        </w:rPr>
        <w:t>.</w:t>
      </w:r>
      <w:r>
        <w:rPr>
          <w:rFonts w:hint="eastAsia" w:eastAsia="仿宋"/>
        </w:rPr>
        <w:t>6</w:t>
      </w:r>
      <w:r>
        <w:rPr>
          <w:rFonts w:hint="eastAsia" w:eastAsia="仿宋"/>
          <w:lang w:val="en-US" w:eastAsia="zh-CN"/>
        </w:rPr>
        <w:t xml:space="preserve"> </w:t>
      </w:r>
      <w:r>
        <w:rPr>
          <w:rFonts w:hint="eastAsia" w:eastAsia="仿宋"/>
        </w:rPr>
        <w:t>甲乙双方对工程质量有争议，应协商确定第三方工程质量检验机构进行鉴定，所需费用及由此造成的损失，由责任方承担。</w:t>
      </w:r>
    </w:p>
    <w:p w14:paraId="79C4323B">
      <w:pPr>
        <w:spacing w:line="360" w:lineRule="auto"/>
        <w:rPr>
          <w:rFonts w:eastAsia="仿宋"/>
          <w:b/>
        </w:rPr>
      </w:pPr>
      <w:r>
        <w:rPr>
          <w:rFonts w:hint="eastAsia" w:eastAsia="仿宋"/>
          <w:b/>
        </w:rPr>
        <w:t>八、质量保证</w:t>
      </w:r>
    </w:p>
    <w:p w14:paraId="1E4CDD10">
      <w:pPr>
        <w:spacing w:line="360" w:lineRule="auto"/>
        <w:ind w:firstLine="420" w:firstLineChars="200"/>
        <w:rPr>
          <w:rFonts w:eastAsia="仿宋"/>
        </w:rPr>
      </w:pPr>
      <w:r>
        <w:rPr>
          <w:rFonts w:hint="eastAsia" w:eastAsia="仿宋"/>
        </w:rPr>
        <w:t>乙方应按法律法规及本合同约定，对交付甲方使用的工程或设备在质量保证期内承担质量保证责任。</w:t>
      </w:r>
    </w:p>
    <w:p w14:paraId="2D3A36F6">
      <w:pPr>
        <w:spacing w:line="360" w:lineRule="auto"/>
        <w:rPr>
          <w:rFonts w:eastAsia="仿宋"/>
        </w:rPr>
      </w:pPr>
      <w:r>
        <w:rPr>
          <w:rFonts w:hint="eastAsia" w:eastAsia="仿宋"/>
        </w:rPr>
        <w:t>8</w:t>
      </w:r>
      <w:r>
        <w:rPr>
          <w:rFonts w:eastAsia="仿宋"/>
        </w:rPr>
        <w:t>.1</w:t>
      </w:r>
      <w:r>
        <w:rPr>
          <w:rFonts w:hint="eastAsia" w:eastAsia="仿宋"/>
          <w:lang w:val="en-US" w:eastAsia="zh-CN"/>
        </w:rPr>
        <w:t xml:space="preserve"> </w:t>
      </w:r>
      <w:r>
        <w:rPr>
          <w:rFonts w:hint="eastAsia" w:eastAsia="仿宋"/>
        </w:rPr>
        <w:t>质量保证范围</w:t>
      </w:r>
    </w:p>
    <w:p w14:paraId="40E14083">
      <w:pPr>
        <w:keepNext w:val="0"/>
        <w:keepLines w:val="0"/>
        <w:pageBreakBefore w:val="0"/>
        <w:widowControl/>
        <w:kinsoku/>
        <w:wordWrap/>
        <w:overflowPunct/>
        <w:topLinePunct w:val="0"/>
        <w:autoSpaceDE/>
        <w:autoSpaceDN/>
        <w:bidi w:val="0"/>
        <w:adjustRightInd/>
        <w:snapToGrid/>
        <w:spacing w:line="360" w:lineRule="auto"/>
        <w:textAlignment w:val="auto"/>
        <w:rPr>
          <w:rFonts w:eastAsia="仿宋"/>
        </w:rPr>
      </w:pPr>
      <w:r>
        <w:rPr>
          <w:rFonts w:hint="eastAsia" w:eastAsia="仿宋"/>
        </w:rPr>
        <w:t>质量保证范围包括乙方承担的本项目一切工作和合同约定的其他工作。</w:t>
      </w:r>
    </w:p>
    <w:p w14:paraId="5CEE4F48">
      <w:pPr>
        <w:spacing w:line="360" w:lineRule="auto"/>
        <w:rPr>
          <w:rFonts w:eastAsia="仿宋"/>
        </w:rPr>
      </w:pPr>
      <w:r>
        <w:rPr>
          <w:rFonts w:hint="eastAsia" w:eastAsia="仿宋"/>
        </w:rPr>
        <w:t>8</w:t>
      </w:r>
      <w:r>
        <w:rPr>
          <w:rFonts w:eastAsia="仿宋"/>
        </w:rPr>
        <w:t>.2</w:t>
      </w:r>
      <w:r>
        <w:rPr>
          <w:rFonts w:hint="eastAsia" w:eastAsia="仿宋"/>
          <w:lang w:val="en-US" w:eastAsia="zh-CN"/>
        </w:rPr>
        <w:t xml:space="preserve"> </w:t>
      </w:r>
      <w:r>
        <w:rPr>
          <w:rFonts w:hint="eastAsia" w:eastAsia="仿宋"/>
        </w:rPr>
        <w:t>质量保证期限</w:t>
      </w:r>
    </w:p>
    <w:p w14:paraId="3CA964A3">
      <w:pPr>
        <w:spacing w:line="360" w:lineRule="auto"/>
        <w:rPr>
          <w:rFonts w:eastAsia="仿宋"/>
        </w:rPr>
      </w:pPr>
      <w:r>
        <w:rPr>
          <w:rFonts w:hint="eastAsia" w:eastAsia="仿宋"/>
        </w:rPr>
        <w:t>乙方对本项目承担质量保证责任的期限为</w:t>
      </w:r>
      <w:r>
        <w:rPr>
          <w:rFonts w:hint="eastAsia" w:ascii="宋体" w:hAnsi="宋体" w:eastAsia="宋体" w:cs="宋体"/>
          <w:u w:val="single"/>
        </w:rPr>
        <w:t>2年</w:t>
      </w:r>
      <w:r>
        <w:rPr>
          <w:rFonts w:eastAsia="仿宋"/>
        </w:rPr>
        <w:t>，</w:t>
      </w:r>
      <w:r>
        <w:rPr>
          <w:rFonts w:hint="eastAsia" w:eastAsia="仿宋"/>
        </w:rPr>
        <w:t>从验收合格之日起计算。</w:t>
      </w:r>
    </w:p>
    <w:p w14:paraId="10D4A0D2">
      <w:pPr>
        <w:spacing w:line="360" w:lineRule="auto"/>
        <w:rPr>
          <w:rFonts w:eastAsia="仿宋"/>
        </w:rPr>
      </w:pPr>
      <w:r>
        <w:rPr>
          <w:rFonts w:hint="eastAsia" w:eastAsia="仿宋"/>
        </w:rPr>
        <w:t>8</w:t>
      </w:r>
      <w:r>
        <w:rPr>
          <w:rFonts w:eastAsia="仿宋"/>
        </w:rPr>
        <w:t>.3</w:t>
      </w:r>
      <w:r>
        <w:rPr>
          <w:rFonts w:hint="eastAsia" w:eastAsia="仿宋"/>
          <w:lang w:val="en-US" w:eastAsia="zh-CN"/>
        </w:rPr>
        <w:t xml:space="preserve"> </w:t>
      </w:r>
      <w:r>
        <w:rPr>
          <w:rFonts w:hint="eastAsia" w:eastAsia="仿宋"/>
        </w:rPr>
        <w:t>质量保证责任承担</w:t>
      </w:r>
    </w:p>
    <w:p w14:paraId="661B6560">
      <w:pPr>
        <w:spacing w:line="360" w:lineRule="auto"/>
        <w:rPr>
          <w:rFonts w:eastAsia="仿宋"/>
          <w:highlight w:val="none"/>
        </w:rPr>
      </w:pPr>
      <w:r>
        <w:rPr>
          <w:rFonts w:eastAsia="仿宋"/>
        </w:rPr>
        <w:t>1）</w:t>
      </w:r>
      <w:r>
        <w:rPr>
          <w:rFonts w:hint="eastAsia" w:eastAsia="仿宋"/>
        </w:rPr>
        <w:t>属于保证范围和内容的项目，甲方在保证期间内发现本项目维修改造工作有缺陷，可要求乙方立即修复，乙方必须在收到甲方的通知后立即派人员到现场免费修复。如乙方拖延修复，甲方可自行组织修复，由此产生的一切费用和损失由乙方承担。在质量保证期内，由于乙方的原因造成的维修费用损失和甲方的损失由乙方承担</w:t>
      </w:r>
      <w:r>
        <w:rPr>
          <w:rFonts w:hint="eastAsia" w:eastAsia="仿宋"/>
          <w:highlight w:val="none"/>
        </w:rPr>
        <w:t>，且不能抵扣质量保证金。</w:t>
      </w:r>
    </w:p>
    <w:p w14:paraId="4AFA0C8F">
      <w:pPr>
        <w:spacing w:line="360" w:lineRule="auto"/>
        <w:rPr>
          <w:rFonts w:eastAsia="仿宋"/>
          <w:highlight w:val="none"/>
        </w:rPr>
      </w:pPr>
      <w:r>
        <w:rPr>
          <w:rFonts w:eastAsia="仿宋"/>
          <w:highlight w:val="none"/>
        </w:rPr>
        <w:t>2</w:t>
      </w:r>
      <w:r>
        <w:rPr>
          <w:rFonts w:hint="eastAsia" w:eastAsia="仿宋"/>
          <w:highlight w:val="none"/>
        </w:rPr>
        <w:t>）发生须紧急抢修的事故时，乙方接到通知后，应立即到达事故现场抢修。非乙方作业质量引起的事故，抢修费用由甲方承担（属于合同工作范围的在该合同项下支付）。</w:t>
      </w:r>
    </w:p>
    <w:p w14:paraId="706DBF66">
      <w:pPr>
        <w:spacing w:line="360" w:lineRule="auto"/>
        <w:rPr>
          <w:rFonts w:eastAsia="仿宋"/>
        </w:rPr>
      </w:pPr>
      <w:r>
        <w:rPr>
          <w:rFonts w:eastAsia="仿宋"/>
        </w:rPr>
        <w:t>3</w:t>
      </w:r>
      <w:r>
        <w:rPr>
          <w:rFonts w:hint="eastAsia" w:eastAsia="仿宋"/>
        </w:rPr>
        <w:t>）在国家规定的合理使用期限内，因乙方作业质量原因致使本项目在合理使用期限内造成人身伤亡和财产损害的，由乙方承担损害赔偿责任。</w:t>
      </w:r>
    </w:p>
    <w:p w14:paraId="7CAAA652">
      <w:pPr>
        <w:spacing w:line="360" w:lineRule="auto"/>
        <w:rPr>
          <w:rFonts w:eastAsia="仿宋"/>
          <w:b/>
        </w:rPr>
      </w:pPr>
      <w:r>
        <w:rPr>
          <w:rFonts w:hint="eastAsia" w:eastAsia="仿宋"/>
          <w:b/>
        </w:rPr>
        <w:t>九、履约担保</w:t>
      </w:r>
    </w:p>
    <w:p w14:paraId="702A23F7">
      <w:pPr>
        <w:spacing w:line="360" w:lineRule="auto"/>
        <w:rPr>
          <w:rFonts w:eastAsia="仿宋"/>
        </w:rPr>
      </w:pPr>
      <w:r>
        <w:rPr>
          <w:rFonts w:hint="eastAsia" w:eastAsia="仿宋"/>
        </w:rPr>
        <w:t>9</w:t>
      </w:r>
      <w:r>
        <w:rPr>
          <w:rFonts w:eastAsia="仿宋"/>
        </w:rPr>
        <w:t>.1</w:t>
      </w:r>
      <w:bookmarkStart w:id="348" w:name="_Toc198694697"/>
      <w:bookmarkStart w:id="349" w:name="_Toc198693812"/>
      <w:r>
        <w:rPr>
          <w:rFonts w:hint="eastAsia" w:eastAsia="仿宋"/>
          <w:lang w:val="en-US" w:eastAsia="zh-CN"/>
        </w:rPr>
        <w:t xml:space="preserve"> </w:t>
      </w:r>
      <w:r>
        <w:rPr>
          <w:rFonts w:hint="eastAsia" w:eastAsia="仿宋"/>
        </w:rPr>
        <w:t>履约担保</w:t>
      </w:r>
    </w:p>
    <w:p w14:paraId="03EB424E">
      <w:pPr>
        <w:spacing w:line="360" w:lineRule="auto"/>
        <w:rPr>
          <w:rFonts w:eastAsia="仿宋" w:cs="Times New Roman (正文 CS 字体)"/>
          <w:highlight w:val="none"/>
        </w:rPr>
      </w:pPr>
      <w:r>
        <w:rPr>
          <w:rFonts w:hint="eastAsia" w:eastAsia="仿宋" w:cs="Times New Roman (正文 CS 字体)"/>
        </w:rPr>
        <w:t>1</w:t>
      </w:r>
      <w:r>
        <w:rPr>
          <w:rFonts w:eastAsia="仿宋" w:cs="Times New Roman (正文 CS 字体)"/>
        </w:rPr>
        <w:t>.在本合同签订时，乙方应向甲方提交履约保证金，本项目履约保证金的金额为合同总价</w:t>
      </w:r>
      <w:r>
        <w:rPr>
          <w:rFonts w:eastAsia="仿宋" w:cs="Times New Roman (正文 CS 字体)"/>
          <w:highlight w:val="none"/>
        </w:rPr>
        <w:t>款</w:t>
      </w:r>
      <w:r>
        <w:rPr>
          <w:rFonts w:hint="eastAsia" w:eastAsia="仿宋" w:cs="Times New Roman (正文 CS 字体)"/>
          <w:highlight w:val="none"/>
          <w:u w:val="single"/>
          <w:lang w:val="en-US" w:eastAsia="zh-CN"/>
        </w:rPr>
        <w:t>10</w:t>
      </w:r>
      <w:r>
        <w:rPr>
          <w:rFonts w:eastAsia="仿宋" w:cs="Times New Roman (正文 CS 字体)"/>
          <w:highlight w:val="none"/>
          <w:u w:val="single"/>
        </w:rPr>
        <w:t>%</w:t>
      </w:r>
      <w:r>
        <w:rPr>
          <w:rFonts w:eastAsia="仿宋" w:cs="Times New Roman (正文 CS 字体)"/>
          <w:highlight w:val="none"/>
        </w:rPr>
        <w:t>。</w:t>
      </w:r>
    </w:p>
    <w:p w14:paraId="13F07B54">
      <w:pPr>
        <w:spacing w:line="360" w:lineRule="auto"/>
        <w:rPr>
          <w:rFonts w:eastAsia="仿宋" w:cs="Times New Roman (正文 CS 字体)"/>
          <w:highlight w:val="none"/>
        </w:rPr>
      </w:pPr>
      <w:r>
        <w:rPr>
          <w:rFonts w:eastAsia="仿宋" w:cs="Times New Roman (正文 CS 字体)"/>
          <w:highlight w:val="none"/>
        </w:rPr>
        <w:t>2.履约保证金由甲方持有，甲方有权在该保证金内扣除任何乙方应付而未付之任何款项</w:t>
      </w:r>
      <w:r>
        <w:rPr>
          <w:rFonts w:hint="eastAsia" w:eastAsia="仿宋" w:cs="Times New Roman (正文 CS 字体)"/>
          <w:highlight w:val="none"/>
        </w:rPr>
        <w:t>（包括但不限于合同约定的乙方应支付款项、甲方垫付的其他费用等），及任何因乙方在不遵守或不履行本</w:t>
      </w:r>
      <w:r>
        <w:rPr>
          <w:rFonts w:hint="eastAsia" w:eastAsia="仿宋" w:cs="Times New Roman (正文 CS 字体)"/>
          <w:highlight w:val="none"/>
          <w:lang w:eastAsia="zh-CN"/>
        </w:rPr>
        <w:t>合同</w:t>
      </w:r>
      <w:r>
        <w:rPr>
          <w:rFonts w:hint="eastAsia" w:eastAsia="仿宋" w:cs="Times New Roman (正文 CS 字体)"/>
          <w:highlight w:val="none"/>
        </w:rPr>
        <w:t>条款之任何部分而导致的任何费用支出、违约金、损失或损害赔偿金。</w:t>
      </w:r>
      <w:r>
        <w:rPr>
          <w:rFonts w:eastAsia="仿宋" w:cs="Times New Roman (正文 CS 字体)"/>
          <w:highlight w:val="none"/>
        </w:rPr>
        <w:t>如甲方根据</w:t>
      </w:r>
      <w:r>
        <w:rPr>
          <w:rFonts w:hint="eastAsia" w:eastAsia="仿宋" w:cs="Times New Roman (正文 CS 字体)"/>
          <w:highlight w:val="none"/>
        </w:rPr>
        <w:t>上述</w:t>
      </w:r>
      <w:r>
        <w:rPr>
          <w:rFonts w:eastAsia="仿宋" w:cs="Times New Roman (正文 CS 字体)"/>
          <w:highlight w:val="none"/>
        </w:rPr>
        <w:t>情况扣除保证金，乙方必须在扣款后七个工作日内，补足相等于该扣除款额的履约保证金，以保证合同履行期间履约保证金的完整。如履约保证金尚不能弥补甲方的损失，甲方有权另行向乙方主张赔偿。</w:t>
      </w:r>
    </w:p>
    <w:p w14:paraId="06A7B3F3">
      <w:pPr>
        <w:spacing w:line="360" w:lineRule="auto"/>
        <w:ind w:firstLine="105" w:firstLineChars="50"/>
        <w:rPr>
          <w:rFonts w:eastAsia="仿宋" w:cs="Times New Roman (正文 CS 字体)"/>
          <w:highlight w:val="none"/>
        </w:rPr>
      </w:pPr>
      <w:r>
        <w:rPr>
          <w:rFonts w:hint="eastAsia" w:eastAsia="仿宋" w:cs="Times New Roman (正文 CS 字体)"/>
          <w:highlight w:val="none"/>
        </w:rPr>
        <w:t>（采用履约保证金的方式时选用）</w:t>
      </w:r>
    </w:p>
    <w:p w14:paraId="2659DB8A">
      <w:pPr>
        <w:spacing w:line="360" w:lineRule="auto"/>
        <w:rPr>
          <w:rFonts w:eastAsia="仿宋" w:cs="Times New Roman (正文 CS 字体)"/>
          <w:b/>
          <w:highlight w:val="none"/>
        </w:rPr>
      </w:pPr>
      <w:r>
        <w:rPr>
          <w:rFonts w:hint="eastAsia" w:eastAsia="仿宋" w:cs="Times New Roman (正文 CS 字体)"/>
          <w:b/>
          <w:highlight w:val="none"/>
        </w:rPr>
        <w:t>或</w:t>
      </w:r>
    </w:p>
    <w:p w14:paraId="40F0A449">
      <w:pPr>
        <w:spacing w:line="360" w:lineRule="auto"/>
        <w:rPr>
          <w:rFonts w:eastAsia="仿宋" w:cs="Times New Roman (正文 CS 字体)"/>
          <w:highlight w:val="none"/>
        </w:rPr>
      </w:pPr>
      <w:r>
        <w:rPr>
          <w:rFonts w:eastAsia="仿宋" w:cs="Times New Roman (正文 CS 字体)"/>
          <w:highlight w:val="none"/>
        </w:rPr>
        <w:t>1.在本合同签订时，乙方应</w:t>
      </w:r>
      <w:r>
        <w:rPr>
          <w:rFonts w:hint="eastAsia" w:eastAsia="仿宋" w:cs="Times New Roman (正文 CS 字体)"/>
          <w:highlight w:val="none"/>
        </w:rPr>
        <w:t>提交经甲方认可的银行履约保函，保函金</w:t>
      </w:r>
      <w:r>
        <w:rPr>
          <w:rFonts w:eastAsia="仿宋" w:cs="Times New Roman (正文 CS 字体)"/>
          <w:highlight w:val="none"/>
        </w:rPr>
        <w:t>额为合同总价款</w:t>
      </w:r>
      <w:r>
        <w:rPr>
          <w:rFonts w:hint="eastAsia" w:eastAsia="仿宋" w:cs="Times New Roman (正文 CS 字体)"/>
          <w:highlight w:val="none"/>
          <w:u w:val="single"/>
          <w:lang w:val="en-US" w:eastAsia="zh-CN"/>
        </w:rPr>
        <w:t>10</w:t>
      </w:r>
      <w:r>
        <w:rPr>
          <w:rFonts w:eastAsia="仿宋" w:cs="Times New Roman (正文 CS 字体)"/>
          <w:highlight w:val="none"/>
          <w:u w:val="single"/>
        </w:rPr>
        <w:t>%</w:t>
      </w:r>
      <w:r>
        <w:rPr>
          <w:rFonts w:eastAsia="仿宋" w:cs="Times New Roman (正文 CS 字体)"/>
          <w:highlight w:val="none"/>
        </w:rPr>
        <w:t>。</w:t>
      </w:r>
    </w:p>
    <w:p w14:paraId="4F0155FF">
      <w:pPr>
        <w:spacing w:line="360" w:lineRule="auto"/>
        <w:rPr>
          <w:rFonts w:eastAsia="仿宋" w:cs="Times New Roman (正文 CS 字体)"/>
          <w:highlight w:val="none"/>
        </w:rPr>
      </w:pPr>
      <w:r>
        <w:rPr>
          <w:rFonts w:hint="eastAsia" w:eastAsia="仿宋" w:cs="Times New Roman (正文 CS 字体)"/>
          <w:highlight w:val="none"/>
        </w:rPr>
        <w:t>2</w:t>
      </w:r>
      <w:r>
        <w:rPr>
          <w:rFonts w:eastAsia="仿宋" w:cs="Times New Roman (正文 CS 字体)"/>
          <w:highlight w:val="none"/>
        </w:rPr>
        <w:t>.甲方有权在履约保函内提取任何乙方应付而未付之任何款项</w:t>
      </w:r>
      <w:bookmarkStart w:id="350" w:name="_Hlk18247249"/>
      <w:r>
        <w:rPr>
          <w:rFonts w:hint="eastAsia" w:eastAsia="仿宋" w:cs="Times New Roman (正文 CS 字体)"/>
          <w:highlight w:val="none"/>
        </w:rPr>
        <w:t>（包括但不限于合同约定的乙方应支付款项、甲方垫付的其他费用等），</w:t>
      </w:r>
      <w:bookmarkStart w:id="351" w:name="_Hlk17966884"/>
      <w:r>
        <w:rPr>
          <w:rFonts w:hint="eastAsia" w:eastAsia="仿宋" w:cs="Times New Roman (正文 CS 字体)"/>
          <w:highlight w:val="none"/>
        </w:rPr>
        <w:t>及任何因乙方在不遵守或不履行本</w:t>
      </w:r>
      <w:r>
        <w:rPr>
          <w:rFonts w:hint="eastAsia" w:eastAsia="仿宋" w:cs="Times New Roman (正文 CS 字体)"/>
          <w:highlight w:val="none"/>
          <w:lang w:eastAsia="zh-CN"/>
        </w:rPr>
        <w:t>合同</w:t>
      </w:r>
      <w:r>
        <w:rPr>
          <w:rFonts w:hint="eastAsia" w:eastAsia="仿宋" w:cs="Times New Roman (正文 CS 字体)"/>
          <w:highlight w:val="none"/>
        </w:rPr>
        <w:t>条款之任何部分而导致的任何费用支出、违约金、损失或损害赔偿金。</w:t>
      </w:r>
      <w:bookmarkEnd w:id="350"/>
      <w:bookmarkEnd w:id="351"/>
      <w:r>
        <w:rPr>
          <w:rFonts w:eastAsia="仿宋" w:cs="Times New Roman (正文 CS 字体)"/>
          <w:highlight w:val="none"/>
        </w:rPr>
        <w:t>如甲方根据上述情况提取保函金额，乙方必须在该项提取发生之日起七个工作日内，补足至原履约保函金额</w:t>
      </w:r>
      <w:r>
        <w:rPr>
          <w:rFonts w:hint="eastAsia" w:eastAsia="仿宋" w:cs="Times New Roman (正文 CS 字体)"/>
          <w:highlight w:val="none"/>
        </w:rPr>
        <w:t>即元</w:t>
      </w:r>
      <w:r>
        <w:rPr>
          <w:rFonts w:eastAsia="仿宋" w:cs="Times New Roman (正文 CS 字体)"/>
          <w:highlight w:val="none"/>
        </w:rPr>
        <w:t>整，以保证合同履行期间履约保函的完整。如履约保函金额全部提取尚不能弥补甲方的损失，甲方有权另行向乙方主张赔偿。</w:t>
      </w:r>
      <w:r>
        <w:rPr>
          <w:rFonts w:hint="eastAsia" w:eastAsia="仿宋" w:cs="Times New Roman (正文 CS 字体)"/>
          <w:highlight w:val="none"/>
        </w:rPr>
        <w:t>（采用履约保函的方式时选用）</w:t>
      </w:r>
    </w:p>
    <w:p w14:paraId="19B7ADA3">
      <w:pPr>
        <w:spacing w:line="360" w:lineRule="auto"/>
        <w:rPr>
          <w:rFonts w:eastAsia="仿宋" w:cs="Times New Roman (正文 CS 字体)"/>
          <w:highlight w:val="none"/>
        </w:rPr>
      </w:pPr>
      <w:r>
        <w:rPr>
          <w:rFonts w:eastAsia="仿宋" w:cs="Times New Roman (正文 CS 字体)"/>
          <w:highlight w:val="none"/>
        </w:rPr>
        <w:t>3</w:t>
      </w:r>
      <w:r>
        <w:rPr>
          <w:rFonts w:hint="eastAsia" w:eastAsia="仿宋" w:cs="Times New Roman (正文 CS 字体)"/>
          <w:highlight w:val="none"/>
        </w:rPr>
        <w:t>.</w:t>
      </w:r>
      <w:r>
        <w:rPr>
          <w:rFonts w:eastAsia="仿宋" w:cs="Times New Roman (正文 CS 字体)"/>
          <w:highlight w:val="none"/>
        </w:rPr>
        <w:t>履约担保的有效期</w:t>
      </w:r>
      <w:r>
        <w:rPr>
          <w:rFonts w:hint="eastAsia" w:eastAsia="仿宋" w:cs="Times New Roman (正文 CS 字体)"/>
          <w:highlight w:val="none"/>
        </w:rPr>
        <w:t>（采用履约保函的方式时选用）</w:t>
      </w:r>
    </w:p>
    <w:p w14:paraId="6DB9DEE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s="Times New Roman (正文 CS 字体)"/>
          <w:highlight w:val="none"/>
        </w:rPr>
      </w:pPr>
      <w:r>
        <w:rPr>
          <w:rFonts w:eastAsia="仿宋" w:cs="Times New Roman (正文 CS 字体)"/>
          <w:highlight w:val="none"/>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合同价款中。</w:t>
      </w:r>
    </w:p>
    <w:p w14:paraId="2DEA6A2F">
      <w:pPr>
        <w:spacing w:line="360" w:lineRule="auto"/>
        <w:rPr>
          <w:rFonts w:eastAsia="仿宋" w:cs="Times New Roman (正文 CS 字体)"/>
          <w:highlight w:val="none"/>
        </w:rPr>
      </w:pPr>
      <w:r>
        <w:rPr>
          <w:rFonts w:hint="eastAsia" w:eastAsia="仿宋" w:cs="Times New Roman (正文 CS 字体)"/>
          <w:highlight w:val="none"/>
          <w:lang w:val="en-US" w:eastAsia="zh-CN"/>
        </w:rPr>
        <w:t xml:space="preserve">9.2 </w:t>
      </w:r>
      <w:r>
        <w:rPr>
          <w:rFonts w:hint="eastAsia" w:eastAsia="仿宋" w:cs="Times New Roman (正文 CS 字体)"/>
          <w:highlight w:val="none"/>
        </w:rPr>
        <w:t>履约担保</w:t>
      </w:r>
      <w:r>
        <w:rPr>
          <w:rFonts w:eastAsia="仿宋" w:cs="Times New Roman (正文 CS 字体)"/>
          <w:highlight w:val="none"/>
        </w:rPr>
        <w:t>的</w:t>
      </w:r>
      <w:r>
        <w:rPr>
          <w:rFonts w:hint="eastAsia" w:eastAsia="仿宋" w:cs="Times New Roman (正文 CS 字体)"/>
          <w:highlight w:val="none"/>
        </w:rPr>
        <w:t>退</w:t>
      </w:r>
      <w:r>
        <w:rPr>
          <w:rFonts w:eastAsia="仿宋" w:cs="Times New Roman (正文 CS 字体)"/>
          <w:highlight w:val="none"/>
        </w:rPr>
        <w:t>还</w:t>
      </w:r>
    </w:p>
    <w:bookmarkEnd w:id="348"/>
    <w:bookmarkEnd w:id="349"/>
    <w:p w14:paraId="2C0241D9">
      <w:pPr>
        <w:spacing w:line="360" w:lineRule="auto"/>
        <w:ind w:firstLine="420" w:firstLineChars="200"/>
        <w:rPr>
          <w:rFonts w:eastAsia="仿宋" w:cs="Times New Roman (正文 CS 字体)"/>
          <w:highlight w:val="none"/>
        </w:rPr>
      </w:pPr>
      <w:r>
        <w:rPr>
          <w:rFonts w:hint="eastAsia" w:eastAsia="仿宋" w:cs="Times New Roman (正文 CS 字体)"/>
          <w:highlight w:val="none"/>
          <w:lang w:val="en-US" w:eastAsia="zh-CN"/>
        </w:rPr>
        <w:t xml:space="preserve">乙方在本合同约定的服务期限届满并经甲方验收合格后30日内办理履约保证金（或履约保函）退还手续。 </w:t>
      </w:r>
    </w:p>
    <w:p w14:paraId="22A2AF58">
      <w:pPr>
        <w:spacing w:line="360" w:lineRule="auto"/>
        <w:rPr>
          <w:rFonts w:eastAsia="仿宋"/>
          <w:b/>
        </w:rPr>
      </w:pPr>
      <w:r>
        <w:rPr>
          <w:rFonts w:hint="eastAsia" w:eastAsia="仿宋"/>
          <w:b/>
        </w:rPr>
        <w:t>十、违约责任</w:t>
      </w:r>
    </w:p>
    <w:p w14:paraId="32217B45">
      <w:pPr>
        <w:spacing w:line="360" w:lineRule="auto"/>
        <w:rPr>
          <w:rFonts w:eastAsia="仿宋"/>
        </w:rPr>
      </w:pPr>
      <w:r>
        <w:rPr>
          <w:rFonts w:hint="eastAsia" w:eastAsia="仿宋"/>
        </w:rPr>
        <w:t>10</w:t>
      </w:r>
      <w:r>
        <w:rPr>
          <w:rFonts w:eastAsia="仿宋"/>
        </w:rPr>
        <w:t>.1</w:t>
      </w:r>
      <w:r>
        <w:rPr>
          <w:rFonts w:hint="eastAsia" w:eastAsia="仿宋"/>
          <w:lang w:val="en-US" w:eastAsia="zh-CN"/>
        </w:rPr>
        <w:t xml:space="preserve"> </w:t>
      </w:r>
      <w:r>
        <w:rPr>
          <w:rFonts w:hint="eastAsia" w:eastAsia="仿宋"/>
        </w:rPr>
        <w:t>在合同履行中，乙方不按照甲方的管理规定以及现场检查人员的施工管理要求进行施工的，每发现一次应向甲方支付1000元作为违约金，如同时给甲方造成损失的，乙方还应承担赔偿责任。</w:t>
      </w:r>
    </w:p>
    <w:p w14:paraId="308393AE">
      <w:pPr>
        <w:spacing w:line="360" w:lineRule="auto"/>
        <w:rPr>
          <w:rFonts w:hint="eastAsia" w:eastAsia="仿宋"/>
          <w:highlight w:val="none"/>
        </w:rPr>
      </w:pPr>
      <w:r>
        <w:rPr>
          <w:rFonts w:eastAsia="仿宋"/>
          <w:highlight w:val="none"/>
        </w:rPr>
        <w:t>10.2</w:t>
      </w:r>
      <w:r>
        <w:rPr>
          <w:rFonts w:hint="eastAsia" w:eastAsia="仿宋"/>
          <w:highlight w:val="none"/>
          <w:lang w:val="en-US" w:eastAsia="zh-CN"/>
        </w:rPr>
        <w:t xml:space="preserve"> </w:t>
      </w:r>
      <w:r>
        <w:rPr>
          <w:rFonts w:hint="eastAsia" w:eastAsia="仿宋"/>
          <w:highlight w:val="none"/>
        </w:rPr>
        <w:t>违反本合同第</w:t>
      </w:r>
      <w:r>
        <w:rPr>
          <w:rFonts w:eastAsia="仿宋"/>
          <w:highlight w:val="none"/>
        </w:rPr>
        <w:t>6.9</w:t>
      </w:r>
      <w:r>
        <w:rPr>
          <w:rFonts w:hint="eastAsia" w:eastAsia="仿宋"/>
          <w:highlight w:val="none"/>
        </w:rPr>
        <w:t>条规定，每发</w:t>
      </w:r>
      <w:r>
        <w:rPr>
          <w:rFonts w:hint="eastAsia" w:eastAsia="仿宋"/>
          <w:highlight w:val="none"/>
          <w:lang w:val="en-US" w:eastAsia="zh-CN"/>
        </w:rPr>
        <w:t>生一次</w:t>
      </w:r>
      <w:r>
        <w:rPr>
          <w:rFonts w:hint="eastAsia" w:eastAsia="仿宋"/>
          <w:highlight w:val="none"/>
        </w:rPr>
        <w:t>应向甲方支付</w:t>
      </w:r>
      <w:r>
        <w:rPr>
          <w:rFonts w:eastAsia="仿宋"/>
          <w:highlight w:val="none"/>
        </w:rPr>
        <w:t>1000</w:t>
      </w:r>
      <w:r>
        <w:rPr>
          <w:rFonts w:hint="eastAsia" w:eastAsia="仿宋"/>
          <w:highlight w:val="none"/>
        </w:rPr>
        <w:t>元作为违约金，如同时给甲方造成损失的，乙方还应承担赔偿责任。</w:t>
      </w:r>
    </w:p>
    <w:p w14:paraId="4A817B87">
      <w:pPr>
        <w:spacing w:line="360" w:lineRule="auto"/>
        <w:rPr>
          <w:rFonts w:eastAsia="仿宋"/>
        </w:rPr>
      </w:pPr>
      <w:r>
        <w:rPr>
          <w:rFonts w:hint="eastAsia" w:eastAsia="仿宋"/>
        </w:rPr>
        <w:t>10</w:t>
      </w:r>
      <w:r>
        <w:rPr>
          <w:rFonts w:eastAsia="仿宋"/>
        </w:rPr>
        <w:t>.</w:t>
      </w:r>
      <w:r>
        <w:rPr>
          <w:rFonts w:hint="eastAsia" w:eastAsia="仿宋"/>
        </w:rPr>
        <w:t>3</w:t>
      </w:r>
      <w:r>
        <w:rPr>
          <w:rFonts w:hint="eastAsia" w:eastAsia="仿宋"/>
          <w:lang w:val="en-US" w:eastAsia="zh-CN"/>
        </w:rPr>
        <w:t xml:space="preserve"> </w:t>
      </w:r>
      <w:r>
        <w:rPr>
          <w:rFonts w:hint="eastAsia" w:eastAsia="仿宋"/>
        </w:rPr>
        <w:t>乙方未能按照甲方审查确认的施工图纸或做法说明进行施工而造成的工程量变更，乙方不得提出费用增加的要求，甲方也不需为此支付额外的费用。</w:t>
      </w:r>
    </w:p>
    <w:p w14:paraId="5C873073">
      <w:pPr>
        <w:spacing w:line="360" w:lineRule="auto"/>
        <w:rPr>
          <w:rFonts w:eastAsia="仿宋"/>
        </w:rPr>
      </w:pPr>
      <w:r>
        <w:rPr>
          <w:rFonts w:hint="eastAsia" w:eastAsia="仿宋"/>
        </w:rPr>
        <w:t>10</w:t>
      </w:r>
      <w:r>
        <w:rPr>
          <w:rFonts w:eastAsia="仿宋"/>
        </w:rPr>
        <w:t>.</w:t>
      </w:r>
      <w:r>
        <w:rPr>
          <w:rFonts w:hint="eastAsia" w:eastAsia="仿宋"/>
        </w:rPr>
        <w:t>4</w:t>
      </w:r>
      <w:r>
        <w:rPr>
          <w:rFonts w:hint="eastAsia" w:eastAsia="仿宋"/>
          <w:lang w:val="en-US" w:eastAsia="zh-CN"/>
        </w:rPr>
        <w:t xml:space="preserve"> </w:t>
      </w:r>
      <w:r>
        <w:rPr>
          <w:rFonts w:hint="eastAsia" w:eastAsia="仿宋"/>
        </w:rPr>
        <w:t>由于乙方原因造成工程质量不合格或设计不符合双方约定的，乙方应按合同价款的</w:t>
      </w:r>
      <w:r>
        <w:rPr>
          <w:rFonts w:hint="eastAsia" w:eastAsia="仿宋"/>
          <w:u w:val="single"/>
        </w:rPr>
        <w:t>10%</w:t>
      </w:r>
      <w:r>
        <w:rPr>
          <w:rFonts w:hint="eastAsia" w:eastAsia="仿宋"/>
        </w:rPr>
        <w:t>向甲方支付违约金，并负责在本合同规定工期内返工至约定的质量标准要求，若违约金不足以弥补甲方的损失，乙方应足额赔偿甲方的损失。</w:t>
      </w:r>
    </w:p>
    <w:p w14:paraId="09CA3538">
      <w:pPr>
        <w:spacing w:line="360" w:lineRule="auto"/>
        <w:rPr>
          <w:rFonts w:eastAsia="仿宋"/>
        </w:rPr>
      </w:pPr>
      <w:r>
        <w:rPr>
          <w:rFonts w:hint="eastAsia" w:eastAsia="仿宋"/>
        </w:rPr>
        <w:t>10</w:t>
      </w:r>
      <w:r>
        <w:rPr>
          <w:rFonts w:eastAsia="仿宋"/>
        </w:rPr>
        <w:t>.</w:t>
      </w:r>
      <w:r>
        <w:rPr>
          <w:rFonts w:hint="eastAsia" w:eastAsia="仿宋"/>
        </w:rPr>
        <w:t>5</w:t>
      </w:r>
      <w:r>
        <w:rPr>
          <w:rFonts w:hint="eastAsia" w:eastAsia="仿宋"/>
          <w:lang w:val="en-US" w:eastAsia="zh-CN"/>
        </w:rPr>
        <w:t xml:space="preserve"> </w:t>
      </w:r>
      <w:r>
        <w:rPr>
          <w:rFonts w:hint="eastAsia" w:eastAsia="仿宋"/>
        </w:rPr>
        <w:t>乙方未能在规定日期内竣工验收并交付甲方使用的，每逾期一日，乙方须按合同价款的</w:t>
      </w:r>
      <w:r>
        <w:rPr>
          <w:rFonts w:hint="eastAsia" w:eastAsia="仿宋"/>
          <w:u w:val="single"/>
        </w:rPr>
        <w:t>0.5%</w:t>
      </w:r>
      <w:r>
        <w:rPr>
          <w:rFonts w:hint="eastAsia" w:eastAsia="仿宋"/>
        </w:rPr>
        <w:t>向甲方支付违约金。</w:t>
      </w:r>
    </w:p>
    <w:p w14:paraId="06CE7E5C">
      <w:pPr>
        <w:spacing w:line="360" w:lineRule="auto"/>
        <w:rPr>
          <w:rFonts w:eastAsia="仿宋"/>
        </w:rPr>
      </w:pPr>
      <w:r>
        <w:rPr>
          <w:rFonts w:hint="eastAsia" w:eastAsia="仿宋"/>
        </w:rPr>
        <w:t>10</w:t>
      </w:r>
      <w:r>
        <w:rPr>
          <w:rFonts w:eastAsia="仿宋"/>
        </w:rPr>
        <w:t>.</w:t>
      </w:r>
      <w:r>
        <w:rPr>
          <w:rFonts w:hint="eastAsia" w:eastAsia="仿宋"/>
        </w:rPr>
        <w:t>6</w:t>
      </w:r>
      <w:r>
        <w:rPr>
          <w:rFonts w:hint="eastAsia" w:eastAsia="仿宋"/>
          <w:lang w:val="en-US" w:eastAsia="zh-CN"/>
        </w:rPr>
        <w:t xml:space="preserve"> </w:t>
      </w:r>
      <w:r>
        <w:rPr>
          <w:rFonts w:hint="eastAsia" w:eastAsia="仿宋"/>
        </w:rPr>
        <w:t>乙方发生下列情形之一，甲方有权解除本合同</w:t>
      </w:r>
      <w:r>
        <w:rPr>
          <w:rFonts w:hint="eastAsia" w:eastAsia="仿宋"/>
          <w:lang w:val="en-US" w:eastAsia="zh-CN"/>
        </w:rPr>
        <w:t>并不予退还履约保证金，</w:t>
      </w:r>
      <w:r>
        <w:rPr>
          <w:rFonts w:hint="eastAsia" w:eastAsia="仿宋"/>
        </w:rPr>
        <w:t>甲方因合同解除而遭受损失的，乙方</w:t>
      </w:r>
      <w:r>
        <w:rPr>
          <w:rFonts w:hint="eastAsia" w:eastAsia="仿宋"/>
          <w:lang w:val="en-US" w:eastAsia="zh-CN"/>
        </w:rPr>
        <w:t>还</w:t>
      </w:r>
      <w:r>
        <w:rPr>
          <w:rFonts w:hint="eastAsia" w:eastAsia="仿宋"/>
        </w:rPr>
        <w:t>应承担赔偿责任：</w:t>
      </w:r>
    </w:p>
    <w:p w14:paraId="5F3FBCD4">
      <w:pPr>
        <w:spacing w:line="360" w:lineRule="auto"/>
        <w:rPr>
          <w:rFonts w:eastAsia="仿宋"/>
        </w:rPr>
      </w:pPr>
      <w:r>
        <w:rPr>
          <w:rFonts w:hint="eastAsia" w:eastAsia="仿宋"/>
        </w:rPr>
        <w:t>1）因乙方未能按照本合同规定，导致工程开工延误</w:t>
      </w:r>
      <w:r>
        <w:rPr>
          <w:rFonts w:hint="eastAsia" w:eastAsia="仿宋"/>
          <w:u w:val="single"/>
        </w:rPr>
        <w:t>20日</w:t>
      </w:r>
      <w:r>
        <w:rPr>
          <w:rFonts w:hint="eastAsia" w:eastAsia="仿宋"/>
        </w:rPr>
        <w:t>以上；</w:t>
      </w:r>
    </w:p>
    <w:p w14:paraId="57CC1CE5">
      <w:pPr>
        <w:spacing w:line="360" w:lineRule="auto"/>
        <w:rPr>
          <w:rFonts w:eastAsia="仿宋"/>
        </w:rPr>
      </w:pPr>
      <w:r>
        <w:rPr>
          <w:rFonts w:hint="eastAsia" w:eastAsia="仿宋"/>
        </w:rPr>
        <w:t>2）因乙方原因导致工程未能在本合同约定的期限内完工，且工期延误</w:t>
      </w:r>
      <w:r>
        <w:rPr>
          <w:rFonts w:hint="eastAsia" w:eastAsia="仿宋"/>
          <w:u w:val="single"/>
        </w:rPr>
        <w:t>30日</w:t>
      </w:r>
      <w:r>
        <w:rPr>
          <w:rFonts w:hint="eastAsia" w:eastAsia="仿宋"/>
        </w:rPr>
        <w:t>以上；</w:t>
      </w:r>
    </w:p>
    <w:p w14:paraId="581A71E4">
      <w:pPr>
        <w:spacing w:line="360" w:lineRule="auto"/>
        <w:rPr>
          <w:rFonts w:eastAsia="仿宋"/>
        </w:rPr>
      </w:pPr>
      <w:r>
        <w:rPr>
          <w:rFonts w:hint="eastAsia" w:eastAsia="仿宋"/>
        </w:rPr>
        <w:t>3）乙方违反本合同第六条的规定，导致发生安全事故的；</w:t>
      </w:r>
    </w:p>
    <w:p w14:paraId="377EB593">
      <w:pPr>
        <w:spacing w:line="360" w:lineRule="auto"/>
        <w:rPr>
          <w:rFonts w:eastAsia="仿宋"/>
        </w:rPr>
      </w:pPr>
      <w:r>
        <w:rPr>
          <w:rFonts w:hint="eastAsia" w:eastAsia="仿宋"/>
        </w:rPr>
        <w:t>4）乙方违反本合同项下的其他义务，并且在甲方发出违约通知后</w:t>
      </w:r>
      <w:r>
        <w:rPr>
          <w:rFonts w:hint="eastAsia" w:eastAsia="仿宋"/>
          <w:u w:val="single"/>
        </w:rPr>
        <w:t>10</w:t>
      </w:r>
      <w:r>
        <w:rPr>
          <w:rFonts w:hint="eastAsia" w:eastAsia="仿宋"/>
        </w:rPr>
        <w:t>天内或在违约通知限定的期限内仍未纠正，或纠正后仍不符合本合同的约定或甲方要求。</w:t>
      </w:r>
    </w:p>
    <w:p w14:paraId="46F65E24">
      <w:pPr>
        <w:spacing w:line="360" w:lineRule="auto"/>
        <w:rPr>
          <w:rFonts w:eastAsia="仿宋"/>
        </w:rPr>
      </w:pPr>
      <w:r>
        <w:rPr>
          <w:rFonts w:hint="eastAsia" w:eastAsia="仿宋"/>
        </w:rPr>
        <w:t>10</w:t>
      </w:r>
      <w:r>
        <w:rPr>
          <w:rFonts w:eastAsia="仿宋"/>
        </w:rPr>
        <w:t>.</w:t>
      </w:r>
      <w:r>
        <w:rPr>
          <w:rFonts w:hint="eastAsia" w:eastAsia="仿宋"/>
        </w:rPr>
        <w:t>7</w:t>
      </w:r>
      <w:r>
        <w:rPr>
          <w:rFonts w:hint="eastAsia" w:eastAsia="仿宋"/>
          <w:lang w:val="en-US" w:eastAsia="zh-CN"/>
        </w:rPr>
        <w:t xml:space="preserve"> </w:t>
      </w:r>
      <w:r>
        <w:rPr>
          <w:rFonts w:hint="eastAsia" w:eastAsia="仿宋"/>
        </w:rPr>
        <w:t>在合同履行期间，擅自解除合同方，应按合同总金额的20％作为违约金付给</w:t>
      </w:r>
      <w:r>
        <w:rPr>
          <w:rFonts w:hint="eastAsia" w:eastAsia="仿宋"/>
          <w:lang w:val="en-US" w:eastAsia="zh-CN"/>
        </w:rPr>
        <w:t>守约</w:t>
      </w:r>
      <w:r>
        <w:rPr>
          <w:rFonts w:hint="eastAsia" w:eastAsia="仿宋"/>
        </w:rPr>
        <w:t>方。因擅自解除合同，使对方造成的实际损失超过违约金的，责任方应足额赔偿另一方损失。</w:t>
      </w:r>
    </w:p>
    <w:p w14:paraId="26ED1767">
      <w:pPr>
        <w:pageBreakBefore w:val="0"/>
        <w:kinsoku/>
        <w:wordWrap/>
        <w:overflowPunct/>
        <w:topLinePunct w:val="0"/>
        <w:bidi w:val="0"/>
        <w:snapToGrid/>
        <w:spacing w:line="360" w:lineRule="auto"/>
        <w:textAlignment w:val="auto"/>
        <w:rPr>
          <w:rFonts w:hint="eastAsia" w:eastAsia="仿宋"/>
        </w:rPr>
      </w:pPr>
      <w:r>
        <w:rPr>
          <w:rFonts w:hint="eastAsia" w:eastAsia="仿宋"/>
        </w:rPr>
        <w:t>10</w:t>
      </w:r>
      <w:r>
        <w:rPr>
          <w:rFonts w:eastAsia="仿宋"/>
        </w:rPr>
        <w:t>.</w:t>
      </w:r>
      <w:r>
        <w:rPr>
          <w:rFonts w:hint="eastAsia" w:eastAsia="仿宋"/>
        </w:rPr>
        <w:t>8</w:t>
      </w:r>
      <w:r>
        <w:rPr>
          <w:rFonts w:hint="eastAsia" w:eastAsia="仿宋"/>
          <w:lang w:val="en-US" w:eastAsia="zh-CN"/>
        </w:rPr>
        <w:t xml:space="preserve"> </w:t>
      </w:r>
      <w:r>
        <w:rPr>
          <w:rFonts w:hint="eastAsia" w:ascii="仿宋" w:hAnsi="仿宋" w:eastAsia="仿宋" w:cs="仿宋"/>
          <w:sz w:val="24"/>
          <w:szCs w:val="24"/>
          <w:lang w:eastAsia="zh-CN"/>
        </w:rPr>
        <w:t>本合同所称不可抗力事件指合同当事人不能预见、不能避免、不能克服的客观情况，包括但不限于地震、</w:t>
      </w:r>
      <w:r>
        <w:rPr>
          <w:rFonts w:hint="eastAsia" w:ascii="仿宋" w:hAnsi="仿宋" w:eastAsia="仿宋" w:cs="仿宋"/>
          <w:sz w:val="24"/>
          <w:szCs w:val="24"/>
          <w:lang w:val="en-US" w:eastAsia="zh-CN"/>
        </w:rPr>
        <w:t>火灾、</w:t>
      </w:r>
      <w:r>
        <w:rPr>
          <w:rFonts w:hint="eastAsia" w:ascii="仿宋" w:hAnsi="仿宋" w:eastAsia="仿宋" w:cs="仿宋"/>
          <w:sz w:val="24"/>
          <w:szCs w:val="24"/>
          <w:lang w:eastAsia="zh-CN"/>
        </w:rPr>
        <w:t>水灾、雷击、雪灾等天灾，战争、恐怖袭击、内乱、</w:t>
      </w:r>
      <w:r>
        <w:rPr>
          <w:rFonts w:hint="eastAsia" w:ascii="仿宋" w:hAnsi="仿宋" w:eastAsia="仿宋" w:cs="仿宋"/>
          <w:sz w:val="24"/>
          <w:szCs w:val="24"/>
          <w:lang w:val="en-US" w:eastAsia="zh-CN"/>
        </w:rPr>
        <w:t>疫情等</w:t>
      </w:r>
      <w:r>
        <w:rPr>
          <w:rFonts w:hint="eastAsia" w:ascii="仿宋" w:hAnsi="仿宋" w:eastAsia="仿宋" w:cs="仿宋"/>
          <w:sz w:val="24"/>
          <w:szCs w:val="24"/>
          <w:lang w:eastAsia="zh-CN"/>
        </w:rPr>
        <w:t>严重威胁安全或健康的情形。</w:t>
      </w:r>
      <w:r>
        <w:rPr>
          <w:rFonts w:hint="eastAsia" w:eastAsia="仿宋"/>
        </w:rPr>
        <w:t>因不可抗力使本合同的履行受到影响的，受不可抗力影响方应于该事由发生后</w:t>
      </w:r>
      <w:r>
        <w:rPr>
          <w:rFonts w:hint="eastAsia" w:eastAsia="仿宋"/>
          <w:u w:val="single"/>
        </w:rPr>
        <w:t>10</w:t>
      </w:r>
      <w:r>
        <w:rPr>
          <w:rFonts w:hint="eastAsia" w:eastAsia="仿宋"/>
        </w:rPr>
        <w:t>日内通知对方并提供相关证明。双方可根据受不可抗力影响的程度决定全部或部分免除本合同项下义务或解除本合同。因不可抗力导致的合同义务减免或合同终止，双方均不承担责任。</w:t>
      </w:r>
    </w:p>
    <w:p w14:paraId="03D2E371">
      <w:pPr>
        <w:spacing w:line="360" w:lineRule="auto"/>
        <w:rPr>
          <w:rFonts w:hint="eastAsia" w:eastAsia="仿宋"/>
          <w:b/>
          <w:lang w:eastAsia="zh-CN"/>
        </w:rPr>
      </w:pPr>
      <w:bookmarkStart w:id="352" w:name="_Toc424651548"/>
      <w:r>
        <w:rPr>
          <w:rFonts w:hint="eastAsia" w:eastAsia="仿宋"/>
          <w:b/>
          <w:lang w:val="en-US" w:eastAsia="zh-CN"/>
        </w:rPr>
        <w:t>十一、</w:t>
      </w:r>
      <w:r>
        <w:rPr>
          <w:rFonts w:hint="eastAsia" w:eastAsia="仿宋"/>
          <w:b/>
          <w:lang w:eastAsia="zh-CN"/>
        </w:rPr>
        <w:t>通知</w:t>
      </w:r>
      <w:bookmarkEnd w:id="352"/>
    </w:p>
    <w:p w14:paraId="705DF8D7">
      <w:pPr>
        <w:spacing w:line="360" w:lineRule="auto"/>
        <w:rPr>
          <w:rFonts w:hint="eastAsia" w:eastAsia="仿宋"/>
          <w:b w:val="0"/>
          <w:bCs/>
          <w:lang w:eastAsia="zh-CN"/>
        </w:rPr>
      </w:pPr>
      <w:r>
        <w:rPr>
          <w:rFonts w:hint="eastAsia" w:eastAsia="仿宋"/>
          <w:b w:val="0"/>
          <w:bCs/>
          <w:lang w:val="en-US" w:eastAsia="zh-CN"/>
        </w:rPr>
        <w:t xml:space="preserve">11.1 </w:t>
      </w:r>
      <w:r>
        <w:rPr>
          <w:rFonts w:hint="eastAsia" w:eastAsia="仿宋"/>
          <w:b w:val="0"/>
          <w:bCs/>
          <w:lang w:eastAsia="zh-CN"/>
        </w:rPr>
        <w:t>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25ABBDB6">
      <w:pPr>
        <w:spacing w:line="360" w:lineRule="auto"/>
        <w:rPr>
          <w:rFonts w:hint="eastAsia" w:eastAsia="仿宋"/>
          <w:b w:val="0"/>
          <w:bCs/>
          <w:lang w:eastAsia="zh-CN"/>
        </w:rPr>
      </w:pPr>
      <w:r>
        <w:rPr>
          <w:rFonts w:hint="eastAsia" w:eastAsia="仿宋"/>
          <w:b w:val="0"/>
          <w:bCs/>
          <w:lang w:eastAsia="zh-CN"/>
        </w:rPr>
        <w:t>各方的联络及通讯方法以各方的下列信息为准：</w:t>
      </w:r>
    </w:p>
    <w:p w14:paraId="7E86F170">
      <w:pPr>
        <w:spacing w:line="360" w:lineRule="auto"/>
        <w:rPr>
          <w:rFonts w:hint="eastAsia" w:eastAsia="仿宋"/>
          <w:b w:val="0"/>
          <w:bCs/>
          <w:lang w:val="en-US" w:eastAsia="zh-CN"/>
        </w:rPr>
      </w:pPr>
      <w:r>
        <w:rPr>
          <w:rFonts w:hint="eastAsia" w:eastAsia="仿宋"/>
          <w:b w:val="0"/>
          <w:bCs/>
          <w:lang w:val="en-US" w:eastAsia="zh-CN"/>
        </w:rPr>
        <w:t xml:space="preserve">甲方： </w:t>
      </w:r>
    </w:p>
    <w:p w14:paraId="20BDD487">
      <w:pPr>
        <w:spacing w:line="360" w:lineRule="auto"/>
        <w:rPr>
          <w:rFonts w:hint="eastAsia" w:eastAsia="仿宋"/>
          <w:b w:val="0"/>
          <w:bCs/>
          <w:lang w:val="en-US" w:eastAsia="zh-CN"/>
        </w:rPr>
      </w:pPr>
      <w:r>
        <w:rPr>
          <w:rFonts w:hint="eastAsia" w:eastAsia="仿宋"/>
          <w:b w:val="0"/>
          <w:bCs/>
          <w:lang w:val="en-US" w:eastAsia="zh-CN"/>
        </w:rPr>
        <w:t>地址：</w:t>
      </w:r>
    </w:p>
    <w:p w14:paraId="40352DA1">
      <w:pPr>
        <w:spacing w:line="360" w:lineRule="auto"/>
        <w:rPr>
          <w:rFonts w:hint="eastAsia" w:eastAsia="仿宋"/>
          <w:b w:val="0"/>
          <w:bCs/>
          <w:lang w:eastAsia="zh-CN"/>
        </w:rPr>
      </w:pPr>
      <w:r>
        <w:rPr>
          <w:rFonts w:hint="eastAsia" w:eastAsia="仿宋"/>
          <w:b w:val="0"/>
          <w:bCs/>
          <w:lang w:val="en-US" w:eastAsia="zh-CN"/>
        </w:rPr>
        <w:t>电话：</w:t>
      </w:r>
    </w:p>
    <w:p w14:paraId="3C608947">
      <w:pPr>
        <w:spacing w:line="360" w:lineRule="auto"/>
        <w:rPr>
          <w:rFonts w:hint="eastAsia" w:eastAsia="仿宋"/>
          <w:b w:val="0"/>
          <w:bCs/>
          <w:lang w:eastAsia="zh-CN"/>
        </w:rPr>
      </w:pPr>
      <w:r>
        <w:rPr>
          <w:rFonts w:hint="eastAsia" w:eastAsia="仿宋"/>
          <w:b w:val="0"/>
          <w:bCs/>
          <w:lang w:eastAsia="zh-CN"/>
        </w:rPr>
        <w:t>收件人：_____________________</w:t>
      </w:r>
    </w:p>
    <w:p w14:paraId="30211E70">
      <w:pPr>
        <w:spacing w:line="360" w:lineRule="auto"/>
        <w:rPr>
          <w:rFonts w:hint="eastAsia" w:eastAsia="仿宋"/>
          <w:b w:val="0"/>
          <w:bCs/>
          <w:lang w:eastAsia="zh-CN"/>
        </w:rPr>
      </w:pPr>
      <w:r>
        <w:rPr>
          <w:rFonts w:hint="eastAsia" w:eastAsia="仿宋"/>
          <w:b w:val="0"/>
          <w:bCs/>
          <w:lang w:eastAsia="zh-CN"/>
        </w:rPr>
        <w:t>联系人：_____________________</w:t>
      </w:r>
    </w:p>
    <w:p w14:paraId="5D70738B">
      <w:pPr>
        <w:spacing w:line="360" w:lineRule="auto"/>
        <w:rPr>
          <w:rFonts w:hint="eastAsia" w:eastAsia="仿宋"/>
          <w:b w:val="0"/>
          <w:bCs/>
          <w:lang w:eastAsia="zh-CN"/>
        </w:rPr>
      </w:pPr>
    </w:p>
    <w:p w14:paraId="743D5C09">
      <w:pPr>
        <w:spacing w:line="360" w:lineRule="auto"/>
        <w:rPr>
          <w:rFonts w:hint="eastAsia" w:eastAsia="仿宋"/>
          <w:b w:val="0"/>
          <w:bCs/>
          <w:lang w:eastAsia="zh-CN"/>
        </w:rPr>
      </w:pPr>
      <w:r>
        <w:rPr>
          <w:rFonts w:hint="eastAsia" w:eastAsia="仿宋"/>
          <w:b w:val="0"/>
          <w:bCs/>
          <w:lang w:eastAsia="zh-CN"/>
        </w:rPr>
        <w:t>乙方：</w:t>
      </w:r>
    </w:p>
    <w:p w14:paraId="5DC89FF7">
      <w:pPr>
        <w:spacing w:line="360" w:lineRule="auto"/>
        <w:rPr>
          <w:rFonts w:hint="eastAsia" w:eastAsia="仿宋"/>
          <w:b w:val="0"/>
          <w:bCs/>
          <w:lang w:eastAsia="zh-CN"/>
        </w:rPr>
      </w:pPr>
      <w:r>
        <w:rPr>
          <w:rFonts w:hint="eastAsia" w:eastAsia="仿宋"/>
          <w:b w:val="0"/>
          <w:bCs/>
          <w:lang w:eastAsia="zh-CN"/>
        </w:rPr>
        <w:t>地址：_____________________</w:t>
      </w:r>
    </w:p>
    <w:p w14:paraId="573A37F1">
      <w:pPr>
        <w:spacing w:line="360" w:lineRule="auto"/>
        <w:rPr>
          <w:rFonts w:hint="eastAsia" w:eastAsia="仿宋"/>
          <w:b w:val="0"/>
          <w:bCs/>
          <w:lang w:eastAsia="zh-CN"/>
        </w:rPr>
      </w:pPr>
      <w:r>
        <w:rPr>
          <w:rFonts w:hint="eastAsia" w:eastAsia="仿宋"/>
          <w:b w:val="0"/>
          <w:bCs/>
          <w:lang w:eastAsia="zh-CN"/>
        </w:rPr>
        <w:t>电话：_____________________</w:t>
      </w:r>
    </w:p>
    <w:p w14:paraId="75D5F75A">
      <w:pPr>
        <w:spacing w:line="360" w:lineRule="auto"/>
        <w:rPr>
          <w:rFonts w:hint="eastAsia" w:eastAsia="仿宋"/>
          <w:b w:val="0"/>
          <w:bCs/>
          <w:lang w:eastAsia="zh-CN"/>
        </w:rPr>
      </w:pPr>
      <w:r>
        <w:rPr>
          <w:rFonts w:hint="eastAsia" w:eastAsia="仿宋"/>
          <w:b w:val="0"/>
          <w:bCs/>
          <w:lang w:eastAsia="zh-CN"/>
        </w:rPr>
        <w:t>收件人：____________________</w:t>
      </w:r>
    </w:p>
    <w:p w14:paraId="6FC567FA">
      <w:pPr>
        <w:spacing w:line="360" w:lineRule="auto"/>
        <w:rPr>
          <w:rFonts w:hint="eastAsia" w:eastAsia="仿宋"/>
          <w:b w:val="0"/>
          <w:bCs/>
          <w:lang w:eastAsia="zh-CN"/>
        </w:rPr>
      </w:pPr>
      <w:r>
        <w:rPr>
          <w:rFonts w:hint="eastAsia" w:eastAsia="仿宋"/>
          <w:b w:val="0"/>
          <w:bCs/>
          <w:lang w:eastAsia="zh-CN"/>
        </w:rPr>
        <w:t>联系人：__________________</w:t>
      </w:r>
    </w:p>
    <w:p w14:paraId="127EBB1F">
      <w:pPr>
        <w:spacing w:line="360" w:lineRule="auto"/>
        <w:rPr>
          <w:rFonts w:hint="eastAsia" w:eastAsia="仿宋"/>
          <w:b w:val="0"/>
          <w:bCs/>
          <w:lang w:val="en-US" w:eastAsia="zh-CN"/>
        </w:rPr>
      </w:pPr>
      <w:r>
        <w:rPr>
          <w:rFonts w:hint="eastAsia" w:eastAsia="仿宋"/>
          <w:b w:val="0"/>
          <w:bCs/>
          <w:lang w:val="en-US" w:eastAsia="zh-CN"/>
        </w:rPr>
        <w:t xml:space="preserve">11.2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71179729">
      <w:pPr>
        <w:spacing w:line="360" w:lineRule="auto"/>
        <w:rPr>
          <w:rFonts w:hint="eastAsia" w:eastAsia="仿宋"/>
          <w:b w:val="0"/>
          <w:bCs/>
        </w:rPr>
      </w:pPr>
      <w:r>
        <w:rPr>
          <w:rFonts w:hint="eastAsia" w:eastAsia="仿宋"/>
          <w:b w:val="0"/>
          <w:bCs/>
          <w:lang w:val="en-US" w:eastAsia="zh-CN"/>
        </w:rPr>
        <w:t>11.3 本条款为独立条款，不受协议整体或其他条款的效力的影响，始终有效。</w:t>
      </w:r>
    </w:p>
    <w:p w14:paraId="5821E501">
      <w:pPr>
        <w:spacing w:line="360" w:lineRule="auto"/>
        <w:rPr>
          <w:rFonts w:eastAsia="仿宋"/>
          <w:b/>
        </w:rPr>
      </w:pPr>
      <w:r>
        <w:rPr>
          <w:rFonts w:hint="eastAsia" w:eastAsia="仿宋"/>
          <w:b/>
        </w:rPr>
        <w:t>十</w:t>
      </w:r>
      <w:r>
        <w:rPr>
          <w:rFonts w:hint="eastAsia" w:eastAsia="仿宋"/>
          <w:b/>
          <w:lang w:val="en-US" w:eastAsia="zh-CN"/>
        </w:rPr>
        <w:t>二</w:t>
      </w:r>
      <w:r>
        <w:rPr>
          <w:rFonts w:hint="eastAsia" w:eastAsia="仿宋"/>
          <w:b/>
        </w:rPr>
        <w:t>、争议解决</w:t>
      </w:r>
    </w:p>
    <w:p w14:paraId="0A93F26D">
      <w:pPr>
        <w:spacing w:line="360" w:lineRule="auto"/>
        <w:ind w:firstLine="420" w:firstLineChars="200"/>
        <w:rPr>
          <w:rFonts w:hint="eastAsia" w:eastAsia="仿宋"/>
          <w:b/>
          <w:lang w:val="en-US" w:eastAsia="zh-CN"/>
        </w:rPr>
      </w:pPr>
      <w:r>
        <w:rPr>
          <w:rFonts w:hint="eastAsia" w:eastAsia="仿宋"/>
        </w:rPr>
        <w:t>因履行合同所发生的或与本合同有关的一切争议，双方应通过友好协商解决。如果双方协商不成，任何一方可向</w:t>
      </w:r>
      <w:r>
        <w:rPr>
          <w:rFonts w:hint="eastAsia" w:eastAsia="仿宋"/>
          <w:lang w:val="en-US" w:eastAsia="zh-CN"/>
        </w:rPr>
        <w:t>甲方</w:t>
      </w:r>
      <w:r>
        <w:rPr>
          <w:rFonts w:hint="eastAsia" w:eastAsia="仿宋"/>
        </w:rPr>
        <w:t>所在地有管辖权的人民法院起诉。</w:t>
      </w:r>
    </w:p>
    <w:p w14:paraId="34F2CA80">
      <w:pPr>
        <w:spacing w:line="360" w:lineRule="auto"/>
        <w:rPr>
          <w:rFonts w:hint="default" w:eastAsia="仿宋"/>
          <w:b/>
          <w:lang w:val="en-US" w:eastAsia="zh-CN"/>
        </w:rPr>
      </w:pPr>
      <w:r>
        <w:rPr>
          <w:rFonts w:hint="eastAsia" w:eastAsia="仿宋"/>
          <w:b/>
          <w:lang w:val="en-US" w:eastAsia="zh-CN"/>
        </w:rPr>
        <w:t>十三、廉洁规范条款</w:t>
      </w:r>
    </w:p>
    <w:p w14:paraId="395FE2DD">
      <w:pPr>
        <w:spacing w:line="360" w:lineRule="auto"/>
        <w:ind w:firstLine="420" w:firstLineChars="200"/>
        <w:rPr>
          <w:rFonts w:hint="eastAsia" w:eastAsia="仿宋"/>
          <w:lang w:val="zh-CN"/>
        </w:rPr>
      </w:pPr>
      <w:r>
        <w:rPr>
          <w:rFonts w:hint="eastAsia" w:eastAsia="仿宋"/>
          <w:lang w:val="en-US" w:eastAsia="zh-CN"/>
        </w:rPr>
        <w:t>合同各方</w:t>
      </w:r>
      <w:r>
        <w:rPr>
          <w:rFonts w:hint="eastAsia" w:eastAsia="仿宋"/>
        </w:rPr>
        <w:t>承诺：在</w:t>
      </w:r>
      <w:r>
        <w:rPr>
          <w:rFonts w:hint="eastAsia" w:eastAsia="仿宋"/>
          <w:lang w:val="en-US" w:eastAsia="zh-CN"/>
        </w:rPr>
        <w:t>本项目实施</w:t>
      </w:r>
      <w:r>
        <w:rPr>
          <w:rFonts w:hint="eastAsia" w:eastAsia="仿宋"/>
        </w:rPr>
        <w:t>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w:t>
      </w:r>
      <w:r>
        <w:rPr>
          <w:rFonts w:hint="eastAsia" w:eastAsia="仿宋"/>
          <w:lang w:eastAsia="zh-CN"/>
        </w:rPr>
        <w:t>合同，</w:t>
      </w:r>
      <w:r>
        <w:rPr>
          <w:rFonts w:hint="eastAsia" w:eastAsia="仿宋"/>
          <w:lang w:val="en-US" w:eastAsia="zh-CN"/>
        </w:rPr>
        <w:t>甲方解除本合同的，有权不予退还乙方履约保证金</w:t>
      </w:r>
      <w:r>
        <w:rPr>
          <w:rFonts w:hint="eastAsia" w:eastAsia="仿宋"/>
        </w:rPr>
        <w:t>。</w:t>
      </w:r>
    </w:p>
    <w:p w14:paraId="5F5EB6C0">
      <w:pPr>
        <w:spacing w:line="360" w:lineRule="auto"/>
        <w:rPr>
          <w:rFonts w:eastAsia="仿宋"/>
          <w:b/>
        </w:rPr>
      </w:pPr>
      <w:r>
        <w:rPr>
          <w:rFonts w:hint="eastAsia" w:eastAsia="仿宋"/>
          <w:b/>
        </w:rPr>
        <w:t>十</w:t>
      </w:r>
      <w:r>
        <w:rPr>
          <w:rFonts w:hint="eastAsia" w:eastAsia="仿宋"/>
          <w:b/>
          <w:lang w:val="en-US" w:eastAsia="zh-CN"/>
        </w:rPr>
        <w:t>四</w:t>
      </w:r>
      <w:r>
        <w:rPr>
          <w:rFonts w:hint="eastAsia" w:eastAsia="仿宋"/>
          <w:b/>
        </w:rPr>
        <w:t>、附则</w:t>
      </w:r>
    </w:p>
    <w:p w14:paraId="21516AD2">
      <w:pPr>
        <w:spacing w:line="360" w:lineRule="auto"/>
        <w:rPr>
          <w:rFonts w:eastAsia="仿宋"/>
        </w:rPr>
      </w:pPr>
      <w:r>
        <w:rPr>
          <w:rFonts w:eastAsia="仿宋"/>
        </w:rPr>
        <w:t>1</w:t>
      </w:r>
      <w:r>
        <w:rPr>
          <w:rFonts w:hint="eastAsia" w:eastAsia="仿宋"/>
          <w:lang w:val="en-US" w:eastAsia="zh-CN"/>
        </w:rPr>
        <w:t>4</w:t>
      </w:r>
      <w:r>
        <w:rPr>
          <w:rFonts w:eastAsia="仿宋"/>
        </w:rPr>
        <w:t xml:space="preserve">.1 </w:t>
      </w:r>
      <w:bookmarkStart w:id="353" w:name="_Toc478650037"/>
      <w:r>
        <w:rPr>
          <w:rFonts w:hint="eastAsia" w:eastAsia="仿宋"/>
        </w:rPr>
        <w:t>本合同经甲、乙双方法定代表人或授权代表人签</w:t>
      </w:r>
      <w:r>
        <w:rPr>
          <w:rFonts w:hint="eastAsia" w:eastAsia="仿宋"/>
          <w:highlight w:val="none"/>
        </w:rPr>
        <w:t>名</w:t>
      </w:r>
      <w:r>
        <w:rPr>
          <w:rFonts w:hint="eastAsia" w:eastAsia="仿宋"/>
          <w:highlight w:val="none"/>
          <w:lang w:val="en-US" w:eastAsia="zh-CN"/>
        </w:rPr>
        <w:t>（如为授权代表签名，乙方需提交法定代表人授权委托书</w:t>
      </w:r>
      <w:r>
        <w:rPr>
          <w:rFonts w:hint="eastAsia" w:eastAsia="仿宋"/>
          <w:highlight w:val="none"/>
          <w:lang w:eastAsia="zh-CN"/>
        </w:rPr>
        <w:t>）</w:t>
      </w:r>
      <w:r>
        <w:rPr>
          <w:rFonts w:hint="eastAsia" w:eastAsia="仿宋"/>
          <w:highlight w:val="none"/>
        </w:rPr>
        <w:t>并加盖单位公章或者合同专用章后生效。</w:t>
      </w:r>
      <w:r>
        <w:rPr>
          <w:rFonts w:eastAsia="仿宋"/>
          <w:highlight w:val="none"/>
        </w:rPr>
        <w:t>未</w:t>
      </w:r>
      <w:r>
        <w:rPr>
          <w:rFonts w:eastAsia="仿宋"/>
        </w:rPr>
        <w:t>尽事宜，双方根据需要，经协商可另外签订补充</w:t>
      </w:r>
      <w:r>
        <w:rPr>
          <w:rFonts w:hint="eastAsia" w:eastAsia="仿宋"/>
          <w:lang w:eastAsia="zh-CN"/>
        </w:rPr>
        <w:t>合同</w:t>
      </w:r>
      <w:r>
        <w:rPr>
          <w:rFonts w:eastAsia="仿宋"/>
        </w:rPr>
        <w:t>。</w:t>
      </w:r>
      <w:bookmarkEnd w:id="353"/>
    </w:p>
    <w:p w14:paraId="0A67CA98">
      <w:pPr>
        <w:spacing w:line="360" w:lineRule="auto"/>
        <w:rPr>
          <w:rFonts w:eastAsia="仿宋"/>
        </w:rPr>
      </w:pPr>
      <w:r>
        <w:rPr>
          <w:rFonts w:eastAsia="仿宋"/>
        </w:rPr>
        <w:t>1</w:t>
      </w:r>
      <w:r>
        <w:rPr>
          <w:rFonts w:hint="eastAsia" w:eastAsia="仿宋"/>
          <w:lang w:val="en-US" w:eastAsia="zh-CN"/>
        </w:rPr>
        <w:t>4</w:t>
      </w:r>
      <w:r>
        <w:rPr>
          <w:rFonts w:eastAsia="仿宋"/>
        </w:rPr>
        <w:t>.2 本合同一式</w:t>
      </w:r>
      <w:r>
        <w:rPr>
          <w:rFonts w:eastAsia="仿宋"/>
          <w:u w:val="single"/>
        </w:rPr>
        <w:t>9</w:t>
      </w:r>
      <w:r>
        <w:rPr>
          <w:rFonts w:eastAsia="仿宋"/>
        </w:rPr>
        <w:t>份，其中正本</w:t>
      </w:r>
      <w:r>
        <w:rPr>
          <w:rFonts w:eastAsia="仿宋"/>
          <w:u w:val="single"/>
        </w:rPr>
        <w:t>3</w:t>
      </w:r>
      <w:r>
        <w:rPr>
          <w:rFonts w:eastAsia="仿宋"/>
        </w:rPr>
        <w:t>份，甲方执</w:t>
      </w:r>
      <w:r>
        <w:rPr>
          <w:rFonts w:eastAsia="仿宋"/>
          <w:u w:val="single"/>
        </w:rPr>
        <w:t>1</w:t>
      </w:r>
      <w:r>
        <w:rPr>
          <w:rFonts w:eastAsia="仿宋"/>
        </w:rPr>
        <w:t>份，乙方执</w:t>
      </w:r>
      <w:r>
        <w:rPr>
          <w:rFonts w:eastAsia="仿宋"/>
          <w:u w:val="single"/>
        </w:rPr>
        <w:t>2</w:t>
      </w:r>
      <w:r>
        <w:rPr>
          <w:rFonts w:eastAsia="仿宋"/>
        </w:rPr>
        <w:t>份；副本</w:t>
      </w:r>
      <w:r>
        <w:rPr>
          <w:rFonts w:eastAsia="仿宋"/>
          <w:u w:val="single"/>
        </w:rPr>
        <w:t>6</w:t>
      </w:r>
      <w:r>
        <w:rPr>
          <w:rFonts w:eastAsia="仿宋"/>
        </w:rPr>
        <w:t>份，甲方执</w:t>
      </w:r>
      <w:r>
        <w:rPr>
          <w:rFonts w:eastAsia="仿宋"/>
          <w:u w:val="single"/>
        </w:rPr>
        <w:t>4</w:t>
      </w:r>
      <w:r>
        <w:rPr>
          <w:rFonts w:eastAsia="仿宋"/>
        </w:rPr>
        <w:t>份，乙方执</w:t>
      </w:r>
      <w:r>
        <w:rPr>
          <w:rFonts w:eastAsia="仿宋"/>
          <w:u w:val="single"/>
        </w:rPr>
        <w:t>2</w:t>
      </w:r>
      <w:r>
        <w:rPr>
          <w:rFonts w:eastAsia="仿宋"/>
        </w:rPr>
        <w:t>份；</w:t>
      </w:r>
      <w:r>
        <w:rPr>
          <w:rFonts w:hint="eastAsia" w:eastAsia="仿宋"/>
        </w:rPr>
        <w:t>正本和副本</w:t>
      </w:r>
      <w:r>
        <w:rPr>
          <w:rFonts w:eastAsia="仿宋"/>
        </w:rPr>
        <w:t>具有同等的法律效力</w:t>
      </w:r>
      <w:r>
        <w:rPr>
          <w:rFonts w:hint="eastAsia" w:eastAsia="仿宋"/>
        </w:rPr>
        <w:t>，如有互相矛盾之处，以正本为准。</w:t>
      </w:r>
    </w:p>
    <w:p w14:paraId="681D6EC2">
      <w:pPr>
        <w:spacing w:line="360" w:lineRule="auto"/>
        <w:rPr>
          <w:rFonts w:eastAsia="仿宋"/>
        </w:rPr>
      </w:pPr>
      <w:r>
        <w:rPr>
          <w:rFonts w:hint="eastAsia" w:eastAsia="仿宋"/>
        </w:rPr>
        <w:t>1</w:t>
      </w:r>
      <w:r>
        <w:rPr>
          <w:rFonts w:hint="eastAsia" w:eastAsia="仿宋"/>
          <w:lang w:val="en-US" w:eastAsia="zh-CN"/>
        </w:rPr>
        <w:t>4</w:t>
      </w:r>
      <w:r>
        <w:rPr>
          <w:rFonts w:hint="eastAsia" w:eastAsia="仿宋"/>
        </w:rPr>
        <w:t>.3</w:t>
      </w:r>
      <w:r>
        <w:rPr>
          <w:rFonts w:hint="eastAsia" w:eastAsia="仿宋"/>
          <w:lang w:val="en-US" w:eastAsia="zh-CN"/>
        </w:rPr>
        <w:t xml:space="preserve"> </w:t>
      </w:r>
      <w:r>
        <w:rPr>
          <w:rFonts w:hint="eastAsia" w:eastAsia="仿宋"/>
        </w:rPr>
        <w:t>本合同的附件内容作为合同的组成部分，与本合同具有同等法律效力。</w:t>
      </w:r>
    </w:p>
    <w:p w14:paraId="3B7996CC">
      <w:pPr>
        <w:spacing w:line="360" w:lineRule="auto"/>
        <w:rPr>
          <w:rFonts w:eastAsia="仿宋"/>
          <w:b/>
          <w:bCs/>
        </w:rPr>
      </w:pPr>
      <w:r>
        <w:rPr>
          <w:rFonts w:hint="eastAsia" w:eastAsia="仿宋"/>
          <w:b/>
          <w:bCs/>
        </w:rPr>
        <w:t>十</w:t>
      </w:r>
      <w:r>
        <w:rPr>
          <w:rFonts w:hint="eastAsia" w:eastAsia="仿宋"/>
          <w:b/>
          <w:bCs/>
          <w:lang w:val="en-US" w:eastAsia="zh-CN"/>
        </w:rPr>
        <w:t>五</w:t>
      </w:r>
      <w:r>
        <w:rPr>
          <w:rFonts w:hint="eastAsia" w:eastAsia="仿宋"/>
          <w:b/>
          <w:bCs/>
        </w:rPr>
        <w:t>、合同附件</w:t>
      </w:r>
    </w:p>
    <w:p w14:paraId="3AB7E9DF">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附件一：</w:t>
      </w:r>
      <w:r>
        <w:rPr>
          <w:rFonts w:hint="eastAsia" w:ascii="仿宋" w:hAnsi="仿宋" w:eastAsia="仿宋" w:cs="仿宋"/>
          <w:sz w:val="21"/>
          <w:szCs w:val="21"/>
          <w:highlight w:val="none"/>
          <w:lang w:val="en-US" w:eastAsia="zh-CN"/>
        </w:rPr>
        <w:t>用户</w:t>
      </w:r>
      <w:r>
        <w:rPr>
          <w:rFonts w:hint="eastAsia" w:ascii="仿宋" w:hAnsi="仿宋" w:eastAsia="仿宋" w:cs="仿宋"/>
          <w:sz w:val="21"/>
          <w:szCs w:val="21"/>
          <w:highlight w:val="none"/>
        </w:rPr>
        <w:t>需求书</w:t>
      </w:r>
    </w:p>
    <w:p w14:paraId="1E055B59">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附件二：价格明细表</w:t>
      </w:r>
    </w:p>
    <w:p w14:paraId="3FB2AA6E">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附件三：项目组成员</w:t>
      </w:r>
    </w:p>
    <w:p w14:paraId="0CCAA860">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附件四：拟投入设备一览表</w:t>
      </w:r>
    </w:p>
    <w:p w14:paraId="7DB29068">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附件五：乙方技术方案及承诺（</w:t>
      </w:r>
      <w:r>
        <w:rPr>
          <w:rFonts w:hint="eastAsia" w:ascii="仿宋" w:hAnsi="仿宋" w:eastAsia="仿宋" w:cs="仿宋"/>
          <w:sz w:val="21"/>
          <w:szCs w:val="21"/>
          <w:highlight w:val="none"/>
          <w:lang w:val="en-US" w:eastAsia="zh-CN"/>
        </w:rPr>
        <w:t>或</w:t>
      </w:r>
      <w:r>
        <w:rPr>
          <w:rFonts w:hint="eastAsia" w:ascii="仿宋" w:hAnsi="仿宋" w:eastAsia="仿宋" w:cs="仿宋"/>
          <w:sz w:val="21"/>
          <w:szCs w:val="21"/>
          <w:highlight w:val="none"/>
        </w:rPr>
        <w:t>授权书）</w:t>
      </w:r>
    </w:p>
    <w:p w14:paraId="74EC129F">
      <w:pPr>
        <w:spacing w:line="360" w:lineRule="auto"/>
        <w:ind w:firstLine="420" w:firstLineChars="20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附件六：法定代表人授权书及法定代表人身份证复印件</w:t>
      </w:r>
    </w:p>
    <w:p w14:paraId="41E59E0E">
      <w:pPr>
        <w:spacing w:line="360" w:lineRule="auto"/>
        <w:ind w:firstLine="420" w:firstLineChars="20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附件七：履约保证金收据/履约保函复印件</w:t>
      </w:r>
    </w:p>
    <w:p w14:paraId="345888E7">
      <w:pPr>
        <w:spacing w:line="360" w:lineRule="auto"/>
        <w:ind w:firstLine="420" w:firstLineChars="20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附件八：中标通知书/成交通知书复印件</w:t>
      </w:r>
    </w:p>
    <w:p w14:paraId="514FD059">
      <w:pPr>
        <w:spacing w:line="360" w:lineRule="auto"/>
        <w:ind w:firstLine="480" w:firstLineChars="200"/>
        <w:rPr>
          <w:rFonts w:ascii="Arial" w:hAnsi="Arial" w:cs="宋体"/>
          <w:sz w:val="24"/>
        </w:rPr>
      </w:pPr>
    </w:p>
    <w:p w14:paraId="71B0CFF2">
      <w:pPr>
        <w:spacing w:line="360" w:lineRule="auto"/>
        <w:ind w:firstLine="480" w:firstLineChars="200"/>
        <w:rPr>
          <w:rFonts w:ascii="Arial" w:hAnsi="Arial" w:cs="宋体"/>
          <w:sz w:val="24"/>
        </w:rPr>
      </w:pPr>
    </w:p>
    <w:p w14:paraId="63AF2035">
      <w:pPr>
        <w:spacing w:line="360" w:lineRule="auto"/>
        <w:rPr>
          <w:rFonts w:ascii="Arial" w:hAnsi="Arial" w:cs="宋体"/>
          <w:sz w:val="24"/>
        </w:rPr>
      </w:pPr>
    </w:p>
    <w:p w14:paraId="7D697222">
      <w:pPr>
        <w:spacing w:line="360" w:lineRule="auto"/>
        <w:rPr>
          <w:rFonts w:ascii="Arial" w:hAnsi="Arial" w:cs="宋体"/>
          <w:sz w:val="24"/>
        </w:rPr>
      </w:pPr>
    </w:p>
    <w:p w14:paraId="067A9639"/>
    <w:p w14:paraId="294B1AFD"/>
    <w:p w14:paraId="29873A26"/>
    <w:p w14:paraId="3DE23829"/>
    <w:p w14:paraId="51864C53"/>
    <w:p w14:paraId="42F74275"/>
    <w:p w14:paraId="37EB5115"/>
    <w:p w14:paraId="795BF467"/>
    <w:p w14:paraId="66467677"/>
    <w:p w14:paraId="139B3F68"/>
    <w:p w14:paraId="12972CCF"/>
    <w:p w14:paraId="61E3E4AA"/>
    <w:p w14:paraId="7AD86687"/>
    <w:p w14:paraId="6B754E16">
      <w:pPr>
        <w:pStyle w:val="13"/>
        <w:spacing w:line="360" w:lineRule="exact"/>
        <w:jc w:val="center"/>
        <w:rPr>
          <w:rFonts w:hAnsi="宋体"/>
          <w:b/>
          <w:sz w:val="24"/>
          <w:szCs w:val="24"/>
        </w:rPr>
      </w:pPr>
    </w:p>
    <w:p w14:paraId="62D2A023">
      <w:pPr>
        <w:pStyle w:val="13"/>
        <w:spacing w:line="360" w:lineRule="exact"/>
        <w:jc w:val="center"/>
        <w:rPr>
          <w:rFonts w:hint="eastAsia" w:hAnsi="宋体"/>
          <w:b/>
          <w:sz w:val="24"/>
          <w:szCs w:val="24"/>
        </w:rPr>
      </w:pPr>
    </w:p>
    <w:p w14:paraId="2D8E8A0D">
      <w:pPr>
        <w:pStyle w:val="13"/>
        <w:spacing w:line="360" w:lineRule="exact"/>
        <w:jc w:val="center"/>
        <w:rPr>
          <w:rFonts w:hint="eastAsia" w:hAnsi="宋体"/>
          <w:b/>
          <w:sz w:val="24"/>
          <w:szCs w:val="24"/>
        </w:rPr>
      </w:pPr>
    </w:p>
    <w:p w14:paraId="1A65A772">
      <w:pPr>
        <w:pStyle w:val="13"/>
        <w:spacing w:line="360" w:lineRule="exact"/>
        <w:jc w:val="center"/>
        <w:rPr>
          <w:rFonts w:hint="eastAsia" w:hAnsi="宋体"/>
          <w:b/>
          <w:sz w:val="24"/>
          <w:szCs w:val="24"/>
        </w:rPr>
      </w:pPr>
    </w:p>
    <w:p w14:paraId="48551250">
      <w:pPr>
        <w:rPr>
          <w:rFonts w:hint="eastAsia" w:hAnsi="宋体"/>
          <w:b/>
          <w:sz w:val="24"/>
          <w:szCs w:val="24"/>
        </w:rPr>
      </w:pPr>
      <w:r>
        <w:rPr>
          <w:rFonts w:hint="eastAsia" w:hAnsi="宋体"/>
          <w:b/>
          <w:sz w:val="24"/>
          <w:szCs w:val="24"/>
        </w:rPr>
        <w:br w:type="page"/>
      </w:r>
    </w:p>
    <w:p w14:paraId="1BFC7788">
      <w:pPr>
        <w:pStyle w:val="13"/>
        <w:spacing w:line="360" w:lineRule="exact"/>
        <w:jc w:val="center"/>
        <w:rPr>
          <w:rFonts w:hint="eastAsia" w:hAnsi="宋体"/>
          <w:b/>
          <w:sz w:val="24"/>
          <w:szCs w:val="24"/>
        </w:rPr>
      </w:pPr>
    </w:p>
    <w:p w14:paraId="4D86F8F5">
      <w:pPr>
        <w:pStyle w:val="13"/>
        <w:spacing w:line="360" w:lineRule="exact"/>
        <w:jc w:val="center"/>
        <w:rPr>
          <w:rFonts w:hAnsi="宋体"/>
          <w:b/>
          <w:sz w:val="24"/>
          <w:szCs w:val="24"/>
        </w:rPr>
      </w:pPr>
      <w:r>
        <w:rPr>
          <w:rFonts w:hint="eastAsia" w:hAnsi="宋体"/>
          <w:b/>
          <w:sz w:val="24"/>
          <w:szCs w:val="24"/>
        </w:rPr>
        <w:t>（此页无正文，为合同签署页）</w:t>
      </w:r>
    </w:p>
    <w:p w14:paraId="61A8A274">
      <w:pPr>
        <w:pStyle w:val="13"/>
        <w:jc w:val="left"/>
        <w:rPr>
          <w:rFonts w:hAnsi="宋体"/>
          <w:b/>
          <w:sz w:val="24"/>
          <w:szCs w:val="24"/>
        </w:rPr>
      </w:pPr>
    </w:p>
    <w:p w14:paraId="382424A2">
      <w:pPr>
        <w:pStyle w:val="13"/>
        <w:jc w:val="left"/>
        <w:rPr>
          <w:rFonts w:hAnsi="宋体"/>
          <w:b/>
          <w:sz w:val="24"/>
          <w:szCs w:val="24"/>
        </w:rPr>
      </w:pPr>
      <w:r>
        <w:rPr>
          <w:b/>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9525" b="3810"/>
                <wp:wrapNone/>
                <wp:docPr id="8" name="文本框 8"/>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711626A6">
                            <w:pPr>
                              <w:ind w:left="14" w:hanging="14" w:hangingChars="6"/>
                              <w:rPr>
                                <w:rFonts w:ascii="宋体" w:hAnsi="宋体"/>
                                <w:b/>
                                <w:sz w:val="24"/>
                              </w:rPr>
                            </w:pPr>
                            <w:r>
                              <w:rPr>
                                <w:rFonts w:hint="eastAsia" w:ascii="宋体" w:hAnsi="宋体"/>
                                <w:b/>
                                <w:sz w:val="24"/>
                              </w:rPr>
                              <w:t>乙方：</w:t>
                            </w:r>
                            <w:r>
                              <w:rPr>
                                <w:rFonts w:ascii="宋体" w:hAnsi="宋体"/>
                                <w:b/>
                                <w:sz w:val="24"/>
                              </w:rPr>
                              <w:t>（盖章）</w:t>
                            </w:r>
                          </w:p>
                          <w:p w14:paraId="43CC8E57">
                            <w:pPr>
                              <w:pStyle w:val="11"/>
                              <w:tabs>
                                <w:tab w:val="left" w:pos="180"/>
                              </w:tabs>
                              <w:rPr>
                                <w:rFonts w:hAnsi="宋体"/>
                                <w:b/>
                                <w:color w:val="auto"/>
                                <w:kern w:val="2"/>
                                <w:sz w:val="24"/>
                                <w:szCs w:val="24"/>
                              </w:rPr>
                            </w:pPr>
                          </w:p>
                          <w:p w14:paraId="5704F75C">
                            <w:pPr>
                              <w:pStyle w:val="11"/>
                              <w:tabs>
                                <w:tab w:val="left" w:pos="180"/>
                              </w:tabs>
                              <w:rPr>
                                <w:rFonts w:hAnsi="宋体"/>
                                <w:b/>
                                <w:color w:val="auto"/>
                                <w:kern w:val="2"/>
                                <w:sz w:val="24"/>
                                <w:szCs w:val="24"/>
                              </w:rPr>
                            </w:pPr>
                          </w:p>
                          <w:p w14:paraId="4765B22F">
                            <w:pPr>
                              <w:pStyle w:val="11"/>
                              <w:tabs>
                                <w:tab w:val="left" w:pos="180"/>
                              </w:tabs>
                              <w:rPr>
                                <w:rFonts w:hAnsi="宋体"/>
                                <w:b/>
                                <w:color w:val="auto"/>
                                <w:kern w:val="2"/>
                                <w:sz w:val="24"/>
                                <w:szCs w:val="24"/>
                              </w:rPr>
                            </w:pPr>
                          </w:p>
                          <w:p w14:paraId="02AD0269">
                            <w:pPr>
                              <w:pStyle w:val="11"/>
                              <w:tabs>
                                <w:tab w:val="left" w:pos="180"/>
                              </w:tabs>
                              <w:rPr>
                                <w:rFonts w:hAnsi="宋体"/>
                                <w:b/>
                                <w:color w:val="auto"/>
                                <w:kern w:val="2"/>
                                <w:sz w:val="24"/>
                                <w:szCs w:val="24"/>
                              </w:rPr>
                            </w:pPr>
                            <w:r>
                              <w:rPr>
                                <w:rFonts w:hint="eastAsia" w:hAnsi="宋体"/>
                                <w:b/>
                                <w:color w:val="auto"/>
                                <w:kern w:val="2"/>
                                <w:sz w:val="24"/>
                                <w:szCs w:val="24"/>
                              </w:rPr>
                              <w:t>地址：</w:t>
                            </w:r>
                          </w:p>
                          <w:p w14:paraId="68EE164F">
                            <w:pPr>
                              <w:pStyle w:val="11"/>
                              <w:tabs>
                                <w:tab w:val="left" w:pos="180"/>
                              </w:tabs>
                              <w:rPr>
                                <w:rFonts w:hAnsi="宋体"/>
                                <w:b/>
                                <w:color w:val="auto"/>
                                <w:kern w:val="2"/>
                                <w:sz w:val="24"/>
                                <w:szCs w:val="24"/>
                              </w:rPr>
                            </w:pPr>
                          </w:p>
                          <w:p w14:paraId="7B673EF5">
                            <w:pPr>
                              <w:pStyle w:val="11"/>
                              <w:tabs>
                                <w:tab w:val="left" w:pos="180"/>
                              </w:tabs>
                              <w:rPr>
                                <w:rFonts w:hAnsi="宋体"/>
                                <w:b/>
                                <w:color w:val="auto"/>
                                <w:kern w:val="2"/>
                                <w:sz w:val="24"/>
                                <w:szCs w:val="24"/>
                              </w:rPr>
                            </w:pPr>
                            <w:r>
                              <w:rPr>
                                <w:rFonts w:hint="eastAsia" w:hAnsi="宋体"/>
                                <w:b/>
                                <w:color w:val="auto"/>
                                <w:kern w:val="2"/>
                                <w:sz w:val="24"/>
                                <w:szCs w:val="24"/>
                              </w:rPr>
                              <w:t>法人（或授权）代表：</w:t>
                            </w:r>
                          </w:p>
                          <w:p w14:paraId="2EF24AB5">
                            <w:pPr>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06681A1A">
                            <w:pPr>
                              <w:rPr>
                                <w:rFonts w:ascii="宋体" w:hAnsi="宋体"/>
                                <w:b/>
                                <w:sz w:val="24"/>
                                <w:szCs w:val="20"/>
                              </w:rPr>
                            </w:pPr>
                          </w:p>
                          <w:p w14:paraId="0A5647DD">
                            <w:pPr>
                              <w:rPr>
                                <w:rFonts w:ascii="宋体" w:hAnsi="宋体"/>
                                <w:b/>
                                <w:sz w:val="24"/>
                                <w:szCs w:val="20"/>
                              </w:rPr>
                            </w:pPr>
                          </w:p>
                          <w:p w14:paraId="45ED59E1">
                            <w:r>
                              <w:rPr>
                                <w:rFonts w:hint="eastAsia" w:ascii="宋体" w:hAnsi="宋体"/>
                                <w:b/>
                                <w:sz w:val="24"/>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CUI0ylyQEAAIYDAAAOAAAAAAAAAAEAIAAAACcBAABk&#10;cnMvZTJvRG9jLnhtbFBLBQYAAAAABgAGAFkBAABiBQAAAAA=&#10;">
                <v:fill on="t" focussize="0,0"/>
                <v:stroke on="f"/>
                <v:imagedata o:title=""/>
                <o:lock v:ext="edit" aspectratio="f"/>
                <v:textbox>
                  <w:txbxContent>
                    <w:p w14:paraId="711626A6">
                      <w:pPr>
                        <w:ind w:left="14" w:hanging="14" w:hangingChars="6"/>
                        <w:rPr>
                          <w:rFonts w:ascii="宋体" w:hAnsi="宋体"/>
                          <w:b/>
                          <w:sz w:val="24"/>
                        </w:rPr>
                      </w:pPr>
                      <w:r>
                        <w:rPr>
                          <w:rFonts w:hint="eastAsia" w:ascii="宋体" w:hAnsi="宋体"/>
                          <w:b/>
                          <w:sz w:val="24"/>
                        </w:rPr>
                        <w:t>乙方：</w:t>
                      </w:r>
                      <w:r>
                        <w:rPr>
                          <w:rFonts w:ascii="宋体" w:hAnsi="宋体"/>
                          <w:b/>
                          <w:sz w:val="24"/>
                        </w:rPr>
                        <w:t>（盖章）</w:t>
                      </w:r>
                    </w:p>
                    <w:p w14:paraId="43CC8E57">
                      <w:pPr>
                        <w:pStyle w:val="11"/>
                        <w:tabs>
                          <w:tab w:val="left" w:pos="180"/>
                        </w:tabs>
                        <w:rPr>
                          <w:rFonts w:hAnsi="宋体"/>
                          <w:b/>
                          <w:color w:val="auto"/>
                          <w:kern w:val="2"/>
                          <w:sz w:val="24"/>
                          <w:szCs w:val="24"/>
                        </w:rPr>
                      </w:pPr>
                    </w:p>
                    <w:p w14:paraId="5704F75C">
                      <w:pPr>
                        <w:pStyle w:val="11"/>
                        <w:tabs>
                          <w:tab w:val="left" w:pos="180"/>
                        </w:tabs>
                        <w:rPr>
                          <w:rFonts w:hAnsi="宋体"/>
                          <w:b/>
                          <w:color w:val="auto"/>
                          <w:kern w:val="2"/>
                          <w:sz w:val="24"/>
                          <w:szCs w:val="24"/>
                        </w:rPr>
                      </w:pPr>
                    </w:p>
                    <w:p w14:paraId="4765B22F">
                      <w:pPr>
                        <w:pStyle w:val="11"/>
                        <w:tabs>
                          <w:tab w:val="left" w:pos="180"/>
                        </w:tabs>
                        <w:rPr>
                          <w:rFonts w:hAnsi="宋体"/>
                          <w:b/>
                          <w:color w:val="auto"/>
                          <w:kern w:val="2"/>
                          <w:sz w:val="24"/>
                          <w:szCs w:val="24"/>
                        </w:rPr>
                      </w:pPr>
                    </w:p>
                    <w:p w14:paraId="02AD0269">
                      <w:pPr>
                        <w:pStyle w:val="11"/>
                        <w:tabs>
                          <w:tab w:val="left" w:pos="180"/>
                        </w:tabs>
                        <w:rPr>
                          <w:rFonts w:hAnsi="宋体"/>
                          <w:b/>
                          <w:color w:val="auto"/>
                          <w:kern w:val="2"/>
                          <w:sz w:val="24"/>
                          <w:szCs w:val="24"/>
                        </w:rPr>
                      </w:pPr>
                      <w:r>
                        <w:rPr>
                          <w:rFonts w:hint="eastAsia" w:hAnsi="宋体"/>
                          <w:b/>
                          <w:color w:val="auto"/>
                          <w:kern w:val="2"/>
                          <w:sz w:val="24"/>
                          <w:szCs w:val="24"/>
                        </w:rPr>
                        <w:t>地址：</w:t>
                      </w:r>
                    </w:p>
                    <w:p w14:paraId="68EE164F">
                      <w:pPr>
                        <w:pStyle w:val="11"/>
                        <w:tabs>
                          <w:tab w:val="left" w:pos="180"/>
                        </w:tabs>
                        <w:rPr>
                          <w:rFonts w:hAnsi="宋体"/>
                          <w:b/>
                          <w:color w:val="auto"/>
                          <w:kern w:val="2"/>
                          <w:sz w:val="24"/>
                          <w:szCs w:val="24"/>
                        </w:rPr>
                      </w:pPr>
                    </w:p>
                    <w:p w14:paraId="7B673EF5">
                      <w:pPr>
                        <w:pStyle w:val="11"/>
                        <w:tabs>
                          <w:tab w:val="left" w:pos="180"/>
                        </w:tabs>
                        <w:rPr>
                          <w:rFonts w:hAnsi="宋体"/>
                          <w:b/>
                          <w:color w:val="auto"/>
                          <w:kern w:val="2"/>
                          <w:sz w:val="24"/>
                          <w:szCs w:val="24"/>
                        </w:rPr>
                      </w:pPr>
                      <w:r>
                        <w:rPr>
                          <w:rFonts w:hint="eastAsia" w:hAnsi="宋体"/>
                          <w:b/>
                          <w:color w:val="auto"/>
                          <w:kern w:val="2"/>
                          <w:sz w:val="24"/>
                          <w:szCs w:val="24"/>
                        </w:rPr>
                        <w:t>法人（或授权）代表：</w:t>
                      </w:r>
                    </w:p>
                    <w:p w14:paraId="2EF24AB5">
                      <w:pPr>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06681A1A">
                      <w:pPr>
                        <w:rPr>
                          <w:rFonts w:ascii="宋体" w:hAnsi="宋体"/>
                          <w:b/>
                          <w:sz w:val="24"/>
                          <w:szCs w:val="20"/>
                        </w:rPr>
                      </w:pPr>
                    </w:p>
                    <w:p w14:paraId="0A5647DD">
                      <w:pPr>
                        <w:rPr>
                          <w:rFonts w:ascii="宋体" w:hAnsi="宋体"/>
                          <w:b/>
                          <w:sz w:val="24"/>
                          <w:szCs w:val="20"/>
                        </w:rPr>
                      </w:pPr>
                    </w:p>
                    <w:p w14:paraId="45ED59E1">
                      <w:r>
                        <w:rPr>
                          <w:rFonts w:hint="eastAsia" w:ascii="宋体" w:hAnsi="宋体"/>
                          <w:b/>
                          <w:sz w:val="24"/>
                          <w:szCs w:val="20"/>
                        </w:rPr>
                        <w:t>日期:      年   月   日</w:t>
                      </w:r>
                    </w:p>
                  </w:txbxContent>
                </v:textbox>
              </v:shape>
            </w:pict>
          </mc:Fallback>
        </mc:AlternateContent>
      </w:r>
      <w:r>
        <w:rPr>
          <w:b/>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5" name="文本框 5"/>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0A854F5A"/>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AuVJpLxQEAAIYDAAAOAAAAAAAAAAEAIAAAACIBAABkcnMvZTJvRG9j&#10;LnhtbFBLBQYAAAAABgAGAFkBAABZBQAAAAA=&#10;">
                <v:fill on="t" focussize="0,0"/>
                <v:stroke on="f"/>
                <v:imagedata o:title=""/>
                <o:lock v:ext="edit" aspectratio="f"/>
                <v:textbox>
                  <w:txbxContent>
                    <w:p w14:paraId="0A854F5A"/>
                  </w:txbxContent>
                </v:textbox>
              </v:shape>
            </w:pict>
          </mc:Fallback>
        </mc:AlternateContent>
      </w:r>
      <w:r>
        <w:rPr>
          <w:b/>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12" name="文本框 12"/>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71EB1585">
                            <w:pPr>
                              <w:spacing w:line="360" w:lineRule="auto"/>
                              <w:rPr>
                                <w:rFonts w:hint="eastAsia" w:ascii="宋体" w:hAnsi="宋体" w:eastAsia="宋体"/>
                                <w:b/>
                                <w:sz w:val="24"/>
                                <w:lang w:eastAsia="zh-CN"/>
                              </w:rPr>
                            </w:pPr>
                            <w:r>
                              <w:rPr>
                                <w:rFonts w:hint="eastAsia" w:ascii="宋体" w:hAnsi="宋体"/>
                                <w:b/>
                                <w:sz w:val="24"/>
                              </w:rPr>
                              <w:t>甲</w:t>
                            </w:r>
                            <w:r>
                              <w:rPr>
                                <w:rFonts w:ascii="宋体" w:hAnsi="宋体"/>
                                <w:b/>
                                <w:sz w:val="24"/>
                              </w:rPr>
                              <w:t>方：</w:t>
                            </w:r>
                            <w:r>
                              <w:rPr>
                                <w:rFonts w:hint="eastAsia"/>
                                <w:b/>
                                <w:sz w:val="24"/>
                                <w:lang w:val="en-US" w:eastAsia="zh-CN"/>
                              </w:rPr>
                              <w:t xml:space="preserve"> </w:t>
                            </w:r>
                          </w:p>
                          <w:p w14:paraId="1648B6BF">
                            <w:pPr>
                              <w:spacing w:line="360" w:lineRule="auto"/>
                              <w:ind w:left="14" w:hanging="14" w:hangingChars="6"/>
                              <w:rPr>
                                <w:rFonts w:ascii="宋体" w:hAnsi="宋体"/>
                                <w:b/>
                                <w:sz w:val="24"/>
                              </w:rPr>
                            </w:pPr>
                            <w:r>
                              <w:rPr>
                                <w:rFonts w:ascii="宋体" w:hAnsi="宋体"/>
                                <w:b/>
                                <w:sz w:val="24"/>
                              </w:rPr>
                              <w:t>（盖章）</w:t>
                            </w:r>
                          </w:p>
                          <w:p w14:paraId="58562E31">
                            <w:pPr>
                              <w:spacing w:line="360" w:lineRule="auto"/>
                              <w:ind w:left="14" w:hanging="14" w:hangingChars="6"/>
                              <w:rPr>
                                <w:rFonts w:ascii="宋体" w:hAnsi="宋体"/>
                                <w:b/>
                                <w:sz w:val="24"/>
                              </w:rPr>
                            </w:pPr>
                          </w:p>
                          <w:p w14:paraId="33646B62">
                            <w:pPr>
                              <w:spacing w:line="360" w:lineRule="auto"/>
                              <w:ind w:left="14" w:hanging="14" w:hangingChars="6"/>
                              <w:rPr>
                                <w:rFonts w:ascii="宋体" w:hAnsi="宋体"/>
                                <w:b/>
                                <w:sz w:val="24"/>
                              </w:rPr>
                            </w:pPr>
                            <w:r>
                              <w:rPr>
                                <w:rFonts w:ascii="宋体" w:hAnsi="宋体"/>
                                <w:b/>
                                <w:sz w:val="24"/>
                              </w:rPr>
                              <w:t>地址：</w:t>
                            </w:r>
                          </w:p>
                          <w:p w14:paraId="20F3CFD0">
                            <w:pPr>
                              <w:spacing w:line="360" w:lineRule="auto"/>
                              <w:ind w:left="14" w:hanging="14" w:hangingChars="6"/>
                              <w:rPr>
                                <w:rFonts w:ascii="宋体" w:hAnsi="宋体"/>
                                <w:b/>
                                <w:sz w:val="24"/>
                              </w:rPr>
                            </w:pPr>
                          </w:p>
                          <w:p w14:paraId="6FE7A7D8">
                            <w:pPr>
                              <w:spacing w:line="360" w:lineRule="auto"/>
                              <w:ind w:left="14" w:hanging="14" w:hangingChars="6"/>
                              <w:rPr>
                                <w:rFonts w:ascii="宋体" w:hAnsi="宋体"/>
                                <w:b/>
                                <w:sz w:val="24"/>
                              </w:rPr>
                            </w:pPr>
                            <w:r>
                              <w:rPr>
                                <w:rFonts w:ascii="宋体" w:hAnsi="宋体"/>
                                <w:b/>
                                <w:sz w:val="24"/>
                              </w:rPr>
                              <w:t>法人（或授权）代表：</w:t>
                            </w:r>
                          </w:p>
                          <w:p w14:paraId="5E44EF3F">
                            <w:pPr>
                              <w:spacing w:line="360" w:lineRule="auto"/>
                              <w:ind w:left="14" w:hanging="14" w:hangingChars="6"/>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6C51E269">
                            <w:pPr>
                              <w:spacing w:line="360" w:lineRule="auto"/>
                              <w:ind w:left="14" w:hanging="14" w:hangingChars="6"/>
                              <w:rPr>
                                <w:rFonts w:ascii="宋体" w:hAnsi="宋体"/>
                                <w:b/>
                                <w:sz w:val="24"/>
                              </w:rPr>
                            </w:pPr>
                          </w:p>
                          <w:p w14:paraId="3AA49C60">
                            <w:pPr>
                              <w:spacing w:line="360" w:lineRule="auto"/>
                              <w:ind w:left="14" w:hanging="14" w:hangingChars="6"/>
                              <w:rPr>
                                <w:rFonts w:ascii="宋体" w:hAnsi="宋体"/>
                                <w:b/>
                                <w:sz w:val="24"/>
                              </w:rPr>
                            </w:pPr>
                            <w:r>
                              <w:rPr>
                                <w:rFonts w:ascii="宋体" w:hAnsi="宋体"/>
                                <w:b/>
                                <w:sz w:val="24"/>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P4Mni0wAAAAUBAAAPAAAAAAAAAAEAIAAAACIAAABkcnMvZG93bnJldi54&#10;bWxQSwECFAAUAAAACACHTuJAVoF4rMYBAACIAwAADgAAAAAAAAABACAAAAAiAQAAZHJzL2Uyb0Rv&#10;Yy54bWxQSwUGAAAAAAYABgBZAQAAWgUAAAAA&#10;">
                <v:fill on="t" focussize="0,0"/>
                <v:stroke on="f"/>
                <v:imagedata o:title=""/>
                <o:lock v:ext="edit" aspectratio="f"/>
                <v:textbox>
                  <w:txbxContent>
                    <w:p w14:paraId="71EB1585">
                      <w:pPr>
                        <w:spacing w:line="360" w:lineRule="auto"/>
                        <w:rPr>
                          <w:rFonts w:hint="eastAsia" w:ascii="宋体" w:hAnsi="宋体" w:eastAsia="宋体"/>
                          <w:b/>
                          <w:sz w:val="24"/>
                          <w:lang w:eastAsia="zh-CN"/>
                        </w:rPr>
                      </w:pPr>
                      <w:r>
                        <w:rPr>
                          <w:rFonts w:hint="eastAsia" w:ascii="宋体" w:hAnsi="宋体"/>
                          <w:b/>
                          <w:sz w:val="24"/>
                        </w:rPr>
                        <w:t>甲</w:t>
                      </w:r>
                      <w:r>
                        <w:rPr>
                          <w:rFonts w:ascii="宋体" w:hAnsi="宋体"/>
                          <w:b/>
                          <w:sz w:val="24"/>
                        </w:rPr>
                        <w:t>方：</w:t>
                      </w:r>
                      <w:r>
                        <w:rPr>
                          <w:rFonts w:hint="eastAsia"/>
                          <w:b/>
                          <w:sz w:val="24"/>
                          <w:lang w:val="en-US" w:eastAsia="zh-CN"/>
                        </w:rPr>
                        <w:t xml:space="preserve"> </w:t>
                      </w:r>
                    </w:p>
                    <w:p w14:paraId="1648B6BF">
                      <w:pPr>
                        <w:spacing w:line="360" w:lineRule="auto"/>
                        <w:ind w:left="14" w:hanging="14" w:hangingChars="6"/>
                        <w:rPr>
                          <w:rFonts w:ascii="宋体" w:hAnsi="宋体"/>
                          <w:b/>
                          <w:sz w:val="24"/>
                        </w:rPr>
                      </w:pPr>
                      <w:r>
                        <w:rPr>
                          <w:rFonts w:ascii="宋体" w:hAnsi="宋体"/>
                          <w:b/>
                          <w:sz w:val="24"/>
                        </w:rPr>
                        <w:t>（盖章）</w:t>
                      </w:r>
                    </w:p>
                    <w:p w14:paraId="58562E31">
                      <w:pPr>
                        <w:spacing w:line="360" w:lineRule="auto"/>
                        <w:ind w:left="14" w:hanging="14" w:hangingChars="6"/>
                        <w:rPr>
                          <w:rFonts w:ascii="宋体" w:hAnsi="宋体"/>
                          <w:b/>
                          <w:sz w:val="24"/>
                        </w:rPr>
                      </w:pPr>
                    </w:p>
                    <w:p w14:paraId="33646B62">
                      <w:pPr>
                        <w:spacing w:line="360" w:lineRule="auto"/>
                        <w:ind w:left="14" w:hanging="14" w:hangingChars="6"/>
                        <w:rPr>
                          <w:rFonts w:ascii="宋体" w:hAnsi="宋体"/>
                          <w:b/>
                          <w:sz w:val="24"/>
                        </w:rPr>
                      </w:pPr>
                      <w:r>
                        <w:rPr>
                          <w:rFonts w:ascii="宋体" w:hAnsi="宋体"/>
                          <w:b/>
                          <w:sz w:val="24"/>
                        </w:rPr>
                        <w:t>地址：</w:t>
                      </w:r>
                    </w:p>
                    <w:p w14:paraId="20F3CFD0">
                      <w:pPr>
                        <w:spacing w:line="360" w:lineRule="auto"/>
                        <w:ind w:left="14" w:hanging="14" w:hangingChars="6"/>
                        <w:rPr>
                          <w:rFonts w:ascii="宋体" w:hAnsi="宋体"/>
                          <w:b/>
                          <w:sz w:val="24"/>
                        </w:rPr>
                      </w:pPr>
                    </w:p>
                    <w:p w14:paraId="6FE7A7D8">
                      <w:pPr>
                        <w:spacing w:line="360" w:lineRule="auto"/>
                        <w:ind w:left="14" w:hanging="14" w:hangingChars="6"/>
                        <w:rPr>
                          <w:rFonts w:ascii="宋体" w:hAnsi="宋体"/>
                          <w:b/>
                          <w:sz w:val="24"/>
                        </w:rPr>
                      </w:pPr>
                      <w:r>
                        <w:rPr>
                          <w:rFonts w:ascii="宋体" w:hAnsi="宋体"/>
                          <w:b/>
                          <w:sz w:val="24"/>
                        </w:rPr>
                        <w:t>法人（或授权）代表：</w:t>
                      </w:r>
                    </w:p>
                    <w:p w14:paraId="5E44EF3F">
                      <w:pPr>
                        <w:spacing w:line="360" w:lineRule="auto"/>
                        <w:ind w:left="14" w:hanging="14" w:hangingChars="6"/>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6C51E269">
                      <w:pPr>
                        <w:spacing w:line="360" w:lineRule="auto"/>
                        <w:ind w:left="14" w:hanging="14" w:hangingChars="6"/>
                        <w:rPr>
                          <w:rFonts w:ascii="宋体" w:hAnsi="宋体"/>
                          <w:b/>
                          <w:sz w:val="24"/>
                        </w:rPr>
                      </w:pPr>
                    </w:p>
                    <w:p w14:paraId="3AA49C60">
                      <w:pPr>
                        <w:spacing w:line="360" w:lineRule="auto"/>
                        <w:ind w:left="14" w:hanging="14" w:hangingChars="6"/>
                        <w:rPr>
                          <w:rFonts w:ascii="宋体" w:hAnsi="宋体"/>
                          <w:b/>
                          <w:sz w:val="24"/>
                        </w:rPr>
                      </w:pPr>
                      <w:r>
                        <w:rPr>
                          <w:rFonts w:ascii="宋体" w:hAnsi="宋体"/>
                          <w:b/>
                          <w:sz w:val="24"/>
                        </w:rPr>
                        <w:t>日期:      年   月   日</w:t>
                      </w:r>
                    </w:p>
                  </w:txbxContent>
                </v:textbox>
              </v:shape>
            </w:pict>
          </mc:Fallback>
        </mc:AlternateContent>
      </w:r>
    </w:p>
    <w:p w14:paraId="1DC2D81A">
      <w:pPr>
        <w:pStyle w:val="13"/>
        <w:jc w:val="left"/>
        <w:rPr>
          <w:rFonts w:hAnsi="宋体"/>
          <w:b/>
          <w:sz w:val="24"/>
          <w:szCs w:val="24"/>
        </w:rPr>
      </w:pPr>
    </w:p>
    <w:p w14:paraId="5A774302">
      <w:pPr>
        <w:pStyle w:val="13"/>
        <w:jc w:val="left"/>
        <w:rPr>
          <w:rFonts w:hAnsi="宋体"/>
          <w:b/>
          <w:sz w:val="24"/>
          <w:szCs w:val="24"/>
        </w:rPr>
      </w:pPr>
    </w:p>
    <w:p w14:paraId="7A1E1CCA">
      <w:pPr>
        <w:pStyle w:val="13"/>
        <w:spacing w:line="360" w:lineRule="auto"/>
        <w:jc w:val="left"/>
        <w:rPr>
          <w:rFonts w:hAnsi="宋体"/>
          <w:b/>
          <w:sz w:val="24"/>
          <w:szCs w:val="24"/>
        </w:rPr>
      </w:pPr>
    </w:p>
    <w:p w14:paraId="7B1903DC">
      <w:pPr>
        <w:pStyle w:val="13"/>
        <w:spacing w:line="360" w:lineRule="auto"/>
        <w:jc w:val="left"/>
        <w:rPr>
          <w:rFonts w:hAnsi="宋体"/>
          <w:b/>
          <w:sz w:val="24"/>
          <w:szCs w:val="24"/>
        </w:rPr>
      </w:pPr>
    </w:p>
    <w:p w14:paraId="30F2110F">
      <w:pPr>
        <w:pStyle w:val="13"/>
        <w:spacing w:line="360" w:lineRule="auto"/>
        <w:rPr>
          <w:rFonts w:hAnsi="宋体" w:cs="Arial"/>
          <w:sz w:val="24"/>
        </w:rPr>
      </w:pPr>
    </w:p>
    <w:p w14:paraId="04C0108E">
      <w:pPr>
        <w:pStyle w:val="13"/>
        <w:spacing w:line="360" w:lineRule="auto"/>
        <w:sectPr>
          <w:footerReference r:id="rId3" w:type="default"/>
          <w:pgSz w:w="11906" w:h="16838"/>
          <w:pgMar w:top="1440" w:right="1247" w:bottom="1440" w:left="1247" w:header="851" w:footer="992" w:gutter="0"/>
          <w:pgNumType w:fmt="decimal" w:start="1"/>
          <w:cols w:space="720" w:num="1"/>
          <w:docGrid w:type="linesAndChars" w:linePitch="312" w:charSpace="0"/>
        </w:sectPr>
      </w:pPr>
    </w:p>
    <w:p w14:paraId="3EA9E6F0">
      <w:pPr>
        <w:rPr>
          <w:rFonts w:hint="eastAsia" w:ascii="宋体" w:hAnsi="宋体" w:eastAsia="宋体" w:cs="宋体"/>
          <w:color w:val="auto"/>
          <w:kern w:val="2"/>
          <w:sz w:val="28"/>
          <w:szCs w:val="28"/>
          <w:highlight w:val="none"/>
          <w:u w:color="auto"/>
          <w:lang w:val="en-US" w:eastAsia="zh-CN" w:bidi="ar"/>
        </w:rPr>
      </w:pPr>
    </w:p>
    <w:p w14:paraId="6DBDE40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14:paraId="4DC0BD64">
      <w:pPr>
        <w:spacing w:line="480" w:lineRule="auto"/>
        <w:jc w:val="center"/>
        <w:rPr>
          <w:rFonts w:hint="eastAsia" w:eastAsia="黑体"/>
          <w:sz w:val="20"/>
          <w:highlight w:val="none"/>
        </w:rPr>
      </w:pPr>
      <w:r>
        <w:rPr>
          <w:rFonts w:hint="eastAsia" w:ascii="宋体" w:hAnsi="宋体"/>
          <w:b/>
          <w:sz w:val="28"/>
          <w:szCs w:val="28"/>
          <w:highlight w:val="none"/>
        </w:rPr>
        <w:t>一、资信证明格式文件</w:t>
      </w:r>
    </w:p>
    <w:p w14:paraId="01ABEDF4">
      <w:pPr>
        <w:rPr>
          <w:rFonts w:hint="eastAsia" w:eastAsia="黑体"/>
          <w:sz w:val="20"/>
          <w:highlight w:val="none"/>
        </w:rPr>
      </w:pPr>
    </w:p>
    <w:p w14:paraId="5F3AF01D">
      <w:pPr>
        <w:jc w:val="center"/>
        <w:rPr>
          <w:rFonts w:hint="eastAsia" w:ascii="宋体"/>
          <w:b/>
          <w:sz w:val="44"/>
          <w:szCs w:val="44"/>
          <w:highlight w:val="none"/>
        </w:rPr>
      </w:pPr>
      <w:bookmarkStart w:id="354" w:name="_Toc449028949"/>
      <w:bookmarkStart w:id="355" w:name="_Toc350698753"/>
      <w:r>
        <w:rPr>
          <w:rFonts w:hint="eastAsia" w:ascii="宋体"/>
          <w:b/>
          <w:sz w:val="44"/>
          <w:szCs w:val="44"/>
          <w:highlight w:val="none"/>
        </w:rPr>
        <w:t>资信证明文件</w:t>
      </w:r>
      <w:bookmarkEnd w:id="354"/>
      <w:bookmarkEnd w:id="355"/>
    </w:p>
    <w:p w14:paraId="1BB23E50">
      <w:pPr>
        <w:jc w:val="center"/>
        <w:rPr>
          <w:rFonts w:hint="eastAsia" w:ascii="宋体"/>
          <w:sz w:val="32"/>
          <w:szCs w:val="32"/>
          <w:highlight w:val="none"/>
        </w:rPr>
      </w:pPr>
      <w:r>
        <w:rPr>
          <w:rFonts w:hint="eastAsia" w:ascii="宋体"/>
          <w:sz w:val="32"/>
          <w:szCs w:val="32"/>
          <w:highlight w:val="none"/>
        </w:rPr>
        <w:t>（投标文件一）</w:t>
      </w:r>
    </w:p>
    <w:p w14:paraId="580F251F">
      <w:pPr>
        <w:jc w:val="center"/>
        <w:rPr>
          <w:rFonts w:hint="eastAsia" w:eastAsia="黑体"/>
          <w:sz w:val="44"/>
          <w:szCs w:val="44"/>
          <w:highlight w:val="none"/>
        </w:rPr>
      </w:pPr>
    </w:p>
    <w:p w14:paraId="59D35BF8">
      <w:pPr>
        <w:jc w:val="center"/>
        <w:rPr>
          <w:rFonts w:hint="eastAsia" w:ascii="宋体"/>
          <w:sz w:val="32"/>
          <w:szCs w:val="32"/>
          <w:highlight w:val="none"/>
        </w:rPr>
      </w:pPr>
      <w:r>
        <w:rPr>
          <w:rFonts w:hint="eastAsia" w:ascii="宋体"/>
          <w:sz w:val="32"/>
          <w:szCs w:val="32"/>
          <w:highlight w:val="none"/>
          <w:u w:val="single"/>
        </w:rPr>
        <w:t xml:space="preserve">        </w:t>
      </w:r>
      <w:r>
        <w:rPr>
          <w:rFonts w:hint="eastAsia" w:ascii="宋体"/>
          <w:sz w:val="32"/>
          <w:szCs w:val="32"/>
          <w:highlight w:val="none"/>
        </w:rPr>
        <w:t>项目</w:t>
      </w:r>
    </w:p>
    <w:p w14:paraId="16E95535">
      <w:pPr>
        <w:jc w:val="both"/>
        <w:rPr>
          <w:rFonts w:hint="eastAsia" w:ascii="宋体"/>
          <w:sz w:val="44"/>
          <w:szCs w:val="44"/>
          <w:highlight w:val="none"/>
        </w:rPr>
      </w:pPr>
    </w:p>
    <w:p w14:paraId="6AFAF8F4">
      <w:pPr>
        <w:rPr>
          <w:rFonts w:hint="eastAsia" w:ascii="宋体"/>
          <w:sz w:val="28"/>
          <w:szCs w:val="28"/>
          <w:highlight w:val="none"/>
        </w:rPr>
      </w:pPr>
    </w:p>
    <w:p w14:paraId="1E82A2F7">
      <w:pPr>
        <w:rPr>
          <w:rFonts w:hint="eastAsia" w:ascii="宋体"/>
          <w:sz w:val="28"/>
          <w:szCs w:val="28"/>
          <w:highlight w:val="none"/>
        </w:rPr>
      </w:pPr>
    </w:p>
    <w:p w14:paraId="2C617110">
      <w:pPr>
        <w:rPr>
          <w:rFonts w:hint="eastAsia" w:ascii="宋体"/>
          <w:sz w:val="28"/>
          <w:szCs w:val="28"/>
          <w:highlight w:val="none"/>
        </w:rPr>
      </w:pPr>
    </w:p>
    <w:p w14:paraId="36A7512D">
      <w:pPr>
        <w:rPr>
          <w:rFonts w:hint="eastAsia" w:ascii="宋体"/>
          <w:sz w:val="28"/>
          <w:szCs w:val="28"/>
          <w:highlight w:val="none"/>
        </w:rPr>
      </w:pPr>
    </w:p>
    <w:p w14:paraId="183291E4">
      <w:pPr>
        <w:rPr>
          <w:rFonts w:hint="eastAsia" w:ascii="宋体"/>
          <w:sz w:val="28"/>
          <w:szCs w:val="28"/>
          <w:highlight w:val="none"/>
        </w:rPr>
      </w:pPr>
    </w:p>
    <w:p w14:paraId="3B9FF5E7">
      <w:pPr>
        <w:rPr>
          <w:rFonts w:hint="eastAsia" w:ascii="宋体"/>
          <w:sz w:val="28"/>
          <w:szCs w:val="28"/>
          <w:highlight w:val="none"/>
        </w:rPr>
      </w:pPr>
    </w:p>
    <w:p w14:paraId="65A23063">
      <w:pPr>
        <w:rPr>
          <w:rFonts w:hint="eastAsia" w:ascii="宋体"/>
          <w:sz w:val="28"/>
          <w:szCs w:val="28"/>
          <w:highlight w:val="none"/>
        </w:rPr>
      </w:pPr>
    </w:p>
    <w:p w14:paraId="0EA5F41D">
      <w:pPr>
        <w:jc w:val="center"/>
        <w:rPr>
          <w:rFonts w:hint="eastAsia" w:ascii="宋体"/>
          <w:sz w:val="28"/>
          <w:szCs w:val="28"/>
          <w:highlight w:val="none"/>
          <w:u w:val="single"/>
        </w:rPr>
      </w:pPr>
      <w:r>
        <w:rPr>
          <w:rFonts w:hint="eastAsia" w:ascii="宋体"/>
          <w:sz w:val="28"/>
          <w:szCs w:val="28"/>
          <w:highlight w:val="none"/>
        </w:rPr>
        <w:t>投标人：</w:t>
      </w:r>
      <w:r>
        <w:rPr>
          <w:rFonts w:hint="eastAsia" w:ascii="宋体"/>
          <w:sz w:val="28"/>
          <w:szCs w:val="28"/>
          <w:highlight w:val="none"/>
          <w:u w:val="single"/>
        </w:rPr>
        <w:t xml:space="preserve">                              </w:t>
      </w:r>
      <w:r>
        <w:rPr>
          <w:rFonts w:hint="eastAsia" w:ascii="宋体"/>
          <w:sz w:val="28"/>
          <w:szCs w:val="28"/>
          <w:highlight w:val="none"/>
        </w:rPr>
        <w:t>（签章）</w:t>
      </w:r>
    </w:p>
    <w:p w14:paraId="2A17644A">
      <w:pPr>
        <w:ind w:firstLine="560" w:firstLineChars="200"/>
        <w:rPr>
          <w:rFonts w:hint="eastAsia" w:ascii="宋体"/>
          <w:sz w:val="28"/>
          <w:szCs w:val="28"/>
          <w:highlight w:val="none"/>
        </w:rPr>
      </w:pPr>
      <w:r>
        <w:rPr>
          <w:rFonts w:hint="eastAsia" w:ascii="宋体"/>
          <w:sz w:val="28"/>
          <w:szCs w:val="28"/>
          <w:highlight w:val="none"/>
        </w:rPr>
        <w:t>法定代表人：</w:t>
      </w:r>
      <w:r>
        <w:rPr>
          <w:rFonts w:hint="eastAsia" w:ascii="宋体"/>
          <w:sz w:val="28"/>
          <w:szCs w:val="28"/>
          <w:highlight w:val="none"/>
          <w:u w:val="single"/>
        </w:rPr>
        <w:t xml:space="preserve">                              </w:t>
      </w:r>
      <w:r>
        <w:rPr>
          <w:rFonts w:hint="eastAsia" w:ascii="宋体"/>
          <w:sz w:val="28"/>
          <w:szCs w:val="28"/>
          <w:highlight w:val="none"/>
        </w:rPr>
        <w:t>（签章）</w:t>
      </w:r>
    </w:p>
    <w:p w14:paraId="24CE869C">
      <w:pPr>
        <w:jc w:val="center"/>
        <w:rPr>
          <w:rFonts w:hint="eastAsia" w:ascii="宋体"/>
          <w:sz w:val="28"/>
          <w:szCs w:val="28"/>
          <w:highlight w:val="none"/>
        </w:rPr>
      </w:pPr>
      <w:r>
        <w:rPr>
          <w:rFonts w:hint="eastAsia" w:ascii="宋体"/>
          <w:sz w:val="28"/>
          <w:szCs w:val="28"/>
          <w:highlight w:val="none"/>
          <w:u w:val="single"/>
        </w:rPr>
        <w:t xml:space="preserve">        </w:t>
      </w:r>
      <w:r>
        <w:rPr>
          <w:rFonts w:hint="eastAsia" w:ascii="宋体"/>
          <w:sz w:val="28"/>
          <w:szCs w:val="28"/>
          <w:highlight w:val="none"/>
        </w:rPr>
        <w:t>年</w:t>
      </w:r>
      <w:r>
        <w:rPr>
          <w:rFonts w:hint="eastAsia" w:ascii="宋体"/>
          <w:sz w:val="28"/>
          <w:szCs w:val="28"/>
          <w:highlight w:val="none"/>
          <w:u w:val="single"/>
        </w:rPr>
        <w:t xml:space="preserve">        </w:t>
      </w:r>
      <w:r>
        <w:rPr>
          <w:rFonts w:hint="eastAsia" w:ascii="宋体"/>
          <w:sz w:val="28"/>
          <w:szCs w:val="28"/>
          <w:highlight w:val="none"/>
        </w:rPr>
        <w:t>月</w:t>
      </w:r>
      <w:r>
        <w:rPr>
          <w:rFonts w:hint="eastAsia" w:ascii="宋体"/>
          <w:sz w:val="28"/>
          <w:szCs w:val="28"/>
          <w:highlight w:val="none"/>
          <w:u w:val="single"/>
        </w:rPr>
        <w:t xml:space="preserve">        </w:t>
      </w:r>
      <w:r>
        <w:rPr>
          <w:rFonts w:hint="eastAsia" w:ascii="宋体"/>
          <w:sz w:val="28"/>
          <w:szCs w:val="28"/>
          <w:highlight w:val="none"/>
        </w:rPr>
        <w:t>日</w:t>
      </w:r>
    </w:p>
    <w:p w14:paraId="7E1A7656">
      <w:pPr>
        <w:spacing w:line="720" w:lineRule="auto"/>
        <w:jc w:val="center"/>
        <w:rPr>
          <w:rFonts w:hint="eastAsia" w:ascii="宋体"/>
          <w:b/>
          <w:sz w:val="36"/>
          <w:szCs w:val="36"/>
          <w:highlight w:val="none"/>
        </w:rPr>
      </w:pPr>
    </w:p>
    <w:p w14:paraId="4297B8CD">
      <w:pPr>
        <w:spacing w:line="400" w:lineRule="exact"/>
        <w:ind w:firstLine="4130" w:firstLineChars="935"/>
        <w:rPr>
          <w:rFonts w:hint="eastAsia"/>
          <w:b/>
          <w:sz w:val="44"/>
          <w:szCs w:val="44"/>
          <w:highlight w:val="none"/>
        </w:rPr>
      </w:pPr>
    </w:p>
    <w:p w14:paraId="7CBF050E">
      <w:pPr>
        <w:spacing w:line="400" w:lineRule="exact"/>
        <w:ind w:firstLine="4130" w:firstLineChars="935"/>
        <w:rPr>
          <w:rFonts w:hint="eastAsia"/>
          <w:b/>
          <w:sz w:val="44"/>
          <w:szCs w:val="44"/>
          <w:highlight w:val="none"/>
        </w:rPr>
      </w:pPr>
    </w:p>
    <w:p w14:paraId="3BA80B46">
      <w:pPr>
        <w:pStyle w:val="6"/>
        <w:ind w:firstLine="883"/>
        <w:rPr>
          <w:rFonts w:hint="eastAsia"/>
          <w:b/>
          <w:sz w:val="44"/>
          <w:szCs w:val="44"/>
          <w:highlight w:val="none"/>
        </w:rPr>
      </w:pPr>
    </w:p>
    <w:p w14:paraId="543443E9">
      <w:pPr>
        <w:rPr>
          <w:rFonts w:hint="eastAsia"/>
          <w:highlight w:val="none"/>
        </w:rPr>
      </w:pPr>
    </w:p>
    <w:p w14:paraId="7825882F">
      <w:pPr>
        <w:spacing w:line="400" w:lineRule="exact"/>
        <w:ind w:firstLine="4130" w:firstLineChars="935"/>
        <w:rPr>
          <w:rFonts w:hint="eastAsia"/>
          <w:b/>
          <w:sz w:val="44"/>
          <w:szCs w:val="44"/>
          <w:highlight w:val="none"/>
        </w:rPr>
      </w:pPr>
    </w:p>
    <w:p w14:paraId="407A8138">
      <w:pPr>
        <w:jc w:val="center"/>
        <w:rPr>
          <w:rFonts w:hint="eastAsia"/>
          <w:b/>
          <w:sz w:val="44"/>
          <w:szCs w:val="44"/>
          <w:highlight w:val="none"/>
        </w:rPr>
      </w:pPr>
      <w:r>
        <w:rPr>
          <w:rFonts w:hint="eastAsia"/>
          <w:b/>
          <w:sz w:val="36"/>
          <w:szCs w:val="36"/>
          <w:highlight w:val="none"/>
        </w:rPr>
        <w:t>目   录</w:t>
      </w:r>
    </w:p>
    <w:p w14:paraId="3C29EEAC">
      <w:pPr>
        <w:spacing w:line="400" w:lineRule="exact"/>
        <w:rPr>
          <w:rFonts w:hint="eastAsia"/>
          <w:b/>
          <w:sz w:val="28"/>
          <w:szCs w:val="28"/>
          <w:highlight w:val="none"/>
        </w:rPr>
      </w:pPr>
    </w:p>
    <w:p w14:paraId="32F6618A">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（1）法定代表人身份证明及其有效身份证（或法定代表人授权委托书及其有效身份证）（格式见附件）；</w:t>
      </w:r>
    </w:p>
    <w:p w14:paraId="6D4AF87A">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（2）投标人有效的营业执照、税务登记证、组织机构代码证（或三合一证书）；</w:t>
      </w:r>
    </w:p>
    <w:p w14:paraId="3C2DA973">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）诚信投标承诺书；</w:t>
      </w:r>
    </w:p>
    <w:p w14:paraId="5B005DCC">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）服务承诺</w:t>
      </w:r>
      <w:r>
        <w:rPr>
          <w:rFonts w:hint="eastAsia" w:ascii="宋体" w:hAnsi="Times New Roman" w:eastAsia="宋体" w:cs="Times New Roman"/>
          <w:color w:val="auto"/>
          <w:szCs w:val="21"/>
          <w:highlight w:val="none"/>
          <w:lang w:eastAsia="zh-CN"/>
        </w:rPr>
        <w:t>；</w:t>
      </w:r>
    </w:p>
    <w:p w14:paraId="23B8DED5">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szCs w:val="21"/>
          <w:highlight w:val="none"/>
        </w:rPr>
        <w:t>（</w:t>
      </w:r>
      <w:r>
        <w:rPr>
          <w:rFonts w:hint="eastAsia" w:ascii="宋体"/>
          <w:szCs w:val="21"/>
          <w:highlight w:val="none"/>
          <w:lang w:val="en-US" w:eastAsia="zh-CN"/>
        </w:rPr>
        <w:t>5</w:t>
      </w:r>
      <w:r>
        <w:rPr>
          <w:rFonts w:hint="eastAsia" w:ascii="宋体"/>
          <w:szCs w:val="21"/>
          <w:highlight w:val="none"/>
        </w:rPr>
        <w:t>）</w:t>
      </w:r>
      <w:r>
        <w:rPr>
          <w:rFonts w:hint="eastAsia" w:ascii="宋体" w:hAnsi="Times New Roman" w:eastAsia="宋体" w:cs="Times New Roman"/>
          <w:color w:val="auto"/>
          <w:szCs w:val="21"/>
          <w:highlight w:val="none"/>
          <w:lang w:eastAsia="zh-CN"/>
        </w:rPr>
        <w:t>投标人认为需要提供的其他资信证明材料</w:t>
      </w:r>
      <w:r>
        <w:rPr>
          <w:rFonts w:hint="eastAsia" w:ascii="宋体" w:cs="Times New Roman"/>
          <w:color w:val="auto"/>
          <w:szCs w:val="21"/>
          <w:highlight w:val="none"/>
          <w:lang w:val="en-US" w:eastAsia="zh-CN"/>
        </w:rPr>
        <w:t>和资信评分所需材料</w:t>
      </w:r>
      <w:r>
        <w:rPr>
          <w:rFonts w:hint="eastAsia" w:ascii="宋体" w:hAnsi="Times New Roman" w:eastAsia="宋体" w:cs="Times New Roman"/>
          <w:color w:val="auto"/>
          <w:szCs w:val="21"/>
          <w:highlight w:val="none"/>
          <w:lang w:eastAsia="zh-CN"/>
        </w:rPr>
        <w:t>。</w:t>
      </w:r>
    </w:p>
    <w:p w14:paraId="02B3DBDA">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5762840B">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465587F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p>
    <w:p w14:paraId="3E809E94">
      <w:pPr>
        <w:pStyle w:val="38"/>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lang w:eastAsia="zh-CN"/>
        </w:rPr>
        <w:t>（</w:t>
      </w:r>
      <w:r>
        <w:rPr>
          <w:rFonts w:hint="eastAsia" w:ascii="宋体"/>
          <w:color w:val="auto"/>
          <w:sz w:val="24"/>
          <w:szCs w:val="24"/>
          <w:highlight w:val="none"/>
          <w:lang w:val="en-US" w:eastAsia="zh-CN"/>
        </w:rPr>
        <w:t>1）</w:t>
      </w:r>
      <w:r>
        <w:rPr>
          <w:rFonts w:hint="eastAsia" w:ascii="宋体"/>
          <w:color w:val="auto"/>
          <w:sz w:val="24"/>
          <w:szCs w:val="24"/>
          <w:highlight w:val="none"/>
        </w:rPr>
        <w:t>1.法定代表人身份证明</w:t>
      </w:r>
    </w:p>
    <w:p w14:paraId="67B29470">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69A2B6F7">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6DB79AD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0022CFFA">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5A8A989C">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23BBAC49">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4AD26A3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14:paraId="1E5E1AB8">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14:paraId="6F039E07">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10A76931">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r>
        <w:rPr>
          <w:rFonts w:hint="eastAsia" w:ascii="宋体"/>
          <w:color w:val="auto"/>
          <w:sz w:val="28"/>
          <w:szCs w:val="28"/>
          <w:highlight w:val="none"/>
        </w:rPr>
        <w:t>2.授权委托书</w:t>
      </w:r>
    </w:p>
    <w:p w14:paraId="0F754A1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14:paraId="3FB938A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14:paraId="4D3B2CF9">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7F90624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14:paraId="0A935B70">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14:paraId="70F6CD56">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14:paraId="7667E0E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14:paraId="7E111A4B">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14:paraId="7FBC2353">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14:paraId="57F72B99">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14:paraId="6015DCCD">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14:paraId="78550558">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71D34958">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36E3B59D">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005042B5">
      <w:pPr>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3496123B">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lang w:eastAsia="zh-CN"/>
        </w:rPr>
        <w:t>（</w:t>
      </w:r>
      <w:r>
        <w:rPr>
          <w:rFonts w:hint="eastAsia"/>
          <w:b/>
          <w:sz w:val="28"/>
          <w:szCs w:val="28"/>
          <w:highlight w:val="none"/>
          <w:lang w:val="en-US" w:eastAsia="zh-CN"/>
        </w:rPr>
        <w:t>2）</w:t>
      </w:r>
      <w:r>
        <w:rPr>
          <w:rFonts w:hint="eastAsia"/>
          <w:b/>
          <w:sz w:val="28"/>
          <w:szCs w:val="28"/>
          <w:highlight w:val="none"/>
        </w:rPr>
        <w:t>诚信投标承诺书</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356" w:name="_Toc425084385"/>
      <w:bookmarkStart w:id="357" w:name="_Toc451384148"/>
      <w:r>
        <w:rPr>
          <w:rFonts w:hint="eastAsia" w:ascii="宋体" w:hAnsi="宋体"/>
          <w:color w:val="000000"/>
          <w:szCs w:val="21"/>
          <w:highlight w:val="none"/>
        </w:rPr>
        <w:t>一、将遵循公</w:t>
      </w:r>
      <w:bookmarkStart w:id="358" w:name="_Toc506107356"/>
      <w:bookmarkStart w:id="359" w:name="_Toc503196197"/>
      <w:bookmarkStart w:id="360" w:name="_Toc26598"/>
      <w:r>
        <w:rPr>
          <w:rFonts w:hint="eastAsia" w:ascii="宋体" w:hAnsi="宋体"/>
          <w:color w:val="000000"/>
          <w:szCs w:val="21"/>
          <w:highlight w:val="none"/>
        </w:rPr>
        <w:t>开、公正和诚实信用</w:t>
      </w:r>
      <w:bookmarkEnd w:id="358"/>
      <w:bookmarkEnd w:id="359"/>
      <w:r>
        <w:rPr>
          <w:rFonts w:hint="eastAsia" w:ascii="宋体" w:hAnsi="宋体"/>
          <w:color w:val="000000"/>
          <w:szCs w:val="21"/>
          <w:highlight w:val="none"/>
        </w:rPr>
        <w:t>的</w:t>
      </w:r>
      <w:bookmarkEnd w:id="360"/>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3CBCD0F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w:t>
      </w:r>
      <w:bookmarkStart w:id="361" w:name="OLE_LINK133"/>
      <w:bookmarkStart w:id="362" w:name="OLE_LINK134"/>
      <w:r>
        <w:rPr>
          <w:rFonts w:hint="eastAsia" w:ascii="宋体" w:hAnsi="宋体"/>
          <w:color w:val="000000"/>
          <w:szCs w:val="21"/>
          <w:highlight w:val="none"/>
        </w:rPr>
        <w:t>①被列入“信用中国”网站“失信被执行人”的</w:t>
      </w:r>
      <w:r>
        <w:rPr>
          <w:rFonts w:hint="eastAsia" w:ascii="宋体" w:hAnsi="宋体"/>
          <w:color w:val="000000"/>
          <w:szCs w:val="21"/>
          <w:highlight w:val="none"/>
          <w:lang w:eastAsia="zh-CN"/>
        </w:rPr>
        <w:t>；</w:t>
      </w:r>
      <w:r>
        <w:rPr>
          <w:rFonts w:hint="eastAsia" w:ascii="宋体" w:hAnsi="宋体"/>
          <w:color w:val="000000"/>
          <w:szCs w:val="21"/>
          <w:highlight w:val="none"/>
        </w:rPr>
        <w:t>②被列入“信用中国”网站“重大税收违法失信主体”的；③被列入“信用中国”网站“拖欠农民工工资失信联合惩戒对象名单”的；④被列入“信用中国”网站“严重失信主体名单”的；⑤在“信用中国”网站上披露的仍在公示期的严重失信行为的</w:t>
      </w:r>
      <w:r>
        <w:rPr>
          <w:rFonts w:hint="eastAsia" w:ascii="宋体" w:hAnsi="宋体"/>
          <w:color w:val="000000"/>
          <w:szCs w:val="21"/>
          <w:highlight w:val="none"/>
          <w:lang w:eastAsia="zh-CN"/>
        </w:rPr>
        <w:t>；</w:t>
      </w:r>
      <w:r>
        <w:rPr>
          <w:rFonts w:hint="eastAsia" w:ascii="宋体" w:hAnsi="宋体"/>
          <w:color w:val="000000"/>
          <w:szCs w:val="21"/>
          <w:highlight w:val="none"/>
        </w:rPr>
        <w:t>⑥被列入国家企业信用信息公示系统网站“经营异常名录”或者“严重违法失信名单”的。⑦前三年有行贿犯罪行为的单位和个人</w:t>
      </w:r>
      <w:bookmarkEnd w:id="361"/>
      <w:bookmarkEnd w:id="362"/>
      <w:r>
        <w:rPr>
          <w:rFonts w:hint="eastAsia" w:ascii="宋体" w:hAnsi="宋体"/>
          <w:color w:val="000000"/>
          <w:szCs w:val="21"/>
          <w:highlight w:val="none"/>
          <w:lang w:eastAsia="zh-CN"/>
        </w:rPr>
        <w:t>。</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14:paraId="164C92A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C515C8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760D4728">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3B262F83">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02E3582A">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lang w:eastAsia="zh-CN"/>
        </w:rPr>
        <w:t>（</w:t>
      </w:r>
      <w:r>
        <w:rPr>
          <w:rFonts w:hint="eastAsia"/>
          <w:b/>
          <w:bCs/>
          <w:sz w:val="28"/>
          <w:szCs w:val="28"/>
          <w:highlight w:val="none"/>
          <w:lang w:val="en-US" w:eastAsia="zh-CN"/>
        </w:rPr>
        <w:t>3）</w:t>
      </w:r>
      <w:r>
        <w:rPr>
          <w:rFonts w:hint="eastAsia"/>
          <w:b/>
          <w:bCs/>
          <w:sz w:val="28"/>
          <w:szCs w:val="28"/>
          <w:highlight w:val="none"/>
        </w:rPr>
        <w:t>服务承诺书</w:t>
      </w:r>
    </w:p>
    <w:p w14:paraId="43CC56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729E5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olor w:val="000000"/>
          <w:sz w:val="24"/>
          <w:highlight w:val="none"/>
          <w:lang w:val="en-US" w:eastAsia="zh-CN"/>
        </w:rPr>
      </w:pPr>
      <w:r>
        <w:rPr>
          <w:rFonts w:hint="eastAsia" w:ascii="宋体" w:hAnsi="宋体"/>
          <w:color w:val="000000"/>
          <w:sz w:val="24"/>
          <w:highlight w:val="none"/>
          <w:lang w:val="en-US" w:eastAsia="zh-CN"/>
        </w:rPr>
        <w:t>本承诺声明：（投标人名称）对本招标文件所有要求完全响应，若有幸中标将严格按照以上承诺进行服务且提供不少于2年的质保期。若发现有偏离且不能按招标人要求调整的，招标人有权终止合同重新招标，我方承担因此产生的所有经济及工期责任。</w:t>
      </w:r>
    </w:p>
    <w:p w14:paraId="5692EB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特此声明。</w:t>
      </w:r>
    </w:p>
    <w:p w14:paraId="7E75DDF1">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101BEA8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33F52DD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3BAF78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22D42F3A">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180FA262">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3AFB0F11">
      <w:pPr>
        <w:spacing w:line="400" w:lineRule="exact"/>
        <w:ind w:firstLine="482" w:firstLineChars="200"/>
        <w:rPr>
          <w:rFonts w:ascii="宋体" w:hAnsi="宋体"/>
          <w:b/>
          <w:color w:val="000000"/>
          <w:sz w:val="24"/>
          <w:highlight w:val="none"/>
        </w:rPr>
      </w:pPr>
    </w:p>
    <w:bookmarkEnd w:id="356"/>
    <w:bookmarkEnd w:id="357"/>
    <w:p w14:paraId="45610A89">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宋体" w:hAnsi="宋体"/>
          <w:b/>
          <w:color w:val="auto"/>
          <w:sz w:val="30"/>
          <w:szCs w:val="30"/>
          <w:highlight w:val="none"/>
          <w:lang w:val="en-US" w:eastAsia="zh-CN"/>
        </w:rPr>
        <w:br w:type="page"/>
      </w:r>
    </w:p>
    <w:p w14:paraId="29750494">
      <w:pPr>
        <w:widowControl/>
        <w:jc w:val="center"/>
        <w:rPr>
          <w:rFonts w:hint="eastAsia" w:ascii="宋体" w:hAnsi="宋体"/>
          <w:b/>
          <w:sz w:val="28"/>
          <w:szCs w:val="28"/>
          <w:highlight w:val="none"/>
        </w:rPr>
      </w:pPr>
      <w:r>
        <w:rPr>
          <w:rFonts w:hint="eastAsia" w:ascii="宋体" w:hAnsi="宋体"/>
          <w:b/>
          <w:sz w:val="28"/>
          <w:szCs w:val="28"/>
          <w:highlight w:val="none"/>
        </w:rPr>
        <w:t>二、技术标格式文件</w:t>
      </w:r>
    </w:p>
    <w:p w14:paraId="3A10B31A">
      <w:pPr>
        <w:pStyle w:val="6"/>
        <w:rPr>
          <w:rFonts w:hint="eastAsia"/>
          <w:highlight w:val="none"/>
        </w:rPr>
      </w:pPr>
    </w:p>
    <w:p w14:paraId="1E4CEA7A">
      <w:pPr>
        <w:jc w:val="center"/>
        <w:rPr>
          <w:rFonts w:hint="eastAsia" w:ascii="宋体"/>
          <w:b/>
          <w:sz w:val="44"/>
          <w:szCs w:val="44"/>
          <w:highlight w:val="none"/>
        </w:rPr>
      </w:pPr>
      <w:r>
        <w:rPr>
          <w:rFonts w:hint="eastAsia" w:ascii="宋体"/>
          <w:b/>
          <w:sz w:val="44"/>
          <w:szCs w:val="44"/>
          <w:highlight w:val="none"/>
        </w:rPr>
        <w:t>技术标</w:t>
      </w:r>
    </w:p>
    <w:p w14:paraId="0697AFE5">
      <w:pPr>
        <w:jc w:val="center"/>
        <w:rPr>
          <w:rFonts w:hint="eastAsia" w:ascii="宋体"/>
          <w:sz w:val="32"/>
          <w:szCs w:val="32"/>
          <w:highlight w:val="none"/>
        </w:rPr>
      </w:pPr>
      <w:r>
        <w:rPr>
          <w:rFonts w:hint="eastAsia" w:ascii="宋体"/>
          <w:sz w:val="32"/>
          <w:szCs w:val="32"/>
          <w:highlight w:val="none"/>
        </w:rPr>
        <w:t>（投标文件二）</w:t>
      </w:r>
    </w:p>
    <w:p w14:paraId="5FE59CF4">
      <w:pPr>
        <w:jc w:val="center"/>
        <w:rPr>
          <w:rFonts w:hint="eastAsia" w:eastAsia="黑体"/>
          <w:sz w:val="44"/>
          <w:szCs w:val="44"/>
          <w:highlight w:val="none"/>
        </w:rPr>
      </w:pPr>
    </w:p>
    <w:p w14:paraId="1D6C5C01">
      <w:pPr>
        <w:jc w:val="center"/>
        <w:rPr>
          <w:rFonts w:hint="eastAsia" w:ascii="宋体"/>
          <w:sz w:val="32"/>
          <w:szCs w:val="32"/>
          <w:highlight w:val="none"/>
        </w:rPr>
      </w:pPr>
      <w:r>
        <w:rPr>
          <w:rFonts w:hint="eastAsia" w:ascii="宋体"/>
          <w:sz w:val="32"/>
          <w:szCs w:val="32"/>
          <w:highlight w:val="none"/>
          <w:u w:val="single"/>
        </w:rPr>
        <w:t xml:space="preserve">        </w:t>
      </w:r>
      <w:r>
        <w:rPr>
          <w:rFonts w:hint="eastAsia" w:ascii="宋体"/>
          <w:sz w:val="32"/>
          <w:szCs w:val="32"/>
          <w:highlight w:val="none"/>
        </w:rPr>
        <w:t>项目</w:t>
      </w:r>
    </w:p>
    <w:p w14:paraId="4E830435">
      <w:pPr>
        <w:rPr>
          <w:rFonts w:hint="eastAsia" w:ascii="宋体"/>
          <w:sz w:val="28"/>
          <w:szCs w:val="28"/>
          <w:highlight w:val="none"/>
        </w:rPr>
      </w:pPr>
    </w:p>
    <w:p w14:paraId="4F83C827">
      <w:pPr>
        <w:rPr>
          <w:rFonts w:hint="eastAsia" w:ascii="宋体"/>
          <w:sz w:val="28"/>
          <w:szCs w:val="28"/>
          <w:highlight w:val="none"/>
        </w:rPr>
      </w:pPr>
    </w:p>
    <w:p w14:paraId="36625B20">
      <w:pPr>
        <w:rPr>
          <w:rFonts w:hint="eastAsia" w:ascii="宋体"/>
          <w:sz w:val="28"/>
          <w:szCs w:val="28"/>
          <w:highlight w:val="none"/>
        </w:rPr>
      </w:pPr>
    </w:p>
    <w:p w14:paraId="5171E2FF">
      <w:pPr>
        <w:rPr>
          <w:rFonts w:hint="eastAsia" w:ascii="宋体"/>
          <w:sz w:val="28"/>
          <w:szCs w:val="28"/>
          <w:highlight w:val="none"/>
        </w:rPr>
      </w:pPr>
    </w:p>
    <w:p w14:paraId="0907EB8D">
      <w:pPr>
        <w:tabs>
          <w:tab w:val="left" w:pos="2579"/>
        </w:tabs>
        <w:rPr>
          <w:rFonts w:hint="eastAsia" w:ascii="宋体"/>
          <w:sz w:val="28"/>
          <w:szCs w:val="28"/>
          <w:highlight w:val="none"/>
        </w:rPr>
      </w:pPr>
      <w:r>
        <w:rPr>
          <w:rFonts w:ascii="宋体"/>
          <w:sz w:val="28"/>
          <w:szCs w:val="28"/>
          <w:highlight w:val="none"/>
        </w:rPr>
        <w:tab/>
      </w:r>
    </w:p>
    <w:p w14:paraId="2D9E34E1">
      <w:pPr>
        <w:rPr>
          <w:rFonts w:hint="eastAsia" w:ascii="宋体"/>
          <w:sz w:val="28"/>
          <w:szCs w:val="28"/>
          <w:highlight w:val="none"/>
        </w:rPr>
      </w:pPr>
    </w:p>
    <w:p w14:paraId="6DB7795A">
      <w:pPr>
        <w:rPr>
          <w:rFonts w:hint="eastAsia" w:ascii="宋体"/>
          <w:sz w:val="28"/>
          <w:szCs w:val="28"/>
          <w:highlight w:val="none"/>
        </w:rPr>
      </w:pPr>
    </w:p>
    <w:p w14:paraId="35B3614A">
      <w:pPr>
        <w:rPr>
          <w:rFonts w:hint="eastAsia" w:ascii="宋体"/>
          <w:sz w:val="28"/>
          <w:szCs w:val="28"/>
          <w:highlight w:val="none"/>
        </w:rPr>
      </w:pPr>
    </w:p>
    <w:p w14:paraId="444187F9">
      <w:pPr>
        <w:rPr>
          <w:rFonts w:hint="eastAsia" w:ascii="宋体"/>
          <w:sz w:val="28"/>
          <w:szCs w:val="28"/>
          <w:highlight w:val="none"/>
        </w:rPr>
      </w:pPr>
    </w:p>
    <w:p w14:paraId="0F5C5A0F">
      <w:pPr>
        <w:rPr>
          <w:rFonts w:hint="eastAsia" w:ascii="宋体"/>
          <w:sz w:val="28"/>
          <w:szCs w:val="28"/>
          <w:highlight w:val="none"/>
        </w:rPr>
      </w:pPr>
    </w:p>
    <w:p w14:paraId="39E03996">
      <w:pPr>
        <w:rPr>
          <w:rFonts w:hint="eastAsia" w:ascii="宋体"/>
          <w:sz w:val="28"/>
          <w:szCs w:val="28"/>
          <w:highlight w:val="none"/>
        </w:rPr>
      </w:pPr>
    </w:p>
    <w:p w14:paraId="737EDBC1">
      <w:pPr>
        <w:jc w:val="center"/>
        <w:rPr>
          <w:rFonts w:hint="eastAsia" w:ascii="宋体"/>
          <w:sz w:val="28"/>
          <w:szCs w:val="28"/>
          <w:highlight w:val="none"/>
          <w:u w:val="single"/>
        </w:rPr>
      </w:pPr>
      <w:r>
        <w:rPr>
          <w:rFonts w:hint="eastAsia" w:ascii="宋体"/>
          <w:sz w:val="28"/>
          <w:szCs w:val="28"/>
          <w:highlight w:val="none"/>
        </w:rPr>
        <w:t>投标人：</w:t>
      </w:r>
      <w:r>
        <w:rPr>
          <w:rFonts w:hint="eastAsia" w:ascii="宋体"/>
          <w:sz w:val="28"/>
          <w:szCs w:val="28"/>
          <w:highlight w:val="none"/>
          <w:u w:val="single"/>
        </w:rPr>
        <w:t xml:space="preserve">                              </w:t>
      </w:r>
      <w:r>
        <w:rPr>
          <w:rFonts w:hint="eastAsia" w:ascii="宋体"/>
          <w:sz w:val="28"/>
          <w:szCs w:val="28"/>
          <w:highlight w:val="none"/>
        </w:rPr>
        <w:t>（签章）</w:t>
      </w:r>
    </w:p>
    <w:p w14:paraId="5E82C039">
      <w:pPr>
        <w:ind w:firstLine="560" w:firstLineChars="200"/>
        <w:rPr>
          <w:rFonts w:hint="eastAsia" w:ascii="宋体"/>
          <w:sz w:val="28"/>
          <w:szCs w:val="28"/>
          <w:highlight w:val="none"/>
        </w:rPr>
      </w:pPr>
      <w:r>
        <w:rPr>
          <w:rFonts w:hint="eastAsia" w:ascii="宋体"/>
          <w:sz w:val="28"/>
          <w:szCs w:val="28"/>
          <w:highlight w:val="none"/>
        </w:rPr>
        <w:t>法定代表人：</w:t>
      </w:r>
      <w:r>
        <w:rPr>
          <w:rFonts w:hint="eastAsia" w:ascii="宋体"/>
          <w:sz w:val="28"/>
          <w:szCs w:val="28"/>
          <w:highlight w:val="none"/>
          <w:u w:val="single"/>
        </w:rPr>
        <w:t xml:space="preserve">                              </w:t>
      </w:r>
      <w:r>
        <w:rPr>
          <w:rFonts w:hint="eastAsia" w:ascii="宋体"/>
          <w:sz w:val="28"/>
          <w:szCs w:val="28"/>
          <w:highlight w:val="none"/>
        </w:rPr>
        <w:t>（签章）</w:t>
      </w:r>
    </w:p>
    <w:p w14:paraId="5EA52CA5">
      <w:pPr>
        <w:jc w:val="center"/>
        <w:rPr>
          <w:rFonts w:hint="eastAsia" w:ascii="宋体"/>
          <w:sz w:val="28"/>
          <w:szCs w:val="28"/>
          <w:highlight w:val="none"/>
        </w:rPr>
      </w:pPr>
      <w:r>
        <w:rPr>
          <w:rFonts w:hint="eastAsia" w:ascii="宋体"/>
          <w:sz w:val="28"/>
          <w:szCs w:val="28"/>
          <w:highlight w:val="none"/>
          <w:u w:val="single"/>
        </w:rPr>
        <w:t xml:space="preserve">        </w:t>
      </w:r>
      <w:r>
        <w:rPr>
          <w:rFonts w:hint="eastAsia" w:ascii="宋体"/>
          <w:sz w:val="28"/>
          <w:szCs w:val="28"/>
          <w:highlight w:val="none"/>
        </w:rPr>
        <w:t>年</w:t>
      </w:r>
      <w:r>
        <w:rPr>
          <w:rFonts w:hint="eastAsia" w:ascii="宋体"/>
          <w:sz w:val="28"/>
          <w:szCs w:val="28"/>
          <w:highlight w:val="none"/>
          <w:u w:val="single"/>
        </w:rPr>
        <w:t xml:space="preserve">        </w:t>
      </w:r>
      <w:r>
        <w:rPr>
          <w:rFonts w:hint="eastAsia" w:ascii="宋体"/>
          <w:sz w:val="28"/>
          <w:szCs w:val="28"/>
          <w:highlight w:val="none"/>
        </w:rPr>
        <w:t>月</w:t>
      </w:r>
      <w:r>
        <w:rPr>
          <w:rFonts w:hint="eastAsia" w:ascii="宋体"/>
          <w:sz w:val="28"/>
          <w:szCs w:val="28"/>
          <w:highlight w:val="none"/>
          <w:u w:val="single"/>
        </w:rPr>
        <w:t xml:space="preserve">        </w:t>
      </w:r>
      <w:r>
        <w:rPr>
          <w:rFonts w:hint="eastAsia" w:ascii="宋体"/>
          <w:sz w:val="28"/>
          <w:szCs w:val="28"/>
          <w:highlight w:val="none"/>
        </w:rPr>
        <w:t>日</w:t>
      </w:r>
    </w:p>
    <w:p w14:paraId="22D17A86">
      <w:pPr>
        <w:ind w:firstLine="565" w:firstLineChars="202"/>
        <w:jc w:val="left"/>
        <w:rPr>
          <w:rFonts w:hint="eastAsia" w:ascii="宋体"/>
          <w:sz w:val="28"/>
          <w:szCs w:val="28"/>
          <w:highlight w:val="none"/>
        </w:rPr>
      </w:pPr>
    </w:p>
    <w:p w14:paraId="1E1C9856">
      <w:pPr>
        <w:spacing w:line="720" w:lineRule="auto"/>
        <w:jc w:val="both"/>
        <w:rPr>
          <w:rFonts w:hint="eastAsia" w:ascii="宋体"/>
          <w:b/>
          <w:sz w:val="36"/>
          <w:szCs w:val="36"/>
          <w:highlight w:val="none"/>
        </w:rPr>
      </w:pPr>
    </w:p>
    <w:p w14:paraId="6FEDB25B">
      <w:pPr>
        <w:spacing w:line="400" w:lineRule="exact"/>
        <w:jc w:val="center"/>
        <w:rPr>
          <w:rFonts w:hint="eastAsia" w:ascii="宋体" w:hAnsi="宋体"/>
          <w:b/>
          <w:sz w:val="28"/>
          <w:szCs w:val="28"/>
          <w:highlight w:val="none"/>
          <w:lang w:val="en-US" w:eastAsia="zh-CN"/>
        </w:rPr>
      </w:pPr>
      <w:r>
        <w:rPr>
          <w:rFonts w:hint="eastAsia" w:ascii="宋体" w:hAnsi="宋体"/>
          <w:b/>
          <w:sz w:val="28"/>
          <w:szCs w:val="28"/>
          <w:highlight w:val="none"/>
          <w:lang w:val="en-US" w:eastAsia="zh-CN"/>
        </w:rPr>
        <w:br w:type="page"/>
      </w:r>
    </w:p>
    <w:p w14:paraId="10B0D540">
      <w:pPr>
        <w:spacing w:line="400" w:lineRule="exact"/>
        <w:jc w:val="center"/>
        <w:rPr>
          <w:rFonts w:hint="eastAsia"/>
          <w:b/>
          <w:sz w:val="36"/>
          <w:szCs w:val="36"/>
          <w:highlight w:val="none"/>
        </w:rPr>
      </w:pPr>
      <w:r>
        <w:rPr>
          <w:rFonts w:hint="eastAsia"/>
          <w:b/>
          <w:sz w:val="36"/>
          <w:szCs w:val="36"/>
          <w:highlight w:val="none"/>
        </w:rPr>
        <w:t>目   录</w:t>
      </w:r>
    </w:p>
    <w:p w14:paraId="5B90B20D">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210" w:leftChars="0" w:firstLine="0" w:firstLineChars="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技术方案</w:t>
      </w:r>
      <w:r>
        <w:rPr>
          <w:rFonts w:hint="eastAsia" w:ascii="宋体" w:hAnsi="宋体" w:eastAsia="宋体" w:cs="宋体"/>
          <w:color w:val="auto"/>
          <w:sz w:val="22"/>
          <w:szCs w:val="22"/>
          <w:highlight w:val="none"/>
          <w:lang w:eastAsia="zh-CN"/>
        </w:rPr>
        <w:t>；</w:t>
      </w:r>
    </w:p>
    <w:p w14:paraId="7F03C7D1">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210" w:leftChars="0" w:firstLine="0" w:firstLineChars="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施工组织方案</w:t>
      </w:r>
      <w:r>
        <w:rPr>
          <w:rFonts w:hint="eastAsia" w:ascii="宋体" w:hAnsi="宋体" w:eastAsia="宋体" w:cs="宋体"/>
          <w:color w:val="auto"/>
          <w:sz w:val="22"/>
          <w:szCs w:val="22"/>
          <w:highlight w:val="none"/>
          <w:lang w:eastAsia="zh-CN"/>
        </w:rPr>
        <w:t>；</w:t>
      </w:r>
    </w:p>
    <w:p w14:paraId="1F94E2EC">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210" w:leftChars="0" w:firstLine="0" w:firstLineChars="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安全文明施工组织措施</w:t>
      </w:r>
      <w:r>
        <w:rPr>
          <w:rFonts w:hint="eastAsia" w:ascii="宋体" w:hAnsi="宋体" w:eastAsia="宋体" w:cs="宋体"/>
          <w:color w:val="auto"/>
          <w:sz w:val="22"/>
          <w:szCs w:val="22"/>
          <w:highlight w:val="none"/>
          <w:lang w:eastAsia="zh-CN"/>
        </w:rPr>
        <w:t>；</w:t>
      </w:r>
    </w:p>
    <w:p w14:paraId="614C0DF7">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210" w:leftChars="0" w:firstLine="0" w:firstLineChars="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服务承诺</w:t>
      </w:r>
      <w:r>
        <w:rPr>
          <w:rFonts w:hint="eastAsia" w:ascii="宋体" w:hAnsi="宋体" w:eastAsia="宋体" w:cs="宋体"/>
          <w:color w:val="auto"/>
          <w:sz w:val="22"/>
          <w:szCs w:val="22"/>
          <w:highlight w:val="none"/>
          <w:lang w:eastAsia="zh-CN"/>
        </w:rPr>
        <w:t>。</w:t>
      </w:r>
    </w:p>
    <w:p w14:paraId="1CC1F127">
      <w:pPr>
        <w:spacing w:line="440" w:lineRule="exact"/>
        <w:ind w:firstLine="420" w:firstLineChars="200"/>
        <w:rPr>
          <w:rFonts w:hint="eastAsia" w:ascii="宋体"/>
          <w:szCs w:val="21"/>
          <w:highlight w:val="none"/>
        </w:rPr>
      </w:pPr>
    </w:p>
    <w:p w14:paraId="26AC2C5E">
      <w:pPr>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21FF7A68">
      <w:pPr>
        <w:spacing w:line="480" w:lineRule="auto"/>
        <w:jc w:val="center"/>
        <w:rPr>
          <w:rFonts w:hint="eastAsia" w:ascii="宋体" w:hAnsi="宋体"/>
          <w:b/>
          <w:sz w:val="28"/>
          <w:szCs w:val="28"/>
          <w:highlight w:val="none"/>
        </w:rPr>
      </w:pPr>
      <w:r>
        <w:rPr>
          <w:rFonts w:hint="eastAsia" w:ascii="宋体" w:hAnsi="宋体"/>
          <w:b/>
          <w:sz w:val="28"/>
          <w:szCs w:val="28"/>
          <w:highlight w:val="none"/>
          <w:lang w:val="en-US" w:eastAsia="zh-CN"/>
        </w:rPr>
        <w:t>三</w:t>
      </w:r>
      <w:r>
        <w:rPr>
          <w:rFonts w:hint="eastAsia" w:ascii="宋体" w:hAnsi="宋体"/>
          <w:b/>
          <w:sz w:val="28"/>
          <w:szCs w:val="28"/>
          <w:highlight w:val="none"/>
        </w:rPr>
        <w:t>、商务标格式文件</w:t>
      </w:r>
    </w:p>
    <w:p w14:paraId="580790B9">
      <w:pPr>
        <w:rPr>
          <w:rFonts w:hint="eastAsia" w:ascii="宋体"/>
          <w:sz w:val="20"/>
          <w:highlight w:val="none"/>
        </w:rPr>
      </w:pPr>
    </w:p>
    <w:p w14:paraId="69162FDE">
      <w:pPr>
        <w:jc w:val="center"/>
        <w:rPr>
          <w:rFonts w:hint="eastAsia" w:ascii="宋体"/>
          <w:b/>
          <w:sz w:val="44"/>
          <w:szCs w:val="44"/>
          <w:highlight w:val="none"/>
        </w:rPr>
      </w:pPr>
      <w:bookmarkStart w:id="363" w:name="_Toc449028954"/>
    </w:p>
    <w:p w14:paraId="5F3C6E3F">
      <w:pPr>
        <w:jc w:val="center"/>
        <w:rPr>
          <w:rFonts w:hint="eastAsia" w:ascii="宋体"/>
          <w:b/>
          <w:sz w:val="44"/>
          <w:szCs w:val="44"/>
          <w:highlight w:val="none"/>
        </w:rPr>
      </w:pPr>
      <w:r>
        <w:rPr>
          <w:rFonts w:hint="eastAsia" w:ascii="宋体"/>
          <w:b/>
          <w:sz w:val="44"/>
          <w:szCs w:val="44"/>
          <w:highlight w:val="none"/>
        </w:rPr>
        <w:t>商务标</w:t>
      </w:r>
      <w:bookmarkEnd w:id="363"/>
    </w:p>
    <w:p w14:paraId="6243CEDE">
      <w:pPr>
        <w:jc w:val="center"/>
        <w:rPr>
          <w:rFonts w:hint="eastAsia" w:ascii="宋体"/>
          <w:sz w:val="36"/>
          <w:szCs w:val="36"/>
          <w:highlight w:val="none"/>
        </w:rPr>
      </w:pPr>
      <w:r>
        <w:rPr>
          <w:rFonts w:hint="eastAsia" w:ascii="宋体"/>
          <w:sz w:val="44"/>
          <w:szCs w:val="44"/>
          <w:highlight w:val="none"/>
        </w:rPr>
        <w:t>（</w:t>
      </w:r>
      <w:r>
        <w:rPr>
          <w:rFonts w:hint="eastAsia" w:ascii="宋体"/>
          <w:sz w:val="36"/>
          <w:szCs w:val="36"/>
          <w:highlight w:val="none"/>
        </w:rPr>
        <w:t>投标文件</w:t>
      </w:r>
      <w:r>
        <w:rPr>
          <w:rFonts w:hint="eastAsia" w:ascii="宋体"/>
          <w:sz w:val="36"/>
          <w:szCs w:val="36"/>
          <w:highlight w:val="none"/>
          <w:lang w:val="en-US" w:eastAsia="zh-CN"/>
        </w:rPr>
        <w:t>三</w:t>
      </w:r>
      <w:r>
        <w:rPr>
          <w:rFonts w:hint="eastAsia" w:ascii="宋体"/>
          <w:sz w:val="36"/>
          <w:szCs w:val="36"/>
          <w:highlight w:val="none"/>
        </w:rPr>
        <w:t>）</w:t>
      </w:r>
    </w:p>
    <w:p w14:paraId="62530522">
      <w:pPr>
        <w:jc w:val="center"/>
        <w:rPr>
          <w:rFonts w:hint="eastAsia" w:ascii="宋体"/>
          <w:sz w:val="36"/>
          <w:szCs w:val="36"/>
          <w:highlight w:val="none"/>
        </w:rPr>
      </w:pPr>
    </w:p>
    <w:p w14:paraId="34D7E0DA">
      <w:pPr>
        <w:jc w:val="center"/>
        <w:rPr>
          <w:rFonts w:hint="eastAsia" w:ascii="宋体"/>
          <w:sz w:val="28"/>
          <w:szCs w:val="28"/>
          <w:highlight w:val="none"/>
        </w:rPr>
      </w:pPr>
      <w:r>
        <w:rPr>
          <w:rFonts w:hint="eastAsia" w:ascii="宋体"/>
          <w:sz w:val="32"/>
          <w:szCs w:val="32"/>
          <w:highlight w:val="none"/>
          <w:u w:val="single"/>
        </w:rPr>
        <w:t xml:space="preserve">        </w:t>
      </w:r>
      <w:r>
        <w:rPr>
          <w:rFonts w:hint="eastAsia" w:ascii="宋体"/>
          <w:sz w:val="32"/>
          <w:szCs w:val="32"/>
          <w:highlight w:val="none"/>
        </w:rPr>
        <w:t>项目</w:t>
      </w:r>
    </w:p>
    <w:p w14:paraId="383C704F">
      <w:pPr>
        <w:rPr>
          <w:rFonts w:hint="eastAsia" w:ascii="宋体"/>
          <w:sz w:val="28"/>
          <w:szCs w:val="28"/>
          <w:highlight w:val="none"/>
        </w:rPr>
      </w:pPr>
    </w:p>
    <w:p w14:paraId="0B2D2503">
      <w:pPr>
        <w:rPr>
          <w:rFonts w:hint="eastAsia" w:ascii="宋体"/>
          <w:sz w:val="28"/>
          <w:szCs w:val="28"/>
          <w:highlight w:val="none"/>
        </w:rPr>
      </w:pPr>
    </w:p>
    <w:p w14:paraId="27AA707C">
      <w:pPr>
        <w:rPr>
          <w:rFonts w:hint="eastAsia" w:ascii="宋体"/>
          <w:sz w:val="28"/>
          <w:szCs w:val="28"/>
          <w:highlight w:val="none"/>
        </w:rPr>
      </w:pPr>
    </w:p>
    <w:p w14:paraId="4158F2FF">
      <w:pPr>
        <w:rPr>
          <w:rFonts w:hint="eastAsia" w:ascii="宋体"/>
          <w:sz w:val="28"/>
          <w:szCs w:val="28"/>
          <w:highlight w:val="none"/>
        </w:rPr>
      </w:pPr>
    </w:p>
    <w:p w14:paraId="3295C25E">
      <w:pPr>
        <w:rPr>
          <w:rFonts w:hint="eastAsia" w:ascii="宋体"/>
          <w:sz w:val="28"/>
          <w:szCs w:val="28"/>
          <w:highlight w:val="none"/>
        </w:rPr>
      </w:pPr>
    </w:p>
    <w:p w14:paraId="4B55E6CC">
      <w:pPr>
        <w:rPr>
          <w:rFonts w:hint="eastAsia" w:ascii="宋体"/>
          <w:sz w:val="28"/>
          <w:szCs w:val="28"/>
          <w:highlight w:val="none"/>
        </w:rPr>
      </w:pPr>
    </w:p>
    <w:p w14:paraId="1BCB7819">
      <w:pPr>
        <w:rPr>
          <w:rFonts w:hint="eastAsia" w:ascii="宋体"/>
          <w:sz w:val="28"/>
          <w:szCs w:val="28"/>
          <w:highlight w:val="none"/>
        </w:rPr>
      </w:pPr>
    </w:p>
    <w:p w14:paraId="3157D66D">
      <w:pPr>
        <w:rPr>
          <w:rFonts w:hint="eastAsia" w:ascii="宋体"/>
          <w:sz w:val="28"/>
          <w:szCs w:val="28"/>
          <w:highlight w:val="none"/>
        </w:rPr>
      </w:pPr>
    </w:p>
    <w:p w14:paraId="35734BD5">
      <w:pPr>
        <w:rPr>
          <w:rFonts w:hint="eastAsia" w:ascii="宋体"/>
          <w:sz w:val="28"/>
          <w:szCs w:val="28"/>
          <w:highlight w:val="none"/>
        </w:rPr>
      </w:pPr>
    </w:p>
    <w:p w14:paraId="2CDDC6CF">
      <w:pPr>
        <w:rPr>
          <w:rFonts w:hint="eastAsia" w:ascii="宋体"/>
          <w:sz w:val="28"/>
          <w:szCs w:val="28"/>
          <w:highlight w:val="none"/>
        </w:rPr>
      </w:pPr>
    </w:p>
    <w:p w14:paraId="0E4CBD95">
      <w:pPr>
        <w:rPr>
          <w:rFonts w:hint="eastAsia" w:ascii="宋体"/>
          <w:sz w:val="28"/>
          <w:szCs w:val="28"/>
          <w:highlight w:val="none"/>
        </w:rPr>
      </w:pPr>
    </w:p>
    <w:p w14:paraId="6D0F22CE">
      <w:pPr>
        <w:jc w:val="center"/>
        <w:rPr>
          <w:rFonts w:hint="eastAsia" w:ascii="宋体"/>
          <w:sz w:val="28"/>
          <w:szCs w:val="28"/>
          <w:highlight w:val="none"/>
          <w:u w:val="single"/>
        </w:rPr>
      </w:pPr>
      <w:r>
        <w:rPr>
          <w:rFonts w:hint="eastAsia" w:ascii="宋体"/>
          <w:sz w:val="28"/>
          <w:szCs w:val="28"/>
          <w:highlight w:val="none"/>
        </w:rPr>
        <w:t>投标人：</w:t>
      </w:r>
      <w:r>
        <w:rPr>
          <w:rFonts w:hint="eastAsia" w:ascii="宋体"/>
          <w:sz w:val="28"/>
          <w:szCs w:val="28"/>
          <w:highlight w:val="none"/>
          <w:u w:val="single"/>
        </w:rPr>
        <w:t xml:space="preserve">                              </w:t>
      </w:r>
      <w:r>
        <w:rPr>
          <w:rFonts w:hint="eastAsia" w:ascii="宋体"/>
          <w:sz w:val="28"/>
          <w:szCs w:val="28"/>
          <w:highlight w:val="none"/>
        </w:rPr>
        <w:t>（签章）</w:t>
      </w:r>
    </w:p>
    <w:p w14:paraId="39CF5DF9">
      <w:pPr>
        <w:ind w:firstLine="700" w:firstLineChars="250"/>
        <w:rPr>
          <w:rFonts w:hint="eastAsia" w:ascii="宋体"/>
          <w:sz w:val="28"/>
          <w:szCs w:val="28"/>
          <w:highlight w:val="none"/>
        </w:rPr>
      </w:pPr>
      <w:r>
        <w:rPr>
          <w:rFonts w:hint="eastAsia" w:ascii="宋体"/>
          <w:sz w:val="28"/>
          <w:szCs w:val="28"/>
          <w:highlight w:val="none"/>
        </w:rPr>
        <w:t>法定代表人：</w:t>
      </w:r>
      <w:r>
        <w:rPr>
          <w:rFonts w:hint="eastAsia" w:ascii="宋体"/>
          <w:sz w:val="28"/>
          <w:szCs w:val="28"/>
          <w:highlight w:val="none"/>
          <w:u w:val="single"/>
        </w:rPr>
        <w:t xml:space="preserve">                             </w:t>
      </w:r>
      <w:r>
        <w:rPr>
          <w:rFonts w:hint="eastAsia" w:ascii="宋体"/>
          <w:sz w:val="28"/>
          <w:szCs w:val="28"/>
          <w:highlight w:val="none"/>
        </w:rPr>
        <w:t>（签章）</w:t>
      </w:r>
    </w:p>
    <w:p w14:paraId="7987A26F">
      <w:pPr>
        <w:jc w:val="center"/>
        <w:rPr>
          <w:rFonts w:hint="eastAsia" w:ascii="宋体"/>
          <w:sz w:val="28"/>
          <w:szCs w:val="28"/>
          <w:highlight w:val="none"/>
        </w:rPr>
      </w:pPr>
      <w:r>
        <w:rPr>
          <w:rFonts w:hint="eastAsia" w:ascii="宋体"/>
          <w:sz w:val="28"/>
          <w:szCs w:val="28"/>
          <w:highlight w:val="none"/>
          <w:u w:val="single"/>
        </w:rPr>
        <w:t xml:space="preserve">        </w:t>
      </w:r>
      <w:r>
        <w:rPr>
          <w:rFonts w:hint="eastAsia" w:ascii="宋体"/>
          <w:sz w:val="28"/>
          <w:szCs w:val="28"/>
          <w:highlight w:val="none"/>
        </w:rPr>
        <w:t>年</w:t>
      </w:r>
      <w:r>
        <w:rPr>
          <w:rFonts w:hint="eastAsia" w:ascii="宋体"/>
          <w:sz w:val="28"/>
          <w:szCs w:val="28"/>
          <w:highlight w:val="none"/>
          <w:u w:val="single"/>
        </w:rPr>
        <w:t xml:space="preserve">     </w:t>
      </w:r>
      <w:r>
        <w:rPr>
          <w:rFonts w:hint="eastAsia" w:ascii="宋体"/>
          <w:sz w:val="28"/>
          <w:szCs w:val="28"/>
          <w:highlight w:val="none"/>
        </w:rPr>
        <w:t>月</w:t>
      </w:r>
      <w:r>
        <w:rPr>
          <w:rFonts w:hint="eastAsia" w:ascii="宋体"/>
          <w:sz w:val="28"/>
          <w:szCs w:val="28"/>
          <w:highlight w:val="none"/>
          <w:u w:val="single"/>
        </w:rPr>
        <w:t xml:space="preserve">     </w:t>
      </w:r>
      <w:r>
        <w:rPr>
          <w:rFonts w:hint="eastAsia" w:ascii="宋体"/>
          <w:sz w:val="28"/>
          <w:szCs w:val="28"/>
          <w:highlight w:val="none"/>
        </w:rPr>
        <w:t>日</w:t>
      </w:r>
    </w:p>
    <w:p w14:paraId="50626ABF">
      <w:pPr>
        <w:spacing w:line="400" w:lineRule="exact"/>
        <w:rPr>
          <w:rFonts w:hint="eastAsia"/>
          <w:b/>
          <w:sz w:val="28"/>
          <w:szCs w:val="28"/>
          <w:highlight w:val="none"/>
        </w:rPr>
      </w:pPr>
      <w:r>
        <w:rPr>
          <w:rFonts w:hint="eastAsia"/>
          <w:b/>
          <w:sz w:val="28"/>
          <w:szCs w:val="28"/>
          <w:highlight w:val="none"/>
        </w:rPr>
        <w:t xml:space="preserve"> </w:t>
      </w:r>
    </w:p>
    <w:p w14:paraId="59E08F62">
      <w:pPr>
        <w:spacing w:line="400" w:lineRule="exact"/>
        <w:jc w:val="center"/>
        <w:rPr>
          <w:b/>
          <w:sz w:val="36"/>
          <w:szCs w:val="36"/>
          <w:highlight w:val="none"/>
        </w:rPr>
      </w:pPr>
      <w:r>
        <w:rPr>
          <w:b/>
          <w:sz w:val="36"/>
          <w:szCs w:val="36"/>
          <w:highlight w:val="none"/>
        </w:rPr>
        <w:br w:type="page"/>
      </w:r>
    </w:p>
    <w:p w14:paraId="553754B2">
      <w:pPr>
        <w:spacing w:line="400" w:lineRule="exact"/>
        <w:jc w:val="center"/>
        <w:rPr>
          <w:rFonts w:hint="eastAsia"/>
          <w:b/>
          <w:sz w:val="36"/>
          <w:szCs w:val="36"/>
          <w:highlight w:val="none"/>
        </w:rPr>
      </w:pPr>
      <w:r>
        <w:rPr>
          <w:rFonts w:hint="eastAsia"/>
          <w:b/>
          <w:sz w:val="36"/>
          <w:szCs w:val="36"/>
          <w:highlight w:val="none"/>
        </w:rPr>
        <w:t>目   录</w:t>
      </w:r>
    </w:p>
    <w:p w14:paraId="4F3FD8FF">
      <w:pPr>
        <w:spacing w:line="400" w:lineRule="exact"/>
        <w:ind w:firstLine="4130" w:firstLineChars="935"/>
        <w:rPr>
          <w:rFonts w:hint="eastAsia"/>
          <w:b/>
          <w:sz w:val="44"/>
          <w:szCs w:val="44"/>
          <w:highlight w:val="none"/>
        </w:rPr>
      </w:pPr>
    </w:p>
    <w:p w14:paraId="1FB1CBB2">
      <w:pPr>
        <w:spacing w:line="440" w:lineRule="exact"/>
        <w:ind w:firstLine="420" w:firstLineChars="200"/>
        <w:rPr>
          <w:rFonts w:hint="eastAsia" w:ascii="宋体"/>
          <w:szCs w:val="21"/>
          <w:highlight w:val="none"/>
        </w:rPr>
      </w:pPr>
      <w:r>
        <w:rPr>
          <w:rFonts w:hint="eastAsia" w:ascii="宋体"/>
          <w:szCs w:val="21"/>
          <w:highlight w:val="none"/>
        </w:rPr>
        <w:t>（1）开标一览表（格式见附件）；</w:t>
      </w:r>
    </w:p>
    <w:p w14:paraId="3321BA8E">
      <w:pPr>
        <w:spacing w:line="440" w:lineRule="exact"/>
        <w:ind w:firstLine="420" w:firstLineChars="200"/>
        <w:rPr>
          <w:rFonts w:hint="eastAsia" w:ascii="宋体"/>
          <w:szCs w:val="21"/>
          <w:highlight w:val="none"/>
        </w:rPr>
      </w:pPr>
      <w:r>
        <w:rPr>
          <w:rFonts w:hint="eastAsia" w:ascii="宋体"/>
          <w:szCs w:val="21"/>
          <w:highlight w:val="none"/>
        </w:rPr>
        <w:t>（2）投标函（格式见附件）；</w:t>
      </w:r>
    </w:p>
    <w:p w14:paraId="75A04039">
      <w:pPr>
        <w:spacing w:line="440" w:lineRule="exact"/>
        <w:ind w:firstLine="420" w:firstLineChars="200"/>
        <w:rPr>
          <w:rFonts w:hint="eastAsia" w:ascii="宋体"/>
          <w:szCs w:val="21"/>
          <w:highlight w:val="none"/>
          <w:lang w:val="en-US" w:eastAsia="zh-CN"/>
        </w:rPr>
      </w:pPr>
      <w:r>
        <w:rPr>
          <w:rFonts w:hint="eastAsia" w:ascii="宋体"/>
          <w:szCs w:val="21"/>
          <w:highlight w:val="none"/>
          <w:lang w:eastAsia="zh-CN"/>
        </w:rPr>
        <w:t>（</w:t>
      </w:r>
      <w:r>
        <w:rPr>
          <w:rFonts w:hint="eastAsia" w:ascii="宋体"/>
          <w:szCs w:val="21"/>
          <w:highlight w:val="none"/>
          <w:lang w:val="en-US" w:eastAsia="zh-CN"/>
        </w:rPr>
        <w:t>3）</w:t>
      </w:r>
      <w:r>
        <w:rPr>
          <w:rFonts w:hint="eastAsia" w:ascii="宋体" w:hAnsi="宋体"/>
          <w:color w:val="000000"/>
          <w:szCs w:val="21"/>
          <w:highlight w:val="none"/>
        </w:rPr>
        <w:t>招标人推荐的</w:t>
      </w:r>
      <w:r>
        <w:rPr>
          <w:rFonts w:hint="eastAsia" w:ascii="宋体" w:hAnsi="宋体" w:eastAsia="宋体" w:cs="Times New Roman"/>
          <w:color w:val="000000"/>
          <w:szCs w:val="21"/>
          <w:highlight w:val="none"/>
        </w:rPr>
        <w:t>材料品牌响应表（如有）</w:t>
      </w:r>
      <w:r>
        <w:rPr>
          <w:rFonts w:hint="eastAsia" w:ascii="宋体" w:hAnsi="宋体" w:eastAsia="宋体" w:cs="Times New Roman"/>
          <w:color w:val="000000"/>
          <w:szCs w:val="21"/>
          <w:highlight w:val="none"/>
          <w:lang w:eastAsia="zh-CN"/>
        </w:rPr>
        <w:t>；</w:t>
      </w:r>
    </w:p>
    <w:p w14:paraId="7F071B80">
      <w:pPr>
        <w:spacing w:line="440" w:lineRule="exact"/>
        <w:ind w:firstLine="420" w:firstLineChars="200"/>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4）</w:t>
      </w:r>
      <w:r>
        <w:rPr>
          <w:rFonts w:hint="eastAsia" w:ascii="宋体"/>
          <w:szCs w:val="21"/>
          <w:highlight w:val="none"/>
        </w:rPr>
        <w:t>招标文件商务评审中要求提供的其他相关资料；</w:t>
      </w:r>
    </w:p>
    <w:p w14:paraId="0FD677FA">
      <w:pPr>
        <w:spacing w:line="440" w:lineRule="exact"/>
        <w:ind w:firstLine="420" w:firstLineChars="200"/>
        <w:rPr>
          <w:rFonts w:hint="eastAsia" w:ascii="宋体"/>
          <w:szCs w:val="21"/>
          <w:highlight w:val="none"/>
        </w:rPr>
      </w:pPr>
      <w:r>
        <w:rPr>
          <w:rFonts w:hint="eastAsia" w:ascii="宋体"/>
          <w:szCs w:val="21"/>
          <w:highlight w:val="none"/>
        </w:rPr>
        <w:t>（</w:t>
      </w:r>
      <w:r>
        <w:rPr>
          <w:rFonts w:hint="eastAsia" w:ascii="宋体"/>
          <w:szCs w:val="21"/>
          <w:highlight w:val="none"/>
          <w:lang w:val="en-US" w:eastAsia="zh-CN"/>
        </w:rPr>
        <w:t>5</w:t>
      </w:r>
      <w:r>
        <w:rPr>
          <w:rFonts w:hint="eastAsia" w:ascii="宋体"/>
          <w:szCs w:val="21"/>
          <w:highlight w:val="none"/>
        </w:rPr>
        <w:t>）投标人认为需要提供的其他材料。</w:t>
      </w:r>
    </w:p>
    <w:p w14:paraId="6BBFDBF9">
      <w:pPr>
        <w:jc w:val="center"/>
        <w:rPr>
          <w:rFonts w:hint="eastAsia" w:ascii="宋体"/>
          <w:b/>
          <w:sz w:val="28"/>
          <w:szCs w:val="28"/>
          <w:highlight w:val="none"/>
        </w:rPr>
      </w:pPr>
    </w:p>
    <w:p w14:paraId="58F9DE26">
      <w:pPr>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14:paraId="28C025CC">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（1）开标一览表</w:t>
      </w:r>
    </w:p>
    <w:p w14:paraId="5151B3D5">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0FFEFC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796D442E">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29110E2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4CC747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0FA3D833">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4EE28A0B">
            <w:pPr>
              <w:pStyle w:val="14"/>
              <w:widowControl/>
              <w:spacing w:line="460" w:lineRule="exact"/>
              <w:ind w:left="86" w:leftChars="41"/>
              <w:rPr>
                <w:rFonts w:hint="eastAsia" w:ascii="宋体" w:hAnsi="Arial" w:eastAsia="宋体" w:cs="宋体"/>
                <w:sz w:val="24"/>
                <w:szCs w:val="24"/>
                <w:highlight w:val="none"/>
                <w:lang w:val="en-US" w:eastAsia="zh-CN"/>
              </w:rPr>
            </w:pPr>
          </w:p>
        </w:tc>
      </w:tr>
      <w:tr w14:paraId="09FCEB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3F3B7CB6">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投标报价\工期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1B821B93">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投标报价（含税)（大写）：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58390941">
            <w:pPr>
              <w:keepNext w:val="0"/>
              <w:keepLines w:val="0"/>
              <w:widowControl/>
              <w:suppressLineNumbers w:val="0"/>
              <w:spacing w:before="0" w:beforeAutospacing="0" w:after="0" w:afterAutospacing="0" w:line="360" w:lineRule="auto"/>
              <w:ind w:left="0" w:right="0" w:firstLine="1920" w:firstLineChars="8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0B593EEB">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14:paraId="4FD08F45">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工期：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14:paraId="35B37C1D">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5B39EB2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06282E5B">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6E01043F">
      <w:pPr>
        <w:spacing w:line="360" w:lineRule="auto"/>
        <w:rPr>
          <w:rFonts w:hint="eastAsia" w:ascii="宋体" w:hAnsi="宋体" w:eastAsia="宋体" w:cs="宋体"/>
          <w:b/>
          <w:bCs w:val="0"/>
          <w:color w:val="000000"/>
          <w:kern w:val="0"/>
          <w:sz w:val="30"/>
          <w:szCs w:val="30"/>
          <w:highlight w:val="none"/>
          <w:lang w:val="en-US" w:eastAsia="zh-CN" w:bidi="ar"/>
        </w:rPr>
        <w:sectPr>
          <w:footerReference r:id="rId4" w:type="default"/>
          <w:pgSz w:w="11906" w:h="16838"/>
          <w:pgMar w:top="1440" w:right="1800" w:bottom="1440" w:left="1800" w:header="851" w:footer="992" w:gutter="0"/>
          <w:pgNumType w:fmt="decimal"/>
          <w:cols w:space="425" w:num="1"/>
          <w:docGrid w:type="lines" w:linePitch="312" w:charSpace="0"/>
        </w:sectPr>
      </w:pPr>
    </w:p>
    <w:p w14:paraId="54424D41">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p>
    <w:p w14:paraId="7B1CD580">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（2）投  标  函</w:t>
      </w:r>
    </w:p>
    <w:p w14:paraId="28FD246F">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759E66C0">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14:paraId="6F6C2D0D">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2.我方愿意按照招标文件规定的各项要求，向招标人提供本项目的货物与服务，投标报价为人民币（大写）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2"/>
          <w:sz w:val="24"/>
          <w:szCs w:val="24"/>
          <w:highlight w:val="none"/>
          <w:u w:color="000000"/>
          <w:lang w:val="en-US" w:eastAsia="zh-CN" w:bidi="ar"/>
        </w:rPr>
        <w:t>工期</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14:paraId="0B76E31F">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14:paraId="55DFB67B">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60 </w:t>
      </w:r>
      <w:r>
        <w:rPr>
          <w:rFonts w:hint="eastAsia" w:ascii="宋体" w:hAnsi="宋体" w:eastAsia="宋体" w:cs="宋体"/>
          <w:color w:val="000000"/>
          <w:kern w:val="0"/>
          <w:sz w:val="24"/>
          <w:szCs w:val="24"/>
          <w:highlight w:val="none"/>
          <w:u w:color="000000"/>
          <w:lang w:val="en-US" w:eastAsia="zh-CN" w:bidi="ar"/>
        </w:rPr>
        <w:t>日历天（从投标截止之日算起）。</w:t>
      </w:r>
    </w:p>
    <w:p w14:paraId="5FD9C970">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14:paraId="1B49AAA5">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58C6553C">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14:paraId="720350C4">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009180F0">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14:paraId="6939C051">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6F5AE68F">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309EB380">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1AC0D13B">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5995D7D1">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color w:val="000000"/>
          <w:kern w:val="0"/>
          <w:sz w:val="24"/>
          <w:szCs w:val="24"/>
          <w:highlight w:val="none"/>
          <w:u w:val="single" w:color="000000"/>
          <w:lang w:val="en-US" w:eastAsia="zh-CN" w:bidi="ar"/>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14:paraId="65758390">
      <w:pPr>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3EE128BA">
      <w:pPr>
        <w:pStyle w:val="3"/>
        <w:adjustRightInd w:val="0"/>
        <w:snapToGrid w:val="0"/>
        <w:spacing w:before="0" w:after="0" w:line="560" w:lineRule="exact"/>
        <w:jc w:val="center"/>
        <w:rPr>
          <w:color w:val="000000"/>
        </w:rPr>
      </w:pPr>
      <w:r>
        <w:rPr>
          <w:rFonts w:hint="eastAsia"/>
          <w:color w:val="000000"/>
        </w:rPr>
        <w:t>（3）</w:t>
      </w:r>
      <w:r>
        <w:rPr>
          <w:color w:val="000000"/>
        </w:rPr>
        <w:t>招标人推荐的材料品牌响应表</w:t>
      </w:r>
    </w:p>
    <w:p w14:paraId="63409B23">
      <w:pPr>
        <w:pStyle w:val="11"/>
        <w:tabs>
          <w:tab w:val="left" w:pos="6462"/>
          <w:tab w:val="left" w:pos="6988"/>
          <w:tab w:val="left" w:pos="7722"/>
        </w:tabs>
        <w:adjustRightInd w:val="0"/>
        <w:snapToGrid w:val="0"/>
        <w:spacing w:after="0" w:line="560" w:lineRule="exact"/>
        <w:jc w:val="center"/>
        <w:rPr>
          <w:b/>
          <w:color w:val="000000"/>
          <w:sz w:val="28"/>
        </w:rPr>
      </w:pPr>
    </w:p>
    <w:p w14:paraId="47B881B4">
      <w:pPr>
        <w:pStyle w:val="11"/>
        <w:tabs>
          <w:tab w:val="left" w:pos="6462"/>
          <w:tab w:val="left" w:pos="6988"/>
          <w:tab w:val="left" w:pos="7722"/>
        </w:tabs>
        <w:adjustRightInd w:val="0"/>
        <w:snapToGrid w:val="0"/>
        <w:spacing w:after="0" w:line="560" w:lineRule="exact"/>
        <w:jc w:val="center"/>
        <w:rPr>
          <w:b/>
          <w:color w:val="000000"/>
          <w:sz w:val="28"/>
        </w:rPr>
      </w:pPr>
      <w:r>
        <w:rPr>
          <w:b/>
          <w:color w:val="000000"/>
          <w:sz w:val="28"/>
        </w:rPr>
        <w:t>品牌推荐表（如要求）</w:t>
      </w:r>
    </w:p>
    <w:p w14:paraId="59633DF5">
      <w:pPr>
        <w:pStyle w:val="11"/>
        <w:adjustRightInd w:val="0"/>
        <w:snapToGrid w:val="0"/>
        <w:spacing w:after="0" w:line="560" w:lineRule="exact"/>
        <w:rPr>
          <w:b/>
          <w:color w:val="000000"/>
          <w:sz w:val="5"/>
        </w:rPr>
      </w:pPr>
    </w:p>
    <w:tbl>
      <w:tblPr>
        <w:tblStyle w:val="23"/>
        <w:tblW w:w="78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6"/>
        <w:gridCol w:w="1685"/>
        <w:gridCol w:w="794"/>
        <w:gridCol w:w="794"/>
        <w:gridCol w:w="794"/>
        <w:gridCol w:w="791"/>
        <w:gridCol w:w="635"/>
        <w:gridCol w:w="1687"/>
      </w:tblGrid>
      <w:tr w14:paraId="31D5C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636" w:type="dxa"/>
            <w:noWrap w:val="0"/>
            <w:vAlign w:val="top"/>
          </w:tcPr>
          <w:p w14:paraId="0434F20A">
            <w:pPr>
              <w:pStyle w:val="51"/>
              <w:keepNext w:val="0"/>
              <w:keepLines w:val="0"/>
              <w:suppressLineNumbers w:val="0"/>
              <w:adjustRightInd w:val="0"/>
              <w:snapToGrid w:val="0"/>
              <w:spacing w:before="0" w:beforeAutospacing="0" w:after="0" w:afterAutospacing="0" w:line="560" w:lineRule="exact"/>
              <w:ind w:left="0" w:right="0"/>
              <w:jc w:val="center"/>
              <w:rPr>
                <w:rFonts w:hint="eastAsia" w:ascii="黑体" w:eastAsia="黑体"/>
                <w:color w:val="000000"/>
              </w:rPr>
            </w:pPr>
            <w:r>
              <w:rPr>
                <w:rFonts w:hint="eastAsia" w:ascii="黑体" w:eastAsia="黑体"/>
                <w:color w:val="000000"/>
              </w:rPr>
              <w:t>序号</w:t>
            </w:r>
          </w:p>
        </w:tc>
        <w:tc>
          <w:tcPr>
            <w:tcW w:w="1685" w:type="dxa"/>
            <w:noWrap w:val="0"/>
            <w:vAlign w:val="top"/>
          </w:tcPr>
          <w:p w14:paraId="476F905E">
            <w:pPr>
              <w:pStyle w:val="51"/>
              <w:keepNext w:val="0"/>
              <w:keepLines w:val="0"/>
              <w:suppressLineNumbers w:val="0"/>
              <w:adjustRightInd w:val="0"/>
              <w:snapToGrid w:val="0"/>
              <w:spacing w:before="0" w:beforeAutospacing="0" w:after="0" w:afterAutospacing="0" w:line="560" w:lineRule="exact"/>
              <w:ind w:left="0" w:right="0"/>
              <w:rPr>
                <w:rFonts w:hint="eastAsia" w:ascii="黑体" w:eastAsia="黑体"/>
                <w:color w:val="000000"/>
              </w:rPr>
            </w:pPr>
            <w:r>
              <w:rPr>
                <w:rFonts w:hint="eastAsia" w:ascii="黑体" w:eastAsia="黑体"/>
                <w:color w:val="000000"/>
              </w:rPr>
              <w:t>材料、设备名称</w:t>
            </w:r>
          </w:p>
        </w:tc>
        <w:tc>
          <w:tcPr>
            <w:tcW w:w="794" w:type="dxa"/>
            <w:noWrap w:val="0"/>
            <w:vAlign w:val="top"/>
          </w:tcPr>
          <w:p w14:paraId="0F48EA78">
            <w:pPr>
              <w:pStyle w:val="51"/>
              <w:keepNext w:val="0"/>
              <w:keepLines w:val="0"/>
              <w:suppressLineNumbers w:val="0"/>
              <w:adjustRightInd w:val="0"/>
              <w:snapToGrid w:val="0"/>
              <w:spacing w:before="0" w:beforeAutospacing="0" w:after="0" w:afterAutospacing="0" w:line="560" w:lineRule="exact"/>
              <w:ind w:left="0" w:right="0"/>
              <w:rPr>
                <w:rFonts w:hint="eastAsia" w:ascii="黑体" w:eastAsia="黑体"/>
                <w:color w:val="000000"/>
              </w:rPr>
            </w:pPr>
            <w:r>
              <w:rPr>
                <w:rFonts w:hint="eastAsia" w:ascii="黑体" w:eastAsia="黑体"/>
                <w:color w:val="000000"/>
              </w:rPr>
              <w:t>品牌 1</w:t>
            </w:r>
          </w:p>
        </w:tc>
        <w:tc>
          <w:tcPr>
            <w:tcW w:w="794" w:type="dxa"/>
            <w:noWrap w:val="0"/>
            <w:vAlign w:val="top"/>
          </w:tcPr>
          <w:p w14:paraId="2A4572F2">
            <w:pPr>
              <w:pStyle w:val="51"/>
              <w:keepNext w:val="0"/>
              <w:keepLines w:val="0"/>
              <w:suppressLineNumbers w:val="0"/>
              <w:adjustRightInd w:val="0"/>
              <w:snapToGrid w:val="0"/>
              <w:spacing w:before="0" w:beforeAutospacing="0" w:after="0" w:afterAutospacing="0" w:line="560" w:lineRule="exact"/>
              <w:ind w:left="0" w:right="0"/>
              <w:rPr>
                <w:rFonts w:hint="eastAsia" w:ascii="黑体" w:eastAsia="黑体"/>
                <w:color w:val="000000"/>
              </w:rPr>
            </w:pPr>
            <w:r>
              <w:rPr>
                <w:rFonts w:hint="eastAsia" w:ascii="黑体" w:eastAsia="黑体"/>
                <w:color w:val="000000"/>
              </w:rPr>
              <w:t>品牌 2</w:t>
            </w:r>
          </w:p>
        </w:tc>
        <w:tc>
          <w:tcPr>
            <w:tcW w:w="794" w:type="dxa"/>
            <w:noWrap w:val="0"/>
            <w:vAlign w:val="top"/>
          </w:tcPr>
          <w:p w14:paraId="36B63DDA">
            <w:pPr>
              <w:pStyle w:val="51"/>
              <w:keepNext w:val="0"/>
              <w:keepLines w:val="0"/>
              <w:suppressLineNumbers w:val="0"/>
              <w:adjustRightInd w:val="0"/>
              <w:snapToGrid w:val="0"/>
              <w:spacing w:before="0" w:beforeAutospacing="0" w:after="0" w:afterAutospacing="0" w:line="560" w:lineRule="exact"/>
              <w:ind w:left="0" w:right="0"/>
              <w:rPr>
                <w:rFonts w:hint="eastAsia" w:ascii="黑体" w:eastAsia="黑体"/>
                <w:color w:val="000000"/>
              </w:rPr>
            </w:pPr>
            <w:r>
              <w:rPr>
                <w:rFonts w:hint="eastAsia" w:ascii="黑体" w:eastAsia="黑体"/>
                <w:color w:val="000000"/>
              </w:rPr>
              <w:t>品牌 3</w:t>
            </w:r>
          </w:p>
        </w:tc>
        <w:tc>
          <w:tcPr>
            <w:tcW w:w="791" w:type="dxa"/>
            <w:noWrap w:val="0"/>
            <w:vAlign w:val="top"/>
          </w:tcPr>
          <w:p w14:paraId="10668A76">
            <w:pPr>
              <w:pStyle w:val="51"/>
              <w:keepNext w:val="0"/>
              <w:keepLines w:val="0"/>
              <w:suppressLineNumbers w:val="0"/>
              <w:adjustRightInd w:val="0"/>
              <w:snapToGrid w:val="0"/>
              <w:spacing w:before="0" w:beforeAutospacing="0" w:after="0" w:afterAutospacing="0" w:line="560" w:lineRule="exact"/>
              <w:ind w:left="0" w:right="0"/>
              <w:rPr>
                <w:rFonts w:hint="eastAsia" w:ascii="黑体" w:eastAsia="黑体"/>
                <w:color w:val="000000"/>
              </w:rPr>
            </w:pPr>
            <w:r>
              <w:rPr>
                <w:rFonts w:hint="eastAsia" w:ascii="黑体" w:eastAsia="黑体"/>
                <w:color w:val="000000"/>
              </w:rPr>
              <w:t>品牌 4</w:t>
            </w:r>
          </w:p>
        </w:tc>
        <w:tc>
          <w:tcPr>
            <w:tcW w:w="635" w:type="dxa"/>
            <w:noWrap w:val="0"/>
            <w:vAlign w:val="top"/>
          </w:tcPr>
          <w:p w14:paraId="6570F3F6">
            <w:pPr>
              <w:pStyle w:val="51"/>
              <w:keepNext w:val="0"/>
              <w:keepLines w:val="0"/>
              <w:suppressLineNumbers w:val="0"/>
              <w:adjustRightInd w:val="0"/>
              <w:snapToGrid w:val="0"/>
              <w:spacing w:before="0" w:beforeAutospacing="0" w:after="0" w:afterAutospacing="0" w:line="560" w:lineRule="exact"/>
              <w:ind w:left="0" w:right="0"/>
              <w:rPr>
                <w:rFonts w:hint="eastAsia" w:ascii="黑体" w:eastAsia="黑体"/>
                <w:color w:val="000000"/>
              </w:rPr>
            </w:pPr>
            <w:r>
              <w:rPr>
                <w:rFonts w:hint="eastAsia" w:ascii="黑体" w:eastAsia="黑体"/>
                <w:color w:val="000000"/>
              </w:rPr>
              <w:t>备注</w:t>
            </w:r>
          </w:p>
        </w:tc>
        <w:tc>
          <w:tcPr>
            <w:tcW w:w="1687" w:type="dxa"/>
            <w:noWrap w:val="0"/>
            <w:vAlign w:val="top"/>
          </w:tcPr>
          <w:p w14:paraId="7F59B0FB">
            <w:pPr>
              <w:pStyle w:val="51"/>
              <w:keepNext w:val="0"/>
              <w:keepLines w:val="0"/>
              <w:suppressLineNumbers w:val="0"/>
              <w:adjustRightInd w:val="0"/>
              <w:snapToGrid w:val="0"/>
              <w:spacing w:before="0" w:beforeAutospacing="0" w:after="0" w:afterAutospacing="0" w:line="560" w:lineRule="exact"/>
              <w:ind w:left="0" w:right="0"/>
              <w:rPr>
                <w:rFonts w:hint="eastAsia" w:ascii="黑体" w:eastAsia="黑体"/>
                <w:color w:val="000000"/>
              </w:rPr>
            </w:pPr>
            <w:r>
              <w:rPr>
                <w:rFonts w:hint="eastAsia" w:ascii="黑体" w:eastAsia="黑体"/>
                <w:color w:val="000000"/>
              </w:rPr>
              <w:t>投标人选定品牌</w:t>
            </w:r>
          </w:p>
        </w:tc>
      </w:tr>
      <w:tr w14:paraId="7521A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center"/>
          </w:tcPr>
          <w:p w14:paraId="24A9ADE0">
            <w:pPr>
              <w:pStyle w:val="51"/>
              <w:keepNext w:val="0"/>
              <w:keepLines w:val="0"/>
              <w:suppressLineNumbers w:val="0"/>
              <w:adjustRightInd w:val="0"/>
              <w:snapToGrid w:val="0"/>
              <w:spacing w:before="0" w:beforeAutospacing="0" w:after="0" w:afterAutospacing="0" w:line="560" w:lineRule="exact"/>
              <w:ind w:left="0" w:right="0"/>
              <w:jc w:val="center"/>
              <w:rPr>
                <w:rFonts w:hint="default"/>
                <w:color w:val="000000"/>
              </w:rPr>
            </w:pPr>
            <w:r>
              <w:rPr>
                <w:rFonts w:hint="default"/>
                <w:color w:val="000000"/>
              </w:rPr>
              <w:t>1</w:t>
            </w:r>
          </w:p>
        </w:tc>
        <w:tc>
          <w:tcPr>
            <w:tcW w:w="1685" w:type="dxa"/>
            <w:noWrap w:val="0"/>
            <w:vAlign w:val="top"/>
          </w:tcPr>
          <w:p w14:paraId="3FDE5E37">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57154287">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5D8516C3">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02E2F62E">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noWrap w:val="0"/>
            <w:vAlign w:val="top"/>
          </w:tcPr>
          <w:p w14:paraId="4635DCAF">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noWrap w:val="0"/>
            <w:vAlign w:val="top"/>
          </w:tcPr>
          <w:p w14:paraId="1C89AA6B">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noWrap w:val="0"/>
            <w:vAlign w:val="top"/>
          </w:tcPr>
          <w:p w14:paraId="5273AF8E">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35407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center"/>
          </w:tcPr>
          <w:p w14:paraId="7189931C">
            <w:pPr>
              <w:pStyle w:val="51"/>
              <w:keepNext w:val="0"/>
              <w:keepLines w:val="0"/>
              <w:suppressLineNumbers w:val="0"/>
              <w:adjustRightInd w:val="0"/>
              <w:snapToGrid w:val="0"/>
              <w:spacing w:before="0" w:beforeAutospacing="0" w:after="0" w:afterAutospacing="0" w:line="560" w:lineRule="exact"/>
              <w:ind w:left="0" w:right="0"/>
              <w:jc w:val="center"/>
              <w:rPr>
                <w:rFonts w:hint="default"/>
                <w:color w:val="000000"/>
              </w:rPr>
            </w:pPr>
            <w:r>
              <w:rPr>
                <w:rFonts w:hint="default"/>
                <w:color w:val="000000"/>
              </w:rPr>
              <w:t>2</w:t>
            </w:r>
          </w:p>
        </w:tc>
        <w:tc>
          <w:tcPr>
            <w:tcW w:w="1685" w:type="dxa"/>
            <w:noWrap w:val="0"/>
            <w:vAlign w:val="top"/>
          </w:tcPr>
          <w:p w14:paraId="691FD840">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08DFD3E6">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25DF8225">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24948F79">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noWrap w:val="0"/>
            <w:vAlign w:val="top"/>
          </w:tcPr>
          <w:p w14:paraId="6DD71272">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noWrap w:val="0"/>
            <w:vAlign w:val="top"/>
          </w:tcPr>
          <w:p w14:paraId="29F9330B">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noWrap w:val="0"/>
            <w:vAlign w:val="top"/>
          </w:tcPr>
          <w:p w14:paraId="6A42F157">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23130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636" w:type="dxa"/>
            <w:tcBorders>
              <w:bottom w:val="single" w:color="000000" w:sz="6" w:space="0"/>
            </w:tcBorders>
            <w:noWrap w:val="0"/>
            <w:vAlign w:val="center"/>
          </w:tcPr>
          <w:p w14:paraId="612CC4EF">
            <w:pPr>
              <w:pStyle w:val="51"/>
              <w:keepNext w:val="0"/>
              <w:keepLines w:val="0"/>
              <w:suppressLineNumbers w:val="0"/>
              <w:adjustRightInd w:val="0"/>
              <w:snapToGrid w:val="0"/>
              <w:spacing w:before="0" w:beforeAutospacing="0" w:after="0" w:afterAutospacing="0" w:line="560" w:lineRule="exact"/>
              <w:ind w:left="0" w:right="0"/>
              <w:jc w:val="center"/>
              <w:rPr>
                <w:rFonts w:hint="default"/>
                <w:color w:val="000000"/>
              </w:rPr>
            </w:pPr>
            <w:r>
              <w:rPr>
                <w:rFonts w:hint="default"/>
                <w:color w:val="000000"/>
              </w:rPr>
              <w:t>3</w:t>
            </w:r>
          </w:p>
        </w:tc>
        <w:tc>
          <w:tcPr>
            <w:tcW w:w="1685" w:type="dxa"/>
            <w:tcBorders>
              <w:bottom w:val="single" w:color="000000" w:sz="6" w:space="0"/>
            </w:tcBorders>
            <w:noWrap w:val="0"/>
            <w:vAlign w:val="top"/>
          </w:tcPr>
          <w:p w14:paraId="147FB5EA">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tcBorders>
              <w:bottom w:val="single" w:color="000000" w:sz="6" w:space="0"/>
            </w:tcBorders>
            <w:noWrap w:val="0"/>
            <w:vAlign w:val="top"/>
          </w:tcPr>
          <w:p w14:paraId="7DE3585B">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tcBorders>
              <w:bottom w:val="single" w:color="000000" w:sz="6" w:space="0"/>
            </w:tcBorders>
            <w:noWrap w:val="0"/>
            <w:vAlign w:val="top"/>
          </w:tcPr>
          <w:p w14:paraId="030704BA">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tcBorders>
              <w:bottom w:val="single" w:color="000000" w:sz="6" w:space="0"/>
            </w:tcBorders>
            <w:noWrap w:val="0"/>
            <w:vAlign w:val="top"/>
          </w:tcPr>
          <w:p w14:paraId="20DF2CB7">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tcBorders>
              <w:bottom w:val="single" w:color="000000" w:sz="6" w:space="0"/>
            </w:tcBorders>
            <w:noWrap w:val="0"/>
            <w:vAlign w:val="top"/>
          </w:tcPr>
          <w:p w14:paraId="3608EB81">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tcBorders>
              <w:bottom w:val="single" w:color="000000" w:sz="6" w:space="0"/>
            </w:tcBorders>
            <w:noWrap w:val="0"/>
            <w:vAlign w:val="top"/>
          </w:tcPr>
          <w:p w14:paraId="7262FE22">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tcBorders>
              <w:bottom w:val="single" w:color="000000" w:sz="6" w:space="0"/>
            </w:tcBorders>
            <w:noWrap w:val="0"/>
            <w:vAlign w:val="top"/>
          </w:tcPr>
          <w:p w14:paraId="74ABDC5E">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33E94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636" w:type="dxa"/>
            <w:tcBorders>
              <w:top w:val="single" w:color="000000" w:sz="6" w:space="0"/>
            </w:tcBorders>
            <w:noWrap w:val="0"/>
            <w:vAlign w:val="center"/>
          </w:tcPr>
          <w:p w14:paraId="2F5AB4A9">
            <w:pPr>
              <w:pStyle w:val="51"/>
              <w:keepNext w:val="0"/>
              <w:keepLines w:val="0"/>
              <w:suppressLineNumbers w:val="0"/>
              <w:adjustRightInd w:val="0"/>
              <w:snapToGrid w:val="0"/>
              <w:spacing w:before="0" w:beforeAutospacing="0" w:after="0" w:afterAutospacing="0" w:line="560" w:lineRule="exact"/>
              <w:ind w:left="0" w:right="0"/>
              <w:jc w:val="center"/>
              <w:rPr>
                <w:rFonts w:hint="default"/>
                <w:color w:val="000000"/>
              </w:rPr>
            </w:pPr>
            <w:r>
              <w:rPr>
                <w:rFonts w:hint="default"/>
                <w:color w:val="000000"/>
              </w:rPr>
              <w:t>4</w:t>
            </w:r>
          </w:p>
        </w:tc>
        <w:tc>
          <w:tcPr>
            <w:tcW w:w="1685" w:type="dxa"/>
            <w:tcBorders>
              <w:top w:val="single" w:color="000000" w:sz="6" w:space="0"/>
            </w:tcBorders>
            <w:noWrap w:val="0"/>
            <w:vAlign w:val="top"/>
          </w:tcPr>
          <w:p w14:paraId="3CB1BEF9">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tcBorders>
              <w:top w:val="single" w:color="000000" w:sz="6" w:space="0"/>
            </w:tcBorders>
            <w:noWrap w:val="0"/>
            <w:vAlign w:val="top"/>
          </w:tcPr>
          <w:p w14:paraId="27D92F07">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tcBorders>
              <w:top w:val="single" w:color="000000" w:sz="6" w:space="0"/>
            </w:tcBorders>
            <w:noWrap w:val="0"/>
            <w:vAlign w:val="top"/>
          </w:tcPr>
          <w:p w14:paraId="01F35FE5">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tcBorders>
              <w:top w:val="single" w:color="000000" w:sz="6" w:space="0"/>
            </w:tcBorders>
            <w:noWrap w:val="0"/>
            <w:vAlign w:val="top"/>
          </w:tcPr>
          <w:p w14:paraId="25ECD79E">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tcBorders>
              <w:top w:val="single" w:color="000000" w:sz="6" w:space="0"/>
            </w:tcBorders>
            <w:noWrap w:val="0"/>
            <w:vAlign w:val="top"/>
          </w:tcPr>
          <w:p w14:paraId="17FDCD7A">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tcBorders>
              <w:top w:val="single" w:color="000000" w:sz="6" w:space="0"/>
            </w:tcBorders>
            <w:noWrap w:val="0"/>
            <w:vAlign w:val="top"/>
          </w:tcPr>
          <w:p w14:paraId="1D95084C">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tcBorders>
              <w:top w:val="single" w:color="000000" w:sz="6" w:space="0"/>
            </w:tcBorders>
            <w:noWrap w:val="0"/>
            <w:vAlign w:val="top"/>
          </w:tcPr>
          <w:p w14:paraId="55454C98">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19007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center"/>
          </w:tcPr>
          <w:p w14:paraId="67B3C951">
            <w:pPr>
              <w:pStyle w:val="51"/>
              <w:keepNext w:val="0"/>
              <w:keepLines w:val="0"/>
              <w:suppressLineNumbers w:val="0"/>
              <w:adjustRightInd w:val="0"/>
              <w:snapToGrid w:val="0"/>
              <w:spacing w:before="0" w:beforeAutospacing="0" w:after="0" w:afterAutospacing="0" w:line="560" w:lineRule="exact"/>
              <w:ind w:left="0" w:right="0"/>
              <w:jc w:val="center"/>
              <w:rPr>
                <w:rFonts w:hint="default"/>
                <w:color w:val="000000"/>
              </w:rPr>
            </w:pPr>
            <w:r>
              <w:rPr>
                <w:rFonts w:hint="default"/>
                <w:color w:val="000000"/>
              </w:rPr>
              <w:t>5</w:t>
            </w:r>
          </w:p>
        </w:tc>
        <w:tc>
          <w:tcPr>
            <w:tcW w:w="1685" w:type="dxa"/>
            <w:noWrap w:val="0"/>
            <w:vAlign w:val="top"/>
          </w:tcPr>
          <w:p w14:paraId="0D0480EF">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25021313">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7259DFF5">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35770193">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noWrap w:val="0"/>
            <w:vAlign w:val="top"/>
          </w:tcPr>
          <w:p w14:paraId="6886737B">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noWrap w:val="0"/>
            <w:vAlign w:val="top"/>
          </w:tcPr>
          <w:p w14:paraId="7B91F6D5">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noWrap w:val="0"/>
            <w:vAlign w:val="top"/>
          </w:tcPr>
          <w:p w14:paraId="7CFBA3C3">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3362B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center"/>
          </w:tcPr>
          <w:p w14:paraId="343B180B">
            <w:pPr>
              <w:pStyle w:val="51"/>
              <w:keepNext w:val="0"/>
              <w:keepLines w:val="0"/>
              <w:suppressLineNumbers w:val="0"/>
              <w:adjustRightInd w:val="0"/>
              <w:snapToGrid w:val="0"/>
              <w:spacing w:before="0" w:beforeAutospacing="0" w:after="0" w:afterAutospacing="0" w:line="560" w:lineRule="exact"/>
              <w:ind w:left="0" w:right="0"/>
              <w:jc w:val="center"/>
              <w:rPr>
                <w:rFonts w:hint="default"/>
                <w:color w:val="000000"/>
              </w:rPr>
            </w:pPr>
            <w:r>
              <w:rPr>
                <w:rFonts w:hint="default"/>
                <w:color w:val="000000"/>
              </w:rPr>
              <w:t>6</w:t>
            </w:r>
          </w:p>
        </w:tc>
        <w:tc>
          <w:tcPr>
            <w:tcW w:w="1685" w:type="dxa"/>
            <w:noWrap w:val="0"/>
            <w:vAlign w:val="top"/>
          </w:tcPr>
          <w:p w14:paraId="762DA600">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6C05B100">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707D55A6">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2F27E50C">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noWrap w:val="0"/>
            <w:vAlign w:val="top"/>
          </w:tcPr>
          <w:p w14:paraId="2EAC8C69">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noWrap w:val="0"/>
            <w:vAlign w:val="top"/>
          </w:tcPr>
          <w:p w14:paraId="71241EAE">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noWrap w:val="0"/>
            <w:vAlign w:val="top"/>
          </w:tcPr>
          <w:p w14:paraId="1D129632">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7BA38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7EAE9A63">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5" w:type="dxa"/>
            <w:noWrap w:val="0"/>
            <w:vAlign w:val="top"/>
          </w:tcPr>
          <w:p w14:paraId="102AA5D8">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3EC76E81">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7E236F2E">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3942F2B5">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noWrap w:val="0"/>
            <w:vAlign w:val="top"/>
          </w:tcPr>
          <w:p w14:paraId="5D5BEB63">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noWrap w:val="0"/>
            <w:vAlign w:val="top"/>
          </w:tcPr>
          <w:p w14:paraId="07E989A7">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noWrap w:val="0"/>
            <w:vAlign w:val="top"/>
          </w:tcPr>
          <w:p w14:paraId="3DC9730C">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72EFA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55C7B96C">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5" w:type="dxa"/>
            <w:noWrap w:val="0"/>
            <w:vAlign w:val="top"/>
          </w:tcPr>
          <w:p w14:paraId="5B35C17A">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5E2E6E2F">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45E55E3E">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2EB8F045">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noWrap w:val="0"/>
            <w:vAlign w:val="top"/>
          </w:tcPr>
          <w:p w14:paraId="7C7B1710">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noWrap w:val="0"/>
            <w:vAlign w:val="top"/>
          </w:tcPr>
          <w:p w14:paraId="7AC55CC9">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noWrap w:val="0"/>
            <w:vAlign w:val="top"/>
          </w:tcPr>
          <w:p w14:paraId="3A132811">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476D2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057A51FF">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5" w:type="dxa"/>
            <w:noWrap w:val="0"/>
            <w:vAlign w:val="top"/>
          </w:tcPr>
          <w:p w14:paraId="0F18A267">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0E44A699">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4BCBAFC0">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7794F3B6">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noWrap w:val="0"/>
            <w:vAlign w:val="top"/>
          </w:tcPr>
          <w:p w14:paraId="4705F60F">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noWrap w:val="0"/>
            <w:vAlign w:val="top"/>
          </w:tcPr>
          <w:p w14:paraId="7E4C8BF3">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noWrap w:val="0"/>
            <w:vAlign w:val="top"/>
          </w:tcPr>
          <w:p w14:paraId="4812EE81">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17AEF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636" w:type="dxa"/>
            <w:noWrap w:val="0"/>
            <w:vAlign w:val="top"/>
          </w:tcPr>
          <w:p w14:paraId="7C0C3251">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5" w:type="dxa"/>
            <w:noWrap w:val="0"/>
            <w:vAlign w:val="top"/>
          </w:tcPr>
          <w:p w14:paraId="39598E25">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66F78117">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2473AE57">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3B4B8CC0">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noWrap w:val="0"/>
            <w:vAlign w:val="top"/>
          </w:tcPr>
          <w:p w14:paraId="284ABBBE">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noWrap w:val="0"/>
            <w:vAlign w:val="top"/>
          </w:tcPr>
          <w:p w14:paraId="6D3422A7">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noWrap w:val="0"/>
            <w:vAlign w:val="top"/>
          </w:tcPr>
          <w:p w14:paraId="36310257">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2460D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636" w:type="dxa"/>
            <w:noWrap w:val="0"/>
            <w:vAlign w:val="top"/>
          </w:tcPr>
          <w:p w14:paraId="17A33731">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5" w:type="dxa"/>
            <w:noWrap w:val="0"/>
            <w:vAlign w:val="top"/>
          </w:tcPr>
          <w:p w14:paraId="032FF073">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00B44B52">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1DD4E38E">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612B8781">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noWrap w:val="0"/>
            <w:vAlign w:val="top"/>
          </w:tcPr>
          <w:p w14:paraId="36C1F43D">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noWrap w:val="0"/>
            <w:vAlign w:val="top"/>
          </w:tcPr>
          <w:p w14:paraId="7AD9FC18">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noWrap w:val="0"/>
            <w:vAlign w:val="top"/>
          </w:tcPr>
          <w:p w14:paraId="1CACB035">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2333F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2B768861">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5" w:type="dxa"/>
            <w:noWrap w:val="0"/>
            <w:vAlign w:val="top"/>
          </w:tcPr>
          <w:p w14:paraId="028B58F6">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22ADCDC9">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6BE18952">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5EF2F1A9">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noWrap w:val="0"/>
            <w:vAlign w:val="top"/>
          </w:tcPr>
          <w:p w14:paraId="6DAF06DC">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noWrap w:val="0"/>
            <w:vAlign w:val="top"/>
          </w:tcPr>
          <w:p w14:paraId="6BDD6060">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noWrap w:val="0"/>
            <w:vAlign w:val="top"/>
          </w:tcPr>
          <w:p w14:paraId="0F96E50B">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60FC0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0686B28D">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5" w:type="dxa"/>
            <w:noWrap w:val="0"/>
            <w:vAlign w:val="top"/>
          </w:tcPr>
          <w:p w14:paraId="6C9F9BBC">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1F38D7FD">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2F8E36A1">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099271C2">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noWrap w:val="0"/>
            <w:vAlign w:val="top"/>
          </w:tcPr>
          <w:p w14:paraId="5D452DCF">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noWrap w:val="0"/>
            <w:vAlign w:val="top"/>
          </w:tcPr>
          <w:p w14:paraId="303EDDCE">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noWrap w:val="0"/>
            <w:vAlign w:val="top"/>
          </w:tcPr>
          <w:p w14:paraId="0374B2D5">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r w14:paraId="23545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111EFA1E">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5" w:type="dxa"/>
            <w:noWrap w:val="0"/>
            <w:vAlign w:val="top"/>
          </w:tcPr>
          <w:p w14:paraId="283BBD27">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6F3804A4">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3DD3B479">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4" w:type="dxa"/>
            <w:noWrap w:val="0"/>
            <w:vAlign w:val="top"/>
          </w:tcPr>
          <w:p w14:paraId="4E6BF848">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791" w:type="dxa"/>
            <w:noWrap w:val="0"/>
            <w:vAlign w:val="top"/>
          </w:tcPr>
          <w:p w14:paraId="01E06AEC">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635" w:type="dxa"/>
            <w:noWrap w:val="0"/>
            <w:vAlign w:val="top"/>
          </w:tcPr>
          <w:p w14:paraId="61D1EA7D">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c>
          <w:tcPr>
            <w:tcW w:w="1687" w:type="dxa"/>
            <w:noWrap w:val="0"/>
            <w:vAlign w:val="top"/>
          </w:tcPr>
          <w:p w14:paraId="193BB186">
            <w:pPr>
              <w:pStyle w:val="51"/>
              <w:keepNext w:val="0"/>
              <w:keepLines w:val="0"/>
              <w:suppressLineNumbers w:val="0"/>
              <w:adjustRightInd w:val="0"/>
              <w:snapToGrid w:val="0"/>
              <w:spacing w:before="0" w:beforeAutospacing="0" w:after="0" w:afterAutospacing="0" w:line="560" w:lineRule="exact"/>
              <w:ind w:left="0" w:right="0"/>
              <w:rPr>
                <w:rFonts w:hint="default" w:ascii="Times New Roman"/>
                <w:color w:val="000000"/>
                <w:sz w:val="20"/>
              </w:rPr>
            </w:pPr>
          </w:p>
        </w:tc>
      </w:tr>
    </w:tbl>
    <w:p w14:paraId="72591D67">
      <w:pPr>
        <w:rPr>
          <w:rFonts w:hint="eastAsia"/>
        </w:rPr>
      </w:pPr>
      <w:r>
        <w:rPr>
          <w:rFonts w:hint="eastAsia"/>
        </w:rPr>
        <w:t>注：1、本表仅针对不采用招标人推荐品牌，采用其他品牌的投标人填写，并注明并提供相关技术参数、业绩等供评标委员会评审，未在上表中注明且未提供相关技术参数、业绩，或经评标委员会评审未通过的，中标后只能从招标人推荐品牌中进行选择，价格不予调整。</w:t>
      </w:r>
    </w:p>
    <w:p w14:paraId="75E35018">
      <w:pPr>
        <w:rPr>
          <w:rFonts w:hint="eastAsia"/>
          <w:lang w:val="en-US"/>
        </w:rPr>
      </w:pPr>
      <w:r>
        <w:rPr>
          <w:rFonts w:hint="eastAsia"/>
        </w:rPr>
        <w:t>2、对于招标人推荐品牌的材料、设备等，投标人如认为招标人推荐的品牌有限定性、唯一性、明显不在同一档次等级的或者其他疑问的，应在本项目异议提出的截止时间前通过电子交易系统向招标人提出。</w:t>
      </w:r>
      <w:r>
        <w:rPr>
          <w:rFonts w:hint="eastAsia"/>
          <w:lang w:val="en-US" w:eastAsia="zh-CN"/>
        </w:rPr>
        <w:t xml:space="preserve"> </w:t>
      </w:r>
    </w:p>
    <w:p w14:paraId="4F891CCD">
      <w:pPr>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14:paraId="13E76AE2">
      <w:pPr>
        <w:pStyle w:val="21"/>
        <w:widowControl/>
        <w:spacing w:before="0" w:beforeAutospacing="0" w:after="0" w:afterAutospacing="0" w:line="375" w:lineRule="atLeast"/>
        <w:ind w:left="0" w:right="0"/>
        <w:jc w:val="center"/>
        <w:outlineLvl w:val="0"/>
        <w:rPr>
          <w:b/>
          <w:bCs w:val="0"/>
          <w:sz w:val="32"/>
          <w:szCs w:val="32"/>
          <w:highlight w:val="none"/>
          <w:lang w:val="en-US"/>
        </w:rPr>
      </w:pPr>
      <w:bookmarkStart w:id="364" w:name="_Toc6275_WPSOffice_Level1"/>
      <w:bookmarkEnd w:id="364"/>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3"/>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1A3BD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71D4B232">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12D21BBF">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滁州至南京城际铁路（滁州段）一期、二期全线监控CCTV补盲加装项目</w:t>
            </w:r>
            <w:r>
              <w:rPr>
                <w:rFonts w:hint="eastAsia" w:ascii="宋体" w:hAnsi="宋体" w:eastAsia="宋体" w:cs="宋体"/>
                <w:color w:val="000000"/>
                <w:kern w:val="2"/>
                <w:sz w:val="28"/>
                <w:szCs w:val="28"/>
                <w:highlight w:val="none"/>
                <w:u w:color="000000"/>
                <w:lang w:val="en-US" w:eastAsia="zh-CN" w:bidi="ar"/>
              </w:rPr>
              <w:t>招标文件进行确认。</w:t>
            </w:r>
          </w:p>
          <w:p w14:paraId="06DCC0E1">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14:paraId="422F30B2">
            <w:pPr>
              <w:keepNext w:val="0"/>
              <w:keepLines w:val="0"/>
              <w:widowControl/>
              <w:suppressLineNumbers w:val="0"/>
              <w:spacing w:before="0" w:beforeAutospacing="0" w:after="0" w:afterAutospacing="0" w:line="720" w:lineRule="exact"/>
              <w:ind w:left="0" w:right="0" w:firstLine="560" w:firstLineChars="200"/>
              <w:jc w:val="both"/>
              <w:rPr>
                <w:rFonts w:hint="default"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联系人：杨雅辰</w:t>
            </w:r>
          </w:p>
          <w:p w14:paraId="58B0E9E2">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联系电话：13339207910</w:t>
            </w:r>
          </w:p>
          <w:p w14:paraId="113352A3">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14:paraId="30212E66">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FEF71AD">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5EC6C013">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52F681E5">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2026年3月</w:t>
            </w:r>
          </w:p>
          <w:p w14:paraId="56DEE5B6">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14:paraId="4A4AF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23BB3931">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14:paraId="5FFB4BD4">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14:paraId="65F08E38">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14:paraId="57C79F2F">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14:paraId="4C067E42">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45B7223">
            <w:pPr>
              <w:pStyle w:val="6"/>
              <w:widowControl/>
              <w:spacing w:before="0" w:beforeAutospacing="0" w:after="120" w:afterAutospacing="0"/>
              <w:ind w:leftChars="200" w:right="0" w:firstLine="560"/>
              <w:rPr>
                <w:kern w:val="2"/>
                <w:sz w:val="28"/>
                <w:szCs w:val="28"/>
                <w:highlight w:val="none"/>
                <w:lang w:val="en-US"/>
              </w:rPr>
            </w:pPr>
          </w:p>
          <w:p w14:paraId="1F2F0EB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14:paraId="72BE766B">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6828CB58">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0C15B413">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2026年3月</w:t>
            </w:r>
          </w:p>
        </w:tc>
      </w:tr>
    </w:tbl>
    <w:p w14:paraId="7C616BD9">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 w:name="Times New Roman (正文 CS 字体)">
    <w:altName w:val="宋体"/>
    <w:panose1 w:val="00000000000000000000"/>
    <w:charset w:val="86"/>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0ED0A">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B21BD2">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2B21BD2">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3AC41">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D53ECB">
                          <w:pPr>
                            <w:pStyle w:val="15"/>
                          </w:pPr>
                          <w:r>
                            <w:t xml:space="preserve">第 </w:t>
                          </w:r>
                          <w:r>
                            <w:fldChar w:fldCharType="begin"/>
                          </w:r>
                          <w:r>
                            <w:instrText xml:space="preserve"> PAGE  \* MERGEFORMAT </w:instrText>
                          </w:r>
                          <w:r>
                            <w:fldChar w:fldCharType="separate"/>
                          </w:r>
                          <w:r>
                            <w:t>35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67D53ECB">
                    <w:pPr>
                      <w:pStyle w:val="15"/>
                    </w:pPr>
                    <w:r>
                      <w:t xml:space="preserve">第 </w:t>
                    </w:r>
                    <w:r>
                      <w:fldChar w:fldCharType="begin"/>
                    </w:r>
                    <w:r>
                      <w:instrText xml:space="preserve"> PAGE  \* MERGEFORMAT </w:instrText>
                    </w:r>
                    <w:r>
                      <w:fldChar w:fldCharType="separate"/>
                    </w:r>
                    <w:r>
                      <w:t>35</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54F3AC"/>
    <w:multiLevelType w:val="singleLevel"/>
    <w:tmpl w:val="8F54F3AC"/>
    <w:lvl w:ilvl="0" w:tentative="0">
      <w:start w:val="2"/>
      <w:numFmt w:val="chineseCounting"/>
      <w:suff w:val="space"/>
      <w:lvlText w:val="第%1章"/>
      <w:lvlJc w:val="left"/>
      <w:rPr>
        <w:rFonts w:hint="eastAsia"/>
      </w:rPr>
    </w:lvl>
  </w:abstractNum>
  <w:abstractNum w:abstractNumId="1">
    <w:nsid w:val="C46C6862"/>
    <w:multiLevelType w:val="singleLevel"/>
    <w:tmpl w:val="C46C6862"/>
    <w:lvl w:ilvl="0" w:tentative="0">
      <w:start w:val="5"/>
      <w:numFmt w:val="chineseCounting"/>
      <w:suff w:val="space"/>
      <w:lvlText w:val="第%1章"/>
      <w:lvlJc w:val="left"/>
      <w:rPr>
        <w:rFonts w:hint="eastAsia"/>
      </w:rPr>
    </w:lvl>
  </w:abstractNum>
  <w:abstractNum w:abstractNumId="2">
    <w:nsid w:val="C51AEEB1"/>
    <w:multiLevelType w:val="singleLevel"/>
    <w:tmpl w:val="C51AEEB1"/>
    <w:lvl w:ilvl="0" w:tentative="0">
      <w:start w:val="1"/>
      <w:numFmt w:val="decimal"/>
      <w:suff w:val="nothing"/>
      <w:lvlText w:val="（%1）"/>
      <w:lvlJc w:val="left"/>
    </w:lvl>
  </w:abstractNum>
  <w:abstractNum w:abstractNumId="3">
    <w:nsid w:val="F4A311EA"/>
    <w:multiLevelType w:val="singleLevel"/>
    <w:tmpl w:val="F4A311EA"/>
    <w:lvl w:ilvl="0" w:tentative="0">
      <w:start w:val="3"/>
      <w:numFmt w:val="decimal"/>
      <w:suff w:val="nothing"/>
      <w:lvlText w:val="%1．"/>
      <w:lvlJc w:val="left"/>
    </w:lvl>
  </w:abstractNum>
  <w:abstractNum w:abstractNumId="4">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44E8B8FD"/>
    <w:multiLevelType w:val="singleLevel"/>
    <w:tmpl w:val="44E8B8FD"/>
    <w:lvl w:ilvl="0" w:tentative="0">
      <w:start w:val="6"/>
      <w:numFmt w:val="chineseCounting"/>
      <w:suff w:val="space"/>
      <w:lvlText w:val="第%1章"/>
      <w:lvlJc w:val="left"/>
      <w:rPr>
        <w:rFonts w:hint="eastAsia"/>
      </w:rPr>
    </w:lvl>
  </w:abstractNum>
  <w:abstractNum w:abstractNumId="6">
    <w:nsid w:val="76057C8D"/>
    <w:multiLevelType w:val="multilevel"/>
    <w:tmpl w:val="76057C8D"/>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3"/>
  </w:num>
  <w:num w:numId="4">
    <w:abstractNumId w:val="1"/>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0950983"/>
    <w:rsid w:val="01D118B5"/>
    <w:rsid w:val="01E872A1"/>
    <w:rsid w:val="032031D0"/>
    <w:rsid w:val="03471A81"/>
    <w:rsid w:val="06D54ED0"/>
    <w:rsid w:val="07C425FF"/>
    <w:rsid w:val="0AFF501E"/>
    <w:rsid w:val="0B8C2605"/>
    <w:rsid w:val="0CEF01A1"/>
    <w:rsid w:val="0D4228C9"/>
    <w:rsid w:val="0EBB3464"/>
    <w:rsid w:val="0F5A3543"/>
    <w:rsid w:val="0FC82D5D"/>
    <w:rsid w:val="101C4945"/>
    <w:rsid w:val="11273F56"/>
    <w:rsid w:val="12431559"/>
    <w:rsid w:val="14334ED5"/>
    <w:rsid w:val="147673EE"/>
    <w:rsid w:val="162403C8"/>
    <w:rsid w:val="1A2C0203"/>
    <w:rsid w:val="1B0B6A26"/>
    <w:rsid w:val="1CF617FA"/>
    <w:rsid w:val="1DD7722D"/>
    <w:rsid w:val="1E474369"/>
    <w:rsid w:val="1FBE5586"/>
    <w:rsid w:val="2035457B"/>
    <w:rsid w:val="204506D8"/>
    <w:rsid w:val="20F63292"/>
    <w:rsid w:val="21391D2B"/>
    <w:rsid w:val="21FC6157"/>
    <w:rsid w:val="222D5B93"/>
    <w:rsid w:val="239955A4"/>
    <w:rsid w:val="271F6EDF"/>
    <w:rsid w:val="27427F5F"/>
    <w:rsid w:val="287E4991"/>
    <w:rsid w:val="28FD1B10"/>
    <w:rsid w:val="29011C0D"/>
    <w:rsid w:val="2F997C9D"/>
    <w:rsid w:val="30F76170"/>
    <w:rsid w:val="32013042"/>
    <w:rsid w:val="323852C9"/>
    <w:rsid w:val="32812567"/>
    <w:rsid w:val="32AB6635"/>
    <w:rsid w:val="34B027D3"/>
    <w:rsid w:val="350F138C"/>
    <w:rsid w:val="39196E3A"/>
    <w:rsid w:val="3C7A035E"/>
    <w:rsid w:val="3D7F110E"/>
    <w:rsid w:val="3D8B68BD"/>
    <w:rsid w:val="3F3A5217"/>
    <w:rsid w:val="3FDC1609"/>
    <w:rsid w:val="40585B1F"/>
    <w:rsid w:val="41C76417"/>
    <w:rsid w:val="42AB7679"/>
    <w:rsid w:val="42F933B2"/>
    <w:rsid w:val="440F4D94"/>
    <w:rsid w:val="44121234"/>
    <w:rsid w:val="45132EF4"/>
    <w:rsid w:val="45602117"/>
    <w:rsid w:val="46501639"/>
    <w:rsid w:val="474318BA"/>
    <w:rsid w:val="47DC16A5"/>
    <w:rsid w:val="491938C4"/>
    <w:rsid w:val="49560276"/>
    <w:rsid w:val="4B8A2C90"/>
    <w:rsid w:val="4C3857CB"/>
    <w:rsid w:val="4F522371"/>
    <w:rsid w:val="4FA1515E"/>
    <w:rsid w:val="507B4F46"/>
    <w:rsid w:val="510E11AC"/>
    <w:rsid w:val="5523352E"/>
    <w:rsid w:val="57D3727A"/>
    <w:rsid w:val="5AB972A9"/>
    <w:rsid w:val="5AC41FE9"/>
    <w:rsid w:val="5D2B5019"/>
    <w:rsid w:val="5D322B2E"/>
    <w:rsid w:val="5D7002D3"/>
    <w:rsid w:val="604D11B9"/>
    <w:rsid w:val="62C47C43"/>
    <w:rsid w:val="6509245E"/>
    <w:rsid w:val="668A652A"/>
    <w:rsid w:val="6EA934B6"/>
    <w:rsid w:val="706E041E"/>
    <w:rsid w:val="72A03324"/>
    <w:rsid w:val="746B63CF"/>
    <w:rsid w:val="746C0AE0"/>
    <w:rsid w:val="74C85615"/>
    <w:rsid w:val="75843174"/>
    <w:rsid w:val="75AE035E"/>
    <w:rsid w:val="760F0C92"/>
    <w:rsid w:val="76B7003F"/>
    <w:rsid w:val="79757E4E"/>
    <w:rsid w:val="7A2A6204"/>
    <w:rsid w:val="7AF5326F"/>
    <w:rsid w:val="7B583976"/>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0"/>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34"/>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3">
    <w:name w:val="heading 3"/>
    <w:basedOn w:val="1"/>
    <w:next w:val="1"/>
    <w:qFormat/>
    <w:uiPriority w:val="0"/>
    <w:pPr>
      <w:keepNext/>
      <w:keepLines/>
      <w:outlineLvl w:val="2"/>
    </w:pPr>
    <w:rPr>
      <w:kern w:val="0"/>
      <w:sz w:val="28"/>
      <w:szCs w:val="20"/>
    </w:rPr>
  </w:style>
  <w:style w:type="character" w:default="1" w:styleId="25">
    <w:name w:val="Default Paragraph Font"/>
    <w:semiHidden/>
    <w:qFormat/>
    <w:uiPriority w:val="0"/>
  </w:style>
  <w:style w:type="table" w:default="1" w:styleId="23">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4">
    <w:name w:val="toc 7"/>
    <w:basedOn w:val="1"/>
    <w:next w:val="1"/>
    <w:qFormat/>
    <w:uiPriority w:val="39"/>
    <w:pPr>
      <w:ind w:left="1260"/>
      <w:jc w:val="left"/>
    </w:pPr>
    <w:rPr>
      <w:sz w:val="18"/>
      <w:szCs w:val="18"/>
    </w:rPr>
  </w:style>
  <w:style w:type="paragraph" w:styleId="5">
    <w:name w:val="Normal Indent"/>
    <w:basedOn w:val="1"/>
    <w:next w:val="6"/>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6">
    <w:name w:val="Body Text First Indent 2"/>
    <w:basedOn w:val="7"/>
    <w:next w:val="1"/>
    <w:link w:val="32"/>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7">
    <w:name w:val="Body Text Indent"/>
    <w:basedOn w:val="1"/>
    <w:next w:val="8"/>
    <w:link w:val="31"/>
    <w:qFormat/>
    <w:uiPriority w:val="0"/>
    <w:pPr>
      <w:spacing w:after="120" w:afterLines="0" w:afterAutospacing="0"/>
      <w:ind w:left="420" w:leftChars="200"/>
    </w:pPr>
  </w:style>
  <w:style w:type="paragraph" w:styleId="8">
    <w:name w:val="envelope return"/>
    <w:basedOn w:val="1"/>
    <w:next w:val="4"/>
    <w:qFormat/>
    <w:uiPriority w:val="0"/>
    <w:pPr>
      <w:snapToGrid w:val="0"/>
    </w:pPr>
    <w:rPr>
      <w:rFonts w:ascii="Arial" w:hAnsi="Arial"/>
    </w:rPr>
  </w:style>
  <w:style w:type="paragraph" w:styleId="9">
    <w:name w:val="annotation text"/>
    <w:basedOn w:val="1"/>
    <w:qFormat/>
    <w:uiPriority w:val="0"/>
    <w:pPr>
      <w:jc w:val="left"/>
    </w:pPr>
  </w:style>
  <w:style w:type="paragraph" w:styleId="10">
    <w:name w:val="Body Text 3"/>
    <w:basedOn w:val="1"/>
    <w:qFormat/>
    <w:uiPriority w:val="0"/>
    <w:rPr>
      <w:rFonts w:ascii="宋体" w:hAnsi="Calibri" w:eastAsia="宋体" w:cs="Times New Roman"/>
      <w:sz w:val="24"/>
      <w:szCs w:val="20"/>
    </w:rPr>
  </w:style>
  <w:style w:type="paragraph" w:styleId="11">
    <w:name w:val="Body Text"/>
    <w:basedOn w:val="1"/>
    <w:qFormat/>
    <w:uiPriority w:val="0"/>
    <w:pPr>
      <w:widowControl w:val="0"/>
      <w:snapToGrid w:val="0"/>
      <w:spacing w:line="360" w:lineRule="auto"/>
    </w:pPr>
    <w:rPr>
      <w:rFonts w:ascii="Arial" w:hAnsi="Arial" w:eastAsia="仿宋_GB2312"/>
      <w:sz w:val="31"/>
    </w:rPr>
  </w:style>
  <w:style w:type="paragraph" w:styleId="12">
    <w:name w:val="toc 3"/>
    <w:basedOn w:val="1"/>
    <w:next w:val="1"/>
    <w:qFormat/>
    <w:uiPriority w:val="39"/>
    <w:pPr>
      <w:jc w:val="left"/>
    </w:pPr>
    <w:rPr>
      <w:rFonts w:ascii="Calibri" w:hAnsi="Calibri"/>
      <w:smallCaps/>
      <w:sz w:val="22"/>
      <w:szCs w:val="22"/>
    </w:rPr>
  </w:style>
  <w:style w:type="paragraph" w:styleId="13">
    <w:name w:val="Plain Text"/>
    <w:basedOn w:val="1"/>
    <w:link w:val="36"/>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33"/>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37"/>
    <w:qFormat/>
    <w:uiPriority w:val="0"/>
    <w:pPr>
      <w:tabs>
        <w:tab w:val="center" w:pos="4153"/>
        <w:tab w:val="right" w:pos="8306"/>
      </w:tabs>
      <w:snapToGrid w:val="0"/>
      <w:jc w:val="left"/>
    </w:pPr>
    <w:rPr>
      <w:sz w:val="18"/>
    </w:rPr>
  </w:style>
  <w:style w:type="paragraph" w:styleId="16">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qFormat/>
    <w:uiPriority w:val="39"/>
    <w:pPr>
      <w:spacing w:before="120" w:after="120"/>
      <w:jc w:val="left"/>
    </w:pPr>
    <w:rPr>
      <w:b/>
      <w:bCs/>
      <w:caps/>
      <w:sz w:val="20"/>
    </w:rPr>
  </w:style>
  <w:style w:type="paragraph" w:styleId="18">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9">
    <w:name w:val="footnote text"/>
    <w:basedOn w:val="1"/>
    <w:semiHidden/>
    <w:unhideWhenUsed/>
    <w:qFormat/>
    <w:uiPriority w:val="99"/>
    <w:pPr>
      <w:snapToGrid w:val="0"/>
      <w:jc w:val="left"/>
    </w:pPr>
    <w:rPr>
      <w:sz w:val="18"/>
    </w:rPr>
  </w:style>
  <w:style w:type="paragraph" w:styleId="20">
    <w:name w:val="Body Text 2"/>
    <w:basedOn w:val="1"/>
    <w:qFormat/>
    <w:uiPriority w:val="0"/>
    <w:rPr>
      <w:kern w:val="0"/>
      <w:sz w:val="24"/>
    </w:rPr>
  </w:style>
  <w:style w:type="paragraph" w:styleId="21">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2">
    <w:name w:val="Body Text First Indent"/>
    <w:basedOn w:val="11"/>
    <w:qFormat/>
    <w:uiPriority w:val="0"/>
    <w:pPr>
      <w:adjustRightInd/>
      <w:spacing w:after="120" w:line="240" w:lineRule="auto"/>
      <w:ind w:firstLine="420" w:firstLineChars="100"/>
      <w:jc w:val="both"/>
    </w:p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uiPriority w:val="99"/>
  </w:style>
  <w:style w:type="character" w:styleId="27">
    <w:name w:val="Hyperlink"/>
    <w:qFormat/>
    <w:uiPriority w:val="99"/>
    <w:rPr>
      <w:color w:val="0000FF"/>
      <w:u w:val="single"/>
    </w:rPr>
  </w:style>
  <w:style w:type="character" w:styleId="28">
    <w:name w:val="footnote reference"/>
    <w:basedOn w:val="25"/>
    <w:semiHidden/>
    <w:unhideWhenUsed/>
    <w:qFormat/>
    <w:uiPriority w:val="99"/>
    <w:rPr>
      <w:vertAlign w:val="superscript"/>
    </w:rPr>
  </w:style>
  <w:style w:type="paragraph" w:customStyle="1" w:styleId="29">
    <w:name w:val="正文文字 8"/>
    <w:basedOn w:val="1"/>
    <w:next w:val="1"/>
    <w:qFormat/>
    <w:uiPriority w:val="0"/>
    <w:pPr>
      <w:ind w:left="240"/>
    </w:pPr>
    <w:rPr>
      <w:sz w:val="16"/>
    </w:rPr>
  </w:style>
  <w:style w:type="paragraph" w:customStyle="1" w:styleId="30">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31">
    <w:name w:val="正文文本缩进 Char"/>
    <w:basedOn w:val="25"/>
    <w:link w:val="7"/>
    <w:qFormat/>
    <w:uiPriority w:val="0"/>
    <w:rPr>
      <w:rFonts w:hint="default" w:ascii="Times New Roman" w:hAnsi="Times New Roman" w:eastAsia="宋体" w:cs="Times New Roman"/>
      <w:color w:val="000000"/>
      <w:kern w:val="0"/>
      <w:szCs w:val="21"/>
      <w:u w:color="000000"/>
    </w:rPr>
  </w:style>
  <w:style w:type="character" w:customStyle="1" w:styleId="32">
    <w:name w:val="正文首行缩进 2 Char"/>
    <w:basedOn w:val="31"/>
    <w:link w:val="6"/>
    <w:qFormat/>
    <w:uiPriority w:val="0"/>
    <w:rPr>
      <w:rFonts w:hint="default" w:ascii="Times New Roman" w:hAnsi="Times New Roman" w:eastAsia="宋体" w:cs="Times New Roman"/>
      <w:color w:val="000000"/>
      <w:kern w:val="0"/>
      <w:szCs w:val="21"/>
      <w:u w:color="000000"/>
    </w:rPr>
  </w:style>
  <w:style w:type="character" w:customStyle="1" w:styleId="33">
    <w:name w:val="日期 Char"/>
    <w:basedOn w:val="25"/>
    <w:link w:val="14"/>
    <w:qFormat/>
    <w:uiPriority w:val="0"/>
    <w:rPr>
      <w:rFonts w:ascii="Arial" w:hAnsi="Arial" w:eastAsia="仿宋_GB2312" w:cs="Arial"/>
      <w:color w:val="000000"/>
      <w:sz w:val="32"/>
      <w:szCs w:val="32"/>
      <w:u w:color="000000"/>
    </w:rPr>
  </w:style>
  <w:style w:type="character" w:customStyle="1" w:styleId="34">
    <w:name w:val="标题 2 Char"/>
    <w:basedOn w:val="25"/>
    <w:link w:val="2"/>
    <w:qFormat/>
    <w:uiPriority w:val="0"/>
    <w:rPr>
      <w:rFonts w:hint="default" w:ascii="Times New Roman" w:hAnsi="Times New Roman" w:eastAsia="宋体" w:cs="Times New Roman"/>
      <w:kern w:val="0"/>
      <w:sz w:val="24"/>
      <w:szCs w:val="24"/>
    </w:rPr>
  </w:style>
  <w:style w:type="character" w:customStyle="1" w:styleId="35">
    <w:name w:val="页眉 Char"/>
    <w:basedOn w:val="25"/>
    <w:link w:val="16"/>
    <w:qFormat/>
    <w:uiPriority w:val="0"/>
    <w:rPr>
      <w:rFonts w:hint="default" w:ascii="Times New Roman" w:hAnsi="Times New Roman" w:eastAsia="宋体" w:cs="Times New Roman"/>
      <w:color w:val="000000"/>
      <w:kern w:val="0"/>
      <w:sz w:val="18"/>
      <w:szCs w:val="18"/>
      <w:u w:color="000000"/>
    </w:rPr>
  </w:style>
  <w:style w:type="character" w:customStyle="1" w:styleId="36">
    <w:name w:val="纯文本 Char"/>
    <w:basedOn w:val="25"/>
    <w:link w:val="13"/>
    <w:qFormat/>
    <w:uiPriority w:val="0"/>
    <w:rPr>
      <w:rFonts w:hint="eastAsia" w:ascii="宋体" w:hAnsi="宋体" w:eastAsia="宋体" w:cs="宋体"/>
      <w:szCs w:val="21"/>
    </w:rPr>
  </w:style>
  <w:style w:type="character" w:customStyle="1" w:styleId="37">
    <w:name w:val="页脚 Char"/>
    <w:basedOn w:val="25"/>
    <w:link w:val="15"/>
    <w:qFormat/>
    <w:uiPriority w:val="0"/>
    <w:rPr>
      <w:rFonts w:hint="default" w:ascii="Times New Roman" w:hAnsi="Times New Roman" w:eastAsia="宋体" w:cs="Times New Roman"/>
      <w:color w:val="000000"/>
      <w:kern w:val="0"/>
      <w:sz w:val="18"/>
      <w:szCs w:val="18"/>
      <w:u w:color="000000"/>
    </w:rPr>
  </w:style>
  <w:style w:type="paragraph" w:customStyle="1" w:styleId="38">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9">
    <w:name w:val="List Paragraph"/>
    <w:basedOn w:val="1"/>
    <w:qFormat/>
    <w:uiPriority w:val="0"/>
    <w:pPr>
      <w:widowControl w:val="0"/>
      <w:spacing w:line="240" w:lineRule="auto"/>
      <w:ind w:firstLine="200" w:firstLineChars="200"/>
      <w:textAlignment w:val="auto"/>
    </w:pPr>
    <w:rPr>
      <w:u w:val="none" w:color="000000"/>
    </w:rPr>
  </w:style>
  <w:style w:type="character" w:customStyle="1" w:styleId="40">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41">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42">
    <w:name w:val="font51"/>
    <w:basedOn w:val="25"/>
    <w:qFormat/>
    <w:uiPriority w:val="0"/>
    <w:rPr>
      <w:rFonts w:hint="eastAsia" w:ascii="宋体" w:hAnsi="宋体" w:eastAsia="宋体" w:cs="宋体"/>
      <w:color w:val="000000"/>
      <w:sz w:val="22"/>
      <w:szCs w:val="22"/>
      <w:u w:val="none"/>
    </w:rPr>
  </w:style>
  <w:style w:type="character" w:customStyle="1" w:styleId="43">
    <w:name w:val="font31"/>
    <w:basedOn w:val="25"/>
    <w:qFormat/>
    <w:uiPriority w:val="0"/>
    <w:rPr>
      <w:rFonts w:hint="default" w:ascii="Times New Roman" w:hAnsi="Times New Roman" w:cs="Times New Roman"/>
      <w:color w:val="000000"/>
      <w:sz w:val="22"/>
      <w:szCs w:val="22"/>
      <w:u w:val="none"/>
    </w:rPr>
  </w:style>
  <w:style w:type="character" w:customStyle="1" w:styleId="44">
    <w:name w:val="font61"/>
    <w:basedOn w:val="25"/>
    <w:qFormat/>
    <w:uiPriority w:val="0"/>
    <w:rPr>
      <w:rFonts w:hint="default" w:ascii="Times New Roman" w:hAnsi="Times New Roman" w:cs="Times New Roman"/>
      <w:color w:val="000000"/>
      <w:sz w:val="21"/>
      <w:szCs w:val="21"/>
      <w:u w:val="none"/>
    </w:rPr>
  </w:style>
  <w:style w:type="character" w:customStyle="1" w:styleId="45">
    <w:name w:val="font71"/>
    <w:basedOn w:val="25"/>
    <w:qFormat/>
    <w:uiPriority w:val="0"/>
    <w:rPr>
      <w:rFonts w:hint="eastAsia" w:ascii="宋体" w:hAnsi="宋体" w:eastAsia="宋体" w:cs="宋体"/>
      <w:color w:val="000000"/>
      <w:sz w:val="21"/>
      <w:szCs w:val="21"/>
      <w:u w:val="none"/>
    </w:rPr>
  </w:style>
  <w:style w:type="character" w:customStyle="1" w:styleId="46">
    <w:name w:val="font01"/>
    <w:basedOn w:val="25"/>
    <w:qFormat/>
    <w:uiPriority w:val="0"/>
    <w:rPr>
      <w:rFonts w:hint="eastAsia" w:ascii="宋体" w:hAnsi="宋体" w:eastAsia="宋体" w:cs="宋体"/>
      <w:color w:val="000000"/>
      <w:sz w:val="22"/>
      <w:szCs w:val="22"/>
      <w:u w:val="none"/>
    </w:rPr>
  </w:style>
  <w:style w:type="character" w:customStyle="1" w:styleId="47">
    <w:name w:val="font11"/>
    <w:basedOn w:val="25"/>
    <w:qFormat/>
    <w:uiPriority w:val="0"/>
    <w:rPr>
      <w:rFonts w:hint="eastAsia" w:ascii="宋体" w:hAnsi="宋体" w:eastAsia="宋体" w:cs="宋体"/>
      <w:color w:val="000000"/>
      <w:sz w:val="21"/>
      <w:szCs w:val="21"/>
      <w:u w:val="none"/>
    </w:rPr>
  </w:style>
  <w:style w:type="character" w:customStyle="1" w:styleId="48">
    <w:name w:val="font41"/>
    <w:basedOn w:val="25"/>
    <w:qFormat/>
    <w:uiPriority w:val="0"/>
    <w:rPr>
      <w:rFonts w:hint="default" w:ascii="Times New Roman" w:hAnsi="Times New Roman" w:cs="Times New Roman"/>
      <w:color w:val="000000"/>
      <w:sz w:val="22"/>
      <w:szCs w:val="22"/>
      <w:u w:val="none"/>
    </w:rPr>
  </w:style>
  <w:style w:type="paragraph" w:customStyle="1" w:styleId="49">
    <w:name w:val="二级标题"/>
    <w:basedOn w:val="1"/>
    <w:next w:val="1"/>
    <w:qFormat/>
    <w:uiPriority w:val="0"/>
    <w:rPr>
      <w:rFonts w:hint="eastAsia" w:eastAsia="楷体"/>
    </w:rPr>
  </w:style>
  <w:style w:type="paragraph" w:customStyle="1" w:styleId="50">
    <w:name w:val="首行缩进"/>
    <w:basedOn w:val="1"/>
    <w:qFormat/>
    <w:uiPriority w:val="0"/>
    <w:pPr>
      <w:ind w:firstLine="480" w:firstLineChars="200"/>
    </w:pPr>
    <w:rPr>
      <w:rFonts w:eastAsia="楷体_GB2312"/>
      <w:lang w:val="zh-CN"/>
    </w:rPr>
  </w:style>
  <w:style w:type="paragraph" w:customStyle="1" w:styleId="51">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74</Pages>
  <Words>16371</Words>
  <Characters>17386</Characters>
  <Lines>0</Lines>
  <Paragraphs>0</Paragraphs>
  <TotalTime>9</TotalTime>
  <ScaleCrop>false</ScaleCrop>
  <LinksUpToDate>false</LinksUpToDate>
  <CharactersWithSpaces>17836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2023-11-23T14:11:00Z</cp:lastPrinted>
  <dcterms:modified xsi:type="dcterms:W3CDTF">2026-03-05T08:32:07Z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6D9A791FE09F4AF69DC46F4A104A7358</vt:lpwstr>
  </property>
  <property fmtid="{D5CDD505-2E9C-101B-9397-08002B2CF9AE}" pid="4" name="KSOTemplateDocerSaveRecord">
    <vt:lpwstr>eyJoZGlkIjoiMTljMDcwYWJmYjExZWQzNTVmZDAzZTYwM2JlMzJmZDYiLCJ1c2VySWQiOiIzODU2Mzk2OTQifQ==</vt:lpwstr>
  </property>
</Properties>
</file>