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4"/>
        <w:ind w:left="0" w:leftChars="0" w:firstLine="0" w:firstLineChars="0"/>
        <w:rPr>
          <w:highlight w:val="none"/>
        </w:rPr>
      </w:pPr>
      <w:bookmarkStart w:id="0" w:name="_Toc324404811"/>
      <w:bookmarkStart w:id="1" w:name="_Toc506107265"/>
      <w:bookmarkStart w:id="2" w:name="_Toc15058843"/>
      <w:bookmarkStart w:id="3" w:name="_Toc296602400"/>
      <w:bookmarkStart w:id="4" w:name="_Toc246996898"/>
      <w:bookmarkStart w:id="5" w:name="_Toc247085669"/>
      <w:bookmarkStart w:id="6" w:name="_Toc461631222"/>
      <w:bookmarkStart w:id="7" w:name="OLE_LINK4"/>
      <w:bookmarkStart w:id="8" w:name="OLE_LINK1"/>
      <w:bookmarkStart w:id="9" w:name="OLE_LINK3"/>
      <w:bookmarkStart w:id="10" w:name="OLE_LINK5"/>
      <w:bookmarkStart w:id="11" w:name="OLE_LINK2"/>
    </w:p>
    <w:p w14:paraId="2A2621CC">
      <w:pPr>
        <w:pStyle w:val="14"/>
        <w:ind w:left="0" w:leftChars="0" w:firstLine="0" w:firstLineChars="0"/>
        <w:jc w:val="center"/>
      </w:pPr>
      <w:r>
        <w:rPr>
          <w:rFonts w:hint="eastAsia" w:hAnsi="宋体" w:cs="宋体"/>
          <w:b/>
          <w:color w:val="auto"/>
          <w:kern w:val="0"/>
          <w:sz w:val="56"/>
          <w:szCs w:val="56"/>
          <w:highlight w:val="none"/>
          <w:lang w:eastAsia="zh-CN"/>
        </w:rPr>
        <w:t>滁州至南京城际铁路（滁州段）二期工程高铁站、琅琊山站装饰装修及附属升级改造一标段项目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6EBADFFD"/>
    <w:p w14:paraId="57C971B3">
      <w:pPr>
        <w:pStyle w:val="14"/>
      </w:pPr>
    </w:p>
    <w:p w14:paraId="00CEC72B"/>
    <w:p w14:paraId="0FB3EFCA">
      <w:pPr>
        <w:pStyle w:val="14"/>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79632527"/>
      <w:bookmarkStart w:id="13" w:name="_Toc144974479"/>
      <w:bookmarkStart w:id="14" w:name="_Toc152042287"/>
      <w:bookmarkStart w:id="15" w:name="_Toc152045511"/>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2</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28</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14"/>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324404813"/>
      <w:bookmarkStart w:id="17" w:name="_Toc78803321"/>
      <w:bookmarkStart w:id="18" w:name="_Toc179632544"/>
      <w:bookmarkStart w:id="19" w:name="_Toc246996173"/>
      <w:bookmarkStart w:id="20" w:name="_Toc506107267"/>
      <w:bookmarkStart w:id="21" w:name="_Toc15058844"/>
      <w:bookmarkStart w:id="22" w:name="_Toc35425050"/>
      <w:bookmarkStart w:id="23" w:name="_Toc247085687"/>
      <w:bookmarkStart w:id="24" w:name="_Toc144974495"/>
      <w:bookmarkStart w:id="25" w:name="_Toc35424883"/>
      <w:bookmarkStart w:id="26" w:name="_Toc246996916"/>
      <w:bookmarkStart w:id="27" w:name="_Toc152045527"/>
      <w:bookmarkStart w:id="28" w:name="_Toc152042303"/>
      <w:r>
        <w:rPr>
          <w:rFonts w:hint="eastAsia"/>
          <w:bCs/>
          <w:szCs w:val="32"/>
          <w:highlight w:val="none"/>
          <w:lang w:eastAsia="zh-CN"/>
        </w:rPr>
        <w:t>第一章</w:t>
      </w:r>
      <w:r>
        <w:rPr>
          <w:rFonts w:hint="eastAsia"/>
          <w:bCs/>
          <w:szCs w:val="32"/>
          <w:highlight w:val="none"/>
          <w:lang w:val="en-US"/>
        </w:rPr>
        <w:t xml:space="preserve">  </w:t>
      </w:r>
      <w:bookmarkStart w:id="29" w:name="_Toc7358"/>
      <w:bookmarkEnd w:id="29"/>
      <w:bookmarkStart w:id="30" w:name="_Toc18980_WPSOffice_Level1"/>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28359079"/>
      <w:bookmarkEnd w:id="31"/>
      <w:bookmarkStart w:id="32" w:name="_Toc28359002"/>
      <w:bookmarkEnd w:id="32"/>
      <w:bookmarkStart w:id="33" w:name="_Toc58430305"/>
      <w:bookmarkEnd w:id="33"/>
      <w:bookmarkStart w:id="34" w:name="_Toc35393621"/>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滁州至南京城际铁路（滁州段）二期工程高铁站、琅琊山站装饰装修及附属升级改造一标段项目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000000"/>
          <w:kern w:val="0"/>
          <w:sz w:val="24"/>
          <w:szCs w:val="24"/>
          <w:highlight w:val="none"/>
          <w:u w:color="000000"/>
          <w:lang w:val="en-US" w:eastAsia="zh-CN" w:bidi="ar"/>
        </w:rPr>
        <w:t>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1</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19</w:t>
      </w:r>
      <w:r>
        <w:rPr>
          <w:rFonts w:hint="eastAsia" w:ascii="宋体" w:hAnsi="宋体" w:eastAsia="宋体" w:cs="宋体"/>
          <w:color w:val="000000"/>
          <w:kern w:val="0"/>
          <w:sz w:val="24"/>
          <w:szCs w:val="24"/>
          <w:highlight w:val="none"/>
          <w:u w:color="000000"/>
          <w:lang w:val="en-US" w:eastAsia="zh-CN" w:bidi="ar"/>
        </w:rPr>
        <w:t>日15时00分（北京时间）前递交投标文件。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项目名称：滁州至南京城际铁路（滁州段）二期工程高铁站、琅琊山站装饰装修及附属升级改造一标段项目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color w:val="000000"/>
          <w:kern w:val="0"/>
          <w:sz w:val="24"/>
          <w:szCs w:val="24"/>
          <w:highlight w:val="none"/>
          <w:u w:color="000000"/>
          <w:lang w:val="en-US" w:eastAsia="zh-CN" w:bidi="ar"/>
        </w:rPr>
        <w:t>470000</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cs="宋体"/>
          <w:b w:val="0"/>
          <w:bCs w:val="0"/>
          <w:color w:val="000000"/>
          <w:kern w:val="0"/>
          <w:sz w:val="24"/>
          <w:szCs w:val="24"/>
          <w:highlight w:val="none"/>
          <w:u w:color="000000"/>
          <w:lang w:val="en-US" w:eastAsia="zh-CN" w:bidi="ar"/>
        </w:rPr>
        <w:t>470000</w:t>
      </w:r>
      <w:r>
        <w:rPr>
          <w:rFonts w:hint="eastAsia" w:ascii="宋体" w:hAnsi="宋体" w:eastAsia="宋体" w:cs="宋体"/>
          <w:b w:val="0"/>
          <w:bCs w:val="0"/>
          <w:color w:val="000000"/>
          <w:kern w:val="0"/>
          <w:sz w:val="24"/>
          <w:szCs w:val="24"/>
          <w:highlight w:val="none"/>
          <w:u w:color="000000"/>
          <w:lang w:val="en-US" w:eastAsia="zh-CN" w:bidi="ar"/>
        </w:rPr>
        <w:t>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eastAsia="宋体" w:cs="宋体"/>
          <w:b w:val="0"/>
          <w:bCs w:val="0"/>
          <w:color w:val="000000"/>
          <w:kern w:val="0"/>
          <w:sz w:val="24"/>
          <w:szCs w:val="24"/>
          <w:highlight w:val="none"/>
          <w:u w:color="000000"/>
          <w:lang w:val="en-US" w:eastAsia="zh-CN" w:bidi="ar"/>
        </w:rPr>
        <w:t>：滁州至南京城际铁路（滁州段）二期工程高铁站、琅琊山站室内装饰及附属工程升级改造第一阶段。</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工期：于2026年</w:t>
      </w:r>
      <w:r>
        <w:rPr>
          <w:rFonts w:hint="eastAsia" w:ascii="宋体" w:hAnsi="宋体" w:cs="宋体"/>
          <w:color w:val="000000"/>
          <w:kern w:val="0"/>
          <w:sz w:val="24"/>
          <w:szCs w:val="24"/>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10</w:t>
      </w:r>
      <w:r>
        <w:rPr>
          <w:rFonts w:hint="eastAsia" w:ascii="宋体" w:hAnsi="宋体" w:eastAsia="宋体" w:cs="宋体"/>
          <w:color w:val="000000"/>
          <w:kern w:val="0"/>
          <w:sz w:val="24"/>
          <w:szCs w:val="24"/>
          <w:highlight w:val="none"/>
          <w:u w:color="000000"/>
          <w:lang w:val="en-US" w:eastAsia="zh-CN" w:bidi="ar"/>
        </w:rPr>
        <w:t>日前完成并交付。</w:t>
      </w:r>
    </w:p>
    <w:p w14:paraId="7C79C6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091A15E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13</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19</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28359082"/>
      <w:bookmarkEnd w:id="36"/>
      <w:bookmarkStart w:id="37" w:name="_Toc35393793"/>
      <w:bookmarkEnd w:id="37"/>
      <w:bookmarkStart w:id="38" w:name="_Toc28359005"/>
      <w:bookmarkEnd w:id="38"/>
      <w:bookmarkStart w:id="39" w:name="_Toc58430308"/>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1</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19</w:t>
      </w:r>
      <w:r>
        <w:rPr>
          <w:rFonts w:hint="eastAsia" w:ascii="宋体" w:hAnsi="宋体" w:eastAsia="宋体" w:cs="宋体"/>
          <w:bCs/>
          <w:color w:val="000000"/>
          <w:kern w:val="0"/>
          <w:sz w:val="24"/>
          <w:szCs w:val="24"/>
          <w:highlight w:val="none"/>
          <w:u w:val="single" w:color="000000"/>
          <w:lang w:val="en-US" w:eastAsia="zh-CN" w:bidi="ar"/>
        </w:rPr>
        <w:t>日15时00分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506107268"/>
      <w:bookmarkStart w:id="45" w:name="_Toc246996174"/>
      <w:bookmarkStart w:id="46" w:name="_Toc152042304"/>
      <w:bookmarkStart w:id="47" w:name="_Toc324404814"/>
      <w:bookmarkStart w:id="48" w:name="_Toc35424884"/>
      <w:bookmarkStart w:id="49" w:name="_Toc15058845"/>
      <w:bookmarkStart w:id="50" w:name="_Toc152045528"/>
      <w:bookmarkStart w:id="51" w:name="_Toc179632545"/>
      <w:bookmarkStart w:id="52" w:name="_Toc246996917"/>
      <w:bookmarkStart w:id="53" w:name="_Toc35425051"/>
      <w:bookmarkStart w:id="54" w:name="_Toc144974496"/>
      <w:bookmarkStart w:id="55" w:name="_Toc247085688"/>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246996175"/>
            <w:bookmarkStart w:id="57" w:name="_Toc247085689"/>
            <w:bookmarkStart w:id="58" w:name="_Toc152042305"/>
            <w:bookmarkStart w:id="59" w:name="_Toc246996918"/>
            <w:bookmarkStart w:id="60" w:name="_Toc179632546"/>
            <w:bookmarkStart w:id="61" w:name="_Toc35425053"/>
            <w:bookmarkStart w:id="62" w:name="_Toc15058846"/>
            <w:bookmarkStart w:id="63" w:name="_Toc5813"/>
            <w:bookmarkStart w:id="64" w:name="_Toc78803322"/>
            <w:bookmarkStart w:id="65" w:name="_Toc152045529"/>
            <w:bookmarkStart w:id="66" w:name="_Toc35424887"/>
            <w:bookmarkStart w:id="67" w:name="_Toc324404815"/>
            <w:bookmarkStart w:id="68" w:name="_Toc144974497"/>
            <w:bookmarkStart w:id="69" w:name="_Toc506107269"/>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滁州至南京城际铁路（滁州段）二期工程高铁站、琅琊山站装饰装修及附属升级改造一标段项目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470000元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470000元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15</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1</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16</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w:t>
            </w:r>
            <w:r>
              <w:rPr>
                <w:rFonts w:hint="eastAsia" w:ascii="宋体" w:hAnsi="宋体" w:cs="宋体"/>
                <w:color w:val="000000"/>
                <w:kern w:val="2"/>
                <w:sz w:val="21"/>
                <w:szCs w:val="21"/>
                <w:highlight w:val="none"/>
                <w:u w:color="000000"/>
                <w:lang w:val="en-US" w:eastAsia="zh-CN" w:bidi="ar"/>
              </w:rPr>
              <w:t>3525</w:t>
            </w:r>
            <w:bookmarkStart w:id="273" w:name="_GoBack"/>
            <w:bookmarkEnd w:id="273"/>
            <w:r>
              <w:rPr>
                <w:rFonts w:hint="eastAsia" w:ascii="宋体" w:hAnsi="宋体" w:eastAsia="宋体" w:cs="宋体"/>
                <w:color w:val="000000"/>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19</w:t>
            </w:r>
            <w:r>
              <w:rPr>
                <w:rFonts w:hint="eastAsia" w:ascii="宋体" w:hAnsi="宋体" w:eastAsia="宋体" w:cs="宋体"/>
                <w:color w:val="000000"/>
                <w:kern w:val="2"/>
                <w:sz w:val="21"/>
                <w:szCs w:val="21"/>
                <w:highlight w:val="none"/>
                <w:u w:color="000000"/>
                <w:lang w:val="en-US" w:eastAsia="zh-CN" w:bidi="ar"/>
              </w:rPr>
              <w:t>日15时00分（北京时间）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2E9BE0">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签订合同且投标人实质性开工后，甲方向乙方支付合同总价20%的预付款。工程完工并验收通过后，中标人提交付款申请及工作量清单，招标人审核后30天内向中标人一次性支付结算总价的95%，剩余5%金额待2年质保期满后一次性支付</w:t>
            </w:r>
            <w:r>
              <w:rPr>
                <w:rFonts w:hint="eastAsia" w:cs="宋体"/>
                <w:color w:val="auto"/>
                <w:sz w:val="21"/>
                <w:szCs w:val="21"/>
                <w:highlight w:val="none"/>
                <w:lang w:val="en-US" w:eastAsia="zh-CN"/>
              </w:rPr>
              <w:t>。</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15058902"/>
      <w:bookmarkStart w:id="73" w:name="_Toc506107317"/>
      <w:bookmarkStart w:id="74" w:name="_Toc35424939"/>
      <w:bookmarkStart w:id="75" w:name="_Toc35425105"/>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152042315"/>
      <w:bookmarkEnd w:id="77"/>
      <w:bookmarkStart w:id="78" w:name="_Toc296602429"/>
      <w:bookmarkEnd w:id="78"/>
      <w:bookmarkStart w:id="79" w:name="_Toc247513962"/>
      <w:bookmarkEnd w:id="79"/>
      <w:bookmarkStart w:id="80" w:name="_Toc247527563"/>
      <w:bookmarkEnd w:id="80"/>
      <w:bookmarkStart w:id="81" w:name="_Toc144974507"/>
      <w:bookmarkEnd w:id="81"/>
      <w:bookmarkStart w:id="82" w:name="_Toc152045539"/>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24655"/>
      <w:bookmarkEnd w:id="84"/>
      <w:bookmarkStart w:id="85" w:name="_Toc10668_WPSOffice_Level3"/>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0F2868F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施工费、人工费、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color w:val="000000"/>
          <w:szCs w:val="21"/>
          <w:highlight w:val="none"/>
          <w:lang w:val="en-US" w:eastAsia="zh-CN"/>
        </w:rPr>
        <w:t>安装调试费、质保期内服务费</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投标报价的价格是完成项目全部内容（包括后期的相关服务）的价格，其单价即为履行合同的固定单价。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506107323"/>
      <w:bookmarkStart w:id="102" w:name="_Toc35424945"/>
      <w:bookmarkStart w:id="103" w:name="_Toc35425111"/>
      <w:bookmarkStart w:id="104" w:name="_Toc15058912"/>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jc w:val="lef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0FAF81B">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lef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jc w:val="lef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15058909"/>
      <w:bookmarkStart w:id="106" w:name="_Toc60061492"/>
      <w:bookmarkStart w:id="107" w:name="_Toc506107320"/>
      <w:bookmarkStart w:id="108" w:name="_Toc95223395"/>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15058910"/>
      <w:bookmarkStart w:id="110" w:name="_Toc60061493"/>
      <w:bookmarkStart w:id="111" w:name="_Toc506107321"/>
      <w:bookmarkStart w:id="112"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60061494"/>
      <w:bookmarkStart w:id="115" w:name="_Toc506107322"/>
      <w:bookmarkStart w:id="116" w:name="_Toc95223397"/>
      <w:bookmarkStart w:id="117" w:name="_Toc324404869"/>
      <w:bookmarkStart w:id="118" w:name="_Toc15058911"/>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2"/>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4946"/>
      <w:bookmarkStart w:id="121" w:name="_Toc35425112"/>
      <w:r>
        <w:rPr>
          <w:rFonts w:hint="eastAsia" w:ascii="宋体" w:hAnsi="宋体" w:cs="宋体"/>
          <w:b/>
          <w:bCs/>
          <w:sz w:val="28"/>
          <w:szCs w:val="28"/>
          <w:highlight w:val="none"/>
        </w:rPr>
        <w:t>评标办法前附表</w:t>
      </w:r>
      <w:bookmarkEnd w:id="120"/>
      <w:bookmarkEnd w:id="121"/>
    </w:p>
    <w:p w14:paraId="0701628E">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（一）资信标评分细则（</w:t>
      </w:r>
      <w:r>
        <w:rPr>
          <w:rFonts w:hint="eastAsia" w:cs="Times New Roman"/>
          <w:b/>
          <w:color w:val="auto"/>
          <w:sz w:val="28"/>
          <w:szCs w:val="21"/>
          <w:lang w:val="en-US" w:eastAsia="zh-CN"/>
        </w:rPr>
        <w:t>1</w:t>
      </w:r>
      <w:r>
        <w:rPr>
          <w:rFonts w:hint="eastAsia" w:ascii="Times New Roman" w:hAnsi="Times New Roman" w:eastAsia="宋体" w:cs="Times New Roman"/>
          <w:b/>
          <w:color w:val="auto"/>
          <w:sz w:val="28"/>
          <w:szCs w:val="21"/>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企业业绩（</w:t>
            </w:r>
            <w:r>
              <w:rPr>
                <w:rFonts w:hint="eastAsia" w:ascii="宋体" w:hAnsi="宋体" w:cs="宋体"/>
                <w:spacing w:val="-2"/>
                <w:position w:val="11"/>
                <w:sz w:val="21"/>
                <w:szCs w:val="21"/>
                <w:highlight w:val="none"/>
                <w:lang w:val="en-US" w:eastAsia="zh-CN"/>
              </w:rPr>
              <w:t>1</w:t>
            </w:r>
            <w:r>
              <w:rPr>
                <w:rFonts w:hint="eastAsia" w:ascii="宋体" w:hAnsi="宋体" w:eastAsia="宋体" w:cs="宋体"/>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自2020年1月1日至投标截止日（以合同签订时间为准），投标人每提供一个建筑装修装饰工程业绩的得</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0分；其他的不得分，本项满分</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5</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spacing w:before="69" w:line="360" w:lineRule="exact"/>
              <w:jc w:val="center"/>
              <w:rPr>
                <w:rFonts w:hint="eastAsia" w:ascii="宋体" w:hAnsi="宋体" w:eastAsia="宋体" w:cs="宋体"/>
                <w:color w:val="auto"/>
                <w:sz w:val="21"/>
                <w:szCs w:val="21"/>
                <w:highlight w:val="none"/>
              </w:rPr>
            </w:pPr>
            <w:r>
              <w:rPr>
                <w:rFonts w:hint="eastAsia" w:ascii="宋体" w:hAnsi="宋体" w:cs="宋体"/>
                <w:spacing w:val="-2"/>
                <w:position w:val="11"/>
                <w:sz w:val="21"/>
                <w:szCs w:val="21"/>
                <w:highlight w:val="none"/>
                <w:lang w:val="en-US" w:eastAsia="zh-CN"/>
              </w:rPr>
              <w:t>技术</w:t>
            </w:r>
            <w:r>
              <w:rPr>
                <w:rFonts w:hint="eastAsia" w:ascii="宋体" w:hAnsi="宋体" w:eastAsia="宋体" w:cs="宋体"/>
                <w:spacing w:val="-2"/>
                <w:position w:val="11"/>
                <w:sz w:val="21"/>
                <w:szCs w:val="21"/>
                <w:highlight w:val="none"/>
                <w:lang w:val="en-US" w:eastAsia="zh-CN"/>
              </w:rPr>
              <w:t>方案（</w:t>
            </w:r>
            <w:r>
              <w:rPr>
                <w:rFonts w:hint="eastAsia" w:ascii="宋体" w:hAnsi="宋体" w:cs="宋体"/>
                <w:spacing w:val="-2"/>
                <w:position w:val="11"/>
                <w:sz w:val="21"/>
                <w:szCs w:val="21"/>
                <w:highlight w:val="none"/>
                <w:lang w:val="en-US" w:eastAsia="zh-CN"/>
              </w:rPr>
              <w:t>4</w:t>
            </w:r>
            <w:r>
              <w:rPr>
                <w:rFonts w:hint="eastAsia" w:ascii="宋体" w:hAnsi="宋体" w:eastAsia="宋体" w:cs="宋体"/>
                <w:spacing w:val="-2"/>
                <w:position w:val="11"/>
                <w:sz w:val="21"/>
                <w:szCs w:val="21"/>
                <w:highlight w:val="none"/>
                <w:lang w:val="en-US" w:eastAsia="zh-CN"/>
              </w:rPr>
              <w:t>0分）</w:t>
            </w:r>
          </w:p>
        </w:tc>
        <w:tc>
          <w:tcPr>
            <w:tcW w:w="5985" w:type="dxa"/>
            <w:shd w:val="clear" w:color="auto" w:fill="auto"/>
            <w:noWrap w:val="0"/>
            <w:vAlign w:val="top"/>
          </w:tcPr>
          <w:p w14:paraId="48110F8A">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包括①、总体筹划；②、工程进度计划与措施及施工网络图；③、主要施工方案和技术措施；④、主要物资供应计划；⑤、劳动力安排计划，主要施工机械、设备进场计划；⑥、确保工程质量的管理体系与措施；⑦、确保安全生产的管理体系与措施；⑧、确保文明施工的管理体系与措施；⑨、工程重难点及对应保证措施；⑩、危大工程安全管理与新技术、新产品、新工艺、新材料应用（如有）等。每项分值</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分，其中优得</w:t>
            </w:r>
            <w:r>
              <w:rPr>
                <w:rFonts w:hint="eastAsia" w:ascii="宋体" w:hAnsi="宋体" w:eastAsia="宋体" w:cs="Times New Roman"/>
                <w:b w:val="0"/>
                <w:bCs w:val="0"/>
                <w:color w:val="auto"/>
                <w:kern w:val="0"/>
                <w:szCs w:val="21"/>
                <w:highlight w:val="none"/>
                <w:u w:val="none" w:color="000000"/>
                <w:lang w:val="en-US" w:eastAsia="zh-CN"/>
              </w:rPr>
              <w:t>3分＜F≤4</w:t>
            </w:r>
            <w:r>
              <w:rPr>
                <w:rFonts w:hint="eastAsia" w:ascii="宋体" w:hAnsi="宋体" w:eastAsia="宋体" w:cs="宋体"/>
                <w:b w:val="0"/>
                <w:bCs/>
                <w:color w:val="auto"/>
                <w:sz w:val="21"/>
                <w:szCs w:val="21"/>
                <w:highlight w:val="none"/>
                <w:lang w:val="en-US" w:eastAsia="zh-CN"/>
              </w:rPr>
              <w:t>分，良得</w:t>
            </w:r>
            <w:r>
              <w:rPr>
                <w:rFonts w:hint="eastAsia" w:ascii="宋体" w:hAnsi="宋体" w:eastAsia="宋体" w:cs="Times New Roman"/>
                <w:b w:val="0"/>
                <w:bCs w:val="0"/>
                <w:color w:val="auto"/>
                <w:kern w:val="0"/>
                <w:szCs w:val="21"/>
                <w:highlight w:val="none"/>
                <w:u w:val="none" w:color="000000"/>
                <w:lang w:val="en-US" w:eastAsia="zh-CN"/>
              </w:rPr>
              <w:t>2分＜F≤3</w:t>
            </w:r>
            <w:r>
              <w:rPr>
                <w:rFonts w:hint="eastAsia" w:ascii="宋体" w:hAnsi="宋体" w:eastAsia="宋体" w:cs="宋体"/>
                <w:b w:val="0"/>
                <w:bCs/>
                <w:color w:val="auto"/>
                <w:sz w:val="21"/>
                <w:szCs w:val="21"/>
                <w:highlight w:val="none"/>
                <w:lang w:val="en-US" w:eastAsia="zh-CN"/>
              </w:rPr>
              <w:t>分，一般得</w:t>
            </w:r>
            <w:r>
              <w:rPr>
                <w:rFonts w:hint="eastAsia" w:ascii="宋体" w:hAnsi="宋体" w:eastAsia="宋体" w:cs="Times New Roman"/>
                <w:b w:val="0"/>
                <w:bCs w:val="0"/>
                <w:color w:val="auto"/>
                <w:kern w:val="0"/>
                <w:szCs w:val="21"/>
                <w:highlight w:val="none"/>
                <w:u w:val="none" w:color="000000"/>
                <w:lang w:val="en-US" w:eastAsia="zh-CN"/>
              </w:rPr>
              <w:t>1分＜F≤2</w:t>
            </w:r>
            <w:r>
              <w:rPr>
                <w:rFonts w:hint="eastAsia" w:ascii="宋体" w:hAnsi="宋体" w:eastAsia="宋体" w:cs="宋体"/>
                <w:b w:val="0"/>
                <w:bCs/>
                <w:color w:val="auto"/>
                <w:sz w:val="21"/>
                <w:szCs w:val="21"/>
                <w:highlight w:val="none"/>
                <w:lang w:val="en-US" w:eastAsia="zh-CN"/>
              </w:rPr>
              <w:t>分，合格得</w:t>
            </w:r>
            <w:r>
              <w:rPr>
                <w:rFonts w:hint="eastAsia" w:ascii="宋体" w:hAnsi="宋体" w:eastAsia="宋体" w:cs="Times New Roman"/>
                <w:b w:val="0"/>
                <w:bCs w:val="0"/>
                <w:color w:val="auto"/>
                <w:kern w:val="0"/>
                <w:szCs w:val="21"/>
                <w:highlight w:val="none"/>
                <w:u w:val="none" w:color="000000"/>
                <w:lang w:val="en-US" w:eastAsia="zh-CN"/>
              </w:rPr>
              <w:t>0分＜F≤1</w:t>
            </w:r>
            <w:r>
              <w:rPr>
                <w:rFonts w:hint="eastAsia" w:ascii="宋体" w:hAnsi="宋体" w:eastAsia="宋体" w:cs="宋体"/>
                <w:b w:val="0"/>
                <w:bCs/>
                <w:color w:val="auto"/>
                <w:sz w:val="21"/>
                <w:szCs w:val="21"/>
                <w:highlight w:val="none"/>
                <w:lang w:val="en-US" w:eastAsia="zh-CN"/>
              </w:rPr>
              <w:t>分，不合格或未提供的不得分。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4FBA37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spacing w:val="-2"/>
                <w:position w:val="11"/>
                <w:sz w:val="21"/>
                <w:szCs w:val="21"/>
                <w:highlight w:val="none"/>
                <w:lang w:val="en-US" w:eastAsia="zh-CN"/>
              </w:rPr>
              <w:t>后期维护方案（</w:t>
            </w:r>
            <w:r>
              <w:rPr>
                <w:rFonts w:hint="eastAsia" w:ascii="宋体" w:hAnsi="宋体" w:cs="宋体"/>
                <w:spacing w:val="-2"/>
                <w:position w:val="11"/>
                <w:sz w:val="21"/>
                <w:szCs w:val="21"/>
                <w:highlight w:val="none"/>
                <w:lang w:val="en-US" w:eastAsia="zh-CN"/>
              </w:rPr>
              <w:t>10</w:t>
            </w:r>
            <w:r>
              <w:rPr>
                <w:rFonts w:hint="eastAsia" w:ascii="宋体" w:hAnsi="宋体" w:eastAsia="宋体" w:cs="宋体"/>
                <w:spacing w:val="-2"/>
                <w:position w:val="11"/>
                <w:sz w:val="21"/>
                <w:szCs w:val="21"/>
                <w:highlight w:val="none"/>
                <w:lang w:val="en-US" w:eastAsia="zh-CN"/>
              </w:rPr>
              <w:t>分）</w:t>
            </w:r>
          </w:p>
        </w:tc>
        <w:tc>
          <w:tcPr>
            <w:tcW w:w="5985" w:type="dxa"/>
            <w:shd w:val="clear" w:color="auto" w:fill="auto"/>
            <w:noWrap w:val="0"/>
            <w:vAlign w:val="top"/>
          </w:tcPr>
          <w:p w14:paraId="07BFE3F1">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根据投标人针对本项目的维护服务方案进行综合评审，优秀得</w:t>
            </w:r>
            <w:r>
              <w:rPr>
                <w:rFonts w:hint="eastAsia" w:ascii="宋体" w:hAnsi="宋体" w:eastAsia="宋体" w:cs="Times New Roman"/>
                <w:b w:val="0"/>
                <w:bCs w:val="0"/>
                <w:color w:val="auto"/>
                <w:kern w:val="0"/>
                <w:szCs w:val="21"/>
                <w:highlight w:val="none"/>
                <w:u w:val="none" w:color="000000"/>
                <w:lang w:val="en-US" w:eastAsia="zh-CN"/>
              </w:rPr>
              <w:t>得8分＜F≤10分</w:t>
            </w:r>
            <w:r>
              <w:rPr>
                <w:rFonts w:hint="eastAsia" w:ascii="宋体" w:hAnsi="宋体" w:eastAsia="宋体" w:cs="宋体"/>
                <w:b w:val="0"/>
                <w:bCs/>
                <w:color w:val="auto"/>
                <w:sz w:val="21"/>
                <w:szCs w:val="21"/>
                <w:highlight w:val="none"/>
                <w:lang w:val="en-US" w:eastAsia="zh-CN"/>
              </w:rPr>
              <w:t>，良好</w:t>
            </w:r>
            <w:r>
              <w:rPr>
                <w:rFonts w:hint="eastAsia" w:ascii="宋体" w:hAnsi="宋体" w:eastAsia="宋体" w:cs="Times New Roman"/>
                <w:b w:val="0"/>
                <w:bCs w:val="0"/>
                <w:color w:val="auto"/>
                <w:kern w:val="0"/>
                <w:szCs w:val="21"/>
                <w:highlight w:val="none"/>
                <w:u w:val="none" w:color="000000"/>
                <w:lang w:val="en-US" w:eastAsia="zh-CN"/>
              </w:rPr>
              <w:t>得6分＜F≤8分</w:t>
            </w:r>
            <w:r>
              <w:rPr>
                <w:rFonts w:hint="eastAsia" w:ascii="宋体" w:hAnsi="宋体" w:eastAsia="宋体" w:cs="宋体"/>
                <w:b w:val="0"/>
                <w:bCs/>
                <w:color w:val="auto"/>
                <w:sz w:val="21"/>
                <w:szCs w:val="21"/>
                <w:highlight w:val="none"/>
                <w:lang w:val="en-US" w:eastAsia="zh-CN"/>
              </w:rPr>
              <w:t>，一般</w:t>
            </w:r>
            <w:r>
              <w:rPr>
                <w:rFonts w:hint="eastAsia" w:ascii="宋体" w:hAnsi="宋体" w:eastAsia="宋体" w:cs="Times New Roman"/>
                <w:b w:val="0"/>
                <w:bCs w:val="0"/>
                <w:color w:val="auto"/>
                <w:kern w:val="0"/>
                <w:szCs w:val="21"/>
                <w:highlight w:val="none"/>
                <w:u w:val="none" w:color="000000"/>
                <w:lang w:val="en-US" w:eastAsia="zh-CN"/>
              </w:rPr>
              <w:t>得4分＜F≤6分</w:t>
            </w:r>
            <w:r>
              <w:rPr>
                <w:rFonts w:hint="eastAsia" w:ascii="宋体" w:hAnsi="宋体" w:eastAsia="宋体" w:cs="宋体"/>
                <w:b w:val="0"/>
                <w:bCs/>
                <w:color w:val="auto"/>
                <w:sz w:val="21"/>
                <w:szCs w:val="21"/>
                <w:highlight w:val="none"/>
                <w:lang w:val="en-US" w:eastAsia="zh-CN"/>
              </w:rPr>
              <w:t>，合格</w:t>
            </w:r>
            <w:r>
              <w:rPr>
                <w:rFonts w:hint="eastAsia" w:ascii="宋体" w:hAnsi="宋体" w:cs="宋体"/>
                <w:b w:val="0"/>
                <w:bCs/>
                <w:color w:val="auto"/>
                <w:sz w:val="21"/>
                <w:szCs w:val="21"/>
                <w:highlight w:val="none"/>
                <w:lang w:val="en-US" w:eastAsia="zh-CN"/>
              </w:rPr>
              <w:t>得</w:t>
            </w:r>
            <w:r>
              <w:rPr>
                <w:rFonts w:hint="eastAsia" w:ascii="宋体" w:hAnsi="宋体" w:eastAsia="宋体" w:cs="Times New Roman"/>
                <w:b w:val="0"/>
                <w:bCs w:val="0"/>
                <w:color w:val="auto"/>
                <w:kern w:val="0"/>
                <w:szCs w:val="21"/>
                <w:highlight w:val="none"/>
                <w:u w:val="none" w:color="000000"/>
                <w:lang w:val="en-US" w:eastAsia="zh-CN"/>
              </w:rPr>
              <w:t>2分＜F≤4分</w:t>
            </w:r>
            <w:r>
              <w:rPr>
                <w:rFonts w:hint="eastAsia" w:ascii="宋体" w:hAnsi="宋体" w:eastAsia="宋体" w:cs="宋体"/>
                <w:b w:val="0"/>
                <w:bCs/>
                <w:color w:val="auto"/>
                <w:sz w:val="21"/>
                <w:szCs w:val="21"/>
                <w:highlight w:val="none"/>
                <w:lang w:val="en-US" w:eastAsia="zh-CN"/>
              </w:rPr>
              <w:t>，不合格或未提供的不得分。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4</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470000</w:t>
            </w:r>
            <w:r>
              <w:rPr>
                <w:rFonts w:hint="eastAsia" w:ascii="宋体" w:hAnsi="宋体" w:eastAsia="宋体" w:cs="宋体"/>
                <w:b w:val="0"/>
                <w:bCs/>
                <w:color w:val="auto"/>
                <w:sz w:val="21"/>
                <w:szCs w:val="21"/>
                <w:highlight w:val="none"/>
                <w:lang w:val="en-US" w:eastAsia="zh-CN"/>
              </w:rPr>
              <w:t>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color w:val="auto"/>
                <w:highlight w:val="none"/>
              </w:rPr>
            </w:pPr>
            <w:r>
              <w:rPr>
                <w:rFonts w:hint="eastAsia" w:ascii="宋体" w:hAnsi="宋体" w:eastAsia="宋体" w:cs="宋体"/>
                <w:b w:val="0"/>
                <w:bCs/>
                <w:color w:val="auto"/>
                <w:sz w:val="21"/>
                <w:szCs w:val="21"/>
                <w:highlight w:val="none"/>
                <w:lang w:val="en-US" w:eastAsia="zh-CN"/>
              </w:rPr>
              <w:t>5、本项分值由评标委员会负责组织计算，计算过程中，评标基准价B值、偏差率、报价得分均保留两位小数，小数点后第三位四舍五入。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78803381"/>
      <w:bookmarkStart w:id="123" w:name="_Toc246996975"/>
      <w:bookmarkStart w:id="124" w:name="_Toc506107324"/>
      <w:bookmarkStart w:id="125" w:name="_Toc152042366"/>
      <w:bookmarkStart w:id="126" w:name="_Toc152045589"/>
      <w:bookmarkStart w:id="127" w:name="_Toc179632607"/>
      <w:bookmarkStart w:id="128" w:name="_Toc35424947"/>
      <w:bookmarkStart w:id="129" w:name="_Toc6491"/>
      <w:bookmarkStart w:id="130" w:name="_Toc144974556"/>
      <w:bookmarkStart w:id="131" w:name="_Toc247085747"/>
      <w:bookmarkStart w:id="132" w:name="_Toc246996232"/>
      <w:bookmarkStart w:id="133" w:name="_Toc35425113"/>
      <w:bookmarkStart w:id="134" w:name="_Toc324404872"/>
      <w:bookmarkStart w:id="135" w:name="_Toc15058913"/>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179632608"/>
      <w:bookmarkStart w:id="138" w:name="_Toc246996233"/>
      <w:bookmarkStart w:id="139" w:name="_Toc247085748"/>
      <w:bookmarkStart w:id="140" w:name="_Toc152045590"/>
      <w:bookmarkStart w:id="141" w:name="_Toc296602478"/>
      <w:bookmarkStart w:id="142" w:name="_Toc152042367"/>
      <w:bookmarkStart w:id="143" w:name="_Toc246996976"/>
      <w:bookmarkStart w:id="144" w:name="_Toc144974557"/>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35425114"/>
      <w:bookmarkStart w:id="146" w:name="_Toc15058914"/>
      <w:bookmarkStart w:id="147" w:name="_Toc11945"/>
      <w:bookmarkStart w:id="148" w:name="_Toc35424948"/>
      <w:bookmarkStart w:id="149" w:name="_Toc78803382"/>
      <w:bookmarkStart w:id="150" w:name="_Toc506107325"/>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15058915"/>
      <w:bookmarkStart w:id="153" w:name="_Toc324404874"/>
      <w:bookmarkStart w:id="154" w:name="_Toc506107326"/>
      <w:bookmarkStart w:id="155" w:name="_Toc35424949"/>
      <w:bookmarkStart w:id="156" w:name="_Toc35425115"/>
      <w:bookmarkStart w:id="157" w:name="_Toc17377"/>
      <w:bookmarkStart w:id="158" w:name="_Toc78803384"/>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15058916"/>
      <w:bookmarkStart w:id="160" w:name="_Toc35424950"/>
      <w:bookmarkStart w:id="161" w:name="_Toc78803385"/>
      <w:bookmarkStart w:id="162" w:name="_Toc27389"/>
      <w:bookmarkStart w:id="163" w:name="_Toc35425116"/>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24650"/>
      <w:bookmarkStart w:id="165" w:name="_Toc35424951"/>
      <w:bookmarkStart w:id="166" w:name="_Toc35425117"/>
      <w:bookmarkStart w:id="167" w:name="_Toc1299"/>
      <w:bookmarkStart w:id="168" w:name="_Toc78803386"/>
      <w:bookmarkStart w:id="169" w:name="_Toc15058917"/>
      <w:bookmarkStart w:id="170" w:name="_Toc35425120"/>
      <w:bookmarkStart w:id="171" w:name="_Toc506107327"/>
      <w:bookmarkStart w:id="172" w:name="_Toc12200"/>
      <w:bookmarkStart w:id="173" w:name="_Toc35424954"/>
      <w:bookmarkStart w:id="174" w:name="_Toc324404875"/>
      <w:bookmarkStart w:id="175" w:name="_Toc15058919"/>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15058918"/>
      <w:bookmarkStart w:id="177" w:name="_Toc35424952"/>
      <w:bookmarkStart w:id="178" w:name="_Toc11990"/>
      <w:bookmarkStart w:id="179" w:name="_Toc35425118"/>
      <w:bookmarkStart w:id="180" w:name="_Toc78803387"/>
      <w:bookmarkStart w:id="181" w:name="_Toc1746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26895"/>
      <w:bookmarkStart w:id="183" w:name="_Toc78803388"/>
      <w:bookmarkStart w:id="184" w:name="_Toc35424953"/>
      <w:bookmarkStart w:id="185" w:name="_Toc18087"/>
      <w:bookmarkStart w:id="186" w:name="_Toc35425119"/>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9630"/>
      <w:bookmarkStart w:id="189" w:name="_Toc78803390"/>
      <w:r>
        <w:rPr>
          <w:rFonts w:hint="eastAsia" w:ascii="宋体" w:hAnsi="宋体" w:eastAsia="宋体" w:cs="宋体"/>
          <w:highlight w:val="none"/>
        </w:rPr>
        <w:t>4.1</w:t>
      </w:r>
      <w:bookmarkEnd w:id="188"/>
      <w:bookmarkEnd w:id="189"/>
      <w:bookmarkStart w:id="190" w:name="_Toc15058921"/>
      <w:bookmarkStart w:id="191" w:name="_Toc35424956"/>
      <w:bookmarkStart w:id="192" w:name="_Toc35425122"/>
      <w:bookmarkStart w:id="193" w:name="_Toc3531"/>
      <w:bookmarkStart w:id="194" w:name="_Toc7880339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35424957"/>
      <w:bookmarkStart w:id="197" w:name="_Toc506107328"/>
      <w:bookmarkStart w:id="198" w:name="_Toc35425123"/>
      <w:bookmarkStart w:id="199" w:name="_Toc13125"/>
      <w:bookmarkStart w:id="200" w:name="_Toc78803392"/>
      <w:bookmarkStart w:id="201" w:name="_Toc15058922"/>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35425124"/>
      <w:bookmarkStart w:id="203" w:name="_Toc78803393"/>
      <w:bookmarkStart w:id="204" w:name="_Toc27846"/>
      <w:bookmarkStart w:id="205" w:name="_Toc506107329"/>
      <w:bookmarkStart w:id="206" w:name="_Toc15058923"/>
      <w:bookmarkStart w:id="207" w:name="_Toc35424958"/>
      <w:bookmarkStart w:id="208" w:name="_Toc324404877"/>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78803394"/>
      <w:bookmarkStart w:id="210" w:name="_Toc35425125"/>
      <w:bookmarkStart w:id="211" w:name="_Toc15058924"/>
      <w:bookmarkStart w:id="212" w:name="_Toc35424959"/>
      <w:bookmarkStart w:id="213" w:name="_Toc13990"/>
      <w:bookmarkStart w:id="214" w:name="_Toc506107330"/>
      <w:bookmarkStart w:id="215" w:name="_Toc324404878"/>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506107331"/>
      <w:bookmarkStart w:id="217" w:name="_Toc78803395"/>
      <w:bookmarkStart w:id="218" w:name="_Toc324404879"/>
      <w:bookmarkStart w:id="219" w:name="_Toc15058925"/>
      <w:bookmarkStart w:id="220" w:name="_Toc35424960"/>
      <w:bookmarkStart w:id="221" w:name="_Toc22863"/>
      <w:bookmarkStart w:id="222" w:name="_Toc35425126"/>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15058926"/>
      <w:bookmarkStart w:id="224" w:name="_Toc35424961"/>
      <w:bookmarkStart w:id="225" w:name="_Toc324404880"/>
      <w:bookmarkStart w:id="226" w:name="_Toc35425127"/>
      <w:bookmarkStart w:id="227" w:name="_Toc1576"/>
      <w:bookmarkStart w:id="228" w:name="_Toc506107332"/>
      <w:bookmarkStart w:id="229" w:name="_Toc78803396"/>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79632627"/>
      <w:bookmarkStart w:id="231" w:name="_Toc324404881"/>
      <w:bookmarkStart w:id="232" w:name="_Toc246996252"/>
      <w:bookmarkStart w:id="233" w:name="_Toc152045609"/>
      <w:bookmarkStart w:id="234" w:name="_Toc247085767"/>
      <w:bookmarkStart w:id="235" w:name="_Toc246996995"/>
      <w:bookmarkStart w:id="236" w:name="_Toc144974577"/>
      <w:bookmarkStart w:id="237" w:name="_Toc152042387"/>
      <w:bookmarkStart w:id="238" w:name="_Toc417623601"/>
    </w:p>
    <w:bookmarkEnd w:id="230"/>
    <w:bookmarkEnd w:id="231"/>
    <w:bookmarkEnd w:id="232"/>
    <w:bookmarkEnd w:id="233"/>
    <w:bookmarkEnd w:id="234"/>
    <w:bookmarkEnd w:id="235"/>
    <w:bookmarkEnd w:id="236"/>
    <w:bookmarkEnd w:id="237"/>
    <w:bookmarkEnd w:id="238"/>
    <w:p w14:paraId="01EE8AAD">
      <w:pPr>
        <w:rPr>
          <w:highlight w:val="none"/>
        </w:rPr>
      </w:pPr>
      <w:bookmarkStart w:id="239" w:name="_Toc15058927"/>
      <w:bookmarkStart w:id="240" w:name="_Toc35425128"/>
      <w:bookmarkStart w:id="241" w:name="_Toc35424962"/>
      <w:bookmarkStart w:id="242" w:name="_Toc506107333"/>
      <w:bookmarkStart w:id="243" w:name="_Toc144974826"/>
      <w:bookmarkStart w:id="244" w:name="_Toc152045767"/>
      <w:bookmarkStart w:id="245" w:name="_Toc152042546"/>
      <w:bookmarkStart w:id="246" w:name="_Toc179632785"/>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246997097"/>
      <w:bookmarkStart w:id="249" w:name="_Toc324404888"/>
      <w:bookmarkStart w:id="250" w:name="_Toc78803398"/>
      <w:bookmarkStart w:id="251" w:name="_Toc179632806"/>
      <w:bookmarkStart w:id="252" w:name="_Toc152042575"/>
      <w:bookmarkStart w:id="253" w:name="_Toc506107340"/>
      <w:bookmarkStart w:id="254" w:name="_Toc35424970"/>
      <w:bookmarkStart w:id="255" w:name="_Toc246996354"/>
      <w:bookmarkStart w:id="256" w:name="_Toc35425136"/>
      <w:bookmarkStart w:id="257" w:name="_Toc144974855"/>
      <w:bookmarkStart w:id="258" w:name="_Toc152045786"/>
      <w:bookmarkStart w:id="259" w:name="_Toc247085872"/>
      <w:bookmarkStart w:id="260" w:name="_Toc15058934"/>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w:t>
      </w:r>
      <w:r>
        <w:rPr>
          <w:rFonts w:hint="eastAsia" w:ascii="宋体" w:hAnsi="宋体" w:cs="宋体"/>
          <w:b/>
          <w:sz w:val="21"/>
          <w:szCs w:val="21"/>
          <w:highlight w:val="none"/>
          <w:lang w:val="en-US" w:eastAsia="zh-CN"/>
        </w:rPr>
        <w:t>采购需求及要求</w:t>
      </w:r>
    </w:p>
    <w:p w14:paraId="58C644F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cs="宋体"/>
          <w:b/>
          <w:sz w:val="21"/>
          <w:szCs w:val="21"/>
          <w:highlight w:val="none"/>
          <w:lang w:val="en-US" w:eastAsia="zh-CN"/>
        </w:rPr>
      </w:pPr>
      <w:r>
        <w:rPr>
          <w:rFonts w:hint="eastAsia" w:ascii="宋体" w:hAnsi="宋体" w:cs="宋体"/>
          <w:b/>
          <w:sz w:val="21"/>
          <w:szCs w:val="21"/>
          <w:highlight w:val="none"/>
          <w:lang w:val="en-US" w:eastAsia="zh-CN"/>
        </w:rPr>
        <w:t>详见附件：工程量清单</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二</w:t>
      </w:r>
      <w:r>
        <w:rPr>
          <w:rFonts w:hint="eastAsia" w:ascii="宋体" w:hAnsi="宋体" w:eastAsia="宋体" w:cs="宋体"/>
          <w:b/>
          <w:sz w:val="21"/>
          <w:szCs w:val="21"/>
          <w:highlight w:val="none"/>
          <w:lang w:val="en-US" w:eastAsia="zh-CN"/>
        </w:rPr>
        <w:t>、</w:t>
      </w:r>
      <w:r>
        <w:rPr>
          <w:rFonts w:hint="eastAsia" w:ascii="宋体" w:hAnsi="宋体" w:cs="宋体"/>
          <w:b/>
          <w:sz w:val="21"/>
          <w:szCs w:val="21"/>
          <w:highlight w:val="none"/>
          <w:lang w:val="en-US" w:eastAsia="zh-CN"/>
        </w:rPr>
        <w:t>报价要求</w:t>
      </w:r>
    </w:p>
    <w:p w14:paraId="408E5D6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投标人应根据工程量清单</w:t>
      </w:r>
      <w:r>
        <w:rPr>
          <w:rFonts w:hint="eastAsia" w:ascii="宋体" w:hAnsi="宋体" w:cs="宋体"/>
          <w:color w:val="000000"/>
          <w:szCs w:val="21"/>
          <w:highlight w:val="none"/>
          <w:lang w:val="en-US" w:eastAsia="zh-CN"/>
        </w:rPr>
        <w:t>（详见附件）格式进行</w:t>
      </w:r>
      <w:r>
        <w:rPr>
          <w:rFonts w:hint="eastAsia" w:ascii="宋体" w:hAnsi="宋体" w:eastAsia="宋体" w:cs="宋体"/>
          <w:color w:val="000000"/>
          <w:szCs w:val="21"/>
          <w:highlight w:val="none"/>
          <w:lang w:val="en-US" w:eastAsia="zh-CN"/>
        </w:rPr>
        <w:t>分项报价。工程量清单应包含施工、材料、设备采购、安装调试及质保期内服务等全部内容；清单单价为全费用综合单价。</w:t>
      </w:r>
    </w:p>
    <w:p w14:paraId="445FB6D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48288666">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eastAsia="微软雅黑" w:cs="Times New Roman"/>
          <w:b/>
          <w:bCs/>
          <w:color w:val="000000" w:themeColor="text1"/>
          <w:sz w:val="44"/>
          <w:szCs w:val="44"/>
          <w:lang w:eastAsia="zh-CN"/>
          <w14:textFill>
            <w14:solidFill>
              <w14:schemeClr w14:val="tx1"/>
            </w14:solidFill>
          </w14:textFill>
        </w:rPr>
        <w:t>滁州至南京城际铁路（滁州段）二期工程高铁站、琅琊山站装饰装修及附属升级改造一标段项目</w:t>
      </w:r>
      <w:r>
        <w:rPr>
          <w:rFonts w:ascii="Times New Roman" w:hAnsi="Times New Roman" w:eastAsia="微软雅黑" w:cs="Times New Roman"/>
          <w:b/>
          <w:bCs/>
          <w:color w:val="000000" w:themeColor="text1"/>
          <w:sz w:val="44"/>
          <w:szCs w:val="44"/>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3"/>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3"/>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3"/>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215"/>
          <w:rFonts w:hint="eastAsia" w:ascii="宋体" w:hAnsi="宋体" w:eastAsia="宋体" w:cs="宋体"/>
          <w:color w:val="000000" w:themeColor="text1"/>
          <w:sz w:val="21"/>
          <w:szCs w:val="21"/>
          <w:u w:val="single"/>
          <w:lang w:eastAsia="zh-CN"/>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甲方（全称）</w:t>
      </w:r>
      <w:r>
        <w:rPr>
          <w:rStyle w:val="215"/>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滁州至南京城际铁路（滁州段）二期工程高铁站、琅琊山站装饰装修及附属升级改造一标段项目</w:t>
      </w:r>
      <w:r>
        <w:rPr>
          <w:rFonts w:hint="eastAsia" w:ascii="宋体" w:hAnsi="宋体" w:eastAsia="宋体" w:cs="宋体"/>
          <w:color w:val="000000" w:themeColor="text1"/>
          <w:sz w:val="21"/>
          <w:szCs w:val="21"/>
          <w:lang w:eastAsia="zh-CN"/>
          <w14:textFill>
            <w14:solidFill>
              <w14:schemeClr w14:val="tx1"/>
            </w14:solidFill>
          </w14:textFill>
        </w:rPr>
        <w:t>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05867CA0">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w:t>
      </w:r>
      <w:r>
        <w:rPr>
          <w:rFonts w:hint="eastAsia" w:ascii="宋体" w:hAnsi="宋体" w:eastAsia="宋体" w:cs="宋体"/>
          <w:color w:val="000000" w:themeColor="text1"/>
          <w:sz w:val="21"/>
          <w:szCs w:val="21"/>
          <w:lang w:val="en-US" w:eastAsia="zh-CN"/>
          <w14:textFill>
            <w14:solidFill>
              <w14:schemeClr w14:val="tx1"/>
            </w14:solidFill>
          </w14:textFill>
        </w:rPr>
        <w:t>标的</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滁州至南京城际铁路（滁州段）二期工程高铁站、琅琊山站装饰装修及附属升级改造一标段项目</w:t>
      </w:r>
      <w:r>
        <w:rPr>
          <w:rFonts w:hint="eastAsia" w:ascii="宋体" w:hAnsi="宋体" w:eastAsia="宋体" w:cs="宋体"/>
          <w:color w:val="000000" w:themeColor="text1"/>
          <w:sz w:val="21"/>
          <w:szCs w:val="21"/>
          <w:lang w:eastAsia="zh-CN"/>
          <w14:textFill>
            <w14:solidFill>
              <w14:schemeClr w14:val="tx1"/>
            </w14:solidFill>
          </w14:textFill>
        </w:rPr>
        <w:t>。</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cs="宋体"/>
          <w:color w:val="000000" w:themeColor="text1"/>
          <w:sz w:val="21"/>
          <w:szCs w:val="21"/>
          <w:highlight w:val="none"/>
          <w:lang w:val="en-US" w:eastAsia="zh-CN"/>
          <w14:textFill>
            <w14:solidFill>
              <w14:schemeClr w14:val="tx1"/>
            </w14:solidFill>
          </w14:textFill>
        </w:rPr>
        <w:t>滁州至南京城际铁路（滁州段）二期工程高铁站、琅琊山站装饰装修及附属升级改造一标段项目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37F048">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2.招标范围：高铁站、琅琊山站室内装饰及附属工程升级改造第一阶段</w:t>
      </w:r>
    </w:p>
    <w:p w14:paraId="277FEB5C">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3.服务验收标准：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本项目合同计价方式：固定单价。</w:t>
      </w:r>
    </w:p>
    <w:p w14:paraId="3AD913A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本合同价款：</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八、知识产权</w:t>
      </w:r>
    </w:p>
    <w:p w14:paraId="7B694A1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九、税费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6E40331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7002F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6E8021A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4"/>
        <w:ind w:firstLine="420"/>
        <w:rPr>
          <w:rFonts w:ascii="Times New Roman"/>
          <w:szCs w:val="24"/>
          <w:highlight w:val="none"/>
        </w:rPr>
      </w:pPr>
    </w:p>
    <w:p w14:paraId="3062FE47">
      <w:pPr>
        <w:rPr>
          <w:rFonts w:ascii="Times New Roman"/>
          <w:szCs w:val="24"/>
          <w:highlight w:val="none"/>
        </w:rPr>
      </w:pPr>
    </w:p>
    <w:p w14:paraId="78F93F73">
      <w:pPr>
        <w:pStyle w:val="14"/>
        <w:rPr>
          <w:rFonts w:ascii="Times New Roman"/>
          <w:szCs w:val="24"/>
          <w:highlight w:val="none"/>
        </w:rPr>
      </w:pPr>
    </w:p>
    <w:p w14:paraId="1E9D0BD8">
      <w:pPr>
        <w:rPr>
          <w:rFonts w:ascii="Times New Roman"/>
          <w:szCs w:val="24"/>
          <w:highlight w:val="none"/>
        </w:rPr>
      </w:pPr>
    </w:p>
    <w:p w14:paraId="13AFD6AD">
      <w:pPr>
        <w:pStyle w:val="14"/>
      </w:pPr>
    </w:p>
    <w:p w14:paraId="0799C826">
      <w:pPr>
        <w:pStyle w:val="14"/>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1" w:name="_Toc35424971"/>
      <w:bookmarkStart w:id="262" w:name="_Toc12683"/>
      <w:bookmarkStart w:id="263" w:name="_Toc35425137"/>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4" w:name="_Toc78803399"/>
      <w:r>
        <w:rPr>
          <w:rStyle w:val="121"/>
          <w:rFonts w:hint="eastAsia" w:ascii="宋体" w:hAnsi="宋体" w:cs="宋体"/>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3196197"/>
      <w:bookmarkStart w:id="266" w:name="_Toc26598"/>
      <w:bookmarkStart w:id="267" w:name="_Toc506107356"/>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4"/>
        <w:ind w:firstLine="560"/>
        <w:rPr>
          <w:rFonts w:eastAsia="黑体"/>
          <w:sz w:val="28"/>
          <w:szCs w:val="28"/>
          <w:highlight w:val="none"/>
        </w:rPr>
      </w:pPr>
    </w:p>
    <w:p w14:paraId="1D0BEC5C">
      <w:pPr>
        <w:rPr>
          <w:rFonts w:eastAsia="黑体"/>
          <w:sz w:val="28"/>
          <w:szCs w:val="28"/>
          <w:highlight w:val="none"/>
        </w:rPr>
      </w:pPr>
    </w:p>
    <w:p w14:paraId="28D93157">
      <w:pPr>
        <w:pStyle w:val="14"/>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5045D6E2">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技术</w:t>
      </w:r>
      <w:r>
        <w:rPr>
          <w:rFonts w:hint="eastAsia" w:ascii="宋体" w:hAnsi="宋体" w:eastAsia="宋体" w:cs="宋体"/>
          <w:szCs w:val="21"/>
          <w:highlight w:val="none"/>
          <w:lang w:val="en-US" w:eastAsia="zh-CN"/>
        </w:rPr>
        <w:t>方案；</w:t>
      </w:r>
    </w:p>
    <w:p w14:paraId="14093959">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）后期维护方案。</w:t>
      </w:r>
    </w:p>
    <w:p w14:paraId="3EC023F2">
      <w:pPr>
        <w:spacing w:line="440" w:lineRule="exact"/>
        <w:ind w:firstLine="420" w:firstLineChars="200"/>
        <w:jc w:val="left"/>
        <w:rPr>
          <w:rFonts w:hint="eastAsia" w:ascii="宋体" w:hAnsi="宋体" w:eastAsia="宋体" w:cs="宋体"/>
          <w:szCs w:val="21"/>
          <w:highlight w:val="none"/>
          <w:lang w:eastAsia="zh-CN"/>
        </w:rPr>
      </w:pPr>
    </w:p>
    <w:p w14:paraId="2EEC4B9E">
      <w:pPr>
        <w:pStyle w:val="14"/>
        <w:rPr>
          <w:rFonts w:hint="eastAsia"/>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0B4BEFCE">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w:t>
      </w:r>
      <w:r>
        <w:rPr>
          <w:rFonts w:hint="eastAsia" w:ascii="宋体" w:cs="Times New Roman"/>
          <w:color w:val="auto"/>
          <w:szCs w:val="21"/>
          <w:highlight w:val="none"/>
          <w:lang w:val="en-US" w:eastAsia="zh-CN"/>
        </w:rPr>
        <w:t>工程量清单</w:t>
      </w:r>
      <w:r>
        <w:rPr>
          <w:rFonts w:hint="eastAsia" w:ascii="宋体" w:hAnsi="Times New Roman" w:eastAsia="宋体" w:cs="Times New Roman"/>
          <w:color w:val="auto"/>
          <w:szCs w:val="21"/>
          <w:highlight w:val="none"/>
          <w:lang w:val="en-US" w:eastAsia="zh-CN"/>
        </w:rPr>
        <w:t>（格式见附件）；</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68" w:name="_Toc15058950"/>
      <w:bookmarkStart w:id="269" w:name="_Toc35425140"/>
      <w:bookmarkStart w:id="270" w:name="_Toc35424974"/>
      <w:bookmarkStart w:id="271" w:name="_Toc506107366"/>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64" w:firstLineChars="200"/>
        <w:jc w:val="left"/>
        <w:textAlignment w:val="auto"/>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3、一旦我方中标，我方将派出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建造师为本项目的项目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，保证按照招标人要求开始实施本项目，并在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个日历天（工期）内完成本合同的施工，并移交整个项目，项目质量达到</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合格</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标准。</w:t>
      </w:r>
    </w:p>
    <w:p w14:paraId="41DC06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4、随本投标书，我方同时按照招标文件的要求提交投标保证金。如果我方在本投标书有效期内撤回投标书，或在中标通知书下达后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C9C729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68"/>
    <w:bookmarkEnd w:id="269"/>
    <w:bookmarkEnd w:id="270"/>
    <w:bookmarkEnd w:id="271"/>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272" w:name="_Toc78803402"/>
    </w:p>
    <w:p w14:paraId="558628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color w:val="000000"/>
          <w:sz w:val="28"/>
          <w:szCs w:val="28"/>
          <w:highlight w:val="none"/>
          <w:lang w:eastAsia="zh-CN"/>
        </w:rPr>
        <w:t>（</w:t>
      </w:r>
      <w:r>
        <w:rPr>
          <w:rFonts w:hint="eastAsia" w:ascii="Times New Roman" w:hAnsi="Times New Roman" w:eastAsia="宋体" w:cs="Times New Roman"/>
          <w:b/>
          <w:color w:val="000000"/>
          <w:sz w:val="28"/>
          <w:szCs w:val="28"/>
          <w:highlight w:val="none"/>
          <w:lang w:val="en-US" w:eastAsia="zh-CN"/>
        </w:rPr>
        <w:t>2）</w:t>
      </w:r>
      <w:r>
        <w:rPr>
          <w:rFonts w:hint="eastAsia" w:cs="Times New Roman"/>
          <w:b/>
          <w:color w:val="000000"/>
          <w:sz w:val="28"/>
          <w:szCs w:val="28"/>
          <w:highlight w:val="none"/>
          <w:lang w:val="en-US" w:eastAsia="zh-CN"/>
        </w:rPr>
        <w:t>工程量清单</w:t>
      </w:r>
      <w:r>
        <w:rPr>
          <w:rFonts w:hint="eastAsia" w:ascii="Times New Roman" w:hAnsi="Times New Roman" w:eastAsia="宋体" w:cs="Times New Roman"/>
          <w:b/>
          <w:color w:val="000000"/>
          <w:sz w:val="28"/>
          <w:szCs w:val="28"/>
          <w:highlight w:val="none"/>
          <w:lang w:val="en-US" w:eastAsia="zh-CN"/>
        </w:rPr>
        <w:t>格式</w:t>
      </w:r>
    </w:p>
    <w:p w14:paraId="20831E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val="0"/>
          <w:bCs/>
          <w:color w:val="000000"/>
          <w:sz w:val="28"/>
          <w:szCs w:val="28"/>
          <w:highlight w:val="none"/>
          <w:lang w:val="en-US" w:eastAsia="zh-CN"/>
        </w:rPr>
        <w:t>详见附件</w:t>
      </w:r>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2"/>
    </w:p>
    <w:p w14:paraId="7D391125">
      <w:pPr>
        <w:pStyle w:val="21"/>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滁州至南京城际铁路（滁州段）二期工程高铁站、琅琊山站装饰装修及附属升级改造一标段项目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72A7FF77">
            <w:pPr>
              <w:pStyle w:val="14"/>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4EDF8AEB">
            <w:pPr>
              <w:pStyle w:val="14"/>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1"/>
      <w:rPr>
        <w:rStyle w:val="51"/>
      </w:rPr>
    </w:pPr>
  </w:p>
  <w:p w14:paraId="5343591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1"/>
      <w:rPr>
        <w:rStyle w:val="51"/>
      </w:rPr>
    </w:pPr>
  </w:p>
  <w:p w14:paraId="78B0040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1"/>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1"/>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7"/>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styleId="16">
    <w:name w:val="envelope return"/>
    <w:basedOn w:val="1"/>
    <w:qFormat/>
    <w:uiPriority w:val="0"/>
    <w:pPr>
      <w:snapToGrid w:val="0"/>
    </w:pPr>
    <w:rPr>
      <w:rFonts w:ascii="Arial" w:hAnsi="Arial"/>
    </w:rPr>
  </w:style>
  <w:style w:type="paragraph" w:styleId="17">
    <w:name w:val="List"/>
    <w:basedOn w:val="1"/>
    <w:qFormat/>
    <w:uiPriority w:val="0"/>
    <w:pPr>
      <w:ind w:left="420" w:hanging="420"/>
    </w:pPr>
  </w:style>
  <w:style w:type="paragraph" w:styleId="18">
    <w:name w:val="Document Map"/>
    <w:basedOn w:val="1"/>
    <w:qFormat/>
    <w:uiPriority w:val="0"/>
    <w:pPr>
      <w:shd w:val="clear" w:color="auto" w:fill="000080"/>
    </w:pPr>
  </w:style>
  <w:style w:type="paragraph" w:styleId="19">
    <w:name w:val="annotation text"/>
    <w:basedOn w:val="1"/>
    <w:link w:val="113"/>
    <w:qFormat/>
    <w:uiPriority w:val="0"/>
    <w:pPr>
      <w:jc w:val="left"/>
    </w:pPr>
  </w:style>
  <w:style w:type="paragraph" w:styleId="20">
    <w:name w:val="Body Text 3"/>
    <w:basedOn w:val="1"/>
    <w:qFormat/>
    <w:uiPriority w:val="0"/>
    <w:rPr>
      <w:rFonts w:ascii="宋体"/>
      <w:sz w:val="24"/>
      <w:szCs w:val="20"/>
    </w:rPr>
  </w:style>
  <w:style w:type="paragraph" w:styleId="21">
    <w:name w:val="Body Text"/>
    <w:basedOn w:val="1"/>
    <w:next w:val="22"/>
    <w:link w:val="143"/>
    <w:qFormat/>
    <w:uiPriority w:val="0"/>
  </w:style>
  <w:style w:type="paragraph" w:customStyle="1" w:styleId="2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3">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next w:val="1"/>
    <w:link w:val="137"/>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line="360" w:lineRule="exact"/>
      <w:ind w:firstLine="600" w:firstLineChars="250"/>
      <w:jc w:val="left"/>
    </w:pPr>
    <w:rPr>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9"/>
    <w:next w:val="19"/>
    <w:qFormat/>
    <w:uiPriority w:val="0"/>
    <w:rPr>
      <w:b/>
      <w:bCs/>
    </w:rPr>
  </w:style>
  <w:style w:type="paragraph" w:styleId="46">
    <w:name w:val="Body Text First Indent"/>
    <w:basedOn w:val="21"/>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9"/>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6"/>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1"/>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18095</Words>
  <Characters>19001</Characters>
  <Lines>411</Lines>
  <Paragraphs>115</Paragraphs>
  <TotalTime>17</TotalTime>
  <ScaleCrop>false</ScaleCrop>
  <LinksUpToDate>false</LinksUpToDate>
  <CharactersWithSpaces>19486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2026-01-13T08:43:46Z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