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both"/>
        <w:rPr>
          <w:rFonts w:ascii="宋体" w:hAnsi="宋体" w:cs="宋体"/>
          <w:b/>
          <w:kern w:val="0"/>
          <w:sz w:val="44"/>
          <w:szCs w:val="44"/>
          <w:highlight w:val="none"/>
        </w:rPr>
      </w:pPr>
      <w:bookmarkStart w:id="0" w:name="_Toc506107265"/>
      <w:bookmarkStart w:id="1" w:name="_Toc296602400"/>
      <w:bookmarkStart w:id="2" w:name="_Toc246996898"/>
      <w:bookmarkStart w:id="3" w:name="_Toc461631222"/>
      <w:bookmarkStart w:id="4" w:name="_Toc247085669"/>
      <w:bookmarkStart w:id="5" w:name="_Toc324404811"/>
      <w:bookmarkStart w:id="6" w:name="_Toc15058843"/>
      <w:bookmarkStart w:id="7" w:name="OLE_LINK2"/>
      <w:bookmarkStart w:id="8" w:name="OLE_LINK4"/>
      <w:bookmarkStart w:id="9" w:name="OLE_LINK5"/>
      <w:bookmarkStart w:id="10" w:name="OLE_LINK3"/>
      <w:bookmarkStart w:id="11" w:name="OLE_LINK1"/>
    </w:p>
    <w:p w14:paraId="2A2621CC">
      <w:pPr>
        <w:pStyle w:val="16"/>
        <w:ind w:left="0" w:leftChars="0" w:firstLine="0" w:firstLineChars="0"/>
        <w:jc w:val="center"/>
        <w:rPr>
          <w:sz w:val="20"/>
          <w:szCs w:val="18"/>
          <w:highlight w:val="none"/>
        </w:rPr>
      </w:pPr>
      <w:r>
        <w:rPr>
          <w:rFonts w:hint="eastAsia" w:hAnsi="宋体" w:cs="宋体"/>
          <w:b/>
          <w:color w:val="auto"/>
          <w:kern w:val="0"/>
          <w:sz w:val="56"/>
          <w:szCs w:val="56"/>
          <w:highlight w:val="none"/>
          <w:lang w:eastAsia="zh-CN"/>
        </w:rPr>
        <w:t>滁州至南京城际铁路（滁州段）二期工程高铁站、花博园站、琅琊山站装饰装修及附属升级改造方案设计项目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6"/>
        <w:rPr>
          <w:color w:val="auto"/>
          <w:highlight w:val="none"/>
        </w:rPr>
      </w:pPr>
    </w:p>
    <w:p w14:paraId="691FE4D6">
      <w:pPr>
        <w:rPr>
          <w:color w:val="auto"/>
          <w:highlight w:val="none"/>
        </w:rPr>
      </w:pPr>
    </w:p>
    <w:p w14:paraId="7E411827">
      <w:pPr>
        <w:pStyle w:val="16"/>
        <w:rPr>
          <w:color w:val="auto"/>
          <w:highlight w:val="none"/>
        </w:rPr>
      </w:pPr>
    </w:p>
    <w:p w14:paraId="6CF62471">
      <w:pPr>
        <w:rPr>
          <w:color w:val="auto"/>
          <w:highlight w:val="none"/>
        </w:rPr>
      </w:pPr>
    </w:p>
    <w:p w14:paraId="276FE2C2">
      <w:pPr>
        <w:pStyle w:val="16"/>
        <w:rPr>
          <w:color w:val="auto"/>
          <w:highlight w:val="none"/>
        </w:rPr>
      </w:pPr>
    </w:p>
    <w:p w14:paraId="3BD0CE75">
      <w:pPr>
        <w:rPr>
          <w:color w:val="auto"/>
          <w:highlight w:val="none"/>
        </w:rPr>
      </w:pPr>
    </w:p>
    <w:p w14:paraId="57C971B3">
      <w:pPr>
        <w:pStyle w:val="16"/>
        <w:ind w:left="0" w:leftChars="0" w:firstLine="0" w:firstLineChars="0"/>
        <w:rPr>
          <w:highlight w:val="none"/>
        </w:rPr>
      </w:pPr>
    </w:p>
    <w:p w14:paraId="00CEC72B">
      <w:pPr>
        <w:rPr>
          <w:highlight w:val="none"/>
        </w:rPr>
      </w:pPr>
    </w:p>
    <w:p w14:paraId="0FB3EFCA">
      <w:pPr>
        <w:pStyle w:val="16"/>
        <w:rPr>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5</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12</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2287"/>
      <w:bookmarkStart w:id="13" w:name="_Toc144974479"/>
      <w:bookmarkStart w:id="14" w:name="_Toc152045511"/>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3</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27</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37</w:t>
      </w:r>
    </w:p>
    <w:p w14:paraId="6F3E9F9B">
      <w:pPr>
        <w:pStyle w:val="16"/>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246996173"/>
      <w:bookmarkStart w:id="17" w:name="_Toc247085687"/>
      <w:bookmarkStart w:id="18" w:name="_Toc35425050"/>
      <w:bookmarkStart w:id="19" w:name="_Toc35424883"/>
      <w:bookmarkStart w:id="20" w:name="_Toc324404813"/>
      <w:bookmarkStart w:id="21" w:name="_Toc15058844"/>
      <w:bookmarkStart w:id="22" w:name="_Toc246996916"/>
      <w:bookmarkStart w:id="23" w:name="_Toc506107267"/>
      <w:bookmarkStart w:id="24" w:name="_Toc179632544"/>
      <w:bookmarkStart w:id="25" w:name="_Toc152042303"/>
      <w:bookmarkStart w:id="26" w:name="_Toc78803321"/>
      <w:bookmarkStart w:id="27" w:name="_Toc144974495"/>
      <w:bookmarkStart w:id="28" w:name="_Toc152045527"/>
      <w:r>
        <w:rPr>
          <w:rFonts w:hint="eastAsia"/>
          <w:bCs/>
          <w:szCs w:val="32"/>
          <w:highlight w:val="none"/>
          <w:lang w:eastAsia="zh-CN"/>
        </w:rPr>
        <w:t>第一章</w:t>
      </w:r>
      <w:r>
        <w:rPr>
          <w:rFonts w:hint="eastAsia"/>
          <w:bCs/>
          <w:szCs w:val="32"/>
          <w:highlight w:val="none"/>
          <w:lang w:val="en-US"/>
        </w:rPr>
        <w:t xml:space="preserve">  </w:t>
      </w:r>
      <w:bookmarkStart w:id="29" w:name="_Toc18980_WPSOffice_Level1"/>
      <w:bookmarkEnd w:id="29"/>
      <w:bookmarkStart w:id="30" w:name="_Toc7358"/>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28359079"/>
      <w:bookmarkEnd w:id="31"/>
      <w:bookmarkStart w:id="32" w:name="_Toc28359002"/>
      <w:bookmarkEnd w:id="32"/>
      <w:bookmarkStart w:id="33" w:name="_Toc35393621"/>
      <w:bookmarkEnd w:id="33"/>
      <w:bookmarkStart w:id="34" w:name="_Toc58430305"/>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滁州至南京城际铁路（滁州段）二期工程高铁站、花博园站、琅琊山站装饰装修及附属升级改造方案设计项目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的潜在投标人应在滁州市滁宁城际铁路开发建设有限公司网站（http://czctgs.cn/）获取招标文件，并于2025年</w:t>
      </w:r>
      <w:r>
        <w:rPr>
          <w:rFonts w:hint="eastAsia" w:ascii="宋体" w:hAnsi="宋体" w:cs="宋体"/>
          <w:color w:val="000000"/>
          <w:kern w:val="0"/>
          <w:sz w:val="24"/>
          <w:szCs w:val="24"/>
          <w:highlight w:val="none"/>
          <w:u w:color="000000"/>
          <w:lang w:val="en-US" w:eastAsia="zh-CN" w:bidi="ar"/>
        </w:rPr>
        <w:t>12</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23</w:t>
      </w:r>
      <w:r>
        <w:rPr>
          <w:rFonts w:hint="eastAsia" w:ascii="宋体" w:hAnsi="宋体" w:eastAsia="宋体" w:cs="宋体"/>
          <w:color w:val="000000"/>
          <w:kern w:val="0"/>
          <w:sz w:val="24"/>
          <w:szCs w:val="24"/>
          <w:highlight w:val="none"/>
          <w:u w:color="000000"/>
          <w:lang w:val="en-US" w:eastAsia="zh-CN" w:bidi="ar"/>
        </w:rPr>
        <w:t>日15时00分（北京时间）前递交投标文件。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7B2A098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sz w:val="24"/>
          <w:szCs w:val="28"/>
          <w:highlight w:val="none"/>
          <w:lang w:val="en-US" w:eastAsia="zh-CN"/>
        </w:rPr>
      </w:pPr>
      <w:r>
        <w:rPr>
          <w:rFonts w:hint="eastAsia" w:ascii="宋体" w:hAnsi="宋体" w:eastAsia="宋体"/>
          <w:sz w:val="24"/>
          <w:szCs w:val="28"/>
          <w:highlight w:val="none"/>
          <w:lang w:val="en-US" w:eastAsia="zh-CN"/>
        </w:rPr>
        <w:t>项目名称：滁州至南京城际铁路（滁州段）二期工程高铁站、花博园站、琅琊山站装饰装修及附属升级改造方案设计项目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b w:val="0"/>
          <w:bCs w:val="0"/>
          <w:color w:val="000000"/>
          <w:kern w:val="0"/>
          <w:sz w:val="24"/>
          <w:szCs w:val="24"/>
          <w:highlight w:val="none"/>
          <w:u w:color="000000"/>
          <w:lang w:val="en-US" w:eastAsia="zh-CN" w:bidi="ar"/>
        </w:rPr>
        <w:t>295000.00</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cs="宋体"/>
          <w:b w:val="0"/>
          <w:bCs w:val="0"/>
          <w:color w:val="000000"/>
          <w:kern w:val="0"/>
          <w:sz w:val="24"/>
          <w:szCs w:val="24"/>
          <w:highlight w:val="none"/>
          <w:u w:color="000000"/>
          <w:lang w:val="en-US" w:eastAsia="zh-CN" w:bidi="ar"/>
        </w:rPr>
        <w:t>295000.00</w:t>
      </w:r>
      <w:r>
        <w:rPr>
          <w:rFonts w:hint="eastAsia" w:ascii="宋体" w:hAnsi="宋体" w:eastAsia="宋体" w:cs="宋体"/>
          <w:b w:val="0"/>
          <w:bCs w:val="0"/>
          <w:color w:val="000000"/>
          <w:kern w:val="0"/>
          <w:sz w:val="24"/>
          <w:szCs w:val="24"/>
          <w:highlight w:val="none"/>
          <w:u w:color="000000"/>
          <w:lang w:val="en-US" w:eastAsia="zh-CN" w:bidi="ar"/>
        </w:rPr>
        <w:t>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eastAsia="宋体"/>
          <w:sz w:val="24"/>
          <w:szCs w:val="28"/>
          <w:highlight w:val="none"/>
        </w:rPr>
        <w:t>对滁宁城际沿线三个站点——滁州高铁站站、花博园站、琅琊山站站内公共空间、站房、站外闲置空间进行改造，引入多元商业业态，打造网红车站</w:t>
      </w:r>
      <w:r>
        <w:rPr>
          <w:rFonts w:hint="eastAsia" w:ascii="宋体" w:hAnsi="宋体" w:eastAsia="宋体" w:cs="宋体"/>
          <w:color w:val="000000"/>
          <w:kern w:val="0"/>
          <w:sz w:val="24"/>
          <w:szCs w:val="24"/>
          <w:highlight w:val="none"/>
          <w:u w:color="000000"/>
          <w:lang w:val="en-US" w:eastAsia="zh-CN" w:bidi="ar"/>
        </w:rPr>
        <w:t>。</w:t>
      </w:r>
    </w:p>
    <w:p w14:paraId="0178D75D">
      <w:pPr>
        <w:pStyle w:val="66"/>
        <w:spacing w:line="360" w:lineRule="auto"/>
        <w:ind w:left="0" w:firstLine="480" w:firstLineChars="200"/>
        <w:rPr>
          <w:rFonts w:hint="default"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服务</w:t>
      </w:r>
      <w:r>
        <w:rPr>
          <w:rFonts w:hint="eastAsia" w:ascii="宋体" w:hAnsi="宋体" w:eastAsia="宋体" w:cs="宋体"/>
          <w:color w:val="000000"/>
          <w:kern w:val="0"/>
          <w:sz w:val="24"/>
          <w:szCs w:val="24"/>
          <w:highlight w:val="none"/>
          <w:u w:color="000000"/>
          <w:lang w:val="en-US" w:eastAsia="zh-CN" w:bidi="ar"/>
        </w:rPr>
        <w:t>期：</w:t>
      </w:r>
      <w:r>
        <w:rPr>
          <w:rFonts w:ascii="宋体" w:hAnsi="宋体" w:eastAsia="宋体"/>
          <w:sz w:val="24"/>
          <w:szCs w:val="28"/>
          <w:highlight w:val="none"/>
        </w:rPr>
        <w:t>合同签订后10个日历天内完成</w:t>
      </w:r>
      <w:r>
        <w:rPr>
          <w:rFonts w:hint="eastAsia" w:ascii="宋体" w:hAnsi="宋体" w:eastAsia="宋体"/>
          <w:sz w:val="24"/>
          <w:szCs w:val="28"/>
          <w:highlight w:val="none"/>
          <w:lang w:val="en-US" w:eastAsia="zh-CN"/>
        </w:rPr>
        <w:t>初步方案编制</w:t>
      </w:r>
      <w:r>
        <w:rPr>
          <w:rFonts w:ascii="宋体" w:hAnsi="宋体" w:eastAsia="宋体"/>
          <w:sz w:val="24"/>
          <w:szCs w:val="28"/>
          <w:highlight w:val="none"/>
        </w:rPr>
        <w:t>，</w:t>
      </w:r>
      <w:r>
        <w:rPr>
          <w:rFonts w:hint="eastAsia" w:ascii="宋体" w:hAnsi="宋体" w:eastAsia="宋体"/>
          <w:sz w:val="24"/>
          <w:szCs w:val="28"/>
          <w:highlight w:val="none"/>
          <w:lang w:val="en-US" w:eastAsia="zh-CN"/>
        </w:rPr>
        <w:t>初步方案</w:t>
      </w:r>
      <w:r>
        <w:rPr>
          <w:rFonts w:hint="eastAsia" w:ascii="宋体" w:hAnsi="宋体"/>
          <w:sz w:val="24"/>
          <w:szCs w:val="28"/>
          <w:highlight w:val="none"/>
          <w:lang w:val="en-US" w:eastAsia="zh-CN"/>
        </w:rPr>
        <w:t>编制</w:t>
      </w:r>
      <w:r>
        <w:rPr>
          <w:rFonts w:ascii="宋体" w:hAnsi="宋体" w:eastAsia="宋体"/>
          <w:sz w:val="24"/>
          <w:szCs w:val="28"/>
          <w:highlight w:val="none"/>
        </w:rPr>
        <w:t>成果通过审核后20</w:t>
      </w:r>
      <w:r>
        <w:rPr>
          <w:rFonts w:hint="eastAsia" w:ascii="宋体" w:hAnsi="宋体" w:eastAsia="宋体"/>
          <w:sz w:val="24"/>
          <w:szCs w:val="28"/>
          <w:highlight w:val="none"/>
          <w:lang w:val="en-US" w:eastAsia="zh-CN"/>
        </w:rPr>
        <w:t>个</w:t>
      </w:r>
      <w:r>
        <w:rPr>
          <w:rFonts w:ascii="宋体" w:hAnsi="宋体" w:eastAsia="宋体"/>
          <w:sz w:val="24"/>
          <w:szCs w:val="28"/>
          <w:highlight w:val="none"/>
        </w:rPr>
        <w:t>日历天内，完成</w:t>
      </w:r>
      <w:r>
        <w:rPr>
          <w:rFonts w:hint="eastAsia" w:ascii="宋体" w:hAnsi="宋体" w:eastAsia="宋体"/>
          <w:sz w:val="24"/>
          <w:szCs w:val="28"/>
          <w:highlight w:val="none"/>
        </w:rPr>
        <w:t>深化</w:t>
      </w:r>
      <w:r>
        <w:rPr>
          <w:rFonts w:hint="eastAsia" w:ascii="宋体" w:hAnsi="宋体" w:eastAsia="宋体"/>
          <w:sz w:val="24"/>
          <w:szCs w:val="28"/>
          <w:highlight w:val="none"/>
          <w:lang w:val="en-US" w:eastAsia="zh-CN"/>
        </w:rPr>
        <w:t>方案编制并提交成果文件</w:t>
      </w:r>
      <w:r>
        <w:rPr>
          <w:rFonts w:hint="eastAsia" w:ascii="宋体" w:hAnsi="宋体" w:eastAsia="宋体"/>
          <w:sz w:val="24"/>
          <w:szCs w:val="28"/>
          <w:highlight w:val="none"/>
        </w:rPr>
        <w:t>。</w:t>
      </w:r>
    </w:p>
    <w:p w14:paraId="7C79C6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762EFA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1.投标人须具有独立法人资格且具备相应服务能力。</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2.投标人须具有城乡规划编制乙级或以上资质。</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2025年</w:t>
      </w:r>
      <w:r>
        <w:rPr>
          <w:rFonts w:hint="eastAsia" w:ascii="宋体" w:hAnsi="宋体" w:cs="宋体"/>
          <w:color w:val="000000"/>
          <w:kern w:val="0"/>
          <w:sz w:val="24"/>
          <w:szCs w:val="24"/>
          <w:highlight w:val="none"/>
          <w:u w:val="single" w:color="000000"/>
          <w:lang w:val="en-US" w:eastAsia="zh-CN" w:bidi="ar"/>
        </w:rPr>
        <w:t>12</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17</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w:t>
      </w:r>
      <w:r>
        <w:rPr>
          <w:rFonts w:hint="eastAsia" w:ascii="宋体" w:hAnsi="宋体" w:cs="宋体"/>
          <w:color w:val="000000"/>
          <w:kern w:val="0"/>
          <w:sz w:val="24"/>
          <w:szCs w:val="24"/>
          <w:highlight w:val="none"/>
          <w:u w:val="single" w:color="000000"/>
          <w:lang w:val="en-US" w:eastAsia="zh-CN" w:bidi="ar"/>
        </w:rPr>
        <w:t>12</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23</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28359005"/>
      <w:bookmarkEnd w:id="36"/>
      <w:bookmarkStart w:id="37" w:name="_Toc58430308"/>
      <w:bookmarkEnd w:id="37"/>
      <w:bookmarkStart w:id="38" w:name="_Toc35393793"/>
      <w:bookmarkEnd w:id="38"/>
      <w:bookmarkStart w:id="39" w:name="_Toc28359082"/>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w:t>
      </w:r>
      <w:r>
        <w:rPr>
          <w:rFonts w:hint="eastAsia" w:ascii="宋体" w:hAnsi="宋体" w:cs="宋体"/>
          <w:bCs/>
          <w:color w:val="000000"/>
          <w:kern w:val="0"/>
          <w:sz w:val="24"/>
          <w:szCs w:val="24"/>
          <w:highlight w:val="none"/>
          <w:u w:val="single" w:color="000000"/>
          <w:lang w:val="en-US" w:eastAsia="zh-CN" w:bidi="ar"/>
        </w:rPr>
        <w:t>12</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23</w:t>
      </w:r>
      <w:r>
        <w:rPr>
          <w:rFonts w:hint="eastAsia" w:ascii="宋体" w:hAnsi="宋体" w:eastAsia="宋体" w:cs="宋体"/>
          <w:bCs/>
          <w:color w:val="000000"/>
          <w:kern w:val="0"/>
          <w:sz w:val="24"/>
          <w:szCs w:val="24"/>
          <w:highlight w:val="none"/>
          <w:u w:val="single" w:color="000000"/>
          <w:lang w:val="en-US" w:eastAsia="zh-CN" w:bidi="ar"/>
        </w:rPr>
        <w:t>日15时00分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09"/>
      <w:bookmarkStart w:id="42" w:name="_Toc28359086"/>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5424884"/>
      <w:bookmarkStart w:id="45" w:name="_Toc35425051"/>
      <w:bookmarkStart w:id="46" w:name="_Toc15058845"/>
      <w:bookmarkStart w:id="47" w:name="_Toc324404814"/>
      <w:bookmarkStart w:id="48" w:name="_Toc246996917"/>
      <w:bookmarkStart w:id="49" w:name="_Toc179632545"/>
      <w:bookmarkStart w:id="50" w:name="_Toc152042304"/>
      <w:bookmarkStart w:id="51" w:name="_Toc247085688"/>
      <w:bookmarkStart w:id="52" w:name="_Toc246996174"/>
      <w:bookmarkStart w:id="53" w:name="_Toc144974496"/>
      <w:bookmarkStart w:id="54" w:name="_Toc506107268"/>
      <w:bookmarkStart w:id="55" w:name="_Toc152045528"/>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144974497"/>
            <w:bookmarkStart w:id="57" w:name="_Toc152045529"/>
            <w:bookmarkStart w:id="58" w:name="_Toc152042305"/>
            <w:bookmarkStart w:id="59" w:name="_Toc78803322"/>
            <w:bookmarkStart w:id="60" w:name="_Toc324404815"/>
            <w:bookmarkStart w:id="61" w:name="_Toc247085689"/>
            <w:bookmarkStart w:id="62" w:name="_Toc35424887"/>
            <w:bookmarkStart w:id="63" w:name="_Toc5813"/>
            <w:bookmarkStart w:id="64" w:name="_Toc35425053"/>
            <w:bookmarkStart w:id="65" w:name="_Toc506107269"/>
            <w:bookmarkStart w:id="66" w:name="_Toc246996175"/>
            <w:bookmarkStart w:id="67" w:name="_Toc179632546"/>
            <w:bookmarkStart w:id="68" w:name="_Toc246996918"/>
            <w:bookmarkStart w:id="69" w:name="_Toc15058846"/>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滁州至南京城际铁路（滁州段）二期工程高铁站、花博园站、琅琊山站装饰装修及附属升级改造方案设计项目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295000.00元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295000.00元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rPr>
              <w:t>招标人不组织踏勘</w:t>
            </w:r>
            <w:r>
              <w:rPr>
                <w:rFonts w:hint="eastAsia" w:cs="Times New Roman"/>
                <w:highlight w:val="none"/>
                <w:lang w:eastAsia="zh-CN"/>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eastAsia="宋体" w:cs="宋体"/>
                <w:b w:val="0"/>
                <w:bCs w:val="0"/>
                <w:highlight w:val="none"/>
                <w:lang w:val="en-US" w:eastAsia="zh-CN"/>
              </w:rPr>
              <w:t>5</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12</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19</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w:t>
            </w:r>
            <w:r>
              <w:rPr>
                <w:rFonts w:hint="eastAsia" w:ascii="宋体" w:hAnsi="宋体" w:cs="宋体"/>
                <w:b w:val="0"/>
                <w:bCs w:val="0"/>
                <w:highlight w:val="none"/>
                <w:lang w:val="en-US" w:eastAsia="zh-CN"/>
              </w:rPr>
              <w:t>2</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2025年</w:t>
            </w:r>
            <w:r>
              <w:rPr>
                <w:rFonts w:hint="eastAsia" w:ascii="宋体" w:hAnsi="宋体" w:cs="宋体"/>
                <w:b w:val="0"/>
                <w:bCs w:val="0"/>
                <w:color w:val="auto"/>
                <w:kern w:val="2"/>
                <w:sz w:val="21"/>
                <w:szCs w:val="21"/>
                <w:highlight w:val="none"/>
                <w:u w:color="auto"/>
                <w:lang w:val="en-US" w:eastAsia="zh-CN" w:bidi="ar"/>
              </w:rPr>
              <w:t>12</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19</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5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23</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开标时间：2025年12月23日15时00分（北京时间）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73"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4714476">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中标人提交初步设计方案后支付合同价款的50%；完成深化设计方案并提交成果文件后支付至合同价款的95%，剩余5%待第一阶段根据深化设计方案实施完毕后一次性付清。</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35425105"/>
      <w:bookmarkStart w:id="73" w:name="_Toc35424939"/>
      <w:bookmarkStart w:id="74" w:name="_Toc506107317"/>
      <w:bookmarkStart w:id="75" w:name="_Toc15058902"/>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w:t>
      </w:r>
      <w:r>
        <w:rPr>
          <w:rFonts w:hint="eastAsia" w:ascii="宋体" w:hAnsi="宋体" w:cs="宋体"/>
          <w:color w:val="000000"/>
          <w:kern w:val="0"/>
          <w:sz w:val="21"/>
          <w:szCs w:val="21"/>
          <w:highlight w:val="none"/>
          <w:u w:val="single" w:color="000000"/>
          <w:lang w:val="en-US" w:eastAsia="zh-CN" w:bidi="ar"/>
        </w:rPr>
        <w:t>总</w:t>
      </w:r>
      <w:r>
        <w:rPr>
          <w:rFonts w:hint="eastAsia" w:ascii="宋体" w:hAnsi="宋体" w:eastAsia="宋体" w:cs="宋体"/>
          <w:color w:val="000000"/>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152045539"/>
      <w:bookmarkEnd w:id="77"/>
      <w:bookmarkStart w:id="78" w:name="_Toc296602429"/>
      <w:bookmarkEnd w:id="78"/>
      <w:bookmarkStart w:id="79" w:name="_Toc144974507"/>
      <w:bookmarkEnd w:id="79"/>
      <w:bookmarkStart w:id="80" w:name="_Toc247527563"/>
      <w:bookmarkEnd w:id="80"/>
      <w:bookmarkStart w:id="81" w:name="_Toc152042315"/>
      <w:bookmarkEnd w:id="81"/>
      <w:bookmarkStart w:id="82" w:name="_Toc247513962"/>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10668_WPSOffice_Level3"/>
      <w:bookmarkEnd w:id="84"/>
      <w:bookmarkStart w:id="85" w:name="_Toc24655"/>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51897AE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设计费、人工费、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价即为履行合同的固定</w:t>
      </w:r>
      <w:r>
        <w:rPr>
          <w:rFonts w:hint="eastAsia" w:ascii="宋体" w:hAnsi="宋体" w:cs="宋体"/>
          <w:color w:val="000000"/>
          <w:kern w:val="0"/>
          <w:sz w:val="21"/>
          <w:szCs w:val="21"/>
          <w:highlight w:val="none"/>
          <w:u w:color="000000"/>
          <w:lang w:val="en-US" w:eastAsia="zh-CN" w:bidi="ar"/>
        </w:rPr>
        <w:t>总</w:t>
      </w:r>
      <w:r>
        <w:rPr>
          <w:rFonts w:hint="eastAsia" w:ascii="宋体" w:hAnsi="宋体" w:eastAsia="宋体" w:cs="宋体"/>
          <w:color w:val="000000"/>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35425111"/>
      <w:bookmarkStart w:id="102" w:name="_Toc15058912"/>
      <w:bookmarkStart w:id="103" w:name="_Toc35424945"/>
      <w:bookmarkStart w:id="104" w:name="_Toc506107323"/>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1F02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50333702">
            <w:pPr>
              <w:spacing w:line="320" w:lineRule="exact"/>
              <w:jc w:val="center"/>
              <w:rPr>
                <w:rFonts w:hint="eastAsia" w:ascii="宋体" w:hAnsi="宋体"/>
                <w:color w:val="000000"/>
                <w:szCs w:val="21"/>
                <w:highlight w:val="none"/>
              </w:rPr>
            </w:pPr>
          </w:p>
        </w:tc>
        <w:tc>
          <w:tcPr>
            <w:tcW w:w="1235" w:type="dxa"/>
            <w:vMerge w:val="continue"/>
            <w:vAlign w:val="center"/>
          </w:tcPr>
          <w:p w14:paraId="25C2AFAE">
            <w:pPr>
              <w:spacing w:line="320" w:lineRule="exact"/>
              <w:rPr>
                <w:rFonts w:hint="eastAsia" w:ascii="宋体" w:hAnsi="宋体"/>
                <w:color w:val="000000"/>
                <w:szCs w:val="21"/>
                <w:highlight w:val="none"/>
              </w:rPr>
            </w:pPr>
          </w:p>
        </w:tc>
        <w:tc>
          <w:tcPr>
            <w:tcW w:w="3008" w:type="dxa"/>
            <w:vAlign w:val="center"/>
          </w:tcPr>
          <w:p w14:paraId="0BAADF5F">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（3）具有城乡规划编制乙级或以上资质</w:t>
            </w:r>
          </w:p>
        </w:tc>
        <w:tc>
          <w:tcPr>
            <w:tcW w:w="3929" w:type="dxa"/>
            <w:vAlign w:val="center"/>
          </w:tcPr>
          <w:p w14:paraId="5542EFFC">
            <w:pPr>
              <w:spacing w:line="320" w:lineRule="exact"/>
              <w:rPr>
                <w:rFonts w:hint="eastAsia" w:ascii="宋体" w:hAnsi="宋体" w:eastAsia="宋体" w:cs="Times New Roman"/>
                <w:color w:val="000000"/>
                <w:szCs w:val="21"/>
                <w:highlight w:val="none"/>
              </w:rPr>
            </w:pPr>
            <w:r>
              <w:rPr>
                <w:rFonts w:hint="eastAsia"/>
                <w:color w:val="000000"/>
                <w:highlight w:val="none"/>
              </w:rPr>
              <w:t>检验电子标书。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300AFC1F">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widowControl/>
              <w:autoSpaceDE w:val="0"/>
              <w:spacing w:line="480" w:lineRule="exact"/>
              <w:jc w:val="both"/>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4</w:t>
            </w:r>
            <w:r>
              <w:rPr>
                <w:rFonts w:hint="eastAsia" w:ascii="宋体" w:hAnsi="宋体" w:eastAsia="宋体" w:cs="Times New Roman"/>
                <w:color w:val="000000"/>
                <w:szCs w:val="21"/>
                <w:highlight w:val="none"/>
              </w:rPr>
              <w:t>）诚信投标承诺书</w:t>
            </w:r>
            <w:bookmarkStart w:id="277" w:name="_GoBack"/>
            <w:bookmarkEnd w:id="277"/>
          </w:p>
        </w:tc>
        <w:tc>
          <w:tcPr>
            <w:tcW w:w="3929" w:type="dxa"/>
            <w:vAlign w:val="center"/>
          </w:tcPr>
          <w:p w14:paraId="1B6F7B2F">
            <w:pPr>
              <w:spacing w:line="360" w:lineRule="exact"/>
              <w:jc w:val="both"/>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5</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15058909"/>
      <w:bookmarkStart w:id="106" w:name="_Toc60061492"/>
      <w:bookmarkStart w:id="107" w:name="_Toc95223395"/>
      <w:bookmarkStart w:id="108" w:name="_Toc506107320"/>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60061493"/>
      <w:bookmarkStart w:id="110" w:name="_Toc324404868"/>
      <w:bookmarkStart w:id="111" w:name="_Toc506107321"/>
      <w:bookmarkStart w:id="11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324404869"/>
      <w:bookmarkStart w:id="115" w:name="_Toc60061494"/>
      <w:bookmarkStart w:id="116" w:name="_Toc506107322"/>
      <w:bookmarkStart w:id="117" w:name="_Toc15058911"/>
      <w:bookmarkStart w:id="118" w:name="_Toc95223397"/>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4"/>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5112"/>
      <w:bookmarkStart w:id="121" w:name="_Toc35424946"/>
      <w:r>
        <w:rPr>
          <w:rFonts w:hint="eastAsia" w:ascii="宋体" w:hAnsi="宋体" w:cs="宋体"/>
          <w:b/>
          <w:bCs/>
          <w:sz w:val="28"/>
          <w:szCs w:val="28"/>
          <w:highlight w:val="none"/>
        </w:rPr>
        <w:t>评标办法前附表</w:t>
      </w:r>
      <w:bookmarkEnd w:id="120"/>
      <w:bookmarkEnd w:id="121"/>
    </w:p>
    <w:p w14:paraId="0701628E">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1</w:t>
      </w:r>
      <w:r>
        <w:rPr>
          <w:rFonts w:hint="eastAsia" w:ascii="Times New Roman" w:hAnsi="Times New Roman" w:eastAsia="宋体" w:cs="Times New Roman"/>
          <w:b/>
          <w:color w:val="auto"/>
          <w:sz w:val="28"/>
          <w:szCs w:val="21"/>
          <w:highlight w:val="none"/>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企业业绩（</w:t>
            </w:r>
            <w:r>
              <w:rPr>
                <w:rFonts w:hint="eastAsia" w:ascii="宋体" w:hAnsi="宋体" w:cs="宋体"/>
                <w:spacing w:val="-2"/>
                <w:position w:val="11"/>
                <w:sz w:val="21"/>
                <w:szCs w:val="21"/>
                <w:highlight w:val="none"/>
                <w:lang w:val="en-US" w:eastAsia="zh-CN"/>
              </w:rPr>
              <w:t>1</w:t>
            </w:r>
            <w:r>
              <w:rPr>
                <w:rFonts w:hint="eastAsia" w:ascii="宋体" w:hAnsi="宋体" w:eastAsia="宋体" w:cs="宋体"/>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w:t>
            </w:r>
            <w:r>
              <w:rPr>
                <w:rFonts w:hint="eastAsia" w:ascii="宋体" w:hAnsi="宋体" w:cs="宋体"/>
                <w:b w:val="0"/>
                <w:bCs/>
                <w:color w:val="auto"/>
                <w:sz w:val="21"/>
                <w:szCs w:val="21"/>
                <w:highlight w:val="none"/>
                <w:lang w:val="en-US" w:eastAsia="zh-CN"/>
              </w:rPr>
              <w:t>城市重点地段或公共建筑的类似空间规划编制项目业绩</w:t>
            </w:r>
            <w:r>
              <w:rPr>
                <w:rFonts w:hint="eastAsia" w:ascii="宋体" w:hAnsi="宋体" w:eastAsia="宋体" w:cs="宋体"/>
                <w:b w:val="0"/>
                <w:bCs/>
                <w:color w:val="auto"/>
                <w:sz w:val="21"/>
                <w:szCs w:val="21"/>
                <w:highlight w:val="none"/>
                <w:lang w:val="en-US" w:eastAsia="zh-CN"/>
              </w:rPr>
              <w:t>的得</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0分；其他的不得分，本项满分</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69E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4FBA37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53B23C8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CBA725B">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eastAsia="宋体" w:cs="宋体"/>
                <w:color w:val="auto"/>
                <w:sz w:val="21"/>
                <w:szCs w:val="21"/>
                <w:highlight w:val="none"/>
              </w:rPr>
              <w:t>项目规划建议</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10分）</w:t>
            </w:r>
          </w:p>
        </w:tc>
        <w:tc>
          <w:tcPr>
            <w:tcW w:w="5985" w:type="dxa"/>
            <w:shd w:val="clear" w:color="auto" w:fill="auto"/>
            <w:noWrap w:val="0"/>
            <w:vAlign w:val="top"/>
          </w:tcPr>
          <w:p w14:paraId="491F4A10">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pacing w:val="0"/>
                <w:sz w:val="21"/>
                <w:szCs w:val="21"/>
                <w:highlight w:val="none"/>
              </w:rPr>
              <w:t>根据</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提供的项目方案建议、规划编制方案的科学性、合理性的（与现状及规划项目充分结合）</w:t>
            </w:r>
            <w:r>
              <w:rPr>
                <w:rFonts w:hint="eastAsia" w:ascii="宋体" w:hAnsi="宋体" w:eastAsia="宋体" w:cs="宋体"/>
                <w:color w:val="auto"/>
                <w:spacing w:val="0"/>
                <w:sz w:val="21"/>
                <w:szCs w:val="21"/>
                <w:highlight w:val="none"/>
                <w:lang w:eastAsia="zh-CN"/>
              </w:rPr>
              <w:t>。</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分，不合格或未提供的不得分。</w:t>
            </w:r>
          </w:p>
        </w:tc>
      </w:tr>
      <w:tr w14:paraId="0960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2B1656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79E0F7D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7DD6EEF0">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eastAsia="宋体" w:cs="宋体"/>
                <w:color w:val="auto"/>
                <w:sz w:val="21"/>
                <w:szCs w:val="21"/>
                <w:highlight w:val="none"/>
              </w:rPr>
              <w:t>规划技术路线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5分）</w:t>
            </w:r>
          </w:p>
        </w:tc>
        <w:tc>
          <w:tcPr>
            <w:tcW w:w="5985" w:type="dxa"/>
            <w:shd w:val="clear" w:color="auto" w:fill="auto"/>
            <w:noWrap w:val="0"/>
            <w:vAlign w:val="top"/>
          </w:tcPr>
          <w:p w14:paraId="31D48637">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spacing w:val="0"/>
                <w:sz w:val="21"/>
                <w:szCs w:val="21"/>
                <w:highlight w:val="none"/>
              </w:rPr>
              <w:t>对本项目规划设计周期各阶段进度安排合理，措施有力</w:t>
            </w:r>
            <w:r>
              <w:rPr>
                <w:rFonts w:hint="eastAsia" w:ascii="宋体" w:hAnsi="宋体" w:eastAsia="宋体" w:cs="宋体"/>
                <w:color w:val="auto"/>
                <w:spacing w:val="0"/>
                <w:sz w:val="21"/>
                <w:szCs w:val="21"/>
                <w:highlight w:val="none"/>
                <w:lang w:eastAsia="zh-CN"/>
              </w:rPr>
              <w:t>。</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4.5</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3.5</w:t>
            </w:r>
            <w:r>
              <w:rPr>
                <w:rFonts w:hint="eastAsia" w:ascii="宋体" w:hAnsi="宋体" w:eastAsia="宋体" w:cs="宋体"/>
                <w:b w:val="0"/>
                <w:bCs/>
                <w:color w:val="auto"/>
                <w:sz w:val="21"/>
                <w:szCs w:val="21"/>
                <w:highlight w:val="none"/>
                <w:lang w:val="en-US" w:eastAsia="zh-CN"/>
              </w:rPr>
              <w:t>分，不合格或未提供的不得分。</w:t>
            </w:r>
          </w:p>
        </w:tc>
      </w:tr>
      <w:tr w14:paraId="27D8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526A7AC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D10583F">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0CB0EAF2">
            <w:pPr>
              <w:spacing w:before="69" w:line="360" w:lineRule="exact"/>
              <w:jc w:val="center"/>
              <w:rPr>
                <w:rFonts w:hint="default" w:ascii="宋体" w:hAnsi="宋体" w:eastAsia="宋体" w:cs="宋体"/>
                <w:spacing w:val="-2"/>
                <w:position w:val="11"/>
                <w:sz w:val="21"/>
                <w:szCs w:val="21"/>
                <w:highlight w:val="none"/>
                <w:lang w:val="en-US" w:eastAsia="zh-CN"/>
              </w:rPr>
            </w:pPr>
            <w:r>
              <w:rPr>
                <w:rFonts w:hint="eastAsia" w:ascii="宋体" w:hAnsi="宋体" w:cs="宋体"/>
                <w:spacing w:val="-2"/>
                <w:position w:val="11"/>
                <w:sz w:val="21"/>
                <w:szCs w:val="21"/>
                <w:highlight w:val="none"/>
                <w:lang w:val="en-US" w:eastAsia="zh-CN"/>
              </w:rPr>
              <w:t>规划方案（30分）</w:t>
            </w:r>
          </w:p>
        </w:tc>
        <w:tc>
          <w:tcPr>
            <w:tcW w:w="5985" w:type="dxa"/>
            <w:shd w:val="clear" w:color="auto" w:fill="auto"/>
            <w:noWrap w:val="0"/>
            <w:vAlign w:val="top"/>
          </w:tcPr>
          <w:p w14:paraId="36FF8465">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）文化内涵（</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w:t>
            </w:r>
          </w:p>
          <w:p w14:paraId="717534D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布局和空间利用是否科学合理，富有创意，是否有序流畅，内容是否能够在空间内充分展示：优秀得</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分，不合格或未提供的不得分。</w:t>
            </w:r>
          </w:p>
          <w:p w14:paraId="7A6F22E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）设计绘图效果（10分）</w:t>
            </w:r>
          </w:p>
          <w:p w14:paraId="6EA1006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设计效果表现是否熟练，技法是否高超，图纸是否完整，层次是否分明，画面是否生动，很好的传达设计意图和展示内容：优秀得10分，良好得9分，一般得8分，合格得7分，不合格或未提供的不得分。</w:t>
            </w:r>
          </w:p>
          <w:p w14:paraId="328EC67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）展示手法（</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w:t>
            </w:r>
          </w:p>
          <w:p w14:paraId="2122A9A7">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展示手法是否全具有全面性、科学性、合理性，具有前瞻性，是否能够把不断发展的高新技术与展示内容完美结合：优秀得10分，良好得9分，一般得8分，合格得7分，不合格或未提供的不得分。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2A38E1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spacing w:before="69" w:line="360" w:lineRule="exact"/>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zh-CN" w:bidi="zh-CN"/>
              </w:rPr>
              <w:t>项目质量保证措施</w:t>
            </w:r>
            <w:r>
              <w:rPr>
                <w:rFonts w:hint="eastAsia" w:ascii="宋体" w:hAnsi="宋体" w:cs="宋体"/>
                <w:color w:val="auto"/>
                <w:sz w:val="21"/>
                <w:szCs w:val="21"/>
                <w:highlight w:val="none"/>
                <w:lang w:val="zh-CN" w:bidi="zh-CN"/>
              </w:rPr>
              <w:t>（</w:t>
            </w:r>
            <w:r>
              <w:rPr>
                <w:rFonts w:hint="eastAsia" w:ascii="宋体" w:hAnsi="宋体" w:cs="宋体"/>
                <w:color w:val="auto"/>
                <w:sz w:val="21"/>
                <w:szCs w:val="21"/>
                <w:highlight w:val="none"/>
                <w:lang w:val="en-US" w:bidi="zh-CN"/>
              </w:rPr>
              <w:t>5分）</w:t>
            </w:r>
          </w:p>
        </w:tc>
        <w:tc>
          <w:tcPr>
            <w:tcW w:w="5985" w:type="dxa"/>
            <w:shd w:val="clear" w:color="auto" w:fill="auto"/>
            <w:noWrap w:val="0"/>
            <w:vAlign w:val="top"/>
          </w:tcPr>
          <w:p w14:paraId="07BFE3F1">
            <w:pPr>
              <w:jc w:val="left"/>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针对本项目</w:t>
            </w:r>
            <w:r>
              <w:rPr>
                <w:rFonts w:hint="eastAsia" w:ascii="宋体" w:hAnsi="宋体" w:cs="宋体"/>
                <w:color w:val="auto"/>
                <w:spacing w:val="0"/>
                <w:sz w:val="21"/>
                <w:szCs w:val="21"/>
                <w:highlight w:val="none"/>
                <w:lang w:val="en-US" w:eastAsia="zh-CN"/>
              </w:rPr>
              <w:t>方案</w:t>
            </w:r>
            <w:r>
              <w:rPr>
                <w:rFonts w:hint="eastAsia" w:ascii="宋体" w:hAnsi="宋体" w:eastAsia="宋体" w:cs="宋体"/>
                <w:color w:val="auto"/>
                <w:spacing w:val="0"/>
                <w:sz w:val="21"/>
                <w:szCs w:val="21"/>
                <w:highlight w:val="none"/>
              </w:rPr>
              <w:t>成果质量管理措施及保障措施进行承诺，保证规划成果质量，体系完整措施有力的</w:t>
            </w:r>
            <w:r>
              <w:rPr>
                <w:rFonts w:hint="eastAsia" w:ascii="宋体" w:hAnsi="宋体" w:eastAsia="宋体" w:cs="宋体"/>
                <w:color w:val="auto"/>
                <w:spacing w:val="0"/>
                <w:sz w:val="21"/>
                <w:szCs w:val="21"/>
                <w:highlight w:val="none"/>
                <w:lang w:eastAsia="zh-CN"/>
              </w:rPr>
              <w:t>。</w:t>
            </w:r>
            <w:r>
              <w:rPr>
                <w:rFonts w:hint="eastAsia" w:ascii="宋体" w:hAnsi="宋体" w:eastAsia="宋体" w:cs="宋体"/>
                <w:b w:val="0"/>
                <w:bCs/>
                <w:color w:val="auto"/>
                <w:sz w:val="21"/>
                <w:szCs w:val="21"/>
                <w:highlight w:val="none"/>
                <w:lang w:val="en-US" w:eastAsia="zh-CN"/>
              </w:rPr>
              <w:t>优秀得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分，良好得</w:t>
            </w:r>
            <w:r>
              <w:rPr>
                <w:rFonts w:hint="eastAsia" w:ascii="宋体" w:hAnsi="宋体" w:cs="宋体"/>
                <w:b w:val="0"/>
                <w:bCs/>
                <w:color w:val="auto"/>
                <w:sz w:val="21"/>
                <w:szCs w:val="21"/>
                <w:highlight w:val="none"/>
                <w:lang w:val="en-US" w:eastAsia="zh-CN"/>
              </w:rPr>
              <w:t>4.5</w:t>
            </w:r>
            <w:r>
              <w:rPr>
                <w:rFonts w:hint="eastAsia" w:ascii="宋体" w:hAnsi="宋体" w:eastAsia="宋体" w:cs="宋体"/>
                <w:b w:val="0"/>
                <w:bCs/>
                <w:color w:val="auto"/>
                <w:sz w:val="21"/>
                <w:szCs w:val="21"/>
                <w:highlight w:val="none"/>
                <w:lang w:val="en-US" w:eastAsia="zh-CN"/>
              </w:rPr>
              <w:t>分，一般得</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分，合格得</w:t>
            </w:r>
            <w:r>
              <w:rPr>
                <w:rFonts w:hint="eastAsia" w:ascii="宋体" w:hAnsi="宋体" w:cs="宋体"/>
                <w:b w:val="0"/>
                <w:bCs/>
                <w:color w:val="auto"/>
                <w:sz w:val="21"/>
                <w:szCs w:val="21"/>
                <w:highlight w:val="none"/>
                <w:lang w:val="en-US" w:eastAsia="zh-CN"/>
              </w:rPr>
              <w:t>3.5</w:t>
            </w:r>
            <w:r>
              <w:rPr>
                <w:rFonts w:hint="eastAsia" w:ascii="宋体" w:hAnsi="宋体" w:eastAsia="宋体" w:cs="宋体"/>
                <w:b w:val="0"/>
                <w:bCs/>
                <w:color w:val="auto"/>
                <w:sz w:val="21"/>
                <w:szCs w:val="21"/>
                <w:highlight w:val="none"/>
                <w:lang w:val="en-US" w:eastAsia="zh-CN"/>
              </w:rPr>
              <w:t>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4</w:t>
      </w:r>
      <w:r>
        <w:rPr>
          <w:rFonts w:hint="eastAsia" w:ascii="Times New Roman" w:hAnsi="Times New Roman" w:eastAsia="宋体" w:cs="Times New Roman"/>
          <w:b/>
          <w:color w:val="auto"/>
          <w:sz w:val="28"/>
          <w:szCs w:val="21"/>
          <w:highlight w:val="none"/>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295</w:t>
            </w:r>
            <w:r>
              <w:rPr>
                <w:rFonts w:hint="eastAsia" w:ascii="宋体" w:hAnsi="宋体" w:eastAsia="宋体" w:cs="宋体"/>
                <w:b w:val="0"/>
                <w:bCs/>
                <w:color w:val="auto"/>
                <w:sz w:val="21"/>
                <w:szCs w:val="21"/>
                <w:highlight w:val="none"/>
                <w:lang w:val="en-US" w:eastAsia="zh-CN"/>
              </w:rPr>
              <w:t>000元；投标单位投标报价不得高于招标人发布的最高限价，否则按无效标处理。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color w:val="auto"/>
                <w:highlight w:val="none"/>
              </w:rPr>
            </w:pPr>
            <w:r>
              <w:rPr>
                <w:rFonts w:hint="eastAsia" w:ascii="宋体" w:hAnsi="宋体" w:eastAsia="宋体" w:cs="宋体"/>
                <w:b w:val="0"/>
                <w:bCs/>
                <w:color w:val="auto"/>
                <w:sz w:val="21"/>
                <w:szCs w:val="21"/>
                <w:highlight w:val="none"/>
                <w:lang w:val="en-US" w:eastAsia="zh-CN"/>
              </w:rPr>
              <w:t>5、本项分值由评标委员会负责组织计算，计算过程中，评标基准价B值、偏差率、报价得分均保留两位小数，小数点后第三位四舍五入。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324404872"/>
      <w:bookmarkStart w:id="123" w:name="_Toc247085747"/>
      <w:bookmarkStart w:id="124" w:name="_Toc35424947"/>
      <w:bookmarkStart w:id="125" w:name="_Toc35425113"/>
      <w:bookmarkStart w:id="126" w:name="_Toc152045589"/>
      <w:bookmarkStart w:id="127" w:name="_Toc179632607"/>
      <w:bookmarkStart w:id="128" w:name="_Toc78803381"/>
      <w:bookmarkStart w:id="129" w:name="_Toc152042366"/>
      <w:bookmarkStart w:id="130" w:name="_Toc15058913"/>
      <w:bookmarkStart w:id="131" w:name="_Toc246996975"/>
      <w:bookmarkStart w:id="132" w:name="_Toc246996232"/>
      <w:bookmarkStart w:id="133" w:name="_Toc6491"/>
      <w:bookmarkStart w:id="134" w:name="_Toc144974556"/>
      <w:bookmarkStart w:id="135" w:name="_Toc506107324"/>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152042367"/>
      <w:bookmarkStart w:id="138" w:name="_Toc246996233"/>
      <w:bookmarkStart w:id="139" w:name="_Toc179632608"/>
      <w:bookmarkStart w:id="140" w:name="_Toc247085748"/>
      <w:bookmarkStart w:id="141" w:name="_Toc144974557"/>
      <w:bookmarkStart w:id="142" w:name="_Toc296602478"/>
      <w:bookmarkStart w:id="143" w:name="_Toc152045590"/>
      <w:bookmarkStart w:id="144" w:name="_Toc246996976"/>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506107325"/>
      <w:bookmarkStart w:id="146" w:name="_Toc78803382"/>
      <w:bookmarkStart w:id="147" w:name="_Toc11945"/>
      <w:bookmarkStart w:id="148" w:name="_Toc35424948"/>
      <w:bookmarkStart w:id="149" w:name="_Toc15058914"/>
      <w:bookmarkStart w:id="150" w:name="_Toc35425114"/>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324404874"/>
      <w:bookmarkStart w:id="153" w:name="_Toc35425115"/>
      <w:bookmarkStart w:id="154" w:name="_Toc17377"/>
      <w:bookmarkStart w:id="155" w:name="_Toc506107326"/>
      <w:bookmarkStart w:id="156" w:name="_Toc78803384"/>
      <w:bookmarkStart w:id="157" w:name="_Toc35424949"/>
      <w:bookmarkStart w:id="158" w:name="_Toc15058915"/>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评标先做准备工作，先进行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，然后进行技术标评审，最后进行商务标评审。</w:t>
      </w:r>
    </w:p>
    <w:p w14:paraId="6E98093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78803385"/>
      <w:bookmarkStart w:id="160" w:name="_Toc35424950"/>
      <w:bookmarkStart w:id="161" w:name="_Toc15058916"/>
      <w:bookmarkStart w:id="162" w:name="_Toc27389"/>
      <w:bookmarkStart w:id="163" w:name="_Toc35425116"/>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78803386"/>
      <w:bookmarkStart w:id="165" w:name="_Toc35425117"/>
      <w:bookmarkStart w:id="166" w:name="_Toc35424951"/>
      <w:bookmarkStart w:id="167" w:name="_Toc15058917"/>
      <w:bookmarkStart w:id="168" w:name="_Toc24650"/>
      <w:bookmarkStart w:id="169" w:name="_Toc1299"/>
      <w:bookmarkStart w:id="170" w:name="_Toc35425120"/>
      <w:bookmarkStart w:id="171" w:name="_Toc12200"/>
      <w:bookmarkStart w:id="172" w:name="_Toc15058919"/>
      <w:bookmarkStart w:id="173" w:name="_Toc35424954"/>
      <w:bookmarkStart w:id="174" w:name="_Toc324404875"/>
      <w:bookmarkStart w:id="175" w:name="_Toc506107327"/>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11990"/>
      <w:bookmarkStart w:id="177" w:name="_Toc35425118"/>
      <w:bookmarkStart w:id="178" w:name="_Toc17468"/>
      <w:bookmarkStart w:id="179" w:name="_Toc35424952"/>
      <w:bookmarkStart w:id="180" w:name="_Toc15058918"/>
      <w:bookmarkStart w:id="181" w:name="_Toc78803387"/>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78803388"/>
      <w:bookmarkStart w:id="183" w:name="_Toc26895"/>
      <w:bookmarkStart w:id="184" w:name="_Toc18087"/>
      <w:bookmarkStart w:id="185" w:name="_Toc35424953"/>
      <w:bookmarkStart w:id="186" w:name="_Toc35425119"/>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78803390"/>
      <w:bookmarkStart w:id="189" w:name="_Toc9630"/>
      <w:r>
        <w:rPr>
          <w:rFonts w:hint="eastAsia" w:ascii="宋体" w:hAnsi="宋体" w:eastAsia="宋体" w:cs="宋体"/>
          <w:highlight w:val="none"/>
        </w:rPr>
        <w:t>4.1</w:t>
      </w:r>
      <w:bookmarkEnd w:id="188"/>
      <w:bookmarkEnd w:id="189"/>
      <w:bookmarkStart w:id="190" w:name="_Toc35424956"/>
      <w:bookmarkStart w:id="191" w:name="_Toc15058921"/>
      <w:bookmarkStart w:id="192" w:name="_Toc78803391"/>
      <w:bookmarkStart w:id="193" w:name="_Toc35425122"/>
      <w:bookmarkStart w:id="194" w:name="_Toc353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78803392"/>
      <w:bookmarkStart w:id="197" w:name="_Toc35424957"/>
      <w:bookmarkStart w:id="198" w:name="_Toc15058922"/>
      <w:bookmarkStart w:id="199" w:name="_Toc13125"/>
      <w:bookmarkStart w:id="200" w:name="_Toc506107328"/>
      <w:bookmarkStart w:id="201" w:name="_Toc35425123"/>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35424958"/>
      <w:bookmarkStart w:id="203" w:name="_Toc15058923"/>
      <w:bookmarkStart w:id="204" w:name="_Toc27846"/>
      <w:bookmarkStart w:id="205" w:name="_Toc78803393"/>
      <w:bookmarkStart w:id="206" w:name="_Toc506107329"/>
      <w:bookmarkStart w:id="207" w:name="_Toc324404877"/>
      <w:bookmarkStart w:id="208" w:name="_Toc35425124"/>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13990"/>
      <w:bookmarkStart w:id="210" w:name="_Toc324404878"/>
      <w:bookmarkStart w:id="211" w:name="_Toc78803394"/>
      <w:bookmarkStart w:id="212" w:name="_Toc15058924"/>
      <w:bookmarkStart w:id="213" w:name="_Toc35425125"/>
      <w:bookmarkStart w:id="214" w:name="_Toc506107330"/>
      <w:bookmarkStart w:id="215" w:name="_Toc35424959"/>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78803395"/>
      <w:bookmarkStart w:id="217" w:name="_Toc22863"/>
      <w:bookmarkStart w:id="218" w:name="_Toc324404879"/>
      <w:bookmarkStart w:id="219" w:name="_Toc15058925"/>
      <w:bookmarkStart w:id="220" w:name="_Toc35424960"/>
      <w:bookmarkStart w:id="221" w:name="_Toc506107331"/>
      <w:bookmarkStart w:id="222" w:name="_Toc35425126"/>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1576"/>
      <w:bookmarkStart w:id="224" w:name="_Toc35425127"/>
      <w:bookmarkStart w:id="225" w:name="_Toc506107332"/>
      <w:bookmarkStart w:id="226" w:name="_Toc78803396"/>
      <w:bookmarkStart w:id="227" w:name="_Toc15058926"/>
      <w:bookmarkStart w:id="228" w:name="_Toc324404880"/>
      <w:bookmarkStart w:id="229" w:name="_Toc35424961"/>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52042387"/>
      <w:bookmarkStart w:id="231" w:name="_Toc179632627"/>
      <w:bookmarkStart w:id="232" w:name="_Toc417623601"/>
      <w:bookmarkStart w:id="233" w:name="_Toc144974577"/>
      <w:bookmarkStart w:id="234" w:name="_Toc246996995"/>
      <w:bookmarkStart w:id="235" w:name="_Toc152045609"/>
      <w:bookmarkStart w:id="236" w:name="_Toc246996252"/>
      <w:bookmarkStart w:id="237" w:name="_Toc324404881"/>
      <w:bookmarkStart w:id="238" w:name="_Toc247085767"/>
    </w:p>
    <w:bookmarkEnd w:id="230"/>
    <w:bookmarkEnd w:id="231"/>
    <w:bookmarkEnd w:id="232"/>
    <w:bookmarkEnd w:id="233"/>
    <w:bookmarkEnd w:id="234"/>
    <w:bookmarkEnd w:id="235"/>
    <w:bookmarkEnd w:id="236"/>
    <w:bookmarkEnd w:id="237"/>
    <w:bookmarkEnd w:id="238"/>
    <w:p w14:paraId="01EE8AAD">
      <w:pPr>
        <w:rPr>
          <w:highlight w:val="none"/>
        </w:rPr>
      </w:pPr>
      <w:bookmarkStart w:id="239" w:name="_Toc179632785"/>
      <w:bookmarkStart w:id="240" w:name="_Toc144974826"/>
      <w:bookmarkStart w:id="241" w:name="_Toc506107333"/>
      <w:bookmarkStart w:id="242" w:name="_Toc152045767"/>
      <w:bookmarkStart w:id="243" w:name="_Toc152042546"/>
      <w:bookmarkStart w:id="244" w:name="_Toc15058927"/>
      <w:bookmarkStart w:id="245" w:name="_Toc35424962"/>
      <w:bookmarkStart w:id="246" w:name="_Toc35425128"/>
    </w:p>
    <w:p w14:paraId="65923B12">
      <w:pPr>
        <w:rPr>
          <w:rFonts w:hint="eastAsia"/>
          <w:highlight w:val="none"/>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246996354"/>
      <w:bookmarkStart w:id="249" w:name="_Toc144974855"/>
      <w:bookmarkStart w:id="250" w:name="_Toc152042575"/>
      <w:bookmarkStart w:id="251" w:name="_Toc152045786"/>
      <w:bookmarkStart w:id="252" w:name="_Toc179632806"/>
      <w:bookmarkStart w:id="253" w:name="_Toc35425136"/>
      <w:bookmarkStart w:id="254" w:name="_Toc324404888"/>
      <w:bookmarkStart w:id="255" w:name="_Toc506107340"/>
      <w:bookmarkStart w:id="256" w:name="_Toc247085872"/>
      <w:bookmarkStart w:id="257" w:name="_Toc78803398"/>
      <w:bookmarkStart w:id="258" w:name="_Toc35424970"/>
      <w:bookmarkStart w:id="259" w:name="_Toc15058934"/>
      <w:bookmarkStart w:id="260" w:name="_Toc246997097"/>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一、项目概况</w:t>
      </w:r>
    </w:p>
    <w:p w14:paraId="381D71E8">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项目名称：滁州至南京城际铁路（滁州段）二期工程高铁站、花博园站、琅琊山站装饰装修及附属升级改造方案设计项目</w:t>
      </w:r>
      <w:r>
        <w:rPr>
          <w:rFonts w:hint="eastAsia" w:ascii="宋体" w:hAnsi="宋体" w:cs="宋体"/>
          <w:szCs w:val="21"/>
          <w:highlight w:val="none"/>
          <w:lang w:eastAsia="zh-CN"/>
        </w:rPr>
        <w:t>。</w:t>
      </w:r>
    </w:p>
    <w:p w14:paraId="19D8A631">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w:t>
      </w:r>
      <w:r>
        <w:rPr>
          <w:rFonts w:hint="eastAsia" w:ascii="宋体" w:hAnsi="宋体" w:cs="宋体"/>
          <w:szCs w:val="21"/>
          <w:highlight w:val="none"/>
        </w:rPr>
        <w:t>项目地点：滁州市</w:t>
      </w:r>
      <w:r>
        <w:rPr>
          <w:rFonts w:hint="eastAsia" w:ascii="宋体" w:hAnsi="宋体" w:cs="宋体"/>
          <w:szCs w:val="21"/>
          <w:highlight w:val="none"/>
          <w:lang w:eastAsia="zh-CN"/>
        </w:rPr>
        <w:t>，</w:t>
      </w:r>
      <w:r>
        <w:rPr>
          <w:rFonts w:hint="eastAsia" w:ascii="宋体" w:hAnsi="宋体" w:cs="宋体"/>
          <w:szCs w:val="21"/>
          <w:highlight w:val="none"/>
          <w:lang w:val="en-US" w:eastAsia="zh-CN"/>
        </w:rPr>
        <w:t>招标人指定地点</w:t>
      </w:r>
    </w:p>
    <w:p w14:paraId="35CE582B">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建设规模：</w:t>
      </w:r>
      <w:r>
        <w:rPr>
          <w:rFonts w:hint="eastAsia" w:ascii="宋体" w:hAnsi="宋体" w:cs="宋体"/>
          <w:szCs w:val="21"/>
          <w:highlight w:val="none"/>
          <w:lang w:eastAsia="zh-CN"/>
        </w:rPr>
        <w:t>对滁宁城际沿线三个站点——滁州高铁站站、花博园站、琅琊山站站内公共空间、站房、站外闲置空间进行改造，引入多元商业业态，打造网红车站。</w:t>
      </w:r>
    </w:p>
    <w:p w14:paraId="05F923D7">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项目性质：建筑室内及环境改造类。</w:t>
      </w:r>
    </w:p>
    <w:p w14:paraId="1DA33D30">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default"/>
          <w:sz w:val="28"/>
          <w:szCs w:val="36"/>
          <w:highlight w:val="none"/>
          <w:lang w:val="en-US" w:eastAsia="zh-CN"/>
        </w:rPr>
      </w:pPr>
      <w:r>
        <w:rPr>
          <w:rFonts w:hint="eastAsia" w:ascii="宋体" w:hAnsi="宋体" w:cs="宋体"/>
          <w:szCs w:val="21"/>
          <w:highlight w:val="none"/>
          <w:lang w:val="en-US" w:eastAsia="zh-CN"/>
        </w:rPr>
        <w:t>5.</w:t>
      </w:r>
      <w:r>
        <w:rPr>
          <w:rFonts w:hint="eastAsia" w:ascii="宋体" w:hAnsi="宋体" w:cs="宋体"/>
          <w:szCs w:val="21"/>
          <w:highlight w:val="none"/>
        </w:rPr>
        <w:t>总投资：项目分两</w:t>
      </w:r>
      <w:r>
        <w:rPr>
          <w:rFonts w:hint="eastAsia" w:ascii="宋体" w:hAnsi="宋体" w:cs="宋体"/>
          <w:szCs w:val="21"/>
          <w:highlight w:val="none"/>
          <w:lang w:val="en-US" w:eastAsia="zh-CN"/>
        </w:rPr>
        <w:t>阶段</w:t>
      </w:r>
      <w:r>
        <w:rPr>
          <w:rFonts w:hint="eastAsia" w:ascii="宋体" w:hAnsi="宋体" w:cs="宋体"/>
          <w:szCs w:val="21"/>
          <w:highlight w:val="none"/>
        </w:rPr>
        <w:t>实施，计划总投资约2000万。</w:t>
      </w:r>
    </w:p>
    <w:p w14:paraId="79C3E9AE">
      <w:pPr>
        <w:pStyle w:val="66"/>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二、招标范围与内容</w:t>
      </w:r>
    </w:p>
    <w:p w14:paraId="0A579510">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1.招标</w:t>
      </w:r>
      <w:r>
        <w:rPr>
          <w:rFonts w:hint="eastAsia" w:ascii="宋体" w:hAnsi="宋体" w:cs="宋体"/>
          <w:szCs w:val="21"/>
          <w:highlight w:val="none"/>
        </w:rPr>
        <w:t>范围</w:t>
      </w:r>
    </w:p>
    <w:p w14:paraId="266C4C8B">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bookmarkStart w:id="261" w:name="_Hlk216123163"/>
      <w:r>
        <w:rPr>
          <w:rFonts w:hint="eastAsia" w:ascii="宋体" w:hAnsi="宋体" w:cs="宋体"/>
          <w:szCs w:val="21"/>
          <w:highlight w:val="none"/>
        </w:rPr>
        <w:t>滁州高铁站</w:t>
      </w:r>
      <w:r>
        <w:rPr>
          <w:rFonts w:hint="eastAsia" w:ascii="宋体" w:hAnsi="宋体" w:cs="宋体"/>
          <w:szCs w:val="21"/>
          <w:highlight w:val="none"/>
          <w:lang w:val="en-US" w:eastAsia="zh-CN"/>
        </w:rPr>
        <w:t>站</w:t>
      </w:r>
      <w:r>
        <w:rPr>
          <w:rFonts w:hint="eastAsia" w:ascii="宋体" w:hAnsi="宋体" w:cs="宋体"/>
          <w:szCs w:val="21"/>
          <w:highlight w:val="none"/>
        </w:rPr>
        <w:t>：站内公共空间、出站口南北平台通道，此外红线外北侧半圆广场作为远期预留，整体纳入改造范围。重点改造站房及南侧广场，站外改造面积约2300㎡。</w:t>
      </w:r>
    </w:p>
    <w:bookmarkEnd w:id="261"/>
    <w:p w14:paraId="722F5272">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花博园站：出站口外两处广场及站房东西两侧开放通道进行现状提升，选择一处站外闲置空地打造商业市集引流，改造约500m桥下空间衔接花博园景区。详细设计面积约2.11万㎡。</w:t>
      </w:r>
    </w:p>
    <w:p w14:paraId="3585042F">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琅琊山站：四个出站口站房及站外广场空间，站内地下空间局部提升，重点打造3号口。站外改造面积约6400㎡。</w:t>
      </w:r>
    </w:p>
    <w:p w14:paraId="5E110FDB">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2.招标</w:t>
      </w:r>
      <w:r>
        <w:rPr>
          <w:rFonts w:hint="eastAsia" w:ascii="宋体" w:hAnsi="宋体" w:cs="宋体"/>
          <w:szCs w:val="21"/>
          <w:highlight w:val="none"/>
        </w:rPr>
        <w:t>内容</w:t>
      </w:r>
    </w:p>
    <w:p w14:paraId="33DCC101">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滁州高铁站站：结合滁宁城际车站至高铁站的过渡广场空间，梳理空间功能布局，引入商业业态，丰富使用功能及使用场景，设计主题装置打卡点，提升空间活力。结合城际站站房内部空置空间，打造特色主题体验场景。</w:t>
      </w:r>
    </w:p>
    <w:p w14:paraId="76461D6F">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花博园站：现状站外空间效能低下，广场铺装及外部闲置空地面积较大，对空间布局重新梳理，强化花博园站至花博园景区的空间引导，增设特色商业业态，强化至花博园景区的500米步行空间提升，打造城市缤纷活力集散点。</w:t>
      </w:r>
    </w:p>
    <w:p w14:paraId="4C1C61B3">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琅琊山站：现状四处出站口广场空间缺乏特色，与出站口外部城市地块衔接不足，对出站口环境进行提升改造，重点打造3号口、4号口，引入相关主题业态。改善站内地下通道低效空间利用。</w:t>
      </w:r>
    </w:p>
    <w:p w14:paraId="3EF7EFB8">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项目分两</w:t>
      </w:r>
      <w:r>
        <w:rPr>
          <w:rFonts w:hint="eastAsia" w:ascii="宋体" w:hAnsi="宋体" w:cs="宋体"/>
          <w:szCs w:val="21"/>
          <w:highlight w:val="none"/>
          <w:lang w:val="en-US" w:eastAsia="zh-CN"/>
        </w:rPr>
        <w:t>阶段</w:t>
      </w:r>
      <w:r>
        <w:rPr>
          <w:rFonts w:hint="eastAsia" w:ascii="宋体" w:hAnsi="宋体" w:cs="宋体"/>
          <w:szCs w:val="21"/>
          <w:highlight w:val="none"/>
        </w:rPr>
        <w:t>实施，其中</w:t>
      </w:r>
      <w:r>
        <w:rPr>
          <w:rFonts w:hint="eastAsia" w:ascii="宋体" w:hAnsi="宋体" w:cs="宋体"/>
          <w:szCs w:val="21"/>
          <w:highlight w:val="none"/>
          <w:lang w:val="en-US" w:eastAsia="zh-CN"/>
        </w:rPr>
        <w:t>一阶段</w:t>
      </w:r>
      <w:r>
        <w:rPr>
          <w:rFonts w:hint="eastAsia" w:ascii="宋体" w:hAnsi="宋体" w:cs="宋体"/>
          <w:szCs w:val="21"/>
          <w:highlight w:val="none"/>
        </w:rPr>
        <w:t>工程除上述要求外，增加以下工作内容：深化设计</w:t>
      </w:r>
      <w:r>
        <w:rPr>
          <w:rFonts w:hint="eastAsia" w:ascii="宋体" w:hAnsi="宋体" w:cs="宋体"/>
          <w:szCs w:val="21"/>
          <w:highlight w:val="none"/>
          <w:lang w:val="en-US" w:eastAsia="zh-CN"/>
        </w:rPr>
        <w:t>一阶段</w:t>
      </w:r>
      <w:r>
        <w:rPr>
          <w:rFonts w:hint="eastAsia" w:ascii="宋体" w:hAnsi="宋体" w:cs="宋体"/>
          <w:szCs w:val="21"/>
          <w:highlight w:val="none"/>
        </w:rPr>
        <w:t>实施内容，重点针对：①滁州高铁站站南广场及站内东侧客服中心附近公共空间；②花博园站内出站口附近空间及1号进站口外侧广场；③琅琊山站3号口外侧部分人防工程广场及3号口处地下通道。以上三处地块进行方案深化设计，总面积约5900㎡。</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w:t>
      </w:r>
      <w:r>
        <w:rPr>
          <w:rFonts w:hint="eastAsia" w:ascii="宋体" w:hAnsi="宋体" w:cs="宋体"/>
          <w:b/>
          <w:sz w:val="21"/>
          <w:szCs w:val="21"/>
          <w:highlight w:val="none"/>
          <w:lang w:val="en-US" w:eastAsia="zh-CN"/>
        </w:rPr>
        <w:t>成果要求</w:t>
      </w:r>
    </w:p>
    <w:p w14:paraId="6E61AAA7">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设计文件：方案设计文本，</w:t>
      </w:r>
      <w:r>
        <w:rPr>
          <w:rFonts w:hint="eastAsia" w:ascii="宋体" w:hAnsi="宋体" w:cs="宋体"/>
          <w:szCs w:val="21"/>
          <w:highlight w:val="none"/>
          <w:lang w:val="en-US" w:eastAsia="zh-CN"/>
        </w:rPr>
        <w:t>一阶段</w:t>
      </w:r>
      <w:r>
        <w:rPr>
          <w:rFonts w:hint="eastAsia" w:ascii="宋体" w:hAnsi="宋体" w:cs="宋体"/>
          <w:szCs w:val="21"/>
          <w:highlight w:val="none"/>
        </w:rPr>
        <w:t>工程详细设计说明书，包含工程概况、设计依据、设计方案、技术指标、施工注意事项等内容，文字表述清晰、数据准确。</w:t>
      </w:r>
    </w:p>
    <w:p w14:paraId="41C2E5F9">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设计图纸：详细平面图、铺装详图、照明布置图、绿化布置图等，图纸比例符合规范要求，标注清晰。</w:t>
      </w:r>
    </w:p>
    <w:p w14:paraId="28EF0F6A">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其他成果：包含工程投资估算、重要节点模型等。</w:t>
      </w:r>
    </w:p>
    <w:p w14:paraId="57C02299">
      <w:pPr>
        <w:pStyle w:val="66"/>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422" w:firstLineChars="200"/>
        <w:textAlignment w:val="auto"/>
        <w:rPr>
          <w:rFonts w:hint="eastAsia" w:ascii="宋体" w:hAnsi="宋体" w:cs="宋体"/>
          <w:b/>
          <w:sz w:val="21"/>
          <w:szCs w:val="21"/>
          <w:highlight w:val="none"/>
          <w:lang w:val="en-US" w:eastAsia="zh-CN"/>
        </w:rPr>
      </w:pPr>
      <w:r>
        <w:rPr>
          <w:rFonts w:hint="eastAsia" w:ascii="宋体" w:hAnsi="宋体" w:cs="宋体"/>
          <w:b/>
          <w:sz w:val="21"/>
          <w:szCs w:val="21"/>
          <w:highlight w:val="none"/>
          <w:lang w:val="en-US" w:eastAsia="zh-CN"/>
        </w:rPr>
        <w:t>四、设计周期</w:t>
      </w:r>
    </w:p>
    <w:p w14:paraId="03052005">
      <w:pPr>
        <w:keepNext w:val="0"/>
        <w:keepLines w:val="0"/>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cs="宋体"/>
          <w:szCs w:val="21"/>
          <w:highlight w:val="none"/>
          <w:lang w:val="en-US" w:eastAsia="zh-CN"/>
        </w:rPr>
      </w:pPr>
      <w:r>
        <w:rPr>
          <w:rFonts w:hint="eastAsia" w:ascii="宋体" w:hAnsi="宋体" w:cs="宋体"/>
          <w:szCs w:val="21"/>
          <w:highlight w:val="none"/>
        </w:rPr>
        <w:t>合同签订后10个日历天内完成</w:t>
      </w:r>
      <w:r>
        <w:rPr>
          <w:rFonts w:hint="eastAsia" w:ascii="宋体" w:hAnsi="宋体" w:cs="宋体"/>
          <w:szCs w:val="21"/>
          <w:highlight w:val="none"/>
          <w:lang w:val="en-US" w:eastAsia="zh-CN"/>
        </w:rPr>
        <w:t>初步方案编制</w:t>
      </w:r>
      <w:r>
        <w:rPr>
          <w:rFonts w:hint="eastAsia" w:ascii="宋体" w:hAnsi="宋体" w:cs="宋体"/>
          <w:szCs w:val="21"/>
          <w:highlight w:val="none"/>
        </w:rPr>
        <w:t>，</w:t>
      </w:r>
      <w:r>
        <w:rPr>
          <w:rFonts w:hint="eastAsia" w:ascii="宋体" w:hAnsi="宋体" w:cs="宋体"/>
          <w:szCs w:val="21"/>
          <w:highlight w:val="none"/>
          <w:lang w:val="en-US" w:eastAsia="zh-CN"/>
        </w:rPr>
        <w:t>初步方案编制</w:t>
      </w:r>
      <w:r>
        <w:rPr>
          <w:rFonts w:hint="eastAsia" w:ascii="宋体" w:hAnsi="宋体" w:cs="宋体"/>
          <w:szCs w:val="21"/>
          <w:highlight w:val="none"/>
        </w:rPr>
        <w:t>成果通过审核后20</w:t>
      </w:r>
      <w:r>
        <w:rPr>
          <w:rFonts w:hint="eastAsia" w:ascii="宋体" w:hAnsi="宋体" w:cs="宋体"/>
          <w:szCs w:val="21"/>
          <w:highlight w:val="none"/>
          <w:lang w:val="en-US" w:eastAsia="zh-CN"/>
        </w:rPr>
        <w:t>个</w:t>
      </w:r>
      <w:r>
        <w:rPr>
          <w:rFonts w:hint="eastAsia" w:ascii="宋体" w:hAnsi="宋体" w:cs="宋体"/>
          <w:szCs w:val="21"/>
          <w:highlight w:val="none"/>
        </w:rPr>
        <w:t>日历天内，完成深化</w:t>
      </w:r>
      <w:r>
        <w:rPr>
          <w:rFonts w:hint="eastAsia" w:ascii="宋体" w:hAnsi="宋体" w:cs="宋体"/>
          <w:szCs w:val="21"/>
          <w:highlight w:val="none"/>
          <w:lang w:val="en-US" w:eastAsia="zh-CN"/>
        </w:rPr>
        <w:t>方案编制并提交成果文件</w:t>
      </w:r>
      <w:r>
        <w:rPr>
          <w:rFonts w:hint="eastAsia" w:ascii="宋体" w:hAnsi="宋体" w:cs="宋体"/>
          <w:szCs w:val="21"/>
          <w:highlight w:val="none"/>
        </w:rPr>
        <w:t>。</w:t>
      </w:r>
    </w:p>
    <w:p w14:paraId="2482F7B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64EB90CF">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highlight w:val="none"/>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highlight w:val="none"/>
          <w14:textFill>
            <w14:solidFill>
              <w14:schemeClr w14:val="tx1"/>
            </w14:solidFill>
          </w14:textFill>
        </w:rPr>
      </w:pPr>
      <w:r>
        <w:rPr>
          <w:rFonts w:hint="eastAsia" w:eastAsia="微软雅黑" w:cs="Times New Roman"/>
          <w:b/>
          <w:bCs/>
          <w:color w:val="000000" w:themeColor="text1"/>
          <w:sz w:val="44"/>
          <w:szCs w:val="44"/>
          <w:highlight w:val="none"/>
          <w:lang w:eastAsia="zh-CN"/>
          <w14:textFill>
            <w14:solidFill>
              <w14:schemeClr w14:val="tx1"/>
            </w14:solidFill>
          </w14:textFill>
        </w:rPr>
        <w:t>滁州至南京城际铁路（滁州段）二期工程高铁站、花博园站、琅琊山站装饰装修及附属升级改造方案设计项目</w:t>
      </w:r>
      <w:r>
        <w:rPr>
          <w:rFonts w:ascii="Times New Roman" w:hAnsi="Times New Roman" w:eastAsia="微软雅黑" w:cs="Times New Roman"/>
          <w:b/>
          <w:bCs/>
          <w:color w:val="000000" w:themeColor="text1"/>
          <w:sz w:val="44"/>
          <w:szCs w:val="44"/>
          <w:highlight w:val="none"/>
          <w14:textFill>
            <w14:solidFill>
              <w14:schemeClr w14:val="tx1"/>
            </w14:solidFill>
          </w14:textFill>
        </w:rPr>
        <w:t>合同</w:t>
      </w:r>
    </w:p>
    <w:p w14:paraId="5608024F">
      <w:pPr>
        <w:spacing w:line="360" w:lineRule="auto"/>
        <w:rPr>
          <w:rFonts w:ascii="Times New Roman" w:hAnsi="Times New Roman"/>
          <w:color w:val="000000" w:themeColor="text1"/>
          <w:sz w:val="32"/>
          <w:szCs w:val="32"/>
          <w:highlight w:val="none"/>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p>
    <w:p w14:paraId="53C636B6">
      <w:pPr>
        <w:rPr>
          <w:rFonts w:hint="eastAsia" w:ascii="宋体" w:hAnsi="宋体" w:eastAsia="宋体" w:cs="宋体"/>
          <w:color w:val="000000" w:themeColor="text1"/>
          <w:sz w:val="21"/>
          <w:szCs w:val="21"/>
          <w:highlight w:val="none"/>
          <w14:textFill>
            <w14:solidFill>
              <w14:schemeClr w14:val="tx1"/>
            </w14:solidFill>
          </w14:textFill>
        </w:rPr>
      </w:pPr>
    </w:p>
    <w:p w14:paraId="188BD0FD">
      <w:pPr>
        <w:rPr>
          <w:rFonts w:hint="eastAsia" w:ascii="宋体" w:hAnsi="宋体" w:eastAsia="宋体" w:cs="宋体"/>
          <w:color w:val="000000" w:themeColor="text1"/>
          <w:sz w:val="21"/>
          <w:szCs w:val="21"/>
          <w:highlight w:val="none"/>
          <w14:textFill>
            <w14:solidFill>
              <w14:schemeClr w14:val="tx1"/>
            </w14:solidFill>
          </w14:textFill>
        </w:rPr>
      </w:pPr>
    </w:p>
    <w:p w14:paraId="1B88EA96">
      <w:pPr>
        <w:rPr>
          <w:rFonts w:hint="eastAsia" w:ascii="宋体" w:hAnsi="宋体" w:eastAsia="宋体" w:cs="宋体"/>
          <w:color w:val="000000" w:themeColor="text1"/>
          <w:sz w:val="21"/>
          <w:szCs w:val="21"/>
          <w:highlight w:val="none"/>
          <w14:textFill>
            <w14:solidFill>
              <w14:schemeClr w14:val="tx1"/>
            </w14:solidFill>
          </w14:textFill>
        </w:rPr>
      </w:pPr>
    </w:p>
    <w:p w14:paraId="3F5368E1">
      <w:pPr>
        <w:pStyle w:val="5"/>
        <w:rPr>
          <w:rFonts w:hint="eastAsia" w:ascii="宋体" w:hAnsi="宋体" w:eastAsia="宋体" w:cs="宋体"/>
          <w:color w:val="000000" w:themeColor="text1"/>
          <w:sz w:val="21"/>
          <w:szCs w:val="21"/>
          <w:highlight w:val="none"/>
          <w14:textFill>
            <w14:solidFill>
              <w14:schemeClr w14:val="tx1"/>
            </w14:solidFill>
          </w14:textFill>
        </w:rPr>
      </w:pPr>
    </w:p>
    <w:p w14:paraId="1B6934B1">
      <w:pPr>
        <w:rPr>
          <w:rFonts w:hint="eastAsia" w:ascii="宋体" w:hAnsi="宋体" w:eastAsia="宋体" w:cs="宋体"/>
          <w:color w:val="000000" w:themeColor="text1"/>
          <w:sz w:val="21"/>
          <w:szCs w:val="21"/>
          <w:highlight w:val="none"/>
          <w14:textFill>
            <w14:solidFill>
              <w14:schemeClr w14:val="tx1"/>
            </w14:solidFill>
          </w14:textFill>
        </w:rPr>
      </w:pPr>
    </w:p>
    <w:p w14:paraId="58CAA80B">
      <w:pPr>
        <w:pStyle w:val="5"/>
        <w:rPr>
          <w:rFonts w:hint="eastAsia" w:ascii="宋体" w:hAnsi="宋体" w:eastAsia="宋体" w:cs="宋体"/>
          <w:color w:val="000000" w:themeColor="text1"/>
          <w:sz w:val="21"/>
          <w:szCs w:val="21"/>
          <w:highlight w:val="none"/>
          <w14:textFill>
            <w14:solidFill>
              <w14:schemeClr w14:val="tx1"/>
            </w14:solidFill>
          </w14:textFill>
        </w:rPr>
      </w:pPr>
    </w:p>
    <w:p w14:paraId="00F36ACC">
      <w:pPr>
        <w:rPr>
          <w:rFonts w:hint="eastAsia" w:ascii="宋体" w:hAnsi="宋体" w:eastAsia="宋体" w:cs="宋体"/>
          <w:color w:val="000000" w:themeColor="text1"/>
          <w:sz w:val="21"/>
          <w:szCs w:val="21"/>
          <w:highlight w:val="none"/>
          <w14:textFill>
            <w14:solidFill>
              <w14:schemeClr w14:val="tx1"/>
            </w14:solidFill>
          </w14:textFill>
        </w:rPr>
      </w:pPr>
    </w:p>
    <w:p w14:paraId="48C80488">
      <w:pPr>
        <w:rPr>
          <w:rFonts w:hint="eastAsia" w:ascii="宋体" w:hAnsi="宋体" w:eastAsia="宋体" w:cs="宋体"/>
          <w:color w:val="000000" w:themeColor="text1"/>
          <w:sz w:val="21"/>
          <w:szCs w:val="21"/>
          <w:highlight w:val="none"/>
          <w14:textFill>
            <w14:solidFill>
              <w14:schemeClr w14:val="tx1"/>
            </w14:solidFill>
          </w14:textFill>
        </w:rPr>
      </w:pPr>
    </w:p>
    <w:p w14:paraId="02FBAB6D">
      <w:pPr>
        <w:rPr>
          <w:rFonts w:hint="eastAsia" w:ascii="宋体" w:hAnsi="宋体" w:eastAsia="宋体" w:cs="宋体"/>
          <w:color w:val="000000" w:themeColor="text1"/>
          <w:sz w:val="21"/>
          <w:szCs w:val="21"/>
          <w:highlight w:val="none"/>
          <w14:textFill>
            <w14:solidFill>
              <w14:schemeClr w14:val="tx1"/>
            </w14:solidFill>
          </w14:textFill>
        </w:rPr>
      </w:pPr>
    </w:p>
    <w:p w14:paraId="186A2F9F">
      <w:pPr>
        <w:rPr>
          <w:rFonts w:hint="eastAsia" w:ascii="宋体" w:hAnsi="宋体" w:eastAsia="宋体" w:cs="宋体"/>
          <w:color w:val="000000" w:themeColor="text1"/>
          <w:sz w:val="21"/>
          <w:szCs w:val="21"/>
          <w:highlight w:val="none"/>
          <w14:textFill>
            <w14:solidFill>
              <w14:schemeClr w14:val="tx1"/>
            </w14:solidFill>
          </w14:textFill>
        </w:rPr>
      </w:pPr>
    </w:p>
    <w:p w14:paraId="11308ED5">
      <w:pPr>
        <w:rPr>
          <w:rFonts w:hint="eastAsia" w:ascii="宋体" w:hAnsi="宋体" w:eastAsia="宋体" w:cs="宋体"/>
          <w:color w:val="000000" w:themeColor="text1"/>
          <w:sz w:val="21"/>
          <w:szCs w:val="21"/>
          <w:highlight w:val="none"/>
          <w14:textFill>
            <w14:solidFill>
              <w14:schemeClr w14:val="tx1"/>
            </w14:solidFill>
          </w14:textFill>
        </w:rPr>
      </w:pPr>
    </w:p>
    <w:p w14:paraId="45DAB94D">
      <w:pPr>
        <w:rPr>
          <w:rFonts w:hint="eastAsia" w:ascii="宋体" w:hAnsi="宋体" w:eastAsia="宋体" w:cs="宋体"/>
          <w:color w:val="000000" w:themeColor="text1"/>
          <w:sz w:val="21"/>
          <w:szCs w:val="21"/>
          <w:highlight w:val="none"/>
          <w14:textFill>
            <w14:solidFill>
              <w14:schemeClr w14:val="tx1"/>
            </w14:solidFill>
          </w14:textFill>
        </w:rPr>
      </w:pPr>
    </w:p>
    <w:p w14:paraId="5725CD8C">
      <w:pPr>
        <w:rPr>
          <w:rFonts w:hint="eastAsia" w:ascii="宋体" w:hAnsi="宋体" w:eastAsia="宋体" w:cs="宋体"/>
          <w:color w:val="000000" w:themeColor="text1"/>
          <w:sz w:val="21"/>
          <w:szCs w:val="21"/>
          <w:highlight w:val="none"/>
          <w14:textFill>
            <w14:solidFill>
              <w14:schemeClr w14:val="tx1"/>
            </w14:solidFill>
          </w14:textFill>
        </w:rPr>
      </w:pPr>
    </w:p>
    <w:p w14:paraId="7BED9A09">
      <w:pPr>
        <w:pStyle w:val="5"/>
        <w:rPr>
          <w:rFonts w:hint="eastAsia"/>
          <w:highlight w:val="none"/>
        </w:rPr>
      </w:pPr>
    </w:p>
    <w:p w14:paraId="091E82D9">
      <w:pPr>
        <w:rPr>
          <w:rFonts w:hint="eastAsia" w:ascii="宋体" w:hAnsi="宋体" w:eastAsia="宋体" w:cs="宋体"/>
          <w:color w:val="000000" w:themeColor="text1"/>
          <w:sz w:val="21"/>
          <w:szCs w:val="21"/>
          <w:highlight w:val="none"/>
          <w14:textFill>
            <w14:solidFill>
              <w14:schemeClr w14:val="tx1"/>
            </w14:solidFill>
          </w14:textFill>
        </w:rPr>
      </w:pPr>
    </w:p>
    <w:p w14:paraId="505E3589">
      <w:pPr>
        <w:rPr>
          <w:rFonts w:hint="eastAsia" w:ascii="宋体" w:hAnsi="宋体" w:eastAsia="宋体" w:cs="宋体"/>
          <w:color w:val="000000" w:themeColor="text1"/>
          <w:sz w:val="21"/>
          <w:szCs w:val="21"/>
          <w:highlight w:val="none"/>
          <w14:textFill>
            <w14:solidFill>
              <w14:schemeClr w14:val="tx1"/>
            </w14:solidFill>
          </w14:textFill>
        </w:rPr>
      </w:pPr>
    </w:p>
    <w:p w14:paraId="716DC9A8">
      <w:pPr>
        <w:rPr>
          <w:rFonts w:hint="eastAsia" w:ascii="宋体" w:hAnsi="宋体" w:eastAsia="宋体" w:cs="宋体"/>
          <w:color w:val="000000" w:themeColor="text1"/>
          <w:sz w:val="21"/>
          <w:szCs w:val="21"/>
          <w:highlight w:val="none"/>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w:t>
      </w:r>
    </w:p>
    <w:p w14:paraId="241AFB5A">
      <w:pPr>
        <w:jc w:val="center"/>
        <w:rPr>
          <w:rFonts w:hint="eastAsia" w:ascii="宋体" w:hAnsi="宋体" w:eastAsia="宋体" w:cs="宋体"/>
          <w:color w:val="000000" w:themeColor="text1"/>
          <w:sz w:val="21"/>
          <w:szCs w:val="21"/>
          <w:highlight w:val="none"/>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w:t>
      </w:r>
    </w:p>
    <w:p w14:paraId="748D1A00">
      <w:pPr>
        <w:rPr>
          <w:rFonts w:hint="eastAsia" w:ascii="宋体" w:hAnsi="宋体" w:eastAsia="宋体" w:cs="宋体"/>
          <w:color w:val="000000" w:themeColor="text1"/>
          <w:sz w:val="21"/>
          <w:szCs w:val="21"/>
          <w:highlight w:val="none"/>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签订时间：</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年   月</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highlight w:val="none"/>
          <w14:textFill>
            <w14:solidFill>
              <w14:schemeClr w14:val="tx1"/>
            </w14:solidFill>
          </w14:textFill>
        </w:rPr>
      </w:pPr>
    </w:p>
    <w:p w14:paraId="0FFB63B9">
      <w:pPr>
        <w:rPr>
          <w:rStyle w:val="215"/>
          <w:rFonts w:hint="eastAsia" w:ascii="宋体" w:hAnsi="宋体" w:eastAsia="宋体" w:cs="宋体"/>
          <w:color w:val="000000" w:themeColor="text1"/>
          <w:sz w:val="21"/>
          <w:szCs w:val="21"/>
          <w:highlight w:val="none"/>
          <w14:textFill>
            <w14:solidFill>
              <w14:schemeClr w14:val="tx1"/>
            </w14:solidFill>
          </w14:textFill>
        </w:rPr>
      </w:pPr>
      <w:r>
        <w:rPr>
          <w:rStyle w:val="215"/>
          <w:rFonts w:hint="eastAsia" w:ascii="宋体" w:hAnsi="宋体" w:eastAsia="宋体" w:cs="宋体"/>
          <w:color w:val="000000" w:themeColor="text1"/>
          <w:sz w:val="21"/>
          <w:szCs w:val="21"/>
          <w:highlight w:val="none"/>
          <w14:textFill>
            <w14:solidFill>
              <w14:schemeClr w14:val="tx1"/>
            </w14:solidFill>
          </w14:textFill>
        </w:rPr>
        <w:br w:type="page"/>
      </w:r>
    </w:p>
    <w:p w14:paraId="24E40C5F">
      <w:pPr>
        <w:spacing w:line="5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lang w:val="en-US" w:eastAsia="zh-CN"/>
        </w:rPr>
        <w:t>招标</w:t>
      </w:r>
      <w:r>
        <w:rPr>
          <w:rFonts w:hint="eastAsia" w:ascii="宋体" w:hAnsi="宋体" w:cs="宋体"/>
          <w:szCs w:val="21"/>
          <w:highlight w:val="none"/>
        </w:rPr>
        <w:t>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14:paraId="368841CF">
      <w:pPr>
        <w:spacing w:line="5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14:paraId="660884E7">
      <w:pPr>
        <w:spacing w:line="400" w:lineRule="exact"/>
        <w:ind w:right="-433" w:rightChars="-206" w:firstLine="420" w:firstLineChars="200"/>
        <w:jc w:val="left"/>
        <w:rPr>
          <w:rFonts w:hint="eastAsia" w:ascii="宋体" w:hAnsi="宋体" w:cs="宋体"/>
          <w:szCs w:val="21"/>
          <w:highlight w:val="none"/>
        </w:rPr>
      </w:pPr>
      <w:r>
        <w:rPr>
          <w:rFonts w:hint="eastAsia" w:ascii="宋体" w:hAnsi="宋体" w:cs="宋体"/>
          <w:szCs w:val="21"/>
          <w:highlight w:val="none"/>
        </w:rPr>
        <w:t>依照《中华人民共和国民法典》及其他有关法律、法规，遵循平等、自愿、公平和诚实信用的原则，双方就本此采购服务事项协商一致，订立本合同。</w:t>
      </w:r>
    </w:p>
    <w:p w14:paraId="53386A64">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highlight w:val="none"/>
          <w:lang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1、项目名称：</w:t>
      </w:r>
    </w:p>
    <w:p w14:paraId="0028FBAE">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pPr>
      <w:r>
        <w:rPr>
          <w:rFonts w:hint="eastAsia" w:ascii="宋体" w:hAnsi="宋体" w:eastAsia="宋体" w:cs="Times New Roman"/>
          <w:color w:val="000000" w:themeColor="text1"/>
          <w:kern w:val="0"/>
          <w:szCs w:val="21"/>
          <w:highlight w:val="none"/>
          <w:lang w:bidi="en-US"/>
          <w14:textFill>
            <w14:solidFill>
              <w14:schemeClr w14:val="tx1"/>
            </w14:solidFill>
          </w14:textFill>
        </w:rPr>
        <w:t>2、服务范围及内容：</w:t>
      </w:r>
    </w:p>
    <w:p w14:paraId="4D55CDBE">
      <w:pPr>
        <w:keepNext w:val="0"/>
        <w:keepLines w:val="0"/>
        <w:pageBreakBefore w:val="0"/>
        <w:widowControl/>
        <w:kinsoku/>
        <w:wordWrap/>
        <w:overflowPunct/>
        <w:topLinePunct w:val="0"/>
        <w:autoSpaceDE/>
        <w:autoSpaceDN/>
        <w:bidi w:val="0"/>
        <w:adjustRightInd/>
        <w:spacing w:line="420" w:lineRule="exact"/>
        <w:ind w:firstLine="420" w:firstLineChars="200"/>
        <w:textAlignment w:val="auto"/>
        <w:rPr>
          <w:rFonts w:hint="default" w:ascii="宋体" w:hAnsi="宋体" w:eastAsia="宋体" w:cs="Times New Roman"/>
          <w:color w:val="000000" w:themeColor="text1"/>
          <w:kern w:val="0"/>
          <w:szCs w:val="21"/>
          <w:highlight w:val="none"/>
          <w:lang w:val="en-US" w:eastAsia="zh-CN" w:bidi="en-US"/>
          <w14:textFill>
            <w14:solidFill>
              <w14:schemeClr w14:val="tx1"/>
            </w14:solidFill>
          </w14:textFill>
        </w:rPr>
      </w:pPr>
      <w:r>
        <w:rPr>
          <w:rFonts w:hint="eastAsia" w:ascii="宋体" w:hAnsi="宋体" w:eastAsia="宋体" w:cs="Times New Roman"/>
          <w:color w:val="000000" w:themeColor="text1"/>
          <w:kern w:val="0"/>
          <w:szCs w:val="21"/>
          <w:highlight w:val="none"/>
          <w:lang w:eastAsia="zh-CN" w:bidi="en-US"/>
          <w14:textFill>
            <w14:solidFill>
              <w14:schemeClr w14:val="tx1"/>
            </w14:solidFill>
          </w14:textFill>
        </w:rPr>
        <w:t>3、</w:t>
      </w:r>
      <w:r>
        <w:rPr>
          <w:rFonts w:hint="eastAsia" w:ascii="宋体" w:hAnsi="宋体" w:eastAsia="宋体" w:cs="Times New Roman"/>
          <w:color w:val="000000" w:themeColor="text1"/>
          <w:kern w:val="0"/>
          <w:szCs w:val="21"/>
          <w:highlight w:val="none"/>
          <w:lang w:val="en-US" w:eastAsia="zh-CN" w:bidi="en-US"/>
          <w14:textFill>
            <w14:solidFill>
              <w14:schemeClr w14:val="tx1"/>
            </w14:solidFill>
          </w14:textFill>
        </w:rPr>
        <w:t>编制周期：</w:t>
      </w:r>
    </w:p>
    <w:p w14:paraId="08A25CF4">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4</w:t>
      </w:r>
      <w:r>
        <w:rPr>
          <w:rFonts w:hint="eastAsia" w:ascii="宋体" w:hAnsi="宋体" w:cs="宋体"/>
          <w:b/>
          <w:bCs/>
          <w:szCs w:val="21"/>
          <w:highlight w:val="none"/>
        </w:rPr>
        <w:t>、合同价款及支付</w:t>
      </w:r>
    </w:p>
    <w:p w14:paraId="7F95F1E1">
      <w:pPr>
        <w:pStyle w:val="26"/>
        <w:spacing w:line="520" w:lineRule="exact"/>
        <w:ind w:firstLine="422" w:firstLineChars="200"/>
        <w:jc w:val="left"/>
        <w:rPr>
          <w:rFonts w:hint="eastAsia" w:ascii="宋体" w:hAnsi="宋体" w:cs="宋体"/>
          <w:b/>
          <w:bCs/>
          <w:szCs w:val="21"/>
          <w:highlight w:val="none"/>
        </w:rPr>
      </w:pPr>
      <w:r>
        <w:rPr>
          <w:rFonts w:hint="eastAsia" w:cs="宋体"/>
          <w:b/>
          <w:bCs/>
          <w:szCs w:val="21"/>
          <w:highlight w:val="none"/>
          <w:lang w:val="en-US" w:eastAsia="zh-CN"/>
        </w:rPr>
        <w:t>4</w:t>
      </w:r>
      <w:r>
        <w:rPr>
          <w:rFonts w:hint="eastAsia" w:ascii="宋体" w:hAnsi="宋体" w:cs="宋体"/>
          <w:b/>
          <w:bCs/>
          <w:szCs w:val="21"/>
          <w:highlight w:val="none"/>
        </w:rPr>
        <w:t>.1本工程合同价为：</w:t>
      </w:r>
      <w:r>
        <w:rPr>
          <w:rFonts w:hint="eastAsia" w:ascii="宋体" w:hAnsi="宋体" w:cs="宋体"/>
          <w:b/>
          <w:bCs/>
          <w:szCs w:val="21"/>
          <w:highlight w:val="none"/>
          <w:u w:val="single"/>
        </w:rPr>
        <w:t xml:space="preserve">大写：             小写：       元 </w:t>
      </w:r>
      <w:r>
        <w:rPr>
          <w:rFonts w:hint="eastAsia" w:ascii="宋体" w:hAnsi="宋体" w:cs="宋体"/>
          <w:b/>
          <w:bCs/>
          <w:szCs w:val="21"/>
          <w:highlight w:val="none"/>
        </w:rPr>
        <w:t>。</w:t>
      </w:r>
    </w:p>
    <w:p w14:paraId="327093C4">
      <w:pPr>
        <w:pStyle w:val="26"/>
        <w:spacing w:line="520" w:lineRule="exact"/>
        <w:ind w:firstLine="422" w:firstLineChars="200"/>
        <w:jc w:val="left"/>
        <w:rPr>
          <w:rFonts w:hint="eastAsia" w:ascii="宋体" w:hAnsi="宋体" w:cs="宋体"/>
          <w:b/>
          <w:bCs/>
          <w:szCs w:val="21"/>
          <w:highlight w:val="none"/>
        </w:rPr>
      </w:pPr>
      <w:r>
        <w:rPr>
          <w:rFonts w:hint="eastAsia" w:cs="宋体"/>
          <w:b/>
          <w:bCs/>
          <w:szCs w:val="21"/>
          <w:highlight w:val="none"/>
          <w:lang w:val="en-US" w:eastAsia="zh-CN"/>
        </w:rPr>
        <w:t>4</w:t>
      </w:r>
      <w:r>
        <w:rPr>
          <w:rFonts w:hint="eastAsia" w:ascii="宋体" w:hAnsi="宋体" w:cs="宋体"/>
          <w:b/>
          <w:bCs/>
          <w:szCs w:val="21"/>
          <w:highlight w:val="none"/>
        </w:rPr>
        <w:t xml:space="preserve">.2本项目合同计价方式为固定总价。                </w:t>
      </w:r>
    </w:p>
    <w:p w14:paraId="7B11D913">
      <w:pPr>
        <w:pStyle w:val="26"/>
        <w:spacing w:line="520" w:lineRule="exact"/>
        <w:ind w:firstLine="422" w:firstLineChars="200"/>
        <w:jc w:val="left"/>
        <w:rPr>
          <w:rFonts w:hint="eastAsia" w:ascii="宋体" w:hAnsi="宋体" w:cs="宋体"/>
          <w:b/>
          <w:bCs/>
          <w:szCs w:val="21"/>
          <w:highlight w:val="none"/>
        </w:rPr>
      </w:pPr>
      <w:r>
        <w:rPr>
          <w:rFonts w:hint="eastAsia" w:cs="宋体"/>
          <w:b/>
          <w:bCs/>
          <w:szCs w:val="21"/>
          <w:highlight w:val="none"/>
          <w:lang w:val="en-US" w:eastAsia="zh-CN"/>
        </w:rPr>
        <w:t>4</w:t>
      </w:r>
      <w:r>
        <w:rPr>
          <w:rFonts w:hint="eastAsia" w:ascii="宋体" w:hAnsi="宋体" w:cs="宋体"/>
          <w:b/>
          <w:bCs/>
          <w:szCs w:val="21"/>
          <w:highlight w:val="none"/>
        </w:rPr>
        <w:t>.3付款方式：</w:t>
      </w:r>
    </w:p>
    <w:p w14:paraId="517098EB">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、双方一般权利和义务</w:t>
      </w:r>
    </w:p>
    <w:p w14:paraId="41AD6C2E">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.1  甲方权利和义务</w:t>
      </w:r>
    </w:p>
    <w:p w14:paraId="3427413B">
      <w:pPr>
        <w:pStyle w:val="26"/>
        <w:spacing w:line="520" w:lineRule="exact"/>
        <w:ind w:firstLine="420" w:firstLineChars="200"/>
        <w:jc w:val="left"/>
        <w:rPr>
          <w:rFonts w:hint="eastAsia" w:ascii="宋体" w:hAnsi="宋体" w:eastAsia="宋体" w:cs="宋体"/>
          <w:szCs w:val="21"/>
          <w:highlight w:val="none"/>
          <w:lang w:eastAsia="zh-CN"/>
        </w:rPr>
      </w:pPr>
      <w:r>
        <w:rPr>
          <w:rFonts w:hint="eastAsia" w:cs="宋体"/>
          <w:szCs w:val="21"/>
          <w:highlight w:val="none"/>
          <w:lang w:val="en-US" w:eastAsia="zh-CN"/>
        </w:rPr>
        <w:t>5</w:t>
      </w:r>
      <w:r>
        <w:rPr>
          <w:rFonts w:hint="eastAsia" w:ascii="宋体" w:hAnsi="宋体" w:cs="宋体"/>
          <w:szCs w:val="21"/>
          <w:highlight w:val="none"/>
        </w:rPr>
        <w:t xml:space="preserve">.1.1 </w:t>
      </w:r>
      <w:r>
        <w:rPr>
          <w:rFonts w:hint="eastAsia" w:ascii="宋体" w:hAnsi="宋体" w:eastAsia="宋体" w:cs="Times New Roman"/>
          <w:kern w:val="0"/>
          <w:szCs w:val="21"/>
          <w:highlight w:val="none"/>
          <w:lang w:bidi="en-US"/>
        </w:rPr>
        <w:t>负责对乙方服务管理的检查指导、监督与考核</w:t>
      </w:r>
      <w:r>
        <w:rPr>
          <w:rFonts w:hint="eastAsia" w:ascii="宋体" w:hAnsi="宋体" w:cs="宋体"/>
          <w:szCs w:val="21"/>
          <w:highlight w:val="none"/>
          <w:lang w:eastAsia="zh-CN"/>
        </w:rPr>
        <w:t>；</w:t>
      </w:r>
    </w:p>
    <w:p w14:paraId="4567FCE4">
      <w:pPr>
        <w:pStyle w:val="26"/>
        <w:spacing w:line="520" w:lineRule="exact"/>
        <w:ind w:firstLine="420" w:firstLineChars="200"/>
        <w:jc w:val="left"/>
        <w:rPr>
          <w:rFonts w:hint="eastAsia" w:ascii="宋体" w:hAnsi="宋体" w:eastAsia="宋体" w:cs="宋体"/>
          <w:szCs w:val="21"/>
          <w:highlight w:val="none"/>
          <w:lang w:eastAsia="zh-CN"/>
        </w:rPr>
      </w:pPr>
      <w:r>
        <w:rPr>
          <w:rFonts w:hint="eastAsia" w:cs="宋体"/>
          <w:szCs w:val="21"/>
          <w:highlight w:val="none"/>
          <w:lang w:val="en-US" w:eastAsia="zh-CN"/>
        </w:rPr>
        <w:t>5</w:t>
      </w:r>
      <w:r>
        <w:rPr>
          <w:rFonts w:hint="eastAsia" w:ascii="宋体" w:hAnsi="宋体" w:cs="宋体"/>
          <w:szCs w:val="21"/>
          <w:highlight w:val="none"/>
        </w:rPr>
        <w:t>.1.2</w:t>
      </w:r>
      <w:r>
        <w:rPr>
          <w:rFonts w:hint="eastAsia" w:ascii="宋体" w:hAnsi="宋体" w:eastAsia="宋体" w:cs="Times New Roman"/>
          <w:kern w:val="0"/>
          <w:szCs w:val="21"/>
          <w:highlight w:val="none"/>
          <w:lang w:bidi="en-US"/>
        </w:rPr>
        <w:t>负责制定并向乙方提供相关服务标准及其它相关资料</w:t>
      </w:r>
      <w:r>
        <w:rPr>
          <w:rFonts w:hint="eastAsia" w:ascii="宋体" w:hAnsi="宋体" w:eastAsia="宋体" w:cs="Times New Roman"/>
          <w:kern w:val="0"/>
          <w:szCs w:val="21"/>
          <w:highlight w:val="none"/>
          <w:lang w:eastAsia="zh-CN" w:bidi="en-US"/>
        </w:rPr>
        <w:t>；</w:t>
      </w:r>
    </w:p>
    <w:p w14:paraId="612B9D44">
      <w:pPr>
        <w:pStyle w:val="26"/>
        <w:spacing w:line="520" w:lineRule="exact"/>
        <w:ind w:firstLine="420" w:firstLineChars="200"/>
        <w:jc w:val="left"/>
        <w:rPr>
          <w:rFonts w:hint="eastAsia" w:ascii="宋体" w:hAnsi="宋体" w:eastAsia="宋体" w:cs="宋体"/>
          <w:szCs w:val="21"/>
          <w:highlight w:val="none"/>
          <w:lang w:eastAsia="zh-CN"/>
        </w:rPr>
      </w:pPr>
      <w:r>
        <w:rPr>
          <w:rFonts w:hint="eastAsia" w:cs="宋体"/>
          <w:szCs w:val="21"/>
          <w:highlight w:val="none"/>
          <w:lang w:val="en-US" w:eastAsia="zh-CN"/>
        </w:rPr>
        <w:t>5</w:t>
      </w:r>
      <w:r>
        <w:rPr>
          <w:rFonts w:hint="eastAsia" w:ascii="宋体" w:hAnsi="宋体" w:cs="宋体"/>
          <w:szCs w:val="21"/>
          <w:highlight w:val="none"/>
        </w:rPr>
        <w:t>.1.</w:t>
      </w:r>
      <w:r>
        <w:rPr>
          <w:rFonts w:ascii="宋体" w:hAnsi="宋体" w:cs="宋体"/>
          <w:szCs w:val="21"/>
          <w:highlight w:val="none"/>
        </w:rPr>
        <w:t>3</w:t>
      </w:r>
      <w:r>
        <w:rPr>
          <w:rFonts w:hint="eastAsia" w:ascii="宋体" w:hAnsi="宋体" w:eastAsia="宋体" w:cs="Times New Roman"/>
          <w:kern w:val="0"/>
          <w:szCs w:val="21"/>
          <w:highlight w:val="none"/>
          <w:lang w:bidi="en-US"/>
        </w:rPr>
        <w:t>负责审核乙方提供的服务计划</w:t>
      </w:r>
      <w:r>
        <w:rPr>
          <w:rFonts w:hint="eastAsia" w:ascii="宋体" w:hAnsi="宋体" w:eastAsia="宋体" w:cs="Times New Roman"/>
          <w:kern w:val="0"/>
          <w:szCs w:val="21"/>
          <w:highlight w:val="none"/>
          <w:lang w:eastAsia="zh-CN" w:bidi="en-US"/>
        </w:rPr>
        <w:t>；</w:t>
      </w:r>
    </w:p>
    <w:p w14:paraId="50EAAA37">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.1.</w:t>
      </w:r>
      <w:r>
        <w:rPr>
          <w:rFonts w:ascii="宋体" w:hAnsi="宋体" w:cs="宋体"/>
          <w:szCs w:val="21"/>
          <w:highlight w:val="none"/>
        </w:rPr>
        <w:t>4</w:t>
      </w:r>
      <w:r>
        <w:rPr>
          <w:rFonts w:hint="eastAsia" w:cs="Times New Roman" w:asciiTheme="minorEastAsia" w:hAnsiTheme="minorEastAsia"/>
          <w:kern w:val="0"/>
          <w:szCs w:val="21"/>
          <w:highlight w:val="none"/>
          <w:lang w:bidi="en-US"/>
        </w:rPr>
        <w:t>负责乙方与其它相关单位的工作协调</w:t>
      </w:r>
      <w:r>
        <w:rPr>
          <w:rFonts w:hint="eastAsia" w:ascii="宋体" w:hAnsi="宋体" w:cs="宋体"/>
          <w:szCs w:val="21"/>
          <w:highlight w:val="none"/>
        </w:rPr>
        <w:t>。</w:t>
      </w:r>
    </w:p>
    <w:p w14:paraId="42626A14">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.1.</w:t>
      </w:r>
      <w:r>
        <w:rPr>
          <w:rFonts w:ascii="宋体" w:hAnsi="宋体" w:cs="宋体"/>
          <w:szCs w:val="21"/>
          <w:highlight w:val="none"/>
        </w:rPr>
        <w:t>5</w:t>
      </w:r>
      <w:r>
        <w:rPr>
          <w:rFonts w:hint="eastAsia" w:ascii="宋体" w:hAnsi="宋体" w:cs="宋体"/>
          <w:szCs w:val="21"/>
          <w:highlight w:val="none"/>
        </w:rPr>
        <w:t xml:space="preserve"> 甲方有义务按时支付咨询款。</w:t>
      </w:r>
    </w:p>
    <w:p w14:paraId="481E0EE0">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.2   乙方权利和义务</w:t>
      </w:r>
    </w:p>
    <w:p w14:paraId="79259DAC">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.2.1 乙方应保证方案编制</w:t>
      </w:r>
      <w:r>
        <w:rPr>
          <w:rFonts w:hint="eastAsia" w:ascii="宋体" w:hAnsi="宋体" w:eastAsia="宋体" w:cs="Times New Roman"/>
          <w:kern w:val="0"/>
          <w:szCs w:val="21"/>
          <w:highlight w:val="none"/>
          <w:lang w:bidi="en-US"/>
        </w:rPr>
        <w:t>严格执行甲方对可行性研究报告编制的工期、深度、进度等要求</w:t>
      </w:r>
      <w:r>
        <w:rPr>
          <w:rFonts w:hint="eastAsia" w:ascii="宋体" w:hAnsi="宋体" w:cs="宋体"/>
          <w:szCs w:val="21"/>
          <w:highlight w:val="none"/>
        </w:rPr>
        <w:t>，并确保编制质量和</w:t>
      </w:r>
      <w:r>
        <w:rPr>
          <w:rFonts w:hint="eastAsia" w:ascii="宋体" w:hAnsi="宋体" w:cs="宋体"/>
          <w:szCs w:val="21"/>
          <w:highlight w:val="none"/>
          <w:lang w:val="en-US" w:eastAsia="zh-CN"/>
        </w:rPr>
        <w:t>通过专家评审</w:t>
      </w:r>
      <w:r>
        <w:rPr>
          <w:rFonts w:hint="eastAsia" w:ascii="宋体" w:hAnsi="宋体" w:cs="宋体"/>
          <w:szCs w:val="21"/>
          <w:highlight w:val="none"/>
        </w:rPr>
        <w:t>；负责技术咨询过程中组织专家评审、会务等技术咨询相关事项；</w:t>
      </w:r>
    </w:p>
    <w:p w14:paraId="2A7EA3D1">
      <w:pPr>
        <w:pStyle w:val="26"/>
        <w:spacing w:line="520" w:lineRule="exact"/>
        <w:ind w:firstLine="420" w:firstLineChars="200"/>
        <w:jc w:val="left"/>
        <w:rPr>
          <w:rFonts w:hint="eastAsia" w:ascii="宋体" w:hAnsi="宋体" w:eastAsia="宋体" w:cs="宋体"/>
          <w:szCs w:val="21"/>
          <w:highlight w:val="none"/>
          <w:lang w:eastAsia="zh-CN"/>
        </w:rPr>
      </w:pPr>
      <w:r>
        <w:rPr>
          <w:rFonts w:hint="eastAsia" w:cs="宋体"/>
          <w:szCs w:val="21"/>
          <w:highlight w:val="none"/>
          <w:lang w:val="en-US" w:eastAsia="zh-CN"/>
        </w:rPr>
        <w:t>5</w:t>
      </w:r>
      <w:r>
        <w:rPr>
          <w:rFonts w:hint="eastAsia" w:ascii="宋体" w:hAnsi="宋体" w:cs="宋体"/>
          <w:szCs w:val="21"/>
          <w:highlight w:val="none"/>
        </w:rPr>
        <w:t xml:space="preserve">.2.2 </w:t>
      </w:r>
      <w:r>
        <w:rPr>
          <w:rFonts w:ascii="宋体" w:hAnsi="宋体" w:eastAsia="宋体" w:cs="Times New Roman"/>
          <w:kern w:val="0"/>
          <w:szCs w:val="21"/>
          <w:highlight w:val="none"/>
          <w:lang w:bidi="en-US"/>
        </w:rPr>
        <w:t>遵守甲方现场管理要求</w:t>
      </w:r>
      <w:r>
        <w:rPr>
          <w:rFonts w:hint="eastAsia" w:ascii="宋体" w:hAnsi="宋体" w:eastAsia="宋体" w:cs="Times New Roman"/>
          <w:kern w:val="0"/>
          <w:szCs w:val="21"/>
          <w:highlight w:val="none"/>
          <w:lang w:eastAsia="zh-CN" w:bidi="en-US"/>
        </w:rPr>
        <w:t>；</w:t>
      </w:r>
    </w:p>
    <w:p w14:paraId="2354E0E0">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lang w:val="en-US" w:eastAsia="zh-CN"/>
        </w:rPr>
        <w:t>.2.3</w:t>
      </w:r>
      <w:r>
        <w:rPr>
          <w:rFonts w:hint="eastAsia" w:ascii="宋体" w:hAnsi="宋体" w:cs="宋体"/>
          <w:szCs w:val="21"/>
          <w:highlight w:val="none"/>
        </w:rPr>
        <w:t>承担因方案编制不合格而返工费用，因乙方的责任而造成工期延误，承担违约责任；</w:t>
      </w:r>
    </w:p>
    <w:p w14:paraId="7F8FC685">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.2.</w:t>
      </w:r>
      <w:r>
        <w:rPr>
          <w:rFonts w:hint="eastAsia" w:ascii="宋体" w:hAnsi="宋体" w:cs="宋体"/>
          <w:szCs w:val="21"/>
          <w:highlight w:val="none"/>
          <w:lang w:val="en-US" w:eastAsia="zh-CN"/>
        </w:rPr>
        <w:t>4</w:t>
      </w:r>
      <w:r>
        <w:rPr>
          <w:rFonts w:hint="eastAsia" w:ascii="宋体" w:hAnsi="宋体" w:cs="宋体"/>
          <w:szCs w:val="21"/>
          <w:highlight w:val="none"/>
        </w:rPr>
        <w:t xml:space="preserve"> 乙方对未尽事宜应提前两天向甲方提出；</w:t>
      </w:r>
    </w:p>
    <w:p w14:paraId="76F7572E">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5</w:t>
      </w:r>
      <w:r>
        <w:rPr>
          <w:rFonts w:hint="eastAsia" w:ascii="宋体" w:hAnsi="宋体" w:cs="宋体"/>
          <w:szCs w:val="21"/>
          <w:highlight w:val="none"/>
        </w:rPr>
        <w:t>.2.</w:t>
      </w:r>
      <w:r>
        <w:rPr>
          <w:rFonts w:hint="eastAsia" w:ascii="宋体" w:hAnsi="宋体" w:cs="宋体"/>
          <w:szCs w:val="21"/>
          <w:highlight w:val="none"/>
          <w:lang w:val="en-US" w:eastAsia="zh-CN"/>
        </w:rPr>
        <w:t>5</w:t>
      </w:r>
      <w:r>
        <w:rPr>
          <w:rFonts w:hint="eastAsia" w:ascii="宋体" w:hAnsi="宋体" w:cs="宋体"/>
          <w:szCs w:val="21"/>
          <w:highlight w:val="none"/>
        </w:rPr>
        <w:t xml:space="preserve">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14:paraId="2C1D49EF">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6、</w:t>
      </w:r>
      <w:r>
        <w:rPr>
          <w:rFonts w:hint="eastAsia" w:ascii="宋体" w:hAnsi="宋体" w:cs="宋体"/>
          <w:b/>
          <w:bCs/>
          <w:szCs w:val="21"/>
          <w:highlight w:val="none"/>
        </w:rPr>
        <w:t>安全责任</w:t>
      </w:r>
    </w:p>
    <w:p w14:paraId="04B9C9C5">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6</w:t>
      </w:r>
      <w:r>
        <w:rPr>
          <w:rFonts w:hint="eastAsia" w:ascii="宋体" w:hAnsi="宋体" w:cs="宋体"/>
          <w:szCs w:val="21"/>
          <w:highlight w:val="none"/>
        </w:rPr>
        <w:t>.1  甲方不得要求乙方违反安全管理的规定，因甲方原因等导致安全事故由甲方承担相应的责任及发生的费用。</w:t>
      </w:r>
    </w:p>
    <w:p w14:paraId="21E6F1F4">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6</w:t>
      </w:r>
      <w:r>
        <w:rPr>
          <w:rFonts w:hint="eastAsia" w:ascii="宋体" w:hAnsi="宋体" w:cs="宋体"/>
          <w:szCs w:val="21"/>
          <w:highlight w:val="none"/>
        </w:rPr>
        <w:t>.2  乙方应遵守有关管理制度，采取必要的安全措施，消除事故隐患，由于乙方安全措施不力造成事故责任和因此发生的费用由乙方承担。</w:t>
      </w:r>
    </w:p>
    <w:p w14:paraId="0E658359">
      <w:pPr>
        <w:spacing w:line="5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7</w:t>
      </w:r>
      <w:r>
        <w:rPr>
          <w:rFonts w:hint="eastAsia" w:ascii="宋体" w:hAnsi="宋体" w:cs="宋体"/>
          <w:b/>
          <w:bCs/>
          <w:szCs w:val="21"/>
          <w:highlight w:val="none"/>
        </w:rPr>
        <w:t>、违约责任</w:t>
      </w:r>
    </w:p>
    <w:p w14:paraId="650C96F4">
      <w:pPr>
        <w:pStyle w:val="26"/>
        <w:spacing w:line="52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.1   甲方违约：当发生下列情况时：</w:t>
      </w:r>
    </w:p>
    <w:p w14:paraId="3AF1F769">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.1.1  甲方不履行合同义务或不按合同约定履行义务的其他情况；</w:t>
      </w:r>
    </w:p>
    <w:p w14:paraId="7B1C69A4">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.2   乙方违约：当发生下列情况时</w:t>
      </w:r>
    </w:p>
    <w:p w14:paraId="1FF1CB0B">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.2.1  由于乙方原因质量达不到协议书约定的质量标准，乙方无条件返工并承担损失和违约责任；</w:t>
      </w:r>
    </w:p>
    <w:p w14:paraId="463E4BE6">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.2.2  由于乙方不履行合同义务或不按合同约定履行义务的其他情况；</w:t>
      </w:r>
    </w:p>
    <w:p w14:paraId="217BBB5F">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.2.3  乙方承担违约责任，赔偿其因其违约给甲方造成的直接经济损失。</w:t>
      </w:r>
    </w:p>
    <w:p w14:paraId="7E9F92F6">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7</w:t>
      </w:r>
      <w:r>
        <w:rPr>
          <w:rFonts w:hint="eastAsia" w:ascii="宋体" w:hAnsi="宋体" w:cs="宋体"/>
          <w:szCs w:val="21"/>
          <w:highlight w:val="none"/>
        </w:rPr>
        <w:t>.3    一方违约后， 另一方要求违约方继续履行合同时，违约方承担上述违约责任后，仍继续履行合同。</w:t>
      </w:r>
    </w:p>
    <w:p w14:paraId="236FD30F">
      <w:pPr>
        <w:spacing w:line="480" w:lineRule="exact"/>
        <w:ind w:right="-433" w:rightChars="-206" w:firstLine="422" w:firstLineChars="200"/>
        <w:jc w:val="left"/>
        <w:rPr>
          <w:rFonts w:hint="eastAsia" w:ascii="宋体" w:hAnsi="宋体" w:cs="宋体"/>
          <w:b/>
          <w:bCs/>
          <w:szCs w:val="21"/>
          <w:highlight w:val="none"/>
          <w:lang w:val="zh-CN"/>
        </w:rPr>
      </w:pPr>
      <w:bookmarkStart w:id="262" w:name="_Toc16021"/>
      <w:bookmarkStart w:id="263" w:name="_Toc15583"/>
      <w:bookmarkStart w:id="264" w:name="_Toc28375"/>
      <w:r>
        <w:rPr>
          <w:rFonts w:hint="eastAsia" w:ascii="宋体" w:hAnsi="宋体" w:cs="宋体"/>
          <w:b/>
          <w:bCs/>
          <w:szCs w:val="21"/>
          <w:highlight w:val="none"/>
          <w:lang w:val="en-US" w:eastAsia="zh-CN"/>
        </w:rPr>
        <w:t>8、</w:t>
      </w:r>
      <w:r>
        <w:rPr>
          <w:rFonts w:hint="eastAsia" w:ascii="宋体" w:hAnsi="宋体" w:cs="宋体"/>
          <w:b/>
          <w:bCs/>
          <w:szCs w:val="21"/>
          <w:highlight w:val="none"/>
          <w:lang w:val="zh-CN"/>
        </w:rPr>
        <w:t>合同争议的解决</w:t>
      </w:r>
      <w:bookmarkEnd w:id="262"/>
      <w:bookmarkEnd w:id="263"/>
      <w:bookmarkEnd w:id="264"/>
    </w:p>
    <w:p w14:paraId="46023DFC">
      <w:pPr>
        <w:pStyle w:val="26"/>
        <w:spacing w:line="480" w:lineRule="exact"/>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zCs w:val="21"/>
          <w:highlight w:val="none"/>
          <w:u w:val="single"/>
        </w:rPr>
        <w:t>1</w:t>
      </w:r>
      <w:r>
        <w:rPr>
          <w:rFonts w:hint="eastAsia" w:ascii="宋体" w:hAnsi="宋体" w:eastAsia="宋体" w:cs="宋体"/>
          <w:szCs w:val="21"/>
          <w:highlight w:val="none"/>
        </w:rPr>
        <w:t>种方式解决：</w:t>
      </w:r>
    </w:p>
    <w:p w14:paraId="62062965">
      <w:pPr>
        <w:pStyle w:val="26"/>
        <w:spacing w:line="480" w:lineRule="exact"/>
        <w:ind w:firstLine="420" w:firstLineChars="200"/>
        <w:jc w:val="left"/>
        <w:rPr>
          <w:rFonts w:hint="eastAsia" w:ascii="宋体" w:hAnsi="宋体" w:eastAsia="宋体" w:cs="宋体"/>
          <w:szCs w:val="21"/>
          <w:highlight w:val="none"/>
        </w:rPr>
      </w:pPr>
      <w:r>
        <w:rPr>
          <w:rFonts w:hint="eastAsia" w:cs="宋体"/>
          <w:szCs w:val="21"/>
          <w:highlight w:val="none"/>
          <w:lang w:val="en-US" w:eastAsia="zh-CN"/>
        </w:rPr>
        <w:t>8</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.1将争议提交滁州仲裁委员会依申请仲裁时其现行有效的仲裁规则裁决；</w:t>
      </w:r>
    </w:p>
    <w:p w14:paraId="619083A3">
      <w:pPr>
        <w:pStyle w:val="26"/>
        <w:spacing w:line="480" w:lineRule="exact"/>
        <w:ind w:firstLine="420" w:firstLineChars="200"/>
        <w:jc w:val="left"/>
        <w:rPr>
          <w:rFonts w:hint="eastAsia" w:ascii="宋体" w:hAnsi="宋体" w:eastAsia="宋体" w:cs="宋体"/>
          <w:szCs w:val="21"/>
          <w:highlight w:val="none"/>
          <w:lang w:val="en-US" w:eastAsia="zh-CN"/>
        </w:rPr>
      </w:pPr>
      <w:r>
        <w:rPr>
          <w:rFonts w:hint="eastAsia" w:cs="宋体"/>
          <w:szCs w:val="21"/>
          <w:highlight w:val="none"/>
          <w:lang w:val="en-US" w:eastAsia="zh-CN"/>
        </w:rPr>
        <w:t>8</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.1向甲方（</w:t>
      </w:r>
      <w:r>
        <w:rPr>
          <w:rFonts w:hint="eastAsia" w:ascii="宋体" w:hAnsi="宋体" w:eastAsia="宋体" w:cs="宋体"/>
          <w:szCs w:val="21"/>
          <w:highlight w:val="none"/>
          <w:lang w:val="en-US" w:eastAsia="zh-CN"/>
        </w:rPr>
        <w:t>招标</w:t>
      </w:r>
      <w:r>
        <w:rPr>
          <w:rFonts w:hint="eastAsia" w:ascii="宋体" w:hAnsi="宋体" w:eastAsia="宋体" w:cs="宋体"/>
          <w:szCs w:val="21"/>
          <w:highlight w:val="none"/>
        </w:rPr>
        <w:t>人）所在地人民法院起诉。</w:t>
      </w:r>
    </w:p>
    <w:p w14:paraId="6F887009">
      <w:pPr>
        <w:spacing w:line="48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lang w:val="en-US" w:eastAsia="zh-CN"/>
        </w:rPr>
        <w:t>9</w:t>
      </w:r>
      <w:r>
        <w:rPr>
          <w:rFonts w:hint="eastAsia" w:ascii="宋体" w:hAnsi="宋体" w:cs="宋体"/>
          <w:b/>
          <w:bCs/>
          <w:szCs w:val="21"/>
          <w:highlight w:val="none"/>
        </w:rPr>
        <w:t>、合同生效及其它</w:t>
      </w:r>
    </w:p>
    <w:p w14:paraId="5A82AD3C">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9</w:t>
      </w:r>
      <w:r>
        <w:rPr>
          <w:rFonts w:hint="eastAsia" w:ascii="宋体" w:hAnsi="宋体" w:cs="宋体"/>
          <w:szCs w:val="21"/>
          <w:highlight w:val="none"/>
        </w:rPr>
        <w:t>.1  本合同发生的相关图纸、技术资料、传真等纸质材料是本合同的组成部分，与本合同具有同等法律效力。</w:t>
      </w:r>
    </w:p>
    <w:p w14:paraId="6509B2AD">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9</w:t>
      </w:r>
      <w:r>
        <w:rPr>
          <w:rFonts w:hint="eastAsia" w:ascii="宋体" w:hAnsi="宋体" w:cs="宋体"/>
          <w:szCs w:val="21"/>
          <w:highlight w:val="none"/>
        </w:rPr>
        <w:t>.2   未尽事宜，双方在合同执行时协商解决。</w:t>
      </w:r>
    </w:p>
    <w:p w14:paraId="75CAA71F">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9</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 xml:space="preserve">   本合同规定的责任和义务、付款结清后，本合同及告终止。</w:t>
      </w:r>
    </w:p>
    <w:p w14:paraId="5193C503">
      <w:pPr>
        <w:pStyle w:val="26"/>
        <w:spacing w:line="480" w:lineRule="exact"/>
        <w:ind w:firstLine="420" w:firstLineChars="200"/>
        <w:jc w:val="left"/>
        <w:rPr>
          <w:rFonts w:hint="eastAsia" w:ascii="宋体" w:hAnsi="宋体" w:cs="宋体"/>
          <w:szCs w:val="21"/>
          <w:highlight w:val="none"/>
        </w:rPr>
      </w:pPr>
      <w:r>
        <w:rPr>
          <w:rFonts w:hint="eastAsia" w:cs="宋体"/>
          <w:szCs w:val="21"/>
          <w:highlight w:val="none"/>
          <w:lang w:val="en-US" w:eastAsia="zh-CN"/>
        </w:rPr>
        <w:t>9</w:t>
      </w:r>
      <w:r>
        <w:rPr>
          <w:rFonts w:hint="eastAsia" w:ascii="宋体" w:hAnsi="宋体" w:cs="宋体"/>
          <w:szCs w:val="21"/>
          <w:highlight w:val="none"/>
        </w:rPr>
        <w:t>.</w:t>
      </w:r>
      <w:r>
        <w:rPr>
          <w:rFonts w:hint="eastAsia" w:ascii="宋体" w:hAnsi="宋体" w:cs="宋体"/>
          <w:szCs w:val="21"/>
          <w:highlight w:val="none"/>
          <w:lang w:val="en-US" w:eastAsia="zh-CN"/>
        </w:rPr>
        <w:t xml:space="preserve">4 </w:t>
      </w:r>
      <w:r>
        <w:rPr>
          <w:rFonts w:hint="eastAsia" w:ascii="宋体" w:hAnsi="宋体" w:cs="宋体"/>
          <w:szCs w:val="21"/>
          <w:highlight w:val="none"/>
        </w:rPr>
        <w:t xml:space="preserve">  甲乙双方法定代表人或其委托代理人在合同书上签名并盖单位公章后合同生效。</w:t>
      </w:r>
    </w:p>
    <w:p w14:paraId="259E00B3">
      <w:pPr>
        <w:pStyle w:val="26"/>
        <w:spacing w:line="480" w:lineRule="exact"/>
        <w:ind w:firstLine="420" w:firstLineChars="200"/>
        <w:jc w:val="left"/>
        <w:rPr>
          <w:rFonts w:hint="eastAsia" w:ascii="宋体" w:hAnsi="宋体" w:cs="宋体"/>
          <w:szCs w:val="21"/>
          <w:highlight w:val="none"/>
          <w:lang w:eastAsia="zh-CN"/>
        </w:rPr>
      </w:pPr>
      <w:r>
        <w:rPr>
          <w:rFonts w:hint="eastAsia" w:cs="宋体"/>
          <w:szCs w:val="21"/>
          <w:highlight w:val="none"/>
          <w:lang w:val="en-US" w:eastAsia="zh-CN"/>
        </w:rPr>
        <w:t>9</w:t>
      </w:r>
      <w:r>
        <w:rPr>
          <w:rFonts w:hint="eastAsia" w:ascii="宋体" w:hAnsi="宋体" w:cs="宋体"/>
          <w:szCs w:val="21"/>
          <w:highlight w:val="none"/>
          <w:lang w:eastAsia="zh-CN"/>
        </w:rPr>
        <w:t>.</w:t>
      </w:r>
      <w:r>
        <w:rPr>
          <w:rFonts w:hint="eastAsia" w:ascii="宋体" w:hAnsi="宋体" w:cs="宋体"/>
          <w:szCs w:val="21"/>
          <w:highlight w:val="none"/>
          <w:lang w:val="en-US" w:eastAsia="zh-CN"/>
        </w:rPr>
        <w:t>5</w:t>
      </w:r>
      <w:r>
        <w:rPr>
          <w:rFonts w:hint="eastAsia" w:ascii="宋体" w:hAnsi="宋体" w:cs="宋体"/>
          <w:szCs w:val="21"/>
          <w:highlight w:val="none"/>
          <w:lang w:eastAsia="zh-CN"/>
        </w:rPr>
        <w:t xml:space="preserve">   本合同正本一式</w:t>
      </w:r>
      <w:r>
        <w:rPr>
          <w:rFonts w:hint="eastAsia" w:ascii="宋体" w:hAnsi="宋体" w:cs="宋体"/>
          <w:szCs w:val="21"/>
          <w:highlight w:val="none"/>
          <w:u w:val="single"/>
          <w:lang w:eastAsia="zh-CN"/>
        </w:rPr>
        <w:t xml:space="preserve"> </w:t>
      </w:r>
      <w:r>
        <w:rPr>
          <w:rFonts w:hint="eastAsia" w:ascii="宋体" w:hAnsi="宋体" w:cs="宋体"/>
          <w:szCs w:val="21"/>
          <w:highlight w:val="none"/>
          <w:u w:val="single"/>
          <w:lang w:val="en-US" w:eastAsia="zh-CN"/>
        </w:rPr>
        <w:t>捌</w:t>
      </w:r>
      <w:r>
        <w:rPr>
          <w:rFonts w:hint="eastAsia" w:ascii="宋体" w:hAnsi="宋体" w:cs="宋体"/>
          <w:szCs w:val="21"/>
          <w:highlight w:val="none"/>
          <w:u w:val="single"/>
          <w:lang w:eastAsia="zh-CN"/>
        </w:rPr>
        <w:t xml:space="preserve">  </w:t>
      </w:r>
      <w:r>
        <w:rPr>
          <w:rFonts w:hint="eastAsia" w:ascii="宋体" w:hAnsi="宋体" w:cs="宋体"/>
          <w:szCs w:val="21"/>
          <w:highlight w:val="none"/>
          <w:lang w:eastAsia="zh-CN"/>
        </w:rPr>
        <w:t>份，甲乙双方各执</w:t>
      </w:r>
      <w:r>
        <w:rPr>
          <w:rFonts w:hint="eastAsia" w:ascii="宋体" w:hAnsi="宋体" w:cs="宋体"/>
          <w:szCs w:val="21"/>
          <w:highlight w:val="none"/>
          <w:u w:val="single"/>
          <w:lang w:eastAsia="zh-CN"/>
        </w:rPr>
        <w:t xml:space="preserve"> 肆 </w:t>
      </w:r>
      <w:r>
        <w:rPr>
          <w:rFonts w:hint="eastAsia" w:ascii="宋体" w:hAnsi="宋体" w:cs="宋体"/>
          <w:szCs w:val="21"/>
          <w:highlight w:val="none"/>
          <w:lang w:eastAsia="zh-CN"/>
        </w:rPr>
        <w:t>份。</w:t>
      </w:r>
    </w:p>
    <w:p w14:paraId="06F24FE2">
      <w:pPr>
        <w:pStyle w:val="26"/>
        <w:spacing w:line="480" w:lineRule="exact"/>
        <w:ind w:firstLine="420" w:firstLineChars="200"/>
        <w:jc w:val="left"/>
        <w:rPr>
          <w:rFonts w:hint="eastAsia" w:ascii="宋体" w:hAnsi="宋体" w:cs="宋体"/>
          <w:szCs w:val="21"/>
          <w:highlight w:val="none"/>
        </w:rPr>
      </w:pPr>
    </w:p>
    <w:p w14:paraId="3CB57DB2">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甲 方：  (公章)                       乙 方：  (公章)                                 </w:t>
      </w:r>
    </w:p>
    <w:p w14:paraId="763DFD17">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7875712E">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（签字）                             （签字）</w:t>
      </w:r>
    </w:p>
    <w:p w14:paraId="5C1E5A13">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组织机构代码：</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组织机构代码：             </w:t>
      </w:r>
    </w:p>
    <w:p w14:paraId="26C41FFE">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地  址：                  </w:t>
      </w:r>
    </w:p>
    <w:p w14:paraId="42A917C0">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邮政编码：                  </w:t>
      </w:r>
    </w:p>
    <w:p w14:paraId="29A0C2CF">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电  话：                     </w:t>
      </w:r>
    </w:p>
    <w:p w14:paraId="00F75F6B">
      <w:pPr>
        <w:pStyle w:val="26"/>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                                      开户银行：                   </w:t>
      </w:r>
    </w:p>
    <w:p w14:paraId="1F9DA331">
      <w:pPr>
        <w:spacing w:line="480" w:lineRule="exact"/>
        <w:ind w:firstLine="420" w:firstLineChars="200"/>
        <w:rPr>
          <w:rFonts w:hint="eastAsia" w:ascii="宋体" w:hAnsi="宋体" w:cs="宋体"/>
          <w:highlight w:val="none"/>
        </w:rPr>
      </w:pPr>
      <w:r>
        <w:rPr>
          <w:rFonts w:hint="eastAsia" w:ascii="宋体" w:hAnsi="宋体" w:cs="宋体"/>
          <w:szCs w:val="21"/>
          <w:highlight w:val="none"/>
        </w:rPr>
        <w:t xml:space="preserve">                                    账   号：</w:t>
      </w: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6"/>
        <w:ind w:firstLine="420"/>
        <w:rPr>
          <w:rFonts w:ascii="Times New Roman"/>
          <w:szCs w:val="24"/>
          <w:highlight w:val="none"/>
        </w:rPr>
      </w:pPr>
    </w:p>
    <w:p w14:paraId="3062FE47">
      <w:pPr>
        <w:rPr>
          <w:rFonts w:ascii="Times New Roman"/>
          <w:szCs w:val="24"/>
          <w:highlight w:val="none"/>
        </w:rPr>
      </w:pPr>
    </w:p>
    <w:p w14:paraId="78F93F73">
      <w:pPr>
        <w:pStyle w:val="16"/>
        <w:rPr>
          <w:rFonts w:ascii="Times New Roman"/>
          <w:szCs w:val="24"/>
          <w:highlight w:val="none"/>
        </w:rPr>
      </w:pPr>
    </w:p>
    <w:p w14:paraId="1E9D0BD8">
      <w:pPr>
        <w:rPr>
          <w:rFonts w:ascii="Times New Roman"/>
          <w:szCs w:val="24"/>
          <w:highlight w:val="none"/>
        </w:rPr>
      </w:pPr>
    </w:p>
    <w:p w14:paraId="13AFD6AD">
      <w:pPr>
        <w:pStyle w:val="16"/>
        <w:rPr>
          <w:highlight w:val="none"/>
        </w:rPr>
      </w:pPr>
    </w:p>
    <w:p w14:paraId="0799C826">
      <w:pPr>
        <w:pStyle w:val="16"/>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097218CB">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5" w:name="_Toc35424971"/>
      <w:bookmarkStart w:id="266" w:name="_Toc35425137"/>
      <w:bookmarkStart w:id="267"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8" w:name="_Toc78803399"/>
      <w:r>
        <w:rPr>
          <w:rStyle w:val="121"/>
          <w:rFonts w:hint="eastAsia" w:ascii="宋体" w:hAnsi="宋体" w:cs="宋体"/>
          <w:sz w:val="32"/>
          <w:highlight w:val="none"/>
        </w:rPr>
        <w:br w:type="page"/>
      </w:r>
      <w:bookmarkEnd w:id="265"/>
      <w:bookmarkEnd w:id="266"/>
      <w:bookmarkEnd w:id="267"/>
      <w:bookmarkEnd w:id="268"/>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（2）投标人有效的营业执照、税务登记证、组织机构代码证（或三合一证书）；</w:t>
      </w:r>
    </w:p>
    <w:p w14:paraId="48E24408">
      <w:pPr>
        <w:spacing w:line="360" w:lineRule="auto"/>
        <w:ind w:firstLine="420" w:firstLineChars="200"/>
        <w:rPr>
          <w:rFonts w:hint="default"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（3）投标人有效资质证书；</w:t>
      </w:r>
    </w:p>
    <w:p w14:paraId="476E7636">
      <w:pPr>
        <w:spacing w:line="360" w:lineRule="auto"/>
        <w:ind w:firstLine="420" w:firstLineChars="200"/>
        <w:rPr>
          <w:rFonts w:hint="eastAsia"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（4）诚信投标承诺书（格式见附件）；</w:t>
      </w:r>
    </w:p>
    <w:p w14:paraId="5220DE43">
      <w:pPr>
        <w:spacing w:line="360" w:lineRule="auto"/>
        <w:ind w:firstLine="420" w:firstLineChars="200"/>
        <w:rPr>
          <w:rFonts w:hint="eastAsia"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（5）服务承诺：是否响应招标文件要求的书面说明和服务承诺书（格式见附件）；</w:t>
      </w:r>
    </w:p>
    <w:p w14:paraId="40D371A2">
      <w:pPr>
        <w:spacing w:line="360" w:lineRule="auto"/>
        <w:ind w:firstLine="420" w:firstLineChars="200"/>
        <w:rPr>
          <w:rFonts w:hint="eastAsia" w:ascii="宋体" w:hAnsi="Times New Roman" w:cs="Times New Roman"/>
          <w:color w:val="auto"/>
          <w:szCs w:val="21"/>
          <w:highlight w:val="none"/>
          <w:lang w:val="en-US" w:eastAsia="zh-CN"/>
        </w:rPr>
      </w:pPr>
      <w:r>
        <w:rPr>
          <w:rFonts w:hint="eastAsia" w:ascii="宋体" w:hAnsi="Times New Roman" w:cs="Times New Roman"/>
          <w:color w:val="auto"/>
          <w:szCs w:val="21"/>
          <w:highlight w:val="none"/>
          <w:lang w:val="en-US" w:eastAsia="zh-CN"/>
        </w:rPr>
        <w:t>（6）招标文件中要求的资信评审（评分）的支持资料。</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9" w:name="_Toc26598"/>
      <w:bookmarkStart w:id="270" w:name="_Toc503196197"/>
      <w:bookmarkStart w:id="271" w:name="_Toc506107356"/>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9"/>
      <w:bookmarkEnd w:id="270"/>
      <w:bookmarkEnd w:id="271"/>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6"/>
        <w:ind w:firstLine="560"/>
        <w:rPr>
          <w:rFonts w:eastAsia="黑体"/>
          <w:sz w:val="28"/>
          <w:szCs w:val="28"/>
          <w:highlight w:val="none"/>
        </w:rPr>
      </w:pPr>
    </w:p>
    <w:p w14:paraId="1D0BEC5C">
      <w:pPr>
        <w:rPr>
          <w:rFonts w:eastAsia="黑体"/>
          <w:sz w:val="28"/>
          <w:szCs w:val="28"/>
          <w:highlight w:val="none"/>
        </w:rPr>
      </w:pPr>
    </w:p>
    <w:p w14:paraId="28D93157">
      <w:pPr>
        <w:pStyle w:val="16"/>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3B6C62B9">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6824ABB0">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eastAsia="zh-CN"/>
        </w:rPr>
        <w:t>项目规划建议</w:t>
      </w:r>
      <w:r>
        <w:rPr>
          <w:rFonts w:hint="eastAsia" w:ascii="宋体" w:hAnsi="宋体" w:cs="宋体"/>
          <w:szCs w:val="21"/>
          <w:highlight w:val="none"/>
          <w:lang w:eastAsia="zh-CN"/>
        </w:rPr>
        <w:t>；</w:t>
      </w:r>
    </w:p>
    <w:p w14:paraId="5C237D59">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eastAsia="宋体" w:cs="宋体"/>
          <w:szCs w:val="21"/>
          <w:highlight w:val="none"/>
          <w:lang w:eastAsia="zh-CN"/>
        </w:rPr>
        <w:t>规划技术路线</w:t>
      </w:r>
      <w:r>
        <w:rPr>
          <w:rFonts w:hint="eastAsia" w:ascii="宋体" w:hAnsi="宋体" w:cs="宋体"/>
          <w:szCs w:val="21"/>
          <w:highlight w:val="none"/>
          <w:lang w:eastAsia="zh-CN"/>
        </w:rPr>
        <w:t>；</w:t>
      </w:r>
    </w:p>
    <w:p w14:paraId="7B5FA9D1">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eastAsia="宋体" w:cs="宋体"/>
          <w:szCs w:val="21"/>
          <w:highlight w:val="none"/>
          <w:lang w:eastAsia="zh-CN"/>
        </w:rPr>
        <w:t>规划方案</w:t>
      </w:r>
      <w:r>
        <w:rPr>
          <w:rFonts w:hint="eastAsia" w:ascii="宋体" w:hAnsi="宋体" w:cs="宋体"/>
          <w:szCs w:val="21"/>
          <w:highlight w:val="none"/>
          <w:lang w:eastAsia="zh-CN"/>
        </w:rPr>
        <w:t>；</w:t>
      </w:r>
    </w:p>
    <w:p w14:paraId="6B938E32">
      <w:pPr>
        <w:spacing w:line="440" w:lineRule="exact"/>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eastAsia="宋体" w:cs="宋体"/>
          <w:szCs w:val="21"/>
          <w:highlight w:val="none"/>
          <w:lang w:eastAsia="zh-CN"/>
        </w:rPr>
        <w:t>项目质量保证措施</w:t>
      </w:r>
      <w:r>
        <w:rPr>
          <w:rFonts w:hint="eastAsia" w:ascii="宋体" w:hAnsi="宋体" w:cs="宋体"/>
          <w:szCs w:val="21"/>
          <w:highlight w:val="none"/>
          <w:lang w:eastAsia="zh-CN"/>
        </w:rPr>
        <w:t>。</w:t>
      </w:r>
    </w:p>
    <w:p w14:paraId="2EEC4B9E">
      <w:pPr>
        <w:pStyle w:val="16"/>
        <w:rPr>
          <w:rFonts w:hint="eastAsia"/>
          <w:highlight w:val="none"/>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highlight w:val="none"/>
          <w:u w:val="single"/>
        </w:rPr>
      </w:pPr>
      <w:r>
        <w:rPr>
          <w:rFonts w:hint="eastAsia" w:eastAsia="黑体"/>
          <w:sz w:val="28"/>
          <w:szCs w:val="28"/>
          <w:highlight w:val="none"/>
        </w:rPr>
        <w:t xml:space="preserve"> 投标人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盖</w:t>
      </w:r>
      <w:r>
        <w:rPr>
          <w:rFonts w:eastAsia="黑体"/>
          <w:sz w:val="28"/>
          <w:szCs w:val="28"/>
          <w:highlight w:val="none"/>
        </w:rPr>
        <w:t>章）</w:t>
      </w:r>
    </w:p>
    <w:p w14:paraId="4CAB06D8">
      <w:pPr>
        <w:jc w:val="center"/>
        <w:rPr>
          <w:rFonts w:eastAsia="黑体"/>
          <w:sz w:val="28"/>
          <w:szCs w:val="28"/>
          <w:highlight w:val="none"/>
        </w:rPr>
      </w:pPr>
      <w:r>
        <w:rPr>
          <w:rFonts w:hint="eastAsia" w:eastAsia="黑体"/>
          <w:sz w:val="28"/>
          <w:szCs w:val="28"/>
          <w:highlight w:val="none"/>
        </w:rPr>
        <w:t xml:space="preserve">   </w:t>
      </w:r>
      <w:r>
        <w:rPr>
          <w:rFonts w:eastAsia="黑体"/>
          <w:sz w:val="28"/>
          <w:szCs w:val="28"/>
          <w:highlight w:val="none"/>
        </w:rPr>
        <w:t>法定代表人</w:t>
      </w:r>
      <w:r>
        <w:rPr>
          <w:rFonts w:hint="eastAsia" w:eastAsia="黑体"/>
          <w:sz w:val="28"/>
          <w:szCs w:val="28"/>
          <w:highlight w:val="none"/>
          <w:lang w:val="en-US" w:eastAsia="zh-CN"/>
        </w:rPr>
        <w:t>或授权委托人</w:t>
      </w:r>
      <w:r>
        <w:rPr>
          <w:rFonts w:eastAsia="黑体"/>
          <w:sz w:val="28"/>
          <w:szCs w:val="28"/>
          <w:highlight w:val="none"/>
        </w:rPr>
        <w:t>：</w:t>
      </w:r>
      <w:r>
        <w:rPr>
          <w:rFonts w:eastAsia="黑体"/>
          <w:sz w:val="28"/>
          <w:szCs w:val="28"/>
          <w:highlight w:val="none"/>
          <w:u w:val="single"/>
        </w:rPr>
        <w:t xml:space="preserve">         </w:t>
      </w:r>
      <w:r>
        <w:rPr>
          <w:rFonts w:hint="eastAsia" w:eastAsia="黑体"/>
          <w:sz w:val="28"/>
          <w:szCs w:val="28"/>
          <w:highlight w:val="none"/>
          <w:u w:val="single"/>
        </w:rPr>
        <w:t xml:space="preserve">         </w:t>
      </w:r>
      <w:r>
        <w:rPr>
          <w:rFonts w:eastAsia="黑体"/>
          <w:sz w:val="28"/>
          <w:szCs w:val="28"/>
          <w:highlight w:val="none"/>
          <w:u w:val="single"/>
        </w:rPr>
        <w:t xml:space="preserve">       </w:t>
      </w:r>
      <w:r>
        <w:rPr>
          <w:rFonts w:eastAsia="黑体"/>
          <w:sz w:val="28"/>
          <w:szCs w:val="28"/>
          <w:highlight w:val="none"/>
        </w:rPr>
        <w:t>（</w:t>
      </w:r>
      <w:r>
        <w:rPr>
          <w:rFonts w:hint="eastAsia" w:eastAsia="黑体"/>
          <w:sz w:val="28"/>
          <w:szCs w:val="28"/>
          <w:highlight w:val="none"/>
        </w:rPr>
        <w:t>签字或盖章</w:t>
      </w:r>
      <w:r>
        <w:rPr>
          <w:rFonts w:eastAsia="黑体"/>
          <w:sz w:val="28"/>
          <w:szCs w:val="28"/>
          <w:highlight w:val="none"/>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1"/>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72" w:name="_Toc35425140"/>
      <w:bookmarkStart w:id="273" w:name="_Toc35424974"/>
      <w:bookmarkStart w:id="274" w:name="_Toc506107366"/>
      <w:bookmarkStart w:id="275" w:name="_Toc15058950"/>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w:t>
      </w:r>
      <w:r>
        <w:rPr>
          <w:rFonts w:hint="eastAsia" w:ascii="宋体" w:hAnsi="宋体" w:cs="宋体"/>
          <w:color w:val="000000"/>
          <w:kern w:val="0"/>
          <w:sz w:val="24"/>
          <w:szCs w:val="24"/>
          <w:highlight w:val="none"/>
          <w:u w:val="single" w:color="auto"/>
          <w:lang w:val="en-US" w:eastAsia="zh-CN" w:bidi="ar"/>
        </w:rPr>
        <w:t>6</w:t>
      </w:r>
      <w:r>
        <w:rPr>
          <w:rFonts w:hint="eastAsia" w:ascii="宋体" w:hAnsi="宋体" w:eastAsia="宋体" w:cs="宋体"/>
          <w:color w:val="000000"/>
          <w:kern w:val="0"/>
          <w:sz w:val="24"/>
          <w:szCs w:val="24"/>
          <w:highlight w:val="none"/>
          <w:u w:val="single" w:color="auto"/>
          <w:lang w:val="en-US" w:eastAsia="zh-CN" w:bidi="ar"/>
        </w:rPr>
        <w:t xml:space="preserve">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000000"/>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7.我单位提供如下通讯地址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72"/>
    <w:bookmarkEnd w:id="273"/>
    <w:bookmarkEnd w:id="274"/>
    <w:bookmarkEnd w:id="275"/>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276" w:name="_Toc78803402"/>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6"/>
    </w:p>
    <w:p w14:paraId="7D391125">
      <w:pPr>
        <w:pStyle w:val="21"/>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滁州至南京城际铁路（滁州段）二期工程高铁站、花博园站、琅琊山站装饰装修及附属升级改造方案设计项目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12</w:t>
            </w:r>
            <w:r>
              <w:rPr>
                <w:rFonts w:hint="eastAsia" w:ascii="宋体" w:hAnsi="宋体"/>
                <w:sz w:val="28"/>
                <w:szCs w:val="28"/>
                <w:highlight w:val="none"/>
              </w:rPr>
              <w:t>月</w:t>
            </w:r>
          </w:p>
          <w:p w14:paraId="72A7FF77">
            <w:pPr>
              <w:pStyle w:val="16"/>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12</w:t>
            </w:r>
            <w:r>
              <w:rPr>
                <w:rFonts w:hint="eastAsia" w:ascii="宋体" w:hAnsi="宋体"/>
                <w:sz w:val="28"/>
                <w:szCs w:val="28"/>
                <w:highlight w:val="none"/>
              </w:rPr>
              <w:t>月</w:t>
            </w:r>
          </w:p>
          <w:p w14:paraId="4EDF8AEB">
            <w:pPr>
              <w:pStyle w:val="16"/>
              <w:ind w:firstLine="420"/>
              <w:rPr>
                <w:highlight w:val="none"/>
              </w:rPr>
            </w:pPr>
          </w:p>
        </w:tc>
      </w:tr>
    </w:tbl>
    <w:p w14:paraId="2D7DD9E9">
      <w:pPr>
        <w:rPr>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1"/>
      <w:rPr>
        <w:rStyle w:val="51"/>
      </w:rPr>
    </w:pPr>
  </w:p>
  <w:p w14:paraId="5343591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1"/>
      <w:rPr>
        <w:rStyle w:val="51"/>
      </w:rPr>
    </w:pPr>
  </w:p>
  <w:p w14:paraId="78B0040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1"/>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1"/>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BBF03D"/>
    <w:multiLevelType w:val="singleLevel"/>
    <w:tmpl w:val="41BBF03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96023"/>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756FC"/>
    <w:rsid w:val="2D5D5591"/>
    <w:rsid w:val="2D74743A"/>
    <w:rsid w:val="2D7C11D4"/>
    <w:rsid w:val="2D7F4766"/>
    <w:rsid w:val="2D8D3A62"/>
    <w:rsid w:val="2DAF3E40"/>
    <w:rsid w:val="2DBE7F60"/>
    <w:rsid w:val="2DBF2EFF"/>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37DC3"/>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9B10A4"/>
    <w:rsid w:val="3EAA3B18"/>
    <w:rsid w:val="3EAA555F"/>
    <w:rsid w:val="3EBD0BAE"/>
    <w:rsid w:val="3EC3774B"/>
    <w:rsid w:val="3ECC3927"/>
    <w:rsid w:val="3ECD2095"/>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3A1494"/>
    <w:rsid w:val="41406E31"/>
    <w:rsid w:val="414E3836"/>
    <w:rsid w:val="41592854"/>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1"/>
    <w:qFormat/>
    <w:uiPriority w:val="0"/>
    <w:pPr>
      <w:keepNext/>
      <w:keepLines/>
      <w:spacing w:line="440" w:lineRule="exact"/>
      <w:jc w:val="center"/>
      <w:outlineLvl w:val="0"/>
    </w:pPr>
    <w:rPr>
      <w:b/>
      <w:bCs/>
      <w:kern w:val="44"/>
      <w:sz w:val="44"/>
      <w:szCs w:val="44"/>
    </w:rPr>
  </w:style>
  <w:style w:type="paragraph" w:styleId="5">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6">
    <w:name w:val="heading 3"/>
    <w:basedOn w:val="1"/>
    <w:next w:val="1"/>
    <w:link w:val="154"/>
    <w:qFormat/>
    <w:uiPriority w:val="0"/>
    <w:pPr>
      <w:keepNext/>
      <w:keepLines/>
      <w:spacing w:line="415" w:lineRule="auto"/>
      <w:outlineLvl w:val="2"/>
    </w:pPr>
    <w:rPr>
      <w:b/>
      <w:bCs/>
      <w:kern w:val="0"/>
      <w:sz w:val="32"/>
      <w:szCs w:val="32"/>
    </w:rPr>
  </w:style>
  <w:style w:type="paragraph" w:styleId="7">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8">
    <w:name w:val="heading 5"/>
    <w:basedOn w:val="1"/>
    <w:next w:val="1"/>
    <w:link w:val="130"/>
    <w:qFormat/>
    <w:uiPriority w:val="0"/>
    <w:pPr>
      <w:keepNext/>
      <w:keepLines/>
      <w:spacing w:line="376" w:lineRule="auto"/>
      <w:outlineLvl w:val="4"/>
    </w:pPr>
    <w:rPr>
      <w:b/>
      <w:bCs/>
      <w:sz w:val="28"/>
      <w:szCs w:val="28"/>
    </w:rPr>
  </w:style>
  <w:style w:type="paragraph" w:styleId="9">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0">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1">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2">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left="420" w:leftChars="200"/>
    </w:pPr>
  </w:style>
  <w:style w:type="paragraph" w:styleId="3">
    <w:name w:val="toc 1"/>
    <w:basedOn w:val="1"/>
    <w:next w:val="1"/>
    <w:qFormat/>
    <w:uiPriority w:val="39"/>
    <w:pPr>
      <w:jc w:val="left"/>
    </w:pPr>
    <w:rPr>
      <w:b/>
      <w:bCs/>
      <w:caps/>
      <w:sz w:val="20"/>
      <w:szCs w:val="20"/>
    </w:rPr>
  </w:style>
  <w:style w:type="paragraph" w:styleId="13">
    <w:name w:val="toc 7"/>
    <w:basedOn w:val="1"/>
    <w:next w:val="1"/>
    <w:qFormat/>
    <w:uiPriority w:val="39"/>
    <w:pPr>
      <w:ind w:left="1260"/>
      <w:jc w:val="left"/>
    </w:pPr>
    <w:rPr>
      <w:sz w:val="18"/>
      <w:szCs w:val="18"/>
    </w:rPr>
  </w:style>
  <w:style w:type="paragraph" w:styleId="14">
    <w:name w:val="table of authorities"/>
    <w:basedOn w:val="1"/>
    <w:next w:val="1"/>
    <w:unhideWhenUsed/>
    <w:qFormat/>
    <w:uiPriority w:val="0"/>
    <w:pPr>
      <w:ind w:left="420" w:leftChars="200"/>
    </w:pPr>
  </w:style>
  <w:style w:type="paragraph" w:styleId="15">
    <w:name w:val="Normal Indent"/>
    <w:basedOn w:val="1"/>
    <w:next w:val="16"/>
    <w:qFormat/>
    <w:uiPriority w:val="0"/>
    <w:pPr>
      <w:ind w:firstLine="420" w:firstLineChars="200"/>
    </w:pPr>
  </w:style>
  <w:style w:type="paragraph" w:styleId="16">
    <w:name w:val="Body Text First Indent 2"/>
    <w:basedOn w:val="2"/>
    <w:next w:val="17"/>
    <w:qFormat/>
    <w:uiPriority w:val="0"/>
    <w:pPr>
      <w:spacing w:line="360" w:lineRule="auto"/>
      <w:ind w:firstLine="200" w:firstLineChars="200"/>
    </w:pPr>
    <w:rPr>
      <w:rFonts w:ascii="宋体"/>
      <w:szCs w:val="20"/>
    </w:rPr>
  </w:style>
  <w:style w:type="paragraph" w:styleId="17">
    <w:name w:val="List"/>
    <w:basedOn w:val="1"/>
    <w:qFormat/>
    <w:uiPriority w:val="0"/>
    <w:pPr>
      <w:ind w:left="420" w:hanging="420"/>
    </w:pPr>
  </w:style>
  <w:style w:type="paragraph" w:styleId="18">
    <w:name w:val="Document Map"/>
    <w:basedOn w:val="1"/>
    <w:qFormat/>
    <w:uiPriority w:val="0"/>
    <w:pPr>
      <w:shd w:val="clear" w:color="auto" w:fill="000080"/>
    </w:pPr>
  </w:style>
  <w:style w:type="paragraph" w:styleId="19">
    <w:name w:val="annotation text"/>
    <w:basedOn w:val="1"/>
    <w:link w:val="113"/>
    <w:qFormat/>
    <w:uiPriority w:val="0"/>
    <w:pPr>
      <w:jc w:val="left"/>
    </w:pPr>
  </w:style>
  <w:style w:type="paragraph" w:styleId="20">
    <w:name w:val="Body Text 3"/>
    <w:basedOn w:val="1"/>
    <w:qFormat/>
    <w:uiPriority w:val="0"/>
    <w:rPr>
      <w:rFonts w:ascii="宋体"/>
      <w:sz w:val="24"/>
      <w:szCs w:val="20"/>
    </w:rPr>
  </w:style>
  <w:style w:type="paragraph" w:styleId="21">
    <w:name w:val="Body Text"/>
    <w:basedOn w:val="1"/>
    <w:next w:val="22"/>
    <w:link w:val="143"/>
    <w:qFormat/>
    <w:uiPriority w:val="0"/>
  </w:style>
  <w:style w:type="paragraph" w:customStyle="1" w:styleId="2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3">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next w:val="1"/>
    <w:link w:val="137"/>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line="360" w:lineRule="exact"/>
      <w:ind w:firstLine="600" w:firstLineChars="250"/>
      <w:jc w:val="left"/>
    </w:pPr>
    <w:rPr>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4"/>
    <w:basedOn w:val="1"/>
    <w:next w:val="1"/>
    <w:qFormat/>
    <w:uiPriority w:val="39"/>
    <w:pPr>
      <w:ind w:left="630"/>
      <w:jc w:val="left"/>
    </w:pPr>
    <w:rPr>
      <w:sz w:val="18"/>
      <w:szCs w:val="18"/>
    </w:r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9"/>
    <w:next w:val="19"/>
    <w:qFormat/>
    <w:uiPriority w:val="0"/>
    <w:rPr>
      <w:b/>
      <w:bCs/>
    </w:rPr>
  </w:style>
  <w:style w:type="paragraph" w:styleId="46">
    <w:name w:val="Body Text First Indent"/>
    <w:basedOn w:val="21"/>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6"/>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4"/>
    <w:qFormat/>
    <w:uiPriority w:val="0"/>
    <w:pPr>
      <w:jc w:val="left"/>
    </w:pPr>
    <w:rPr>
      <w:rFonts w:ascii="黑体" w:hAnsi="黑体" w:eastAsia="黑体"/>
      <w:sz w:val="21"/>
    </w:rPr>
  </w:style>
  <w:style w:type="paragraph" w:customStyle="1" w:styleId="78">
    <w:name w:val="样式4"/>
    <w:basedOn w:val="6"/>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4"/>
    <w:qFormat/>
    <w:uiPriority w:val="0"/>
    <w:pPr>
      <w:spacing w:line="400" w:lineRule="exact"/>
    </w:pPr>
    <w:rPr>
      <w:rFonts w:ascii="黑体" w:hAnsi="黑体" w:eastAsia="黑体" w:cs="宋体"/>
      <w:b w:val="0"/>
      <w:bCs w:val="0"/>
      <w:sz w:val="32"/>
      <w:szCs w:val="20"/>
    </w:rPr>
  </w:style>
  <w:style w:type="paragraph" w:customStyle="1" w:styleId="83">
    <w:name w:val="_Style 78"/>
    <w:basedOn w:val="4"/>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6"/>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5"/>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6"/>
    <w:qFormat/>
    <w:uiPriority w:val="0"/>
    <w:rPr>
      <w:rFonts w:eastAsia="Arial"/>
    </w:rPr>
  </w:style>
  <w:style w:type="paragraph" w:customStyle="1" w:styleId="96">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9"/>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4"/>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8"/>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6"/>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1"/>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6"/>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5"/>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15638</Words>
  <Characters>16545</Characters>
  <Lines>411</Lines>
  <Paragraphs>115</Paragraphs>
  <TotalTime>4</TotalTime>
  <ScaleCrop>false</ScaleCrop>
  <LinksUpToDate>false</LinksUpToDate>
  <CharactersWithSpaces>17037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2025-12-17T06:21:38Z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