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459F3DCA">
      <w:pPr>
        <w:snapToGrid w:val="0"/>
        <w:spacing w:line="873" w:lineRule="atLeast"/>
        <w:jc w:val="center"/>
        <w:rPr>
          <w:rFonts w:hint="eastAsia" w:ascii="Times New Roman" w:hAnsi="Times New Roman" w:eastAsia="宋体" w:cs="Times New Roman"/>
          <w:b/>
          <w:color w:val="auto"/>
          <w:sz w:val="44"/>
          <w:szCs w:val="44"/>
          <w:highlight w:val="none"/>
          <w:lang w:eastAsia="zh-CN"/>
        </w:rPr>
      </w:pPr>
      <w:r>
        <w:rPr>
          <w:rFonts w:hint="eastAsia" w:cs="Times New Roman"/>
          <w:b/>
          <w:color w:val="auto"/>
          <w:sz w:val="44"/>
          <w:szCs w:val="44"/>
          <w:highlight w:val="none"/>
          <w:lang w:eastAsia="zh-CN"/>
        </w:rPr>
        <w:t>2025年滁州轨道运营压力表等车辆备件</w:t>
      </w: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eastAsia="宋体" w:cs="宋体"/>
          <w:b/>
          <w:color w:val="auto"/>
          <w:sz w:val="44"/>
          <w:szCs w:val="44"/>
          <w:highlight w:val="none"/>
        </w:rPr>
        <w:t>采购项目</w:t>
      </w:r>
      <w:r>
        <w:rPr>
          <w:rFonts w:hint="eastAsia" w:ascii="宋体" w:hAnsi="宋体" w:cs="宋体"/>
          <w:b/>
          <w:color w:val="auto"/>
          <w:sz w:val="44"/>
          <w:szCs w:val="44"/>
          <w:highlight w:val="none"/>
          <w:lang w:eastAsia="zh-CN"/>
        </w:rPr>
        <w:t>（</w:t>
      </w:r>
      <w:r>
        <w:rPr>
          <w:rFonts w:hint="eastAsia" w:ascii="宋体" w:hAnsi="宋体" w:cs="宋体"/>
          <w:b/>
          <w:color w:val="auto"/>
          <w:sz w:val="44"/>
          <w:szCs w:val="44"/>
          <w:highlight w:val="none"/>
          <w:lang w:val="en-US" w:eastAsia="zh-CN"/>
        </w:rPr>
        <w:t>三年框架</w:t>
      </w:r>
      <w:r>
        <w:rPr>
          <w:rFonts w:hint="eastAsia" w:ascii="宋体" w:hAnsi="宋体" w:cs="宋体"/>
          <w:b/>
          <w:color w:val="auto"/>
          <w:sz w:val="44"/>
          <w:szCs w:val="44"/>
          <w:highlight w:val="none"/>
          <w:lang w:eastAsia="zh-CN"/>
        </w:rPr>
        <w:t>）</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 xml:space="preserve">  202</w:t>
      </w:r>
      <w:r>
        <w:rPr>
          <w:rFonts w:hint="eastAsia" w:ascii="Times New Roman" w:hAnsi="Times New Roman" w:eastAsia="仿宋_GB2312" w:cs="Times New Roman"/>
          <w:color w:val="auto"/>
          <w:sz w:val="44"/>
          <w:szCs w:val="44"/>
          <w:highlight w:val="none"/>
          <w:lang w:val="en-US" w:eastAsia="zh-CN"/>
        </w:rPr>
        <w:t>5</w:t>
      </w:r>
      <w:r>
        <w:rPr>
          <w:rFonts w:hint="eastAsia" w:ascii="Times New Roman" w:hAnsi="Times New Roman" w:eastAsia="仿宋_GB2312" w:cs="Times New Roman"/>
          <w:color w:val="auto"/>
          <w:sz w:val="44"/>
          <w:szCs w:val="44"/>
          <w:highlight w:val="none"/>
        </w:rPr>
        <w:t>年</w:t>
      </w:r>
      <w:r>
        <w:rPr>
          <w:rFonts w:hint="eastAsia" w:eastAsia="仿宋_GB2312" w:cs="Times New Roman"/>
          <w:color w:val="auto"/>
          <w:sz w:val="44"/>
          <w:szCs w:val="44"/>
          <w:highlight w:val="none"/>
          <w:lang w:val="en-US" w:eastAsia="zh-CN"/>
        </w:rPr>
        <w:t>10</w:t>
      </w:r>
      <w:r>
        <w:rPr>
          <w:rFonts w:hint="eastAsia" w:ascii="Times New Roman" w:hAnsi="Times New Roman" w:eastAsia="仿宋_GB2312" w:cs="Times New Roman"/>
          <w:color w:val="auto"/>
          <w:sz w:val="44"/>
          <w:szCs w:val="44"/>
          <w:highlight w:val="none"/>
        </w:rPr>
        <w:t>月</w:t>
      </w:r>
      <w:r>
        <w:rPr>
          <w:rFonts w:hint="eastAsia" w:eastAsia="仿宋_GB2312" w:cs="Times New Roman"/>
          <w:color w:val="auto"/>
          <w:sz w:val="44"/>
          <w:szCs w:val="44"/>
          <w:highlight w:val="none"/>
          <w:lang w:val="en-US" w:eastAsia="zh-CN"/>
        </w:rPr>
        <w:t>13</w:t>
      </w:r>
      <w:r>
        <w:rPr>
          <w:rFonts w:hint="eastAsia" w:ascii="Times New Roman" w:hAnsi="Times New Roman" w:eastAsia="仿宋_GB2312" w:cs="Times New Roman"/>
          <w:color w:val="auto"/>
          <w:sz w:val="44"/>
          <w:szCs w:val="44"/>
          <w:highlight w:val="none"/>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2025年滁州轨道运营压力表等车辆备件采购项目（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835"/>
        <w:gridCol w:w="4029"/>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3835"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4029"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3835"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2025年滁州轨道运营压力表等车辆备件采购项目（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4029"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17919598">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22131FBF">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报价人须具有与本次采购相类似的供货经验，提供近三年来的相关合同业绩证明。</w:t>
      </w:r>
    </w:p>
    <w:p w14:paraId="643BF8E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w:t>
      </w:r>
      <w:r>
        <w:rPr>
          <w:rFonts w:ascii="Times New Roman" w:cs="Times New Roman"/>
          <w:color w:val="auto"/>
          <w:highlight w:val="none"/>
        </w:rPr>
        <w:t>的企业财务和经营状况良好，具备履行合同能力，无不良经营行为</w:t>
      </w:r>
      <w:r>
        <w:rPr>
          <w:rFonts w:hint="eastAsia" w:ascii="Times New Roman" w:cs="Times New Roman"/>
          <w:color w:val="auto"/>
          <w:highlight w:val="none"/>
        </w:rPr>
        <w:t>，近三年（202</w:t>
      </w:r>
      <w:r>
        <w:rPr>
          <w:rFonts w:hint="eastAsia" w:ascii="Times New Roman" w:cs="Times New Roman"/>
          <w:color w:val="auto"/>
          <w:highlight w:val="none"/>
          <w:lang w:val="en-US" w:eastAsia="zh-CN"/>
        </w:rPr>
        <w:t>2</w:t>
      </w:r>
      <w:r>
        <w:rPr>
          <w:rFonts w:hint="eastAsia" w:ascii="Times New Roman" w:cs="Times New Roman"/>
          <w:color w:val="auto"/>
          <w:highlight w:val="none"/>
        </w:rPr>
        <w:t>-202</w:t>
      </w:r>
      <w:r>
        <w:rPr>
          <w:rFonts w:hint="eastAsia" w:ascii="Times New Roman" w:cs="Times New Roman"/>
          <w:color w:val="auto"/>
          <w:highlight w:val="none"/>
          <w:lang w:val="en-US" w:eastAsia="zh-CN"/>
        </w:rPr>
        <w:t>4</w:t>
      </w:r>
      <w:r>
        <w:rPr>
          <w:rFonts w:hint="eastAsia" w:ascii="Times New Roman" w:cs="Times New Roman"/>
          <w:color w:val="auto"/>
          <w:highlight w:val="none"/>
        </w:rPr>
        <w:t>年）未处于财产被接管、冻结、破产状态，没有处于投标禁入期。</w:t>
      </w:r>
    </w:p>
    <w:p w14:paraId="0856D61E">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本项目报价截止时，在全国企业信用信息公示系统（www.gsxt.gov.cn）中未被列入严重违法失信企业名单；在“信用中国”网站（</w:t>
      </w:r>
      <w:r>
        <w:rPr>
          <w:color w:val="auto"/>
          <w:szCs w:val="21"/>
          <w:highlight w:val="none"/>
        </w:rPr>
        <w:t>www.creditchina.gov.cn</w:t>
      </w:r>
      <w:r>
        <w:rPr>
          <w:rFonts w:hint="eastAsia"/>
          <w:color w:val="auto"/>
          <w:szCs w:val="21"/>
          <w:highlight w:val="none"/>
        </w:rPr>
        <w:t>）</w:t>
      </w:r>
      <w:r>
        <w:rPr>
          <w:rFonts w:hint="eastAsia" w:ascii="Arial" w:hAnsi="Arial" w:cs="Arial"/>
          <w:color w:val="auto"/>
          <w:szCs w:val="21"/>
          <w:highlight w:val="none"/>
        </w:rPr>
        <w:t>未被列入失信被执行人名单</w:t>
      </w:r>
      <w:r>
        <w:rPr>
          <w:rFonts w:hint="eastAsia" w:ascii="Arial" w:hAnsi="Arial" w:cs="Arial"/>
          <w:color w:val="auto"/>
          <w:szCs w:val="21"/>
          <w:highlight w:val="none"/>
          <w:lang w:eastAsia="zh-CN"/>
        </w:rPr>
        <w:t>；在“滁州市公共资源交易中心”网站（</w:t>
      </w:r>
      <w:r>
        <w:rPr>
          <w:rFonts w:hint="eastAsia"/>
          <w:color w:val="auto"/>
          <w:szCs w:val="21"/>
          <w:highlight w:val="none"/>
          <w:lang w:eastAsia="zh-CN"/>
        </w:rPr>
        <w:t>ggzy.chuzhou.gov.cn</w:t>
      </w:r>
      <w:r>
        <w:rPr>
          <w:rFonts w:hint="eastAsia" w:ascii="Arial" w:hAnsi="Arial" w:cs="Arial"/>
          <w:color w:val="auto"/>
          <w:szCs w:val="21"/>
          <w:highlight w:val="none"/>
          <w:lang w:eastAsia="zh-CN"/>
        </w:rPr>
        <w:t>）未被列入违法违规名单</w:t>
      </w:r>
      <w:r>
        <w:rPr>
          <w:rFonts w:hint="eastAsia" w:ascii="Arial" w:hAnsi="Arial" w:cs="Arial"/>
          <w:color w:val="auto"/>
          <w:szCs w:val="21"/>
          <w:highlight w:val="none"/>
        </w:rPr>
        <w:t>。</w:t>
      </w:r>
    </w:p>
    <w:p w14:paraId="0660F579">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//www.czctgs.cn；中国采购与招标网http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//chinabidding.com.cn；中国招投标网http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//www.infobidding.com；e车网http://www.ecrrc.com上登载，请登录上述网站浏览公告及附件的详细内容（如有修改、补充，以滁宁城铁官网http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10</w:t>
      </w:r>
      <w:r>
        <w:rPr>
          <w:color w:val="auto"/>
          <w:sz w:val="24"/>
          <w:szCs w:val="24"/>
          <w:highlight w:val="none"/>
        </w:rPr>
        <w:t>月</w:t>
      </w:r>
      <w:r>
        <w:rPr>
          <w:rFonts w:hint="eastAsia"/>
          <w:color w:val="auto"/>
          <w:sz w:val="24"/>
          <w:szCs w:val="24"/>
          <w:highlight w:val="none"/>
          <w:u w:val="single"/>
          <w:lang w:val="en-US" w:eastAsia="zh-CN"/>
        </w:rPr>
        <w:t>13</w:t>
      </w:r>
      <w:r>
        <w:rPr>
          <w:color w:val="auto"/>
          <w:sz w:val="24"/>
          <w:szCs w:val="24"/>
          <w:highlight w:val="none"/>
        </w:rPr>
        <w:t>日起至</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10</w:t>
      </w:r>
      <w:r>
        <w:rPr>
          <w:color w:val="auto"/>
          <w:sz w:val="24"/>
          <w:szCs w:val="24"/>
          <w:highlight w:val="none"/>
        </w:rPr>
        <w:t>月</w:t>
      </w:r>
      <w:r>
        <w:rPr>
          <w:rFonts w:hint="eastAsia"/>
          <w:color w:val="auto"/>
          <w:sz w:val="24"/>
          <w:szCs w:val="24"/>
          <w:highlight w:val="none"/>
          <w:u w:val="single"/>
          <w:lang w:val="en-US" w:eastAsia="zh-CN"/>
        </w:rPr>
        <w:t>17</w:t>
      </w:r>
      <w:r>
        <w:rPr>
          <w:color w:val="auto"/>
          <w:sz w:val="24"/>
          <w:szCs w:val="24"/>
          <w:highlight w:val="none"/>
        </w:rPr>
        <w:t>日17</w:t>
      </w:r>
      <w:r>
        <w:rPr>
          <w:rFonts w:hint="eastAsia"/>
          <w:color w:val="auto"/>
          <w:sz w:val="24"/>
          <w:szCs w:val="24"/>
          <w:highlight w:val="none"/>
          <w:lang w:eastAsia="zh-CN"/>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5EFE330F">
      <w:pPr>
        <w:pStyle w:val="16"/>
        <w:spacing w:before="0" w:beforeAutospacing="0" w:after="0" w:afterAutospacing="0" w:line="360" w:lineRule="auto"/>
        <w:ind w:left="420" w:hanging="420" w:hangingChars="175"/>
        <w:rPr>
          <w:rFonts w:hint="eastAsia" w:ascii="Times New Roman" w:cs="Times New Roman"/>
          <w:b/>
          <w:bCs/>
          <w:color w:val="auto"/>
          <w:highlight w:val="none"/>
          <w:lang w:val="en-US" w:eastAsia="zh-CN"/>
        </w:rPr>
      </w:pPr>
      <w:r>
        <w:rPr>
          <w:rFonts w:hint="eastAsia" w:ascii="Times New Roman" w:cs="Times New Roman"/>
          <w:color w:val="auto"/>
          <w:highlight w:val="none"/>
          <w:lang w:val="en-US" w:eastAsia="zh-CN"/>
        </w:rPr>
        <w:t xml:space="preserve">4 </w:t>
      </w:r>
      <w:r>
        <w:rPr>
          <w:rFonts w:hint="eastAsia" w:ascii="Times New Roman" w:cs="Times New Roman"/>
          <w:b/>
          <w:bCs/>
          <w:color w:val="auto"/>
          <w:highlight w:val="none"/>
          <w:lang w:val="en-US" w:eastAsia="zh-CN"/>
        </w:rPr>
        <w:t>实地踏勘</w:t>
      </w:r>
    </w:p>
    <w:p w14:paraId="64B2A123">
      <w:pPr>
        <w:pStyle w:val="16"/>
        <w:spacing w:before="0" w:beforeAutospacing="0" w:after="0" w:afterAutospacing="0" w:line="360" w:lineRule="auto"/>
        <w:ind w:left="420" w:hanging="420" w:hangingChars="175"/>
        <w:rPr>
          <w:rFonts w:hint="eastAsia" w:ascii="Times New Roman" w:cs="Times New Roman"/>
          <w:color w:val="000000"/>
          <w:highlight w:val="none"/>
        </w:rPr>
      </w:pPr>
      <w:r>
        <w:rPr>
          <w:rFonts w:hint="eastAsia" w:ascii="Times New Roman" w:cs="Times New Roman"/>
          <w:color w:val="auto"/>
          <w:highlight w:val="none"/>
          <w:lang w:val="en-US" w:eastAsia="zh-CN"/>
        </w:rPr>
        <w:t xml:space="preserve">4.1 </w:t>
      </w:r>
      <w:r>
        <w:rPr>
          <w:rFonts w:hint="eastAsia" w:ascii="Times New Roman" w:cs="Times New Roman"/>
          <w:color w:val="000000"/>
          <w:highlight w:val="none"/>
        </w:rPr>
        <w:t>由于此批</w:t>
      </w:r>
      <w:r>
        <w:rPr>
          <w:rFonts w:hint="eastAsia" w:ascii="Times New Roman" w:cs="Times New Roman"/>
          <w:color w:val="000000"/>
          <w:highlight w:val="none"/>
          <w:lang w:val="en-US" w:eastAsia="zh-CN"/>
        </w:rPr>
        <w:t>备件</w:t>
      </w:r>
      <w:r>
        <w:rPr>
          <w:rFonts w:hint="eastAsia" w:ascii="Times New Roman" w:cs="Times New Roman"/>
          <w:color w:val="000000"/>
          <w:highlight w:val="none"/>
        </w:rPr>
        <w:t>的规格参数在询价文件里无法详细描述，需要报价人实地踏勘。</w:t>
      </w:r>
    </w:p>
    <w:p w14:paraId="7C79FF14">
      <w:pPr>
        <w:pStyle w:val="16"/>
        <w:spacing w:before="0" w:beforeAutospacing="0" w:after="0" w:afterAutospacing="0" w:line="360" w:lineRule="auto"/>
        <w:ind w:left="420" w:hanging="420" w:hangingChars="175"/>
        <w:rPr>
          <w:rFonts w:hint="default" w:ascii="Times New Roman" w:eastAsia="宋体" w:cs="Times New Roman"/>
          <w:color w:val="000000"/>
          <w:highlight w:val="none"/>
          <w:lang w:val="en-US" w:eastAsia="zh-CN"/>
        </w:rPr>
      </w:pPr>
      <w:r>
        <w:rPr>
          <w:rFonts w:hint="eastAsia" w:ascii="Times New Roman" w:cs="Times New Roman"/>
          <w:color w:val="000000"/>
          <w:highlight w:val="none"/>
          <w:lang w:val="en-US" w:eastAsia="zh-CN"/>
        </w:rPr>
        <w:t>4.2 采购人</w:t>
      </w:r>
      <w:r>
        <w:rPr>
          <w:rFonts w:hint="eastAsia" w:ascii="Times New Roman" w:cs="Times New Roman"/>
          <w:color w:val="000000"/>
          <w:highlight w:val="none"/>
        </w:rPr>
        <w:t>将组织报价人在报名时间截止后、报价截止日前</w:t>
      </w:r>
      <w:r>
        <w:rPr>
          <w:rFonts w:ascii="Times New Roman" w:cs="Times New Roman"/>
          <w:color w:val="000000"/>
          <w:highlight w:val="none"/>
          <w:u w:val="single"/>
        </w:rPr>
        <w:t>5</w:t>
      </w:r>
      <w:r>
        <w:rPr>
          <w:rFonts w:hint="eastAsia" w:ascii="Times New Roman" w:cs="Times New Roman"/>
          <w:color w:val="000000"/>
          <w:highlight w:val="none"/>
        </w:rPr>
        <w:t>天统一安排实地踏勘，时间另行通知。</w:t>
      </w:r>
    </w:p>
    <w:p w14:paraId="4AF56DC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lang w:val="en-US" w:eastAsia="zh-CN"/>
        </w:rPr>
        <w:t>5</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10</w:t>
      </w:r>
      <w:r>
        <w:rPr>
          <w:color w:val="auto"/>
          <w:highlight w:val="none"/>
        </w:rPr>
        <w:t>月</w:t>
      </w:r>
      <w:r>
        <w:rPr>
          <w:rFonts w:hint="eastAsia"/>
          <w:color w:val="auto"/>
          <w:highlight w:val="none"/>
          <w:u w:val="single"/>
          <w:lang w:val="en-US" w:eastAsia="zh-CN"/>
        </w:rPr>
        <w:t>24</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lang w:eastAsia="zh-CN"/>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lang w:val="en-US" w:eastAsia="zh-CN"/>
        </w:rPr>
        <w:t>6</w:t>
      </w:r>
      <w:r>
        <w:rPr>
          <w:rFonts w:hint="eastAsia" w:ascii="Times New Roman" w:cs="Times New Roman"/>
          <w:color w:val="auto"/>
          <w:highlight w:val="none"/>
        </w:rPr>
        <w:t xml:space="preserve"> 报价文件邮寄地点：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7</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叁仟元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10</w:t>
      </w:r>
      <w:r>
        <w:rPr>
          <w:color w:val="auto"/>
          <w:highlight w:val="none"/>
        </w:rPr>
        <w:t>月</w:t>
      </w:r>
      <w:r>
        <w:rPr>
          <w:rFonts w:hint="eastAsia"/>
          <w:color w:val="auto"/>
          <w:highlight w:val="none"/>
          <w:u w:val="single"/>
          <w:lang w:val="en-US" w:eastAsia="zh-CN"/>
        </w:rPr>
        <w:t>24</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lang w:eastAsia="zh-CN"/>
        </w:rPr>
        <w:t>:</w:t>
      </w:r>
      <w:r>
        <w:rPr>
          <w:rFonts w:ascii="Times New Roman" w:cs="Times New Roman"/>
          <w:color w:val="auto"/>
          <w:highlight w:val="none"/>
        </w:rPr>
        <w:t>3</w:t>
      </w:r>
      <w:r>
        <w:rPr>
          <w:rFonts w:hint="eastAsia" w:ascii="Times New Roman" w:cs="Times New Roman"/>
          <w:color w:val="auto"/>
          <w:highlight w:val="none"/>
        </w:rPr>
        <w:t>0前到达我司账户</w:t>
      </w:r>
      <w:r>
        <w:rPr>
          <w:rFonts w:hint="eastAsia" w:ascii="Times New Roman" w:cs="Times New Roman"/>
          <w:color w:val="auto"/>
          <w:highlight w:val="none"/>
          <w:lang w:eastAsia="zh-CN"/>
        </w:rPr>
        <w:t>（</w:t>
      </w:r>
      <w:r>
        <w:rPr>
          <w:rFonts w:hint="eastAsia" w:ascii="Times New Roman" w:cs="Times New Roman"/>
          <w:color w:val="auto"/>
          <w:highlight w:val="none"/>
        </w:rPr>
        <w:t>电汇单上必须注明项目名称和采购员姓名</w:t>
      </w:r>
      <w:r>
        <w:rPr>
          <w:rFonts w:hint="eastAsia" w:ascii="Times New Roman" w:cs="Times New Roman"/>
          <w:color w:val="auto"/>
          <w:highlight w:val="none"/>
          <w:lang w:eastAsia="zh-CN"/>
        </w:rPr>
        <w:t>）</w:t>
      </w:r>
      <w:r>
        <w:rPr>
          <w:rFonts w:hint="eastAsia" w:ascii="Times New Roman" w:cs="Times New Roman"/>
          <w:color w:val="auto"/>
          <w:highlight w:val="none"/>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lang w:val="en-US" w:eastAsia="zh-CN"/>
        </w:rPr>
        <w:t>8</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ascii="Times New Roman" w:hAnsi="Times New Roman" w:cs="Times New Roman"/>
          <w:color w:val="auto"/>
          <w:highlight w:val="none"/>
        </w:rPr>
      </w:pPr>
      <w:r>
        <w:rPr>
          <w:rFonts w:ascii="Times New Roman" w:hAnsi="Times New Roman" w:cs="Times New Roman"/>
          <w:color w:val="auto"/>
          <w:highlight w:val="none"/>
        </w:rPr>
        <w:t>邮箱：czrtocwzb@163.com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color w:val="auto"/>
          <w:kern w:val="0"/>
          <w:sz w:val="24"/>
          <w:szCs w:val="24"/>
          <w:highlight w:val="none"/>
        </w:rPr>
      </w:pPr>
      <w:r>
        <w:rPr>
          <w:rFonts w:hint="eastAsia"/>
          <w:color w:val="auto"/>
          <w:kern w:val="0"/>
          <w:sz w:val="24"/>
          <w:szCs w:val="24"/>
          <w:highlight w:val="none"/>
        </w:rPr>
        <w:t>2</w:t>
      </w:r>
      <w:r>
        <w:rPr>
          <w:color w:val="auto"/>
          <w:kern w:val="0"/>
          <w:sz w:val="24"/>
          <w:szCs w:val="24"/>
          <w:highlight w:val="none"/>
        </w:rPr>
        <w:t>02</w:t>
      </w:r>
      <w:r>
        <w:rPr>
          <w:rFonts w:hint="eastAsia"/>
          <w:color w:val="auto"/>
          <w:kern w:val="0"/>
          <w:sz w:val="24"/>
          <w:szCs w:val="24"/>
          <w:highlight w:val="none"/>
          <w:lang w:val="en-US" w:eastAsia="zh-CN"/>
        </w:rPr>
        <w:t>5</w:t>
      </w:r>
      <w:r>
        <w:rPr>
          <w:rFonts w:hint="eastAsia"/>
          <w:color w:val="auto"/>
          <w:kern w:val="0"/>
          <w:sz w:val="24"/>
          <w:szCs w:val="24"/>
          <w:highlight w:val="none"/>
        </w:rPr>
        <w:t>年</w:t>
      </w:r>
      <w:r>
        <w:rPr>
          <w:rFonts w:hint="eastAsia"/>
          <w:color w:val="auto"/>
          <w:kern w:val="0"/>
          <w:sz w:val="24"/>
          <w:szCs w:val="24"/>
          <w:highlight w:val="none"/>
          <w:lang w:val="en-US" w:eastAsia="zh-CN"/>
        </w:rPr>
        <w:t>10</w:t>
      </w:r>
      <w:r>
        <w:rPr>
          <w:rFonts w:hint="eastAsia"/>
          <w:color w:val="auto"/>
          <w:kern w:val="0"/>
          <w:sz w:val="24"/>
          <w:szCs w:val="24"/>
          <w:highlight w:val="none"/>
        </w:rPr>
        <w:t>月</w:t>
      </w:r>
      <w:r>
        <w:rPr>
          <w:rFonts w:hint="eastAsia"/>
          <w:color w:val="auto"/>
          <w:kern w:val="0"/>
          <w:sz w:val="24"/>
          <w:szCs w:val="24"/>
          <w:highlight w:val="none"/>
          <w:lang w:val="en-US" w:eastAsia="zh-CN"/>
        </w:rPr>
        <w:t>13</w:t>
      </w:r>
      <w:r>
        <w:rPr>
          <w:rFonts w:hint="eastAsia"/>
          <w:color w:val="auto"/>
          <w:kern w:val="0"/>
          <w:sz w:val="24"/>
          <w:szCs w:val="24"/>
          <w:highlight w:val="none"/>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4"/>
                <w:highlight w:val="none"/>
                <w:lang w:eastAsia="zh-CN"/>
              </w:rPr>
              <w:t>2025年滁州轨道运营压力表等车辆备件采购项目（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5</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本次报价有效期应不低于报价截止日后90天。若该产品或原材料行情波动较大，请另行注明有效期。</w:t>
      </w:r>
    </w:p>
    <w:p w14:paraId="708B204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2659C8A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1271913C">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29DD5AE7">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2BF51AEC">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4</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成交通知</w:t>
      </w:r>
    </w:p>
    <w:p w14:paraId="7516A2C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采购人将以书面形式向成交供应商发出成交通知书，接到成交通知书后，成交供应商应在二十四（24）小时内向采购人发出接受成交的函件。</w:t>
      </w:r>
    </w:p>
    <w:p w14:paraId="006EA9D9">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5 履约保证金（履约保函）</w:t>
      </w:r>
    </w:p>
    <w:p w14:paraId="3076945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成交</w:t>
      </w:r>
      <w:r>
        <w:rPr>
          <w:rFonts w:ascii="Times New Roman"/>
          <w:color w:val="auto"/>
          <w:highlight w:val="none"/>
        </w:rPr>
        <w:t>供应商</w:t>
      </w:r>
      <w:r>
        <w:rPr>
          <w:rFonts w:hint="eastAsia" w:ascii="Times New Roman"/>
          <w:color w:val="auto"/>
          <w:highlight w:val="none"/>
        </w:rPr>
        <w:t>须在接到成交通知后5个工作日内缴纳履约保证金或提供</w:t>
      </w:r>
      <w:r>
        <w:rPr>
          <w:rFonts w:hint="eastAsia" w:ascii="Times New Roman" w:hAnsi="Times New Roman" w:cs="Times New Roman"/>
          <w:color w:val="auto"/>
          <w:highlight w:val="none"/>
        </w:rPr>
        <w:t>履约保函</w:t>
      </w:r>
      <w:r>
        <w:rPr>
          <w:rFonts w:hint="eastAsia" w:ascii="Times New Roman"/>
          <w:color w:val="auto"/>
          <w:highlight w:val="none"/>
        </w:rPr>
        <w:t>（合同预估价的5%）</w:t>
      </w:r>
      <w:r>
        <w:rPr>
          <w:rFonts w:ascii="Times New Roman"/>
          <w:color w:val="auto"/>
          <w:highlight w:val="none"/>
        </w:rPr>
        <w:t>。</w:t>
      </w:r>
    </w:p>
    <w:p w14:paraId="5024C0E4">
      <w:pPr>
        <w:pStyle w:val="16"/>
        <w:spacing w:before="0" w:beforeAutospacing="0" w:after="0" w:afterAutospacing="0" w:line="360" w:lineRule="auto"/>
        <w:ind w:left="149" w:hanging="148" w:hangingChars="62"/>
        <w:rPr>
          <w:rFonts w:ascii="Times New Roman"/>
          <w:color w:val="auto"/>
          <w:highlight w:val="none"/>
        </w:rPr>
      </w:pPr>
      <w:r>
        <w:rPr>
          <w:rFonts w:ascii="Times New Roman"/>
          <w:color w:val="auto"/>
          <w:highlight w:val="none"/>
        </w:rPr>
        <w:t>6</w:t>
      </w:r>
      <w:r>
        <w:rPr>
          <w:rFonts w:hint="eastAsia" w:ascii="Times New Roman"/>
          <w:color w:val="auto"/>
          <w:highlight w:val="none"/>
        </w:rPr>
        <w:t xml:space="preserve"> 合同签订</w:t>
      </w:r>
    </w:p>
    <w:p w14:paraId="2D08CB86">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6.1 成交供应商须在接到电话通知后30</w:t>
      </w:r>
      <w:r>
        <w:rPr>
          <w:rFonts w:ascii="Times New Roman" w:hAnsi="Times New Roman" w:cs="Times New Roman"/>
          <w:color w:val="auto"/>
          <w:highlight w:val="none"/>
        </w:rPr>
        <w:t>日</w:t>
      </w:r>
      <w:r>
        <w:rPr>
          <w:rFonts w:hint="eastAsia" w:ascii="Times New Roman" w:hAnsi="Times New Roman" w:cs="Times New Roman"/>
          <w:color w:val="auto"/>
          <w:highlight w:val="none"/>
        </w:rPr>
        <w:t>内按报价承诺与采购人</w:t>
      </w:r>
      <w:r>
        <w:rPr>
          <w:rFonts w:ascii="Times New Roman" w:hAnsi="Times New Roman" w:cs="Times New Roman"/>
          <w:color w:val="auto"/>
          <w:highlight w:val="none"/>
        </w:rPr>
        <w:t>签订合同</w:t>
      </w:r>
      <w:r>
        <w:rPr>
          <w:rFonts w:hint="eastAsia" w:ascii="Times New Roman" w:hAnsi="Times New Roman" w:cs="Times New Roman"/>
          <w:color w:val="auto"/>
          <w:highlight w:val="none"/>
        </w:rPr>
        <w:t>，否则其报价保证金不予退还。</w:t>
      </w:r>
    </w:p>
    <w:p w14:paraId="4574A9F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6.2 合同签订时，采购人可根据需要有权对部分内容作局部调整或变更，但需经双方共同认定。</w:t>
      </w:r>
    </w:p>
    <w:p w14:paraId="27AA7F12">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6.3 若成交供应商放弃成交项目或擅自在签订合同中改变最终承诺条款时，由采购人在成交候选人中重新确定成交供应商。</w:t>
      </w:r>
    </w:p>
    <w:p w14:paraId="52D98A70">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6.4 本项目拟与成交供应商签订</w:t>
      </w:r>
      <w:r>
        <w:rPr>
          <w:rFonts w:hint="eastAsia" w:ascii="Times New Roman" w:hAnsi="Times New Roman" w:cs="Times New Roman"/>
          <w:b/>
          <w:bCs/>
          <w:color w:val="auto"/>
          <w:highlight w:val="none"/>
          <w:lang w:val="en-US" w:eastAsia="zh-CN"/>
        </w:rPr>
        <w:t>三</w:t>
      </w:r>
      <w:r>
        <w:rPr>
          <w:rFonts w:hint="eastAsia" w:ascii="Times New Roman" w:hAnsi="Times New Roman" w:cs="Times New Roman"/>
          <w:b/>
          <w:bCs/>
          <w:color w:val="auto"/>
          <w:highlight w:val="none"/>
        </w:rPr>
        <w:t>年期</w:t>
      </w:r>
      <w:r>
        <w:rPr>
          <w:rFonts w:hint="eastAsia" w:ascii="Times New Roman" w:hAnsi="Times New Roman" w:cs="Times New Roman"/>
          <w:color w:val="auto"/>
          <w:highlight w:val="none"/>
        </w:rPr>
        <w:t>框架协议。</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压力表等车辆备件</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1082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1814"/>
        <w:gridCol w:w="2211"/>
        <w:gridCol w:w="4535"/>
        <w:gridCol w:w="680"/>
        <w:gridCol w:w="907"/>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2" w:hRule="atLeast"/>
          <w:jc w:val="center"/>
        </w:trPr>
        <w:tc>
          <w:tcPr>
            <w:tcW w:w="680"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1814"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物资编码</w:t>
            </w:r>
          </w:p>
        </w:tc>
        <w:tc>
          <w:tcPr>
            <w:tcW w:w="2211"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物资名称</w:t>
            </w:r>
          </w:p>
        </w:tc>
        <w:tc>
          <w:tcPr>
            <w:tcW w:w="4535" w:type="dxa"/>
            <w:vAlign w:val="center"/>
          </w:tcPr>
          <w:p w14:paraId="151F14A9">
            <w:pPr>
              <w:keepNext w:val="0"/>
              <w:keepLines w:val="0"/>
              <w:widowControl/>
              <w:suppressLineNumbers w:val="0"/>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cs="宋体"/>
                <w:b/>
                <w:bCs/>
                <w:i w:val="0"/>
                <w:iCs w:val="0"/>
                <w:color w:val="auto"/>
                <w:kern w:val="0"/>
                <w:sz w:val="22"/>
                <w:szCs w:val="22"/>
                <w:highlight w:val="none"/>
                <w:u w:val="none"/>
                <w:lang w:val="en-US" w:eastAsia="zh-CN" w:bidi="ar"/>
              </w:rPr>
              <w:t>技术参数</w:t>
            </w:r>
            <w:bookmarkStart w:id="12" w:name="_GoBack"/>
            <w:bookmarkEnd w:id="12"/>
          </w:p>
        </w:tc>
        <w:tc>
          <w:tcPr>
            <w:tcW w:w="680" w:type="dxa"/>
            <w:vAlign w:val="center"/>
          </w:tcPr>
          <w:p w14:paraId="646856B5">
            <w:pPr>
              <w:keepNext w:val="0"/>
              <w:keepLines w:val="0"/>
              <w:widowControl/>
              <w:suppressLineNumbers w:val="0"/>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907"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三年预估数量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680" w:type="dxa"/>
            <w:shd w:val="clear" w:color="auto" w:fill="auto"/>
            <w:vAlign w:val="center"/>
          </w:tcPr>
          <w:p w14:paraId="799B69F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1814" w:type="dxa"/>
            <w:shd w:val="clear" w:color="auto" w:fill="auto"/>
            <w:vAlign w:val="center"/>
          </w:tcPr>
          <w:p w14:paraId="5A3E143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10048002008002</w:t>
            </w:r>
          </w:p>
        </w:tc>
        <w:tc>
          <w:tcPr>
            <w:tcW w:w="2211" w:type="dxa"/>
            <w:shd w:val="clear" w:color="auto" w:fill="auto"/>
            <w:vAlign w:val="center"/>
          </w:tcPr>
          <w:p w14:paraId="1A9A147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ADD风管-PU</w:t>
            </w:r>
          </w:p>
        </w:tc>
        <w:tc>
          <w:tcPr>
            <w:tcW w:w="4535" w:type="dxa"/>
            <w:shd w:val="clear" w:color="auto" w:fill="auto"/>
            <w:vAlign w:val="center"/>
          </w:tcPr>
          <w:p w14:paraId="2410D41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6×1，推荐</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赛德。</w:t>
            </w:r>
          </w:p>
        </w:tc>
        <w:tc>
          <w:tcPr>
            <w:tcW w:w="680" w:type="dxa"/>
            <w:shd w:val="clear" w:color="auto" w:fill="auto"/>
            <w:vAlign w:val="center"/>
          </w:tcPr>
          <w:p w14:paraId="34A4E6D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米</w:t>
            </w:r>
          </w:p>
        </w:tc>
        <w:tc>
          <w:tcPr>
            <w:tcW w:w="907" w:type="dxa"/>
            <w:shd w:val="clear" w:color="auto" w:fill="auto"/>
            <w:vAlign w:val="center"/>
          </w:tcPr>
          <w:p w14:paraId="29B61FF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w:t>
            </w:r>
          </w:p>
        </w:tc>
      </w:tr>
      <w:tr w14:paraId="1E9F4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680" w:type="dxa"/>
            <w:shd w:val="clear" w:color="auto" w:fill="auto"/>
            <w:vAlign w:val="center"/>
          </w:tcPr>
          <w:p w14:paraId="3AD7EFA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1814" w:type="dxa"/>
            <w:shd w:val="clear" w:color="auto" w:fill="auto"/>
            <w:vAlign w:val="center"/>
          </w:tcPr>
          <w:p w14:paraId="0EC019C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10070206018005</w:t>
            </w:r>
          </w:p>
        </w:tc>
        <w:tc>
          <w:tcPr>
            <w:tcW w:w="2211" w:type="dxa"/>
            <w:shd w:val="clear" w:color="auto" w:fill="auto"/>
            <w:vAlign w:val="center"/>
          </w:tcPr>
          <w:p w14:paraId="68AFD6D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O型圈</w:t>
            </w:r>
          </w:p>
        </w:tc>
        <w:tc>
          <w:tcPr>
            <w:tcW w:w="4535" w:type="dxa"/>
            <w:shd w:val="clear" w:color="auto" w:fill="auto"/>
            <w:vAlign w:val="center"/>
          </w:tcPr>
          <w:p w14:paraId="545DC3A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丁晴线经1.5mm，外径22mm。</w:t>
            </w:r>
          </w:p>
        </w:tc>
        <w:tc>
          <w:tcPr>
            <w:tcW w:w="680" w:type="dxa"/>
            <w:shd w:val="clear" w:color="auto" w:fill="auto"/>
            <w:vAlign w:val="center"/>
          </w:tcPr>
          <w:p w14:paraId="2F32810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110F8A81">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w:t>
            </w:r>
          </w:p>
        </w:tc>
      </w:tr>
      <w:tr w14:paraId="4EC7D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680" w:type="dxa"/>
            <w:shd w:val="clear" w:color="auto" w:fill="auto"/>
            <w:vAlign w:val="center"/>
          </w:tcPr>
          <w:p w14:paraId="363E07B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c>
          <w:tcPr>
            <w:tcW w:w="1814" w:type="dxa"/>
            <w:shd w:val="clear" w:color="auto" w:fill="auto"/>
            <w:vAlign w:val="center"/>
          </w:tcPr>
          <w:p w14:paraId="3846A94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10070401048001</w:t>
            </w:r>
          </w:p>
        </w:tc>
        <w:tc>
          <w:tcPr>
            <w:tcW w:w="2211" w:type="dxa"/>
            <w:shd w:val="clear" w:color="auto" w:fill="auto"/>
            <w:vAlign w:val="center"/>
          </w:tcPr>
          <w:p w14:paraId="76B2347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压力表</w:t>
            </w:r>
          </w:p>
        </w:tc>
        <w:tc>
          <w:tcPr>
            <w:tcW w:w="4535" w:type="dxa"/>
            <w:shd w:val="clear" w:color="auto" w:fill="auto"/>
            <w:vAlign w:val="center"/>
          </w:tcPr>
          <w:p w14:paraId="799C81D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压力表规格1200kPa；精度等级</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1.0；表盘为黑底，白刻度线，白针连总风缸压力，红针连制动缸压力，红针在上，白针在下，文字“总风缸白针”为白色字，文字“制动缸红针”为红色字；压力表为背光设计，采用LED照明，LED灯可独立更换。工作电压DC110V；适用环境温度</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-40℃~+70℃；防护等级</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IP43；接头可与满足IS08434-1标准的接头配合使用，</w:t>
            </w:r>
            <w:r>
              <w:rPr>
                <w:rFonts w:hint="eastAsia" w:ascii="宋体" w:hAnsi="宋体" w:cs="宋体"/>
                <w:i w:val="0"/>
                <w:iCs w:val="0"/>
                <w:color w:val="000000"/>
                <w:kern w:val="0"/>
                <w:sz w:val="22"/>
                <w:szCs w:val="22"/>
                <w:u w:val="none"/>
                <w:lang w:val="en-US" w:eastAsia="zh-CN" w:bidi="ar"/>
              </w:rPr>
              <w:t>材质</w:t>
            </w:r>
            <w:r>
              <w:rPr>
                <w:rFonts w:hint="eastAsia" w:ascii="宋体" w:hAnsi="宋体" w:eastAsia="宋体" w:cs="宋体"/>
                <w:i w:val="0"/>
                <w:iCs w:val="0"/>
                <w:color w:val="000000"/>
                <w:kern w:val="0"/>
                <w:sz w:val="22"/>
                <w:szCs w:val="22"/>
                <w:u w:val="none"/>
                <w:lang w:val="en-US" w:eastAsia="zh-CN" w:bidi="ar"/>
              </w:rPr>
              <w:t>为铜；接地片适用6.3mmx0.8mm的插簧端子；照明线适用插头型号为DJ7024-3.5-2.1；产品标识处需有出厂流水号；产品适用于滁宁城际电客车主风管和制动风管压力监测。</w:t>
            </w:r>
          </w:p>
        </w:tc>
        <w:tc>
          <w:tcPr>
            <w:tcW w:w="680" w:type="dxa"/>
            <w:shd w:val="clear" w:color="auto" w:fill="auto"/>
            <w:vAlign w:val="center"/>
          </w:tcPr>
          <w:p w14:paraId="581CC4F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件</w:t>
            </w:r>
          </w:p>
        </w:tc>
        <w:tc>
          <w:tcPr>
            <w:tcW w:w="907" w:type="dxa"/>
            <w:shd w:val="clear" w:color="auto" w:fill="auto"/>
            <w:vAlign w:val="center"/>
          </w:tcPr>
          <w:p w14:paraId="52BE0993">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r>
      <w:tr w14:paraId="3F5246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680" w:type="dxa"/>
            <w:shd w:val="clear" w:color="auto" w:fill="auto"/>
            <w:vAlign w:val="center"/>
          </w:tcPr>
          <w:p w14:paraId="06EEFF8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c>
          <w:tcPr>
            <w:tcW w:w="1814" w:type="dxa"/>
            <w:shd w:val="clear" w:color="auto" w:fill="auto"/>
            <w:vAlign w:val="center"/>
          </w:tcPr>
          <w:p w14:paraId="3EBF626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10070506008001</w:t>
            </w:r>
          </w:p>
        </w:tc>
        <w:tc>
          <w:tcPr>
            <w:tcW w:w="2211" w:type="dxa"/>
            <w:shd w:val="clear" w:color="auto" w:fill="auto"/>
            <w:vAlign w:val="center"/>
          </w:tcPr>
          <w:p w14:paraId="6B37E4A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橡胶减震器VE型一端外螺纹</w:t>
            </w:r>
          </w:p>
        </w:tc>
        <w:tc>
          <w:tcPr>
            <w:tcW w:w="4535" w:type="dxa"/>
            <w:shd w:val="clear" w:color="auto" w:fill="auto"/>
            <w:vAlign w:val="center"/>
          </w:tcPr>
          <w:p w14:paraId="6B42A81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NHE04-3020-M8</w:t>
            </w:r>
          </w:p>
        </w:tc>
        <w:tc>
          <w:tcPr>
            <w:tcW w:w="680" w:type="dxa"/>
            <w:shd w:val="clear" w:color="auto" w:fill="auto"/>
            <w:vAlign w:val="center"/>
          </w:tcPr>
          <w:p w14:paraId="70D641B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4792BEBE">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w:t>
            </w:r>
          </w:p>
        </w:tc>
      </w:tr>
      <w:tr w14:paraId="609549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680" w:type="dxa"/>
            <w:shd w:val="clear" w:color="auto" w:fill="auto"/>
            <w:vAlign w:val="center"/>
          </w:tcPr>
          <w:p w14:paraId="77275CE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1814" w:type="dxa"/>
            <w:shd w:val="clear" w:color="auto" w:fill="auto"/>
            <w:vAlign w:val="center"/>
          </w:tcPr>
          <w:p w14:paraId="2759ECB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10080102068001</w:t>
            </w:r>
          </w:p>
        </w:tc>
        <w:tc>
          <w:tcPr>
            <w:tcW w:w="2211" w:type="dxa"/>
            <w:shd w:val="clear" w:color="auto" w:fill="auto"/>
            <w:vAlign w:val="center"/>
          </w:tcPr>
          <w:p w14:paraId="7BEC2E0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客室空调机组滤料</w:t>
            </w:r>
          </w:p>
        </w:tc>
        <w:tc>
          <w:tcPr>
            <w:tcW w:w="4535" w:type="dxa"/>
            <w:shd w:val="clear" w:color="auto" w:fill="auto"/>
            <w:vAlign w:val="center"/>
          </w:tcPr>
          <w:p w14:paraId="6CEF87A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140GSM940mm*240mm、厚度20mm，阻燃可水洗。</w:t>
            </w:r>
          </w:p>
        </w:tc>
        <w:tc>
          <w:tcPr>
            <w:tcW w:w="680" w:type="dxa"/>
            <w:shd w:val="clear" w:color="auto" w:fill="auto"/>
            <w:vAlign w:val="center"/>
          </w:tcPr>
          <w:p w14:paraId="06BCEFB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块</w:t>
            </w:r>
          </w:p>
        </w:tc>
        <w:tc>
          <w:tcPr>
            <w:tcW w:w="907" w:type="dxa"/>
            <w:shd w:val="clear" w:color="auto" w:fill="auto"/>
            <w:vAlign w:val="center"/>
          </w:tcPr>
          <w:p w14:paraId="2DCD797B">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2688</w:t>
            </w:r>
          </w:p>
        </w:tc>
      </w:tr>
      <w:tr w14:paraId="195137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680" w:type="dxa"/>
            <w:shd w:val="clear" w:color="auto" w:fill="auto"/>
            <w:vAlign w:val="center"/>
          </w:tcPr>
          <w:p w14:paraId="1CC7D0D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w:t>
            </w:r>
          </w:p>
        </w:tc>
        <w:tc>
          <w:tcPr>
            <w:tcW w:w="1814" w:type="dxa"/>
            <w:shd w:val="clear" w:color="auto" w:fill="auto"/>
            <w:vAlign w:val="center"/>
          </w:tcPr>
          <w:p w14:paraId="5B2BB6F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10080302068001</w:t>
            </w:r>
          </w:p>
        </w:tc>
        <w:tc>
          <w:tcPr>
            <w:tcW w:w="2211" w:type="dxa"/>
            <w:shd w:val="clear" w:color="auto" w:fill="auto"/>
            <w:vAlign w:val="center"/>
          </w:tcPr>
          <w:p w14:paraId="69412F2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司机室空调机组滤料</w:t>
            </w:r>
          </w:p>
        </w:tc>
        <w:tc>
          <w:tcPr>
            <w:tcW w:w="4535" w:type="dxa"/>
            <w:shd w:val="clear" w:color="auto" w:fill="auto"/>
            <w:vAlign w:val="center"/>
          </w:tcPr>
          <w:p w14:paraId="1C545DF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140GSM865mm*445mm、厚度20mm，阻燃可水洗。</w:t>
            </w:r>
          </w:p>
        </w:tc>
        <w:tc>
          <w:tcPr>
            <w:tcW w:w="680" w:type="dxa"/>
            <w:shd w:val="clear" w:color="auto" w:fill="auto"/>
            <w:vAlign w:val="center"/>
          </w:tcPr>
          <w:p w14:paraId="201C847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块</w:t>
            </w:r>
          </w:p>
        </w:tc>
        <w:tc>
          <w:tcPr>
            <w:tcW w:w="907" w:type="dxa"/>
            <w:shd w:val="clear" w:color="auto" w:fill="auto"/>
            <w:vAlign w:val="center"/>
          </w:tcPr>
          <w:p w14:paraId="7D64A291">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336</w:t>
            </w:r>
          </w:p>
        </w:tc>
      </w:tr>
      <w:tr w14:paraId="4C16F6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680" w:type="dxa"/>
            <w:shd w:val="clear" w:color="auto" w:fill="auto"/>
            <w:vAlign w:val="center"/>
          </w:tcPr>
          <w:p w14:paraId="541C79C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w:t>
            </w:r>
          </w:p>
        </w:tc>
        <w:tc>
          <w:tcPr>
            <w:tcW w:w="1814" w:type="dxa"/>
            <w:shd w:val="clear" w:color="auto" w:fill="auto"/>
            <w:vAlign w:val="center"/>
          </w:tcPr>
          <w:p w14:paraId="22253C8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11000040008001</w:t>
            </w:r>
          </w:p>
        </w:tc>
        <w:tc>
          <w:tcPr>
            <w:tcW w:w="2211" w:type="dxa"/>
            <w:shd w:val="clear" w:color="auto" w:fill="auto"/>
            <w:vAlign w:val="center"/>
          </w:tcPr>
          <w:p w14:paraId="0012D9F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钩舌</w:t>
            </w:r>
          </w:p>
        </w:tc>
        <w:tc>
          <w:tcPr>
            <w:tcW w:w="4535" w:type="dxa"/>
            <w:shd w:val="clear" w:color="auto" w:fill="auto"/>
            <w:vAlign w:val="center"/>
          </w:tcPr>
          <w:p w14:paraId="0839CE0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13号B车钩</w:t>
            </w:r>
          </w:p>
        </w:tc>
        <w:tc>
          <w:tcPr>
            <w:tcW w:w="680" w:type="dxa"/>
            <w:shd w:val="clear" w:color="auto" w:fill="auto"/>
            <w:vAlign w:val="center"/>
          </w:tcPr>
          <w:p w14:paraId="099E069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61D64553">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r>
      <w:tr w14:paraId="2B8967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73CD6D8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w:t>
            </w:r>
          </w:p>
        </w:tc>
        <w:tc>
          <w:tcPr>
            <w:tcW w:w="0" w:type="auto"/>
            <w:shd w:val="clear" w:color="auto" w:fill="auto"/>
            <w:vAlign w:val="center"/>
          </w:tcPr>
          <w:p w14:paraId="5926B06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11000040008002</w:t>
            </w:r>
          </w:p>
        </w:tc>
        <w:tc>
          <w:tcPr>
            <w:tcW w:w="2211" w:type="dxa"/>
            <w:shd w:val="clear" w:color="auto" w:fill="auto"/>
            <w:vAlign w:val="center"/>
          </w:tcPr>
          <w:p w14:paraId="268167F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钩舌锁铁</w:t>
            </w:r>
          </w:p>
        </w:tc>
        <w:tc>
          <w:tcPr>
            <w:tcW w:w="4535" w:type="dxa"/>
            <w:shd w:val="clear" w:color="auto" w:fill="auto"/>
            <w:vAlign w:val="center"/>
          </w:tcPr>
          <w:p w14:paraId="3617534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13号B车钩</w:t>
            </w:r>
          </w:p>
        </w:tc>
        <w:tc>
          <w:tcPr>
            <w:tcW w:w="680" w:type="dxa"/>
            <w:shd w:val="clear" w:color="auto" w:fill="auto"/>
            <w:vAlign w:val="center"/>
          </w:tcPr>
          <w:p w14:paraId="058CDDB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3B18C88D">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r>
      <w:tr w14:paraId="62272F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42F262B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w:t>
            </w:r>
          </w:p>
        </w:tc>
        <w:tc>
          <w:tcPr>
            <w:tcW w:w="0" w:type="auto"/>
            <w:shd w:val="clear" w:color="auto" w:fill="auto"/>
            <w:vAlign w:val="center"/>
          </w:tcPr>
          <w:p w14:paraId="75E44AF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11000040008003</w:t>
            </w:r>
          </w:p>
        </w:tc>
        <w:tc>
          <w:tcPr>
            <w:tcW w:w="2211" w:type="dxa"/>
            <w:shd w:val="clear" w:color="auto" w:fill="auto"/>
            <w:vAlign w:val="center"/>
          </w:tcPr>
          <w:p w14:paraId="3C0AE37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钩舌推铁</w:t>
            </w:r>
          </w:p>
        </w:tc>
        <w:tc>
          <w:tcPr>
            <w:tcW w:w="4535" w:type="dxa"/>
            <w:shd w:val="clear" w:color="auto" w:fill="auto"/>
            <w:vAlign w:val="center"/>
          </w:tcPr>
          <w:p w14:paraId="3C13881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13号B车钩</w:t>
            </w:r>
          </w:p>
        </w:tc>
        <w:tc>
          <w:tcPr>
            <w:tcW w:w="680" w:type="dxa"/>
            <w:shd w:val="clear" w:color="auto" w:fill="auto"/>
            <w:vAlign w:val="center"/>
          </w:tcPr>
          <w:p w14:paraId="5985397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585B88E0">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r>
      <w:tr w14:paraId="1F1EC2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39C4711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0" w:type="auto"/>
            <w:shd w:val="clear" w:color="auto" w:fill="auto"/>
            <w:vAlign w:val="center"/>
          </w:tcPr>
          <w:p w14:paraId="0AA72A5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11000040008004</w:t>
            </w:r>
          </w:p>
        </w:tc>
        <w:tc>
          <w:tcPr>
            <w:tcW w:w="2211" w:type="dxa"/>
            <w:shd w:val="clear" w:color="auto" w:fill="auto"/>
            <w:vAlign w:val="center"/>
          </w:tcPr>
          <w:p w14:paraId="327C706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雨刮器</w:t>
            </w:r>
          </w:p>
        </w:tc>
        <w:tc>
          <w:tcPr>
            <w:tcW w:w="4535" w:type="dxa"/>
            <w:shd w:val="clear" w:color="auto" w:fill="auto"/>
            <w:vAlign w:val="center"/>
          </w:tcPr>
          <w:p w14:paraId="4B828B5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无骨刮片</w:t>
            </w:r>
          </w:p>
        </w:tc>
        <w:tc>
          <w:tcPr>
            <w:tcW w:w="680" w:type="dxa"/>
            <w:shd w:val="clear" w:color="auto" w:fill="auto"/>
            <w:vAlign w:val="center"/>
          </w:tcPr>
          <w:p w14:paraId="2E690F1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根</w:t>
            </w:r>
          </w:p>
        </w:tc>
        <w:tc>
          <w:tcPr>
            <w:tcW w:w="907" w:type="dxa"/>
            <w:shd w:val="clear" w:color="auto" w:fill="auto"/>
            <w:vAlign w:val="center"/>
          </w:tcPr>
          <w:p w14:paraId="28D0C544">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w:t>
            </w:r>
          </w:p>
        </w:tc>
      </w:tr>
      <w:tr w14:paraId="74F87A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3169C92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w:t>
            </w:r>
          </w:p>
        </w:tc>
        <w:tc>
          <w:tcPr>
            <w:tcW w:w="0" w:type="auto"/>
            <w:shd w:val="clear" w:color="auto" w:fill="auto"/>
            <w:vAlign w:val="center"/>
          </w:tcPr>
          <w:p w14:paraId="3584F87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11010120000211</w:t>
            </w:r>
          </w:p>
        </w:tc>
        <w:tc>
          <w:tcPr>
            <w:tcW w:w="2211" w:type="dxa"/>
            <w:shd w:val="clear" w:color="auto" w:fill="auto"/>
            <w:vAlign w:val="center"/>
          </w:tcPr>
          <w:p w14:paraId="74BCE04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黄油嘴</w:t>
            </w:r>
          </w:p>
        </w:tc>
        <w:tc>
          <w:tcPr>
            <w:tcW w:w="4535" w:type="dxa"/>
            <w:shd w:val="clear" w:color="auto" w:fill="auto"/>
            <w:vAlign w:val="center"/>
          </w:tcPr>
          <w:p w14:paraId="1DE4D2A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M10*1，GB1152-79；90度直角。</w:t>
            </w:r>
          </w:p>
        </w:tc>
        <w:tc>
          <w:tcPr>
            <w:tcW w:w="680" w:type="dxa"/>
            <w:shd w:val="clear" w:color="auto" w:fill="auto"/>
            <w:vAlign w:val="center"/>
          </w:tcPr>
          <w:p w14:paraId="7D56253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7D547648">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50</w:t>
            </w:r>
          </w:p>
        </w:tc>
      </w:tr>
      <w:tr w14:paraId="49C9B0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49245E3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w:t>
            </w:r>
          </w:p>
        </w:tc>
        <w:tc>
          <w:tcPr>
            <w:tcW w:w="0" w:type="auto"/>
            <w:shd w:val="clear" w:color="auto" w:fill="auto"/>
            <w:vAlign w:val="center"/>
          </w:tcPr>
          <w:p w14:paraId="1BC2674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11010320000077</w:t>
            </w:r>
          </w:p>
        </w:tc>
        <w:tc>
          <w:tcPr>
            <w:tcW w:w="2211" w:type="dxa"/>
            <w:shd w:val="clear" w:color="auto" w:fill="auto"/>
            <w:vAlign w:val="center"/>
          </w:tcPr>
          <w:p w14:paraId="3DFDB4C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黄油嘴</w:t>
            </w:r>
          </w:p>
        </w:tc>
        <w:tc>
          <w:tcPr>
            <w:tcW w:w="4535" w:type="dxa"/>
            <w:shd w:val="clear" w:color="auto" w:fill="auto"/>
            <w:vAlign w:val="center"/>
          </w:tcPr>
          <w:p w14:paraId="443E898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M10*1</w:t>
            </w:r>
            <w:r>
              <w:rPr>
                <w:rFonts w:hint="eastAsia" w:ascii="宋体" w:hAnsi="宋体" w:cs="宋体"/>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GB1152-79</w:t>
            </w:r>
            <w:r>
              <w:rPr>
                <w:rFonts w:hint="eastAsia" w:ascii="宋体" w:hAnsi="宋体" w:cs="宋体"/>
                <w:i w:val="0"/>
                <w:iCs w:val="0"/>
                <w:color w:val="000000"/>
                <w:kern w:val="0"/>
                <w:sz w:val="22"/>
                <w:szCs w:val="22"/>
                <w:u w:val="none"/>
                <w:lang w:val="en-US" w:eastAsia="zh-CN" w:bidi="ar"/>
              </w:rPr>
              <w:t>.</w:t>
            </w:r>
          </w:p>
        </w:tc>
        <w:tc>
          <w:tcPr>
            <w:tcW w:w="680" w:type="dxa"/>
            <w:shd w:val="clear" w:color="auto" w:fill="auto"/>
            <w:vAlign w:val="center"/>
          </w:tcPr>
          <w:p w14:paraId="4488652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496112C5">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w:t>
            </w:r>
          </w:p>
        </w:tc>
      </w:tr>
      <w:tr w14:paraId="37E2D4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65D68B7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w:t>
            </w:r>
          </w:p>
        </w:tc>
        <w:tc>
          <w:tcPr>
            <w:tcW w:w="0" w:type="auto"/>
            <w:shd w:val="clear" w:color="auto" w:fill="auto"/>
            <w:vAlign w:val="center"/>
          </w:tcPr>
          <w:p w14:paraId="712915D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11010320008010</w:t>
            </w:r>
          </w:p>
        </w:tc>
        <w:tc>
          <w:tcPr>
            <w:tcW w:w="2211" w:type="dxa"/>
            <w:shd w:val="clear" w:color="auto" w:fill="auto"/>
            <w:vAlign w:val="center"/>
          </w:tcPr>
          <w:p w14:paraId="198FD4B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GCY450内燃机车空压机皮带</w:t>
            </w:r>
          </w:p>
        </w:tc>
        <w:tc>
          <w:tcPr>
            <w:tcW w:w="4535" w:type="dxa"/>
            <w:shd w:val="clear" w:color="auto" w:fill="auto"/>
            <w:vAlign w:val="center"/>
          </w:tcPr>
          <w:p w14:paraId="56A49E7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B2240</w:t>
            </w:r>
          </w:p>
        </w:tc>
        <w:tc>
          <w:tcPr>
            <w:tcW w:w="680" w:type="dxa"/>
            <w:shd w:val="clear" w:color="auto" w:fill="auto"/>
            <w:vAlign w:val="center"/>
          </w:tcPr>
          <w:p w14:paraId="7D1415D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根</w:t>
            </w:r>
          </w:p>
        </w:tc>
        <w:tc>
          <w:tcPr>
            <w:tcW w:w="907" w:type="dxa"/>
            <w:shd w:val="clear" w:color="auto" w:fill="auto"/>
            <w:vAlign w:val="center"/>
          </w:tcPr>
          <w:p w14:paraId="6A904D85">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r>
      <w:tr w14:paraId="1E8975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43DA07D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w:t>
            </w:r>
          </w:p>
        </w:tc>
        <w:tc>
          <w:tcPr>
            <w:tcW w:w="0" w:type="auto"/>
            <w:shd w:val="clear" w:color="auto" w:fill="auto"/>
            <w:vAlign w:val="center"/>
          </w:tcPr>
          <w:p w14:paraId="23B30A6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11010330008001</w:t>
            </w:r>
          </w:p>
        </w:tc>
        <w:tc>
          <w:tcPr>
            <w:tcW w:w="2211" w:type="dxa"/>
            <w:shd w:val="clear" w:color="auto" w:fill="auto"/>
            <w:vAlign w:val="center"/>
          </w:tcPr>
          <w:p w14:paraId="56E9DE1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GCY450内燃机车液压减振器</w:t>
            </w:r>
          </w:p>
        </w:tc>
        <w:tc>
          <w:tcPr>
            <w:tcW w:w="4535" w:type="dxa"/>
            <w:shd w:val="clear" w:color="auto" w:fill="auto"/>
            <w:vAlign w:val="center"/>
          </w:tcPr>
          <w:p w14:paraId="0C89A3A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ZS8-C-J3-12</w:t>
            </w:r>
          </w:p>
        </w:tc>
        <w:tc>
          <w:tcPr>
            <w:tcW w:w="680" w:type="dxa"/>
            <w:shd w:val="clear" w:color="auto" w:fill="auto"/>
            <w:vAlign w:val="center"/>
          </w:tcPr>
          <w:p w14:paraId="39739F0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4B659117">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r>
      <w:tr w14:paraId="0CD0F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08CF9BE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w:t>
            </w:r>
          </w:p>
        </w:tc>
        <w:tc>
          <w:tcPr>
            <w:tcW w:w="0" w:type="auto"/>
            <w:shd w:val="clear" w:color="auto" w:fill="auto"/>
            <w:vAlign w:val="center"/>
          </w:tcPr>
          <w:p w14:paraId="66418F9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11010330008002</w:t>
            </w:r>
          </w:p>
        </w:tc>
        <w:tc>
          <w:tcPr>
            <w:tcW w:w="2211" w:type="dxa"/>
            <w:shd w:val="clear" w:color="auto" w:fill="auto"/>
            <w:vAlign w:val="center"/>
          </w:tcPr>
          <w:p w14:paraId="1994D1E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GCY450内燃机车轴温报警装置</w:t>
            </w:r>
          </w:p>
        </w:tc>
        <w:tc>
          <w:tcPr>
            <w:tcW w:w="4535" w:type="dxa"/>
            <w:shd w:val="clear" w:color="auto" w:fill="auto"/>
            <w:vAlign w:val="center"/>
          </w:tcPr>
          <w:p w14:paraId="773B45F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ZWJ-1</w:t>
            </w:r>
          </w:p>
        </w:tc>
        <w:tc>
          <w:tcPr>
            <w:tcW w:w="680" w:type="dxa"/>
            <w:shd w:val="clear" w:color="auto" w:fill="auto"/>
            <w:vAlign w:val="center"/>
          </w:tcPr>
          <w:p w14:paraId="00CB231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131324C7">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r>
      <w:tr w14:paraId="4E4F36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74BD785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w:t>
            </w:r>
          </w:p>
        </w:tc>
        <w:tc>
          <w:tcPr>
            <w:tcW w:w="0" w:type="auto"/>
            <w:shd w:val="clear" w:color="auto" w:fill="auto"/>
            <w:vAlign w:val="center"/>
          </w:tcPr>
          <w:p w14:paraId="1929E7D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11010350008009</w:t>
            </w:r>
          </w:p>
        </w:tc>
        <w:tc>
          <w:tcPr>
            <w:tcW w:w="2211" w:type="dxa"/>
            <w:shd w:val="clear" w:color="auto" w:fill="auto"/>
            <w:vAlign w:val="center"/>
          </w:tcPr>
          <w:p w14:paraId="663C276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GCY450内燃机车发电机组皮带</w:t>
            </w:r>
          </w:p>
        </w:tc>
        <w:tc>
          <w:tcPr>
            <w:tcW w:w="4535" w:type="dxa"/>
            <w:shd w:val="clear" w:color="auto" w:fill="auto"/>
            <w:vAlign w:val="center"/>
          </w:tcPr>
          <w:p w14:paraId="6D9A5A6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REMF6410，推荐：日本三之星。</w:t>
            </w:r>
          </w:p>
        </w:tc>
        <w:tc>
          <w:tcPr>
            <w:tcW w:w="680" w:type="dxa"/>
            <w:shd w:val="clear" w:color="auto" w:fill="auto"/>
            <w:vAlign w:val="center"/>
          </w:tcPr>
          <w:p w14:paraId="104776D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根</w:t>
            </w:r>
          </w:p>
        </w:tc>
        <w:tc>
          <w:tcPr>
            <w:tcW w:w="907" w:type="dxa"/>
            <w:shd w:val="clear" w:color="auto" w:fill="auto"/>
            <w:vAlign w:val="center"/>
          </w:tcPr>
          <w:p w14:paraId="20480CF3">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r>
      <w:tr w14:paraId="47A34F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48D9D23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17</w:t>
            </w:r>
          </w:p>
        </w:tc>
        <w:tc>
          <w:tcPr>
            <w:tcW w:w="0" w:type="auto"/>
            <w:shd w:val="clear" w:color="auto" w:fill="auto"/>
            <w:vAlign w:val="center"/>
          </w:tcPr>
          <w:p w14:paraId="3A3BBA2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11010350008010</w:t>
            </w:r>
          </w:p>
        </w:tc>
        <w:tc>
          <w:tcPr>
            <w:tcW w:w="2211" w:type="dxa"/>
            <w:shd w:val="clear" w:color="auto" w:fill="auto"/>
            <w:vAlign w:val="center"/>
          </w:tcPr>
          <w:p w14:paraId="21DA4D5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GCY450内燃机车辅发蓄电池</w:t>
            </w:r>
          </w:p>
        </w:tc>
        <w:tc>
          <w:tcPr>
            <w:tcW w:w="4535" w:type="dxa"/>
            <w:shd w:val="clear" w:color="auto" w:fill="auto"/>
            <w:vAlign w:val="center"/>
          </w:tcPr>
          <w:p w14:paraId="2CEB12C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12V88Ah720CCA</w:t>
            </w:r>
          </w:p>
        </w:tc>
        <w:tc>
          <w:tcPr>
            <w:tcW w:w="680" w:type="dxa"/>
            <w:shd w:val="clear" w:color="auto" w:fill="auto"/>
            <w:vAlign w:val="center"/>
          </w:tcPr>
          <w:p w14:paraId="7CDEA08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5EA780EC">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r>
      <w:tr w14:paraId="64014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7A2C88F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w:t>
            </w:r>
          </w:p>
        </w:tc>
        <w:tc>
          <w:tcPr>
            <w:tcW w:w="0" w:type="auto"/>
            <w:shd w:val="clear" w:color="auto" w:fill="auto"/>
            <w:vAlign w:val="center"/>
          </w:tcPr>
          <w:p w14:paraId="73843BF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11010350008011</w:t>
            </w:r>
          </w:p>
        </w:tc>
        <w:tc>
          <w:tcPr>
            <w:tcW w:w="2211" w:type="dxa"/>
            <w:shd w:val="clear" w:color="auto" w:fill="auto"/>
            <w:vAlign w:val="center"/>
          </w:tcPr>
          <w:p w14:paraId="501646C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GCY450内燃机车长款重联线</w:t>
            </w:r>
          </w:p>
        </w:tc>
        <w:tc>
          <w:tcPr>
            <w:tcW w:w="4535" w:type="dxa"/>
            <w:shd w:val="clear" w:color="auto" w:fill="auto"/>
            <w:vAlign w:val="center"/>
          </w:tcPr>
          <w:p w14:paraId="78F75F4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用于金鹰450内燃机车两车系统重联，尺寸3米。</w:t>
            </w:r>
          </w:p>
        </w:tc>
        <w:tc>
          <w:tcPr>
            <w:tcW w:w="680" w:type="dxa"/>
            <w:shd w:val="clear" w:color="auto" w:fill="auto"/>
            <w:vAlign w:val="center"/>
          </w:tcPr>
          <w:p w14:paraId="006D9FE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根</w:t>
            </w:r>
          </w:p>
        </w:tc>
        <w:tc>
          <w:tcPr>
            <w:tcW w:w="907" w:type="dxa"/>
            <w:shd w:val="clear" w:color="auto" w:fill="auto"/>
            <w:vAlign w:val="center"/>
          </w:tcPr>
          <w:p w14:paraId="139EFFF0">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r>
      <w:tr w14:paraId="024A73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08053C4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19</w:t>
            </w:r>
          </w:p>
        </w:tc>
        <w:tc>
          <w:tcPr>
            <w:tcW w:w="0" w:type="auto"/>
            <w:shd w:val="clear" w:color="auto" w:fill="auto"/>
            <w:vAlign w:val="center"/>
          </w:tcPr>
          <w:p w14:paraId="79904C0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11010350008012</w:t>
            </w:r>
          </w:p>
        </w:tc>
        <w:tc>
          <w:tcPr>
            <w:tcW w:w="2211" w:type="dxa"/>
            <w:shd w:val="clear" w:color="auto" w:fill="auto"/>
            <w:vAlign w:val="center"/>
          </w:tcPr>
          <w:p w14:paraId="6E2FA12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GCY450内燃机车总风管</w:t>
            </w:r>
          </w:p>
        </w:tc>
        <w:tc>
          <w:tcPr>
            <w:tcW w:w="4535" w:type="dxa"/>
            <w:shd w:val="clear" w:color="auto" w:fill="auto"/>
            <w:vAlign w:val="center"/>
          </w:tcPr>
          <w:p w14:paraId="3CDA52C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L=690mm</w:t>
            </w:r>
          </w:p>
        </w:tc>
        <w:tc>
          <w:tcPr>
            <w:tcW w:w="680" w:type="dxa"/>
            <w:shd w:val="clear" w:color="auto" w:fill="auto"/>
            <w:vAlign w:val="center"/>
          </w:tcPr>
          <w:p w14:paraId="02E6ACD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根</w:t>
            </w:r>
          </w:p>
        </w:tc>
        <w:tc>
          <w:tcPr>
            <w:tcW w:w="907" w:type="dxa"/>
            <w:shd w:val="clear" w:color="auto" w:fill="auto"/>
            <w:vAlign w:val="center"/>
          </w:tcPr>
          <w:p w14:paraId="2515B9A3">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w:t>
            </w:r>
          </w:p>
        </w:tc>
      </w:tr>
      <w:tr w14:paraId="0C51C3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76D9FE5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w:t>
            </w:r>
          </w:p>
        </w:tc>
        <w:tc>
          <w:tcPr>
            <w:tcW w:w="0" w:type="auto"/>
            <w:shd w:val="clear" w:color="auto" w:fill="auto"/>
            <w:vAlign w:val="center"/>
          </w:tcPr>
          <w:p w14:paraId="64CC3F7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30" name="图片_57"/>
                  <wp:cNvGraphicFramePr/>
                  <a:graphic xmlns:a="http://schemas.openxmlformats.org/drawingml/2006/main">
                    <a:graphicData uri="http://schemas.openxmlformats.org/drawingml/2006/picture">
                      <pic:pic xmlns:pic="http://schemas.openxmlformats.org/drawingml/2006/picture">
                        <pic:nvPicPr>
                          <pic:cNvPr id="30" name="图片_57"/>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t>11010399008002</w:t>
            </w:r>
          </w:p>
        </w:tc>
        <w:tc>
          <w:tcPr>
            <w:tcW w:w="2211" w:type="dxa"/>
            <w:shd w:val="clear" w:color="auto" w:fill="auto"/>
            <w:vAlign w:val="center"/>
          </w:tcPr>
          <w:p w14:paraId="36B7868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GCY450内燃机车380v外接插座</w:t>
            </w:r>
          </w:p>
        </w:tc>
        <w:tc>
          <w:tcPr>
            <w:tcW w:w="4535" w:type="dxa"/>
            <w:shd w:val="clear" w:color="auto" w:fill="auto"/>
            <w:vAlign w:val="center"/>
          </w:tcPr>
          <w:p w14:paraId="5598946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TYP:334</w:t>
            </w:r>
          </w:p>
        </w:tc>
        <w:tc>
          <w:tcPr>
            <w:tcW w:w="680" w:type="dxa"/>
            <w:shd w:val="clear" w:color="auto" w:fill="auto"/>
            <w:vAlign w:val="center"/>
          </w:tcPr>
          <w:p w14:paraId="4DE38E1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7B546BF7">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r>
      <w:tr w14:paraId="611C97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217B4AA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w:t>
            </w:r>
          </w:p>
        </w:tc>
        <w:tc>
          <w:tcPr>
            <w:tcW w:w="0" w:type="auto"/>
            <w:shd w:val="clear" w:color="auto" w:fill="auto"/>
            <w:vAlign w:val="center"/>
          </w:tcPr>
          <w:p w14:paraId="5BE9365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11010399008003</w:t>
            </w:r>
          </w:p>
        </w:tc>
        <w:tc>
          <w:tcPr>
            <w:tcW w:w="2211" w:type="dxa"/>
            <w:shd w:val="clear" w:color="auto" w:fill="auto"/>
            <w:vAlign w:val="center"/>
          </w:tcPr>
          <w:p w14:paraId="2AB99A7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GCY450内燃机车冷却水管卡箍</w:t>
            </w:r>
          </w:p>
        </w:tc>
        <w:tc>
          <w:tcPr>
            <w:tcW w:w="4535" w:type="dxa"/>
            <w:shd w:val="clear" w:color="auto" w:fill="auto"/>
            <w:vAlign w:val="center"/>
          </w:tcPr>
          <w:p w14:paraId="60DE200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宽12mm，内径尺寸21</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44mm。</w:t>
            </w:r>
          </w:p>
        </w:tc>
        <w:tc>
          <w:tcPr>
            <w:tcW w:w="680" w:type="dxa"/>
            <w:shd w:val="clear" w:color="auto" w:fill="auto"/>
            <w:vAlign w:val="center"/>
          </w:tcPr>
          <w:p w14:paraId="5EA5A9E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054AB359">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25</w:t>
            </w:r>
          </w:p>
        </w:tc>
      </w:tr>
      <w:tr w14:paraId="16783F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00896D8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w:t>
            </w:r>
          </w:p>
        </w:tc>
        <w:tc>
          <w:tcPr>
            <w:tcW w:w="0" w:type="auto"/>
            <w:shd w:val="clear" w:color="auto" w:fill="auto"/>
            <w:vAlign w:val="center"/>
          </w:tcPr>
          <w:p w14:paraId="6FA799A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11010399008004</w:t>
            </w:r>
          </w:p>
        </w:tc>
        <w:tc>
          <w:tcPr>
            <w:tcW w:w="2211" w:type="dxa"/>
            <w:shd w:val="clear" w:color="auto" w:fill="auto"/>
            <w:vAlign w:val="center"/>
          </w:tcPr>
          <w:p w14:paraId="003D0BA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GCY450内燃机车冷却水管卡箍</w:t>
            </w:r>
          </w:p>
        </w:tc>
        <w:tc>
          <w:tcPr>
            <w:tcW w:w="4535" w:type="dxa"/>
            <w:shd w:val="clear" w:color="auto" w:fill="auto"/>
            <w:vAlign w:val="center"/>
          </w:tcPr>
          <w:p w14:paraId="33B546D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宽8mm，内径尺寸19</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29mm。</w:t>
            </w:r>
          </w:p>
        </w:tc>
        <w:tc>
          <w:tcPr>
            <w:tcW w:w="680" w:type="dxa"/>
            <w:shd w:val="clear" w:color="auto" w:fill="auto"/>
            <w:vAlign w:val="center"/>
          </w:tcPr>
          <w:p w14:paraId="09C5D46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3281BBB4">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50</w:t>
            </w:r>
          </w:p>
        </w:tc>
      </w:tr>
      <w:tr w14:paraId="2D43E3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032E34D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23</w:t>
            </w:r>
          </w:p>
        </w:tc>
        <w:tc>
          <w:tcPr>
            <w:tcW w:w="0" w:type="auto"/>
            <w:shd w:val="clear" w:color="auto" w:fill="auto"/>
            <w:vAlign w:val="center"/>
          </w:tcPr>
          <w:p w14:paraId="581EDD4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11010399008005</w:t>
            </w:r>
          </w:p>
        </w:tc>
        <w:tc>
          <w:tcPr>
            <w:tcW w:w="2211" w:type="dxa"/>
            <w:shd w:val="clear" w:color="auto" w:fill="auto"/>
            <w:vAlign w:val="center"/>
          </w:tcPr>
          <w:p w14:paraId="4407559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GCY450内燃机车门框胶条</w:t>
            </w:r>
          </w:p>
        </w:tc>
        <w:tc>
          <w:tcPr>
            <w:tcW w:w="4535" w:type="dxa"/>
            <w:shd w:val="clear" w:color="auto" w:fill="auto"/>
            <w:vAlign w:val="center"/>
          </w:tcPr>
          <w:p w14:paraId="5733409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用于金鹰450内燃机车车门门框。</w:t>
            </w:r>
          </w:p>
        </w:tc>
        <w:tc>
          <w:tcPr>
            <w:tcW w:w="680" w:type="dxa"/>
            <w:shd w:val="clear" w:color="auto" w:fill="auto"/>
            <w:vAlign w:val="center"/>
          </w:tcPr>
          <w:p w14:paraId="67EFFE3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米</w:t>
            </w:r>
          </w:p>
        </w:tc>
        <w:tc>
          <w:tcPr>
            <w:tcW w:w="907" w:type="dxa"/>
            <w:shd w:val="clear" w:color="auto" w:fill="auto"/>
            <w:vAlign w:val="center"/>
          </w:tcPr>
          <w:p w14:paraId="66FA2265">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w:t>
            </w:r>
          </w:p>
        </w:tc>
      </w:tr>
      <w:tr w14:paraId="116C4D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44DB165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24</w:t>
            </w:r>
          </w:p>
        </w:tc>
        <w:tc>
          <w:tcPr>
            <w:tcW w:w="0" w:type="auto"/>
            <w:shd w:val="clear" w:color="auto" w:fill="auto"/>
            <w:vAlign w:val="center"/>
          </w:tcPr>
          <w:p w14:paraId="3A204CB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11020130008002</w:t>
            </w:r>
          </w:p>
        </w:tc>
        <w:tc>
          <w:tcPr>
            <w:tcW w:w="2211" w:type="dxa"/>
            <w:shd w:val="clear" w:color="auto" w:fill="auto"/>
            <w:vAlign w:val="center"/>
          </w:tcPr>
          <w:p w14:paraId="195089B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DJW接触网作业车接地装置</w:t>
            </w:r>
          </w:p>
        </w:tc>
        <w:tc>
          <w:tcPr>
            <w:tcW w:w="4535" w:type="dxa"/>
            <w:shd w:val="clear" w:color="auto" w:fill="auto"/>
            <w:vAlign w:val="center"/>
          </w:tcPr>
          <w:p w14:paraId="4C54C5E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TJD01D</w:t>
            </w:r>
          </w:p>
        </w:tc>
        <w:tc>
          <w:tcPr>
            <w:tcW w:w="680" w:type="dxa"/>
            <w:shd w:val="clear" w:color="auto" w:fill="auto"/>
            <w:vAlign w:val="center"/>
          </w:tcPr>
          <w:p w14:paraId="2DC4953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0C0A91C4">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r>
      <w:tr w14:paraId="618AAA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449BF9E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25</w:t>
            </w:r>
          </w:p>
        </w:tc>
        <w:tc>
          <w:tcPr>
            <w:tcW w:w="0" w:type="auto"/>
            <w:shd w:val="clear" w:color="auto" w:fill="auto"/>
            <w:vAlign w:val="center"/>
          </w:tcPr>
          <w:p w14:paraId="0C69157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11020130008003</w:t>
            </w:r>
          </w:p>
        </w:tc>
        <w:tc>
          <w:tcPr>
            <w:tcW w:w="2211" w:type="dxa"/>
            <w:shd w:val="clear" w:color="auto" w:fill="auto"/>
            <w:vAlign w:val="center"/>
          </w:tcPr>
          <w:p w14:paraId="0E6F50D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DJW接触网作业车液压减振器（DZJ-80型网轨限检测车、DJW接触网作业车车轮）</w:t>
            </w:r>
          </w:p>
        </w:tc>
        <w:tc>
          <w:tcPr>
            <w:tcW w:w="4535" w:type="dxa"/>
            <w:shd w:val="clear" w:color="auto" w:fill="auto"/>
            <w:vAlign w:val="center"/>
          </w:tcPr>
          <w:p w14:paraId="1867495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T70-J01C10E</w:t>
            </w:r>
          </w:p>
        </w:tc>
        <w:tc>
          <w:tcPr>
            <w:tcW w:w="680" w:type="dxa"/>
            <w:shd w:val="clear" w:color="auto" w:fill="auto"/>
            <w:vAlign w:val="center"/>
          </w:tcPr>
          <w:p w14:paraId="288AA41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3534D2D0">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r>
      <w:tr w14:paraId="00264D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02A79C6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26</w:t>
            </w:r>
          </w:p>
        </w:tc>
        <w:tc>
          <w:tcPr>
            <w:tcW w:w="0" w:type="auto"/>
            <w:shd w:val="clear" w:color="auto" w:fill="auto"/>
            <w:vAlign w:val="center"/>
          </w:tcPr>
          <w:p w14:paraId="65D28B2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11020150008014</w:t>
            </w:r>
          </w:p>
        </w:tc>
        <w:tc>
          <w:tcPr>
            <w:tcW w:w="2211" w:type="dxa"/>
            <w:shd w:val="clear" w:color="auto" w:fill="auto"/>
            <w:vAlign w:val="center"/>
          </w:tcPr>
          <w:p w14:paraId="033F855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DJW接触网作业车发电机组皮带</w:t>
            </w:r>
          </w:p>
        </w:tc>
        <w:tc>
          <w:tcPr>
            <w:tcW w:w="4535" w:type="dxa"/>
            <w:shd w:val="clear" w:color="auto" w:fill="auto"/>
            <w:vAlign w:val="center"/>
          </w:tcPr>
          <w:p w14:paraId="358F2D4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REMF1345，推荐：日本三之星。</w:t>
            </w:r>
          </w:p>
        </w:tc>
        <w:tc>
          <w:tcPr>
            <w:tcW w:w="680" w:type="dxa"/>
            <w:shd w:val="clear" w:color="auto" w:fill="auto"/>
            <w:vAlign w:val="center"/>
          </w:tcPr>
          <w:p w14:paraId="7EE756A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条</w:t>
            </w:r>
          </w:p>
        </w:tc>
        <w:tc>
          <w:tcPr>
            <w:tcW w:w="907" w:type="dxa"/>
            <w:shd w:val="clear" w:color="auto" w:fill="auto"/>
            <w:vAlign w:val="center"/>
          </w:tcPr>
          <w:p w14:paraId="3FDD7E98">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r>
      <w:tr w14:paraId="29CDDC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5FFE3BB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27</w:t>
            </w:r>
          </w:p>
        </w:tc>
        <w:tc>
          <w:tcPr>
            <w:tcW w:w="0" w:type="auto"/>
            <w:shd w:val="clear" w:color="auto" w:fill="auto"/>
            <w:vAlign w:val="center"/>
          </w:tcPr>
          <w:p w14:paraId="1FCB8FC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11020150008015</w:t>
            </w:r>
          </w:p>
        </w:tc>
        <w:tc>
          <w:tcPr>
            <w:tcW w:w="2211" w:type="dxa"/>
            <w:shd w:val="clear" w:color="auto" w:fill="auto"/>
            <w:vAlign w:val="center"/>
          </w:tcPr>
          <w:p w14:paraId="4E2BBBC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DJW接触网作业车辅发蓄电池</w:t>
            </w:r>
          </w:p>
        </w:tc>
        <w:tc>
          <w:tcPr>
            <w:tcW w:w="4535" w:type="dxa"/>
            <w:shd w:val="clear" w:color="auto" w:fill="auto"/>
            <w:vAlign w:val="center"/>
          </w:tcPr>
          <w:p w14:paraId="38E2805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55B24LMF12V45Ah</w:t>
            </w:r>
          </w:p>
        </w:tc>
        <w:tc>
          <w:tcPr>
            <w:tcW w:w="680" w:type="dxa"/>
            <w:shd w:val="clear" w:color="auto" w:fill="auto"/>
            <w:vAlign w:val="center"/>
          </w:tcPr>
          <w:p w14:paraId="14BB279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341FF29C">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r>
      <w:tr w14:paraId="7F4C15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09566F6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28</w:t>
            </w:r>
          </w:p>
        </w:tc>
        <w:tc>
          <w:tcPr>
            <w:tcW w:w="0" w:type="auto"/>
            <w:shd w:val="clear" w:color="auto" w:fill="auto"/>
            <w:vAlign w:val="center"/>
          </w:tcPr>
          <w:p w14:paraId="696CFD3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11020199008017</w:t>
            </w:r>
          </w:p>
        </w:tc>
        <w:tc>
          <w:tcPr>
            <w:tcW w:w="2211" w:type="dxa"/>
            <w:shd w:val="clear" w:color="auto" w:fill="auto"/>
            <w:vAlign w:val="center"/>
          </w:tcPr>
          <w:p w14:paraId="4428990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DJW接触网作业车220v外接插座</w:t>
            </w:r>
          </w:p>
        </w:tc>
        <w:tc>
          <w:tcPr>
            <w:tcW w:w="4535" w:type="dxa"/>
            <w:shd w:val="clear" w:color="auto" w:fill="auto"/>
            <w:vAlign w:val="center"/>
          </w:tcPr>
          <w:p w14:paraId="54F3760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TYP:1502</w:t>
            </w:r>
          </w:p>
        </w:tc>
        <w:tc>
          <w:tcPr>
            <w:tcW w:w="680" w:type="dxa"/>
            <w:shd w:val="clear" w:color="auto" w:fill="auto"/>
            <w:vAlign w:val="center"/>
          </w:tcPr>
          <w:p w14:paraId="23C46BC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003E0F7F">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r>
      <w:tr w14:paraId="427753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066FA31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29</w:t>
            </w:r>
          </w:p>
        </w:tc>
        <w:tc>
          <w:tcPr>
            <w:tcW w:w="0" w:type="auto"/>
            <w:shd w:val="clear" w:color="auto" w:fill="auto"/>
            <w:vAlign w:val="center"/>
          </w:tcPr>
          <w:p w14:paraId="68C2268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11020199008018</w:t>
            </w:r>
          </w:p>
        </w:tc>
        <w:tc>
          <w:tcPr>
            <w:tcW w:w="2211" w:type="dxa"/>
            <w:shd w:val="clear" w:color="auto" w:fill="auto"/>
            <w:vAlign w:val="center"/>
          </w:tcPr>
          <w:p w14:paraId="6D93244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DJW接触网作业车380v外接插座</w:t>
            </w:r>
          </w:p>
        </w:tc>
        <w:tc>
          <w:tcPr>
            <w:tcW w:w="4535" w:type="dxa"/>
            <w:shd w:val="clear" w:color="auto" w:fill="auto"/>
            <w:vAlign w:val="center"/>
          </w:tcPr>
          <w:p w14:paraId="3F39F8F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TYP:240</w:t>
            </w:r>
          </w:p>
        </w:tc>
        <w:tc>
          <w:tcPr>
            <w:tcW w:w="680" w:type="dxa"/>
            <w:shd w:val="clear" w:color="auto" w:fill="auto"/>
            <w:vAlign w:val="center"/>
          </w:tcPr>
          <w:p w14:paraId="7FFAFB0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5FAE3DD1">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r>
      <w:tr w14:paraId="7E143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5898B9B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w:t>
            </w:r>
          </w:p>
        </w:tc>
        <w:tc>
          <w:tcPr>
            <w:tcW w:w="0" w:type="auto"/>
            <w:shd w:val="clear" w:color="auto" w:fill="auto"/>
            <w:vAlign w:val="center"/>
          </w:tcPr>
          <w:p w14:paraId="3E097E6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11038030008001</w:t>
            </w:r>
          </w:p>
        </w:tc>
        <w:tc>
          <w:tcPr>
            <w:tcW w:w="2211" w:type="dxa"/>
            <w:shd w:val="clear" w:color="auto" w:fill="auto"/>
            <w:vAlign w:val="center"/>
          </w:tcPr>
          <w:p w14:paraId="2F4FC7A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DJW接触网作业车液压减振器（DJW接触网作业车车底、DZJ-80型网轨限检测车车底）</w:t>
            </w:r>
          </w:p>
        </w:tc>
        <w:tc>
          <w:tcPr>
            <w:tcW w:w="4535" w:type="dxa"/>
            <w:shd w:val="clear" w:color="auto" w:fill="auto"/>
            <w:vAlign w:val="center"/>
          </w:tcPr>
          <w:p w14:paraId="2EC4C11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T70-J45H14G</w:t>
            </w:r>
          </w:p>
        </w:tc>
        <w:tc>
          <w:tcPr>
            <w:tcW w:w="680" w:type="dxa"/>
            <w:shd w:val="clear" w:color="auto" w:fill="auto"/>
            <w:vAlign w:val="center"/>
          </w:tcPr>
          <w:p w14:paraId="4ED6B27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7008AA8D">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r>
      <w:tr w14:paraId="58A7CF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5F1ACE9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w:t>
            </w:r>
          </w:p>
        </w:tc>
        <w:tc>
          <w:tcPr>
            <w:tcW w:w="0" w:type="auto"/>
            <w:shd w:val="clear" w:color="auto" w:fill="auto"/>
            <w:vAlign w:val="center"/>
          </w:tcPr>
          <w:p w14:paraId="075C2AA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11068040008001</w:t>
            </w:r>
          </w:p>
        </w:tc>
        <w:tc>
          <w:tcPr>
            <w:tcW w:w="2211" w:type="dxa"/>
            <w:shd w:val="clear" w:color="auto" w:fill="auto"/>
            <w:vAlign w:val="center"/>
          </w:tcPr>
          <w:p w14:paraId="68254CE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DJW接触网作业车液压减振器（DPC30轨道平板车、XDPC30轨道平板吊车、DDF接触网放线车）</w:t>
            </w:r>
          </w:p>
        </w:tc>
        <w:tc>
          <w:tcPr>
            <w:tcW w:w="4535" w:type="dxa"/>
            <w:shd w:val="clear" w:color="auto" w:fill="auto"/>
            <w:vAlign w:val="center"/>
          </w:tcPr>
          <w:p w14:paraId="7809EB6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T70-J03C12B</w:t>
            </w:r>
          </w:p>
        </w:tc>
        <w:tc>
          <w:tcPr>
            <w:tcW w:w="680" w:type="dxa"/>
            <w:shd w:val="clear" w:color="auto" w:fill="auto"/>
            <w:vAlign w:val="center"/>
          </w:tcPr>
          <w:p w14:paraId="7373B04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186832AB">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r>
      <w:tr w14:paraId="134ED7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42DE5C9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w:t>
            </w:r>
          </w:p>
        </w:tc>
        <w:tc>
          <w:tcPr>
            <w:tcW w:w="0" w:type="auto"/>
            <w:shd w:val="clear" w:color="auto" w:fill="auto"/>
            <w:vAlign w:val="center"/>
          </w:tcPr>
          <w:p w14:paraId="7BB6D31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11068050008001</w:t>
            </w:r>
          </w:p>
        </w:tc>
        <w:tc>
          <w:tcPr>
            <w:tcW w:w="2211" w:type="dxa"/>
            <w:shd w:val="clear" w:color="auto" w:fill="auto"/>
            <w:vAlign w:val="center"/>
          </w:tcPr>
          <w:p w14:paraId="6A6B580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DJW接触网作业车吊机限位器</w:t>
            </w:r>
          </w:p>
        </w:tc>
        <w:tc>
          <w:tcPr>
            <w:tcW w:w="4535" w:type="dxa"/>
            <w:shd w:val="clear" w:color="auto" w:fill="auto"/>
            <w:vAlign w:val="center"/>
          </w:tcPr>
          <w:p w14:paraId="6C296D6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REC-W1000-SL</w:t>
            </w:r>
          </w:p>
        </w:tc>
        <w:tc>
          <w:tcPr>
            <w:tcW w:w="680" w:type="dxa"/>
            <w:shd w:val="clear" w:color="auto" w:fill="auto"/>
            <w:vAlign w:val="center"/>
          </w:tcPr>
          <w:p w14:paraId="31A9DEF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0E5C1548">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r>
      <w:tr w14:paraId="30C8D1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4C53819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33</w:t>
            </w:r>
          </w:p>
        </w:tc>
        <w:tc>
          <w:tcPr>
            <w:tcW w:w="0" w:type="auto"/>
            <w:shd w:val="clear" w:color="auto" w:fill="auto"/>
            <w:vAlign w:val="center"/>
          </w:tcPr>
          <w:p w14:paraId="5643956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11068050008002</w:t>
            </w:r>
          </w:p>
        </w:tc>
        <w:tc>
          <w:tcPr>
            <w:tcW w:w="2211" w:type="dxa"/>
            <w:shd w:val="clear" w:color="auto" w:fill="auto"/>
            <w:vAlign w:val="center"/>
          </w:tcPr>
          <w:p w14:paraId="1E328A3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DJW接触网作业车吊机液压油管</w:t>
            </w:r>
          </w:p>
        </w:tc>
        <w:tc>
          <w:tcPr>
            <w:tcW w:w="4535" w:type="dxa"/>
            <w:shd w:val="clear" w:color="auto" w:fill="auto"/>
            <w:vAlign w:val="center"/>
          </w:tcPr>
          <w:p w14:paraId="407F1B8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7.9mm(0.31in)DN8 215bar(3125psi)</w:t>
            </w:r>
          </w:p>
        </w:tc>
        <w:tc>
          <w:tcPr>
            <w:tcW w:w="680" w:type="dxa"/>
            <w:shd w:val="clear" w:color="auto" w:fill="auto"/>
            <w:vAlign w:val="center"/>
          </w:tcPr>
          <w:p w14:paraId="2AE7A53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根</w:t>
            </w:r>
          </w:p>
        </w:tc>
        <w:tc>
          <w:tcPr>
            <w:tcW w:w="907" w:type="dxa"/>
            <w:shd w:val="clear" w:color="auto" w:fill="auto"/>
            <w:vAlign w:val="center"/>
          </w:tcPr>
          <w:p w14:paraId="1762E5BD">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r>
      <w:tr w14:paraId="61C537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7E77732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34</w:t>
            </w:r>
          </w:p>
        </w:tc>
        <w:tc>
          <w:tcPr>
            <w:tcW w:w="0" w:type="auto"/>
            <w:shd w:val="clear" w:color="auto" w:fill="auto"/>
            <w:vAlign w:val="center"/>
          </w:tcPr>
          <w:p w14:paraId="471863F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11068050008003</w:t>
            </w:r>
          </w:p>
        </w:tc>
        <w:tc>
          <w:tcPr>
            <w:tcW w:w="2211" w:type="dxa"/>
            <w:shd w:val="clear" w:color="auto" w:fill="auto"/>
            <w:vAlign w:val="center"/>
          </w:tcPr>
          <w:p w14:paraId="37F3347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DJW接触网作业车吊机液压油管</w:t>
            </w:r>
          </w:p>
        </w:tc>
        <w:tc>
          <w:tcPr>
            <w:tcW w:w="4535" w:type="dxa"/>
            <w:shd w:val="clear" w:color="auto" w:fill="auto"/>
            <w:vAlign w:val="center"/>
          </w:tcPr>
          <w:p w14:paraId="39331EC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9.5mm(0.38in)DN1000psi</w:t>
            </w:r>
          </w:p>
        </w:tc>
        <w:tc>
          <w:tcPr>
            <w:tcW w:w="680" w:type="dxa"/>
            <w:shd w:val="clear" w:color="auto" w:fill="auto"/>
            <w:vAlign w:val="center"/>
          </w:tcPr>
          <w:p w14:paraId="55790C0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根</w:t>
            </w:r>
          </w:p>
        </w:tc>
        <w:tc>
          <w:tcPr>
            <w:tcW w:w="907" w:type="dxa"/>
            <w:shd w:val="clear" w:color="auto" w:fill="auto"/>
            <w:vAlign w:val="center"/>
          </w:tcPr>
          <w:p w14:paraId="51AE3C6E">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r>
      <w:tr w14:paraId="6B09B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5ECEC8B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w:t>
            </w:r>
          </w:p>
        </w:tc>
        <w:tc>
          <w:tcPr>
            <w:tcW w:w="0" w:type="auto"/>
            <w:shd w:val="clear" w:color="auto" w:fill="auto"/>
            <w:vAlign w:val="center"/>
          </w:tcPr>
          <w:p w14:paraId="5AF22BE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31" name="图片_45"/>
                  <wp:cNvGraphicFramePr/>
                  <a:graphic xmlns:a="http://schemas.openxmlformats.org/drawingml/2006/main">
                    <a:graphicData uri="http://schemas.openxmlformats.org/drawingml/2006/picture">
                      <pic:pic xmlns:pic="http://schemas.openxmlformats.org/drawingml/2006/picture">
                        <pic:nvPicPr>
                          <pic:cNvPr id="31" name="图片_4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32" name="图片_44"/>
                  <wp:cNvGraphicFramePr/>
                  <a:graphic xmlns:a="http://schemas.openxmlformats.org/drawingml/2006/main">
                    <a:graphicData uri="http://schemas.openxmlformats.org/drawingml/2006/picture">
                      <pic:pic xmlns:pic="http://schemas.openxmlformats.org/drawingml/2006/picture">
                        <pic:nvPicPr>
                          <pic:cNvPr id="32" name="图片_4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33" name="图片_41"/>
                  <wp:cNvGraphicFramePr/>
                  <a:graphic xmlns:a="http://schemas.openxmlformats.org/drawingml/2006/main">
                    <a:graphicData uri="http://schemas.openxmlformats.org/drawingml/2006/picture">
                      <pic:pic xmlns:pic="http://schemas.openxmlformats.org/drawingml/2006/picture">
                        <pic:nvPicPr>
                          <pic:cNvPr id="33" name="图片_4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t>12200201068001</w:t>
            </w:r>
          </w:p>
        </w:tc>
        <w:tc>
          <w:tcPr>
            <w:tcW w:w="2211" w:type="dxa"/>
            <w:shd w:val="clear" w:color="auto" w:fill="auto"/>
            <w:vAlign w:val="center"/>
          </w:tcPr>
          <w:p w14:paraId="7D50B30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9525" cy="9525"/>
                  <wp:effectExtent l="0" t="0" r="0" b="0"/>
                  <wp:wrapNone/>
                  <wp:docPr id="34" name="图片_46"/>
                  <wp:cNvGraphicFramePr/>
                  <a:graphic xmlns:a="http://schemas.openxmlformats.org/drawingml/2006/main">
                    <a:graphicData uri="http://schemas.openxmlformats.org/drawingml/2006/picture">
                      <pic:pic xmlns:pic="http://schemas.openxmlformats.org/drawingml/2006/picture">
                        <pic:nvPicPr>
                          <pic:cNvPr id="34" name="图片_46"/>
                          <pic:cNvPicPr/>
                        </pic:nvPicPr>
                        <pic:blipFill>
                          <a:blip r:embed="rId12"/>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9525" cy="9525"/>
                  <wp:effectExtent l="0" t="0" r="0" b="0"/>
                  <wp:wrapNone/>
                  <wp:docPr id="35" name="图片_43"/>
                  <wp:cNvGraphicFramePr/>
                  <a:graphic xmlns:a="http://schemas.openxmlformats.org/drawingml/2006/main">
                    <a:graphicData uri="http://schemas.openxmlformats.org/drawingml/2006/picture">
                      <pic:pic xmlns:pic="http://schemas.openxmlformats.org/drawingml/2006/picture">
                        <pic:nvPicPr>
                          <pic:cNvPr id="35" name="图片_43"/>
                          <pic:cNvPicPr/>
                        </pic:nvPicPr>
                        <pic:blipFill>
                          <a:blip r:embed="rId12"/>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795" cy="9525"/>
                  <wp:effectExtent l="0" t="0" r="0" b="0"/>
                  <wp:wrapNone/>
                  <wp:docPr id="36" name="图片_42"/>
                  <wp:cNvGraphicFramePr/>
                  <a:graphic xmlns:a="http://schemas.openxmlformats.org/drawingml/2006/main">
                    <a:graphicData uri="http://schemas.openxmlformats.org/drawingml/2006/picture">
                      <pic:pic xmlns:pic="http://schemas.openxmlformats.org/drawingml/2006/picture">
                        <pic:nvPicPr>
                          <pic:cNvPr id="36" name="图片_42"/>
                          <pic:cNvPicPr/>
                        </pic:nvPicPr>
                        <pic:blipFill>
                          <a:blip r:embed="rId13"/>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9525" cy="9525"/>
                  <wp:effectExtent l="0" t="0" r="0" b="0"/>
                  <wp:wrapNone/>
                  <wp:docPr id="37" name="图片_40"/>
                  <wp:cNvGraphicFramePr/>
                  <a:graphic xmlns:a="http://schemas.openxmlformats.org/drawingml/2006/main">
                    <a:graphicData uri="http://schemas.openxmlformats.org/drawingml/2006/picture">
                      <pic:pic xmlns:pic="http://schemas.openxmlformats.org/drawingml/2006/picture">
                        <pic:nvPicPr>
                          <pic:cNvPr id="37" name="图片_40"/>
                          <pic:cNvPicPr/>
                        </pic:nvPicPr>
                        <pic:blipFill>
                          <a:blip r:embed="rId12"/>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795" cy="9525"/>
                  <wp:effectExtent l="0" t="0" r="0" b="0"/>
                  <wp:wrapNone/>
                  <wp:docPr id="38" name="图片_47"/>
                  <wp:cNvGraphicFramePr/>
                  <a:graphic xmlns:a="http://schemas.openxmlformats.org/drawingml/2006/main">
                    <a:graphicData uri="http://schemas.openxmlformats.org/drawingml/2006/picture">
                      <pic:pic xmlns:pic="http://schemas.openxmlformats.org/drawingml/2006/picture">
                        <pic:nvPicPr>
                          <pic:cNvPr id="38" name="图片_4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t>汽油切割锯空气滤芯</w:t>
            </w:r>
          </w:p>
        </w:tc>
        <w:tc>
          <w:tcPr>
            <w:tcW w:w="4535" w:type="dxa"/>
            <w:shd w:val="clear" w:color="auto" w:fill="auto"/>
            <w:vAlign w:val="center"/>
          </w:tcPr>
          <w:p w14:paraId="30521C6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372XP（用于Husqvarna油据）</w:t>
            </w:r>
          </w:p>
        </w:tc>
        <w:tc>
          <w:tcPr>
            <w:tcW w:w="680" w:type="dxa"/>
            <w:shd w:val="clear" w:color="auto" w:fill="auto"/>
            <w:vAlign w:val="center"/>
          </w:tcPr>
          <w:p w14:paraId="383B517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6E4E9B12">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r>
      <w:tr w14:paraId="7BE57E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58DBCB8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36</w:t>
            </w:r>
          </w:p>
        </w:tc>
        <w:tc>
          <w:tcPr>
            <w:tcW w:w="0" w:type="auto"/>
            <w:shd w:val="clear" w:color="auto" w:fill="auto"/>
            <w:vAlign w:val="center"/>
          </w:tcPr>
          <w:p w14:paraId="2A23147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12200201068002</w:t>
            </w:r>
          </w:p>
        </w:tc>
        <w:tc>
          <w:tcPr>
            <w:tcW w:w="2211" w:type="dxa"/>
            <w:shd w:val="clear" w:color="auto" w:fill="auto"/>
            <w:vAlign w:val="center"/>
          </w:tcPr>
          <w:p w14:paraId="325EDE0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汽油发电机空气滤芯</w:t>
            </w:r>
          </w:p>
        </w:tc>
        <w:tc>
          <w:tcPr>
            <w:tcW w:w="4535" w:type="dxa"/>
            <w:shd w:val="clear" w:color="auto" w:fill="auto"/>
            <w:vAlign w:val="center"/>
          </w:tcPr>
          <w:p w14:paraId="6CD66D1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14cm宽14cm厚2.5cm空滤海绵（用于雅马哈发电机）</w:t>
            </w:r>
          </w:p>
        </w:tc>
        <w:tc>
          <w:tcPr>
            <w:tcW w:w="680" w:type="dxa"/>
            <w:shd w:val="clear" w:color="auto" w:fill="auto"/>
            <w:vAlign w:val="center"/>
          </w:tcPr>
          <w:p w14:paraId="40F3C9A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334A0D36">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w:t>
            </w:r>
          </w:p>
        </w:tc>
      </w:tr>
      <w:tr w14:paraId="0B7118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0369452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37</w:t>
            </w:r>
          </w:p>
        </w:tc>
        <w:tc>
          <w:tcPr>
            <w:tcW w:w="0" w:type="auto"/>
            <w:shd w:val="clear" w:color="auto" w:fill="auto"/>
            <w:vAlign w:val="center"/>
          </w:tcPr>
          <w:p w14:paraId="1AF2162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12200201068003</w:t>
            </w:r>
          </w:p>
        </w:tc>
        <w:tc>
          <w:tcPr>
            <w:tcW w:w="2211" w:type="dxa"/>
            <w:shd w:val="clear" w:color="auto" w:fill="auto"/>
            <w:vAlign w:val="center"/>
          </w:tcPr>
          <w:p w14:paraId="339C4B7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6350" cy="6350"/>
                  <wp:effectExtent l="0" t="0" r="0" b="0"/>
                  <wp:wrapNone/>
                  <wp:docPr id="39" name="图片_118"/>
                  <wp:cNvGraphicFramePr/>
                  <a:graphic xmlns:a="http://schemas.openxmlformats.org/drawingml/2006/main">
                    <a:graphicData uri="http://schemas.openxmlformats.org/drawingml/2006/picture">
                      <pic:pic xmlns:pic="http://schemas.openxmlformats.org/drawingml/2006/picture">
                        <pic:nvPicPr>
                          <pic:cNvPr id="39" name="图片_118"/>
                          <pic:cNvPicPr/>
                        </pic:nvPicPr>
                        <pic:blipFill>
                          <a:blip r:embed="rId14"/>
                          <a:stretch>
                            <a:fillRect/>
                          </a:stretch>
                        </pic:blipFill>
                        <pic:spPr>
                          <a:xfrm>
                            <a:off x="0" y="0"/>
                            <a:ext cx="6350" cy="635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9525" cy="9525"/>
                  <wp:effectExtent l="0" t="0" r="0" b="0"/>
                  <wp:wrapNone/>
                  <wp:docPr id="40" name="图片_441"/>
                  <wp:cNvGraphicFramePr/>
                  <a:graphic xmlns:a="http://schemas.openxmlformats.org/drawingml/2006/main">
                    <a:graphicData uri="http://schemas.openxmlformats.org/drawingml/2006/picture">
                      <pic:pic xmlns:pic="http://schemas.openxmlformats.org/drawingml/2006/picture">
                        <pic:nvPicPr>
                          <pic:cNvPr id="40" name="图片_441"/>
                          <pic:cNvPicPr/>
                        </pic:nvPicPr>
                        <pic:blipFill>
                          <a:blip r:embed="rId12"/>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12700" cy="6350"/>
                  <wp:effectExtent l="0" t="0" r="0" b="0"/>
                  <wp:wrapNone/>
                  <wp:docPr id="41" name="图片_34"/>
                  <wp:cNvGraphicFramePr/>
                  <a:graphic xmlns:a="http://schemas.openxmlformats.org/drawingml/2006/main">
                    <a:graphicData uri="http://schemas.openxmlformats.org/drawingml/2006/picture">
                      <pic:pic xmlns:pic="http://schemas.openxmlformats.org/drawingml/2006/picture">
                        <pic:nvPicPr>
                          <pic:cNvPr id="41" name="图片_34"/>
                          <pic:cNvPicPr/>
                        </pic:nvPicPr>
                        <pic:blipFill>
                          <a:blip r:embed="rId15"/>
                          <a:stretch>
                            <a:fillRect/>
                          </a:stretch>
                        </pic:blipFill>
                        <pic:spPr>
                          <a:xfrm>
                            <a:off x="0" y="0"/>
                            <a:ext cx="12700" cy="635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10795" cy="9525"/>
                  <wp:effectExtent l="0" t="0" r="0" b="0"/>
                  <wp:wrapNone/>
                  <wp:docPr id="42" name="图片_438"/>
                  <wp:cNvGraphicFramePr/>
                  <a:graphic xmlns:a="http://schemas.openxmlformats.org/drawingml/2006/main">
                    <a:graphicData uri="http://schemas.openxmlformats.org/drawingml/2006/picture">
                      <pic:pic xmlns:pic="http://schemas.openxmlformats.org/drawingml/2006/picture">
                        <pic:nvPicPr>
                          <pic:cNvPr id="42" name="图片_43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10795" cy="9525"/>
                  <wp:effectExtent l="0" t="0" r="0" b="0"/>
                  <wp:wrapNone/>
                  <wp:docPr id="43" name="图片_442"/>
                  <wp:cNvGraphicFramePr/>
                  <a:graphic xmlns:a="http://schemas.openxmlformats.org/drawingml/2006/main">
                    <a:graphicData uri="http://schemas.openxmlformats.org/drawingml/2006/picture">
                      <pic:pic xmlns:pic="http://schemas.openxmlformats.org/drawingml/2006/picture">
                        <pic:nvPicPr>
                          <pic:cNvPr id="43" name="图片_442"/>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10795" cy="9525"/>
                  <wp:effectExtent l="0" t="0" r="0" b="0"/>
                  <wp:wrapNone/>
                  <wp:docPr id="44" name="Picture_1_SpCnt_16"/>
                  <wp:cNvGraphicFramePr/>
                  <a:graphic xmlns:a="http://schemas.openxmlformats.org/drawingml/2006/main">
                    <a:graphicData uri="http://schemas.openxmlformats.org/drawingml/2006/picture">
                      <pic:pic xmlns:pic="http://schemas.openxmlformats.org/drawingml/2006/picture">
                        <pic:nvPicPr>
                          <pic:cNvPr id="44" name="Picture_1_SpCnt_1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9525" cy="9525"/>
                  <wp:effectExtent l="0" t="0" r="0" b="0"/>
                  <wp:wrapNone/>
                  <wp:docPr id="45" name="图片_436"/>
                  <wp:cNvGraphicFramePr/>
                  <a:graphic xmlns:a="http://schemas.openxmlformats.org/drawingml/2006/main">
                    <a:graphicData uri="http://schemas.openxmlformats.org/drawingml/2006/picture">
                      <pic:pic xmlns:pic="http://schemas.openxmlformats.org/drawingml/2006/picture">
                        <pic:nvPicPr>
                          <pic:cNvPr id="45" name="图片_436"/>
                          <pic:cNvPicPr/>
                        </pic:nvPicPr>
                        <pic:blipFill>
                          <a:blip r:embed="rId12"/>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9525" cy="9525"/>
                  <wp:effectExtent l="0" t="0" r="0" b="0"/>
                  <wp:wrapNone/>
                  <wp:docPr id="46" name="Picture_1_SpCnt_17"/>
                  <wp:cNvGraphicFramePr/>
                  <a:graphic xmlns:a="http://schemas.openxmlformats.org/drawingml/2006/main">
                    <a:graphicData uri="http://schemas.openxmlformats.org/drawingml/2006/picture">
                      <pic:pic xmlns:pic="http://schemas.openxmlformats.org/drawingml/2006/picture">
                        <pic:nvPicPr>
                          <pic:cNvPr id="46" name="Picture_1_SpCnt_17"/>
                          <pic:cNvPicPr/>
                        </pic:nvPicPr>
                        <pic:blipFill>
                          <a:blip r:embed="rId12"/>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t>汽油发电机空气滤芯</w:t>
            </w:r>
          </w:p>
        </w:tc>
        <w:tc>
          <w:tcPr>
            <w:tcW w:w="4535" w:type="dxa"/>
            <w:shd w:val="clear" w:color="auto" w:fill="auto"/>
            <w:vAlign w:val="center"/>
          </w:tcPr>
          <w:p w14:paraId="629AE8E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15.5cm宽6.5cm厚3cm空滤海绵（用于本田发电机）</w:t>
            </w:r>
          </w:p>
        </w:tc>
        <w:tc>
          <w:tcPr>
            <w:tcW w:w="680" w:type="dxa"/>
            <w:shd w:val="clear" w:color="auto" w:fill="auto"/>
            <w:vAlign w:val="center"/>
          </w:tcPr>
          <w:p w14:paraId="4A97013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26A0FCCB">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w:t>
            </w:r>
          </w:p>
        </w:tc>
      </w:tr>
      <w:tr w14:paraId="3CDEA1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4632F56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38</w:t>
            </w:r>
          </w:p>
        </w:tc>
        <w:tc>
          <w:tcPr>
            <w:tcW w:w="0" w:type="auto"/>
            <w:shd w:val="clear" w:color="auto" w:fill="auto"/>
            <w:vAlign w:val="center"/>
          </w:tcPr>
          <w:p w14:paraId="34D9001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12900100000012</w:t>
            </w:r>
          </w:p>
        </w:tc>
        <w:tc>
          <w:tcPr>
            <w:tcW w:w="2211" w:type="dxa"/>
            <w:shd w:val="clear" w:color="auto" w:fill="auto"/>
            <w:vAlign w:val="center"/>
          </w:tcPr>
          <w:p w14:paraId="6C5956B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6350" cy="6350"/>
                  <wp:effectExtent l="0" t="0" r="0" b="0"/>
                  <wp:wrapNone/>
                  <wp:docPr id="47" name="图片_3552"/>
                  <wp:cNvGraphicFramePr/>
                  <a:graphic xmlns:a="http://schemas.openxmlformats.org/drawingml/2006/main">
                    <a:graphicData uri="http://schemas.openxmlformats.org/drawingml/2006/picture">
                      <pic:pic xmlns:pic="http://schemas.openxmlformats.org/drawingml/2006/picture">
                        <pic:nvPicPr>
                          <pic:cNvPr id="47" name="图片_3552"/>
                          <pic:cNvPicPr/>
                        </pic:nvPicPr>
                        <pic:blipFill>
                          <a:blip r:embed="rId16"/>
                          <a:stretch>
                            <a:fillRect/>
                          </a:stretch>
                        </pic:blipFill>
                        <pic:spPr>
                          <a:xfrm>
                            <a:off x="0" y="0"/>
                            <a:ext cx="6350" cy="635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10795" cy="9525"/>
                  <wp:effectExtent l="0" t="0" r="0" b="0"/>
                  <wp:wrapNone/>
                  <wp:docPr id="48" name="Picture_1_SpCnt_18"/>
                  <wp:cNvGraphicFramePr/>
                  <a:graphic xmlns:a="http://schemas.openxmlformats.org/drawingml/2006/main">
                    <a:graphicData uri="http://schemas.openxmlformats.org/drawingml/2006/picture">
                      <pic:pic xmlns:pic="http://schemas.openxmlformats.org/drawingml/2006/picture">
                        <pic:nvPicPr>
                          <pic:cNvPr id="48" name="Picture_1_SpCnt_1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10795" cy="9525"/>
                  <wp:effectExtent l="0" t="0" r="0" b="0"/>
                  <wp:wrapNone/>
                  <wp:docPr id="49" name="图片_3501"/>
                  <wp:cNvGraphicFramePr/>
                  <a:graphic xmlns:a="http://schemas.openxmlformats.org/drawingml/2006/main">
                    <a:graphicData uri="http://schemas.openxmlformats.org/drawingml/2006/picture">
                      <pic:pic xmlns:pic="http://schemas.openxmlformats.org/drawingml/2006/picture">
                        <pic:nvPicPr>
                          <pic:cNvPr id="49" name="图片_350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6985" cy="6350"/>
                  <wp:effectExtent l="0" t="0" r="0" b="0"/>
                  <wp:wrapNone/>
                  <wp:docPr id="50" name="图片_3553"/>
                  <wp:cNvGraphicFramePr/>
                  <a:graphic xmlns:a="http://schemas.openxmlformats.org/drawingml/2006/main">
                    <a:graphicData uri="http://schemas.openxmlformats.org/drawingml/2006/picture">
                      <pic:pic xmlns:pic="http://schemas.openxmlformats.org/drawingml/2006/picture">
                        <pic:nvPicPr>
                          <pic:cNvPr id="50" name="图片_3553"/>
                          <pic:cNvPicPr/>
                        </pic:nvPicPr>
                        <pic:blipFill>
                          <a:blip r:embed="rId16"/>
                          <a:stretch>
                            <a:fillRect/>
                          </a:stretch>
                        </pic:blipFill>
                        <pic:spPr>
                          <a:xfrm>
                            <a:off x="0" y="0"/>
                            <a:ext cx="6985" cy="635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525" cy="9525"/>
                  <wp:effectExtent l="0" t="0" r="0" b="0"/>
                  <wp:wrapNone/>
                  <wp:docPr id="51" name="图片_3135"/>
                  <wp:cNvGraphicFramePr/>
                  <a:graphic xmlns:a="http://schemas.openxmlformats.org/drawingml/2006/main">
                    <a:graphicData uri="http://schemas.openxmlformats.org/drawingml/2006/picture">
                      <pic:pic xmlns:pic="http://schemas.openxmlformats.org/drawingml/2006/picture">
                        <pic:nvPicPr>
                          <pic:cNvPr id="51" name="图片_3135"/>
                          <pic:cNvPicPr/>
                        </pic:nvPicPr>
                        <pic:blipFill>
                          <a:blip r:embed="rId12"/>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525" cy="9525"/>
                  <wp:effectExtent l="0" t="0" r="0" b="0"/>
                  <wp:wrapNone/>
                  <wp:docPr id="52" name="Picture_1_SpCnt_19"/>
                  <wp:cNvGraphicFramePr/>
                  <a:graphic xmlns:a="http://schemas.openxmlformats.org/drawingml/2006/main">
                    <a:graphicData uri="http://schemas.openxmlformats.org/drawingml/2006/picture">
                      <pic:pic xmlns:pic="http://schemas.openxmlformats.org/drawingml/2006/picture">
                        <pic:nvPicPr>
                          <pic:cNvPr id="52" name="Picture_1_SpCnt_19"/>
                          <pic:cNvPicPr/>
                        </pic:nvPicPr>
                        <pic:blipFill>
                          <a:blip r:embed="rId12"/>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10795" cy="9525"/>
                  <wp:effectExtent l="0" t="0" r="0" b="0"/>
                  <wp:wrapNone/>
                  <wp:docPr id="53" name="图片_3137"/>
                  <wp:cNvGraphicFramePr/>
                  <a:graphic xmlns:a="http://schemas.openxmlformats.org/drawingml/2006/main">
                    <a:graphicData uri="http://schemas.openxmlformats.org/drawingml/2006/picture">
                      <pic:pic xmlns:pic="http://schemas.openxmlformats.org/drawingml/2006/picture">
                        <pic:nvPicPr>
                          <pic:cNvPr id="53" name="图片_313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525" cy="9525"/>
                  <wp:effectExtent l="0" t="0" r="0" b="0"/>
                  <wp:wrapNone/>
                  <wp:docPr id="54" name="图片_3500"/>
                  <wp:cNvGraphicFramePr/>
                  <a:graphic xmlns:a="http://schemas.openxmlformats.org/drawingml/2006/main">
                    <a:graphicData uri="http://schemas.openxmlformats.org/drawingml/2006/picture">
                      <pic:pic xmlns:pic="http://schemas.openxmlformats.org/drawingml/2006/picture">
                        <pic:nvPicPr>
                          <pic:cNvPr id="54" name="图片_3500"/>
                          <pic:cNvPicPr/>
                        </pic:nvPicPr>
                        <pic:blipFill>
                          <a:blip r:embed="rId12"/>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t>汽油发电机火花塞</w:t>
            </w:r>
          </w:p>
        </w:tc>
        <w:tc>
          <w:tcPr>
            <w:tcW w:w="4535" w:type="dxa"/>
            <w:shd w:val="clear" w:color="auto" w:fill="auto"/>
            <w:vAlign w:val="center"/>
          </w:tcPr>
          <w:p w14:paraId="2061355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BPR6ES（用于本田发电机，总长度8cm，安装长度2.2cm）</w:t>
            </w:r>
          </w:p>
        </w:tc>
        <w:tc>
          <w:tcPr>
            <w:tcW w:w="680" w:type="dxa"/>
            <w:shd w:val="clear" w:color="auto" w:fill="auto"/>
            <w:vAlign w:val="center"/>
          </w:tcPr>
          <w:p w14:paraId="292D085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39A53F4B">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w:t>
            </w:r>
          </w:p>
        </w:tc>
      </w:tr>
      <w:tr w14:paraId="551F25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5563E2D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39</w:t>
            </w:r>
          </w:p>
        </w:tc>
        <w:tc>
          <w:tcPr>
            <w:tcW w:w="0" w:type="auto"/>
            <w:shd w:val="clear" w:color="auto" w:fill="auto"/>
            <w:vAlign w:val="center"/>
          </w:tcPr>
          <w:p w14:paraId="68942DD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12900100000013</w:t>
            </w:r>
          </w:p>
        </w:tc>
        <w:tc>
          <w:tcPr>
            <w:tcW w:w="2211" w:type="dxa"/>
            <w:shd w:val="clear" w:color="auto" w:fill="auto"/>
            <w:vAlign w:val="center"/>
          </w:tcPr>
          <w:p w14:paraId="4C97872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汽油发电机火花塞</w:t>
            </w:r>
          </w:p>
        </w:tc>
        <w:tc>
          <w:tcPr>
            <w:tcW w:w="4535" w:type="dxa"/>
            <w:shd w:val="clear" w:color="auto" w:fill="auto"/>
            <w:vAlign w:val="center"/>
          </w:tcPr>
          <w:p w14:paraId="2924E36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BPR4ES（用于雅马哈发电机，总长度8cm，安装长度2.2cm）</w:t>
            </w:r>
          </w:p>
        </w:tc>
        <w:tc>
          <w:tcPr>
            <w:tcW w:w="680" w:type="dxa"/>
            <w:shd w:val="clear" w:color="auto" w:fill="auto"/>
            <w:vAlign w:val="center"/>
          </w:tcPr>
          <w:p w14:paraId="3C0B14D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5186DEB4">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r>
      <w:tr w14:paraId="580C9F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133B7A8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w:t>
            </w:r>
          </w:p>
        </w:tc>
        <w:tc>
          <w:tcPr>
            <w:tcW w:w="0" w:type="auto"/>
            <w:shd w:val="clear" w:color="auto" w:fill="auto"/>
            <w:vAlign w:val="center"/>
          </w:tcPr>
          <w:p w14:paraId="00B77AF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12900100000047</w:t>
            </w:r>
          </w:p>
        </w:tc>
        <w:tc>
          <w:tcPr>
            <w:tcW w:w="2211" w:type="dxa"/>
            <w:shd w:val="clear" w:color="auto" w:fill="auto"/>
            <w:vAlign w:val="center"/>
          </w:tcPr>
          <w:p w14:paraId="687EE92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汽油切割据火花塞</w:t>
            </w:r>
          </w:p>
        </w:tc>
        <w:tc>
          <w:tcPr>
            <w:tcW w:w="4535" w:type="dxa"/>
            <w:shd w:val="clear" w:color="auto" w:fill="auto"/>
            <w:vAlign w:val="center"/>
          </w:tcPr>
          <w:p w14:paraId="54B8703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BPMR7A（用于汽油切割锯，总长度5.2cm，安装长度1.2cm）</w:t>
            </w:r>
          </w:p>
        </w:tc>
        <w:tc>
          <w:tcPr>
            <w:tcW w:w="680" w:type="dxa"/>
            <w:shd w:val="clear" w:color="auto" w:fill="auto"/>
            <w:vAlign w:val="center"/>
          </w:tcPr>
          <w:p w14:paraId="509FC68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0329BF83">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r>
      <w:tr w14:paraId="737D61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75BDCA9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41</w:t>
            </w:r>
          </w:p>
        </w:tc>
        <w:tc>
          <w:tcPr>
            <w:tcW w:w="0" w:type="auto"/>
            <w:shd w:val="clear" w:color="auto" w:fill="auto"/>
            <w:vAlign w:val="center"/>
          </w:tcPr>
          <w:p w14:paraId="4B9B9A1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12900100008001</w:t>
            </w:r>
          </w:p>
        </w:tc>
        <w:tc>
          <w:tcPr>
            <w:tcW w:w="2211" w:type="dxa"/>
            <w:shd w:val="clear" w:color="auto" w:fill="auto"/>
            <w:vAlign w:val="center"/>
          </w:tcPr>
          <w:p w14:paraId="7F8EE65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汽油泵火花塞</w:t>
            </w:r>
          </w:p>
        </w:tc>
        <w:tc>
          <w:tcPr>
            <w:tcW w:w="4535" w:type="dxa"/>
            <w:shd w:val="clear" w:color="auto" w:fill="auto"/>
            <w:vAlign w:val="center"/>
          </w:tcPr>
          <w:p w14:paraId="637D63B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QC12YC（用于荷马特汽油泵，总长度7.5cm，安装长度2.5cm）</w:t>
            </w:r>
          </w:p>
        </w:tc>
        <w:tc>
          <w:tcPr>
            <w:tcW w:w="680" w:type="dxa"/>
            <w:shd w:val="clear" w:color="auto" w:fill="auto"/>
            <w:vAlign w:val="center"/>
          </w:tcPr>
          <w:p w14:paraId="7EEA45A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2C1C17F3">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w:t>
            </w:r>
          </w:p>
        </w:tc>
      </w:tr>
      <w:tr w14:paraId="7EE33E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1260B6B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42</w:t>
            </w:r>
          </w:p>
        </w:tc>
        <w:tc>
          <w:tcPr>
            <w:tcW w:w="0" w:type="auto"/>
            <w:shd w:val="clear" w:color="auto" w:fill="auto"/>
            <w:vAlign w:val="center"/>
          </w:tcPr>
          <w:p w14:paraId="1917963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12900100008002</w:t>
            </w:r>
          </w:p>
        </w:tc>
        <w:tc>
          <w:tcPr>
            <w:tcW w:w="2211" w:type="dxa"/>
            <w:shd w:val="clear" w:color="auto" w:fill="auto"/>
            <w:vAlign w:val="center"/>
          </w:tcPr>
          <w:p w14:paraId="712D51F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汽油泵空气滤芯</w:t>
            </w:r>
          </w:p>
        </w:tc>
        <w:tc>
          <w:tcPr>
            <w:tcW w:w="4535" w:type="dxa"/>
            <w:shd w:val="clear" w:color="auto" w:fill="auto"/>
            <w:vAlign w:val="center"/>
          </w:tcPr>
          <w:p w14:paraId="3337938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AFZE18（用于荷马特汽油泵，长10cm宽7.5cm厚6.5cm椭圆形</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外围海绵，铝制固定框架，中心有0.5cm固定螺栓安装孔）</w:t>
            </w:r>
          </w:p>
        </w:tc>
        <w:tc>
          <w:tcPr>
            <w:tcW w:w="680" w:type="dxa"/>
            <w:shd w:val="clear" w:color="auto" w:fill="auto"/>
            <w:vAlign w:val="center"/>
          </w:tcPr>
          <w:p w14:paraId="2CF05C3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907" w:type="dxa"/>
            <w:shd w:val="clear" w:color="auto" w:fill="auto"/>
            <w:vAlign w:val="center"/>
          </w:tcPr>
          <w:p w14:paraId="710FE1A2">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r>
      <w:tr w14:paraId="7C31D0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0" w:type="auto"/>
            <w:shd w:val="clear" w:color="auto" w:fill="auto"/>
            <w:vAlign w:val="center"/>
          </w:tcPr>
          <w:p w14:paraId="494E214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43</w:t>
            </w:r>
          </w:p>
        </w:tc>
        <w:tc>
          <w:tcPr>
            <w:tcW w:w="0" w:type="auto"/>
            <w:shd w:val="clear" w:color="auto" w:fill="auto"/>
            <w:vAlign w:val="center"/>
          </w:tcPr>
          <w:p w14:paraId="4185C06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9525" cy="9525"/>
                  <wp:effectExtent l="0" t="0" r="0" b="0"/>
                  <wp:wrapNone/>
                  <wp:docPr id="55" name="Picture_1_SpCnt_20"/>
                  <wp:cNvGraphicFramePr/>
                  <a:graphic xmlns:a="http://schemas.openxmlformats.org/drawingml/2006/main">
                    <a:graphicData uri="http://schemas.openxmlformats.org/drawingml/2006/picture">
                      <pic:pic xmlns:pic="http://schemas.openxmlformats.org/drawingml/2006/picture">
                        <pic:nvPicPr>
                          <pic:cNvPr id="55" name="Picture_1_SpCnt_2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t>63020101008002</w:t>
            </w:r>
          </w:p>
        </w:tc>
        <w:tc>
          <w:tcPr>
            <w:tcW w:w="2211" w:type="dxa"/>
            <w:shd w:val="clear" w:color="auto" w:fill="auto"/>
            <w:vAlign w:val="center"/>
          </w:tcPr>
          <w:p w14:paraId="706C4F6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10795" cy="9525"/>
                  <wp:effectExtent l="0" t="0" r="0" b="0"/>
                  <wp:wrapNone/>
                  <wp:docPr id="56" name="Picture_1_SpCnt_21"/>
                  <wp:cNvGraphicFramePr/>
                  <a:graphic xmlns:a="http://schemas.openxmlformats.org/drawingml/2006/main">
                    <a:graphicData uri="http://schemas.openxmlformats.org/drawingml/2006/picture">
                      <pic:pic xmlns:pic="http://schemas.openxmlformats.org/drawingml/2006/picture">
                        <pic:nvPicPr>
                          <pic:cNvPr id="56" name="Picture_1_SpCnt_2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9525" cy="9525"/>
                  <wp:effectExtent l="0" t="0" r="0" b="0"/>
                  <wp:wrapNone/>
                  <wp:docPr id="57" name="Picture_1_SpCnt_22"/>
                  <wp:cNvGraphicFramePr/>
                  <a:graphic xmlns:a="http://schemas.openxmlformats.org/drawingml/2006/main">
                    <a:graphicData uri="http://schemas.openxmlformats.org/drawingml/2006/picture">
                      <pic:pic xmlns:pic="http://schemas.openxmlformats.org/drawingml/2006/picture">
                        <pic:nvPicPr>
                          <pic:cNvPr id="57" name="Picture_1_SpCnt_22"/>
                          <pic:cNvPicPr/>
                        </pic:nvPicPr>
                        <pic:blipFill>
                          <a:blip r:embed="rId12"/>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t>齿轮箱钢丝</w:t>
            </w:r>
          </w:p>
        </w:tc>
        <w:tc>
          <w:tcPr>
            <w:tcW w:w="4535" w:type="dxa"/>
            <w:shd w:val="clear" w:color="auto" w:fill="auto"/>
            <w:vAlign w:val="center"/>
          </w:tcPr>
          <w:p w14:paraId="2CB8E1E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GB/T4240 TA-1.2 302HQ</w:t>
            </w:r>
          </w:p>
        </w:tc>
        <w:tc>
          <w:tcPr>
            <w:tcW w:w="680" w:type="dxa"/>
            <w:shd w:val="clear" w:color="auto" w:fill="auto"/>
            <w:vAlign w:val="center"/>
          </w:tcPr>
          <w:p w14:paraId="4DC04F0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公斤</w:t>
            </w:r>
          </w:p>
        </w:tc>
        <w:tc>
          <w:tcPr>
            <w:tcW w:w="907" w:type="dxa"/>
            <w:shd w:val="clear" w:color="auto" w:fill="auto"/>
            <w:vAlign w:val="center"/>
          </w:tcPr>
          <w:p w14:paraId="1C622128">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60</w:t>
            </w:r>
          </w:p>
        </w:tc>
      </w:tr>
      <w:tr w14:paraId="09614A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57" w:hRule="atLeast"/>
          <w:jc w:val="center"/>
        </w:trPr>
        <w:tc>
          <w:tcPr>
            <w:tcW w:w="10827" w:type="dxa"/>
            <w:gridSpan w:val="6"/>
            <w:shd w:val="clear" w:color="auto" w:fill="auto"/>
            <w:vAlign w:val="center"/>
          </w:tcPr>
          <w:p w14:paraId="6B9EB3E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备注：</w:t>
            </w:r>
          </w:p>
          <w:p w14:paraId="4F9B663B">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此为三年期框架协议，未税单价3年保持不变，实际采购数量根据我方生产需要调整；</w:t>
            </w:r>
          </w:p>
          <w:p w14:paraId="2FA457FC">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报价时综合考虑运费，送货地点详见第5.2条；</w:t>
            </w:r>
          </w:p>
          <w:p w14:paraId="0D0BF26D">
            <w:pPr>
              <w:keepNext w:val="0"/>
              <w:keepLines w:val="0"/>
              <w:pageBreakBefore w:val="0"/>
              <w:widowControl/>
              <w:numPr>
                <w:ilvl w:val="0"/>
                <w:numId w:val="2"/>
              </w:numPr>
              <w:suppressLineNumbers w:val="0"/>
              <w:kinsoku/>
              <w:wordWrap/>
              <w:overflowPunct/>
              <w:topLinePunct w:val="0"/>
              <w:autoSpaceDE/>
              <w:autoSpaceDN/>
              <w:bidi w:val="0"/>
              <w:adjustRightInd/>
              <w:snapToGrid/>
              <w:ind w:left="0" w:leftChars="0" w:firstLine="0" w:firstLineChars="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p>
        </w:tc>
      </w:tr>
    </w:tbl>
    <w:p w14:paraId="34426A36">
      <w:pPr>
        <w:pStyle w:val="16"/>
        <w:spacing w:before="0" w:beforeAutospacing="0" w:after="0" w:afterAutospacing="0" w:line="360" w:lineRule="auto"/>
        <w:ind w:left="420" w:hanging="420" w:hangingChars="175"/>
        <w:rPr>
          <w:rFonts w:ascii="Times New Roman" w:hAnsi="Times New Roman" w:cs="Times New Roman"/>
          <w:color w:val="auto"/>
          <w:highlight w:val="none"/>
        </w:rPr>
      </w:pPr>
    </w:p>
    <w:p w14:paraId="474FE4AC">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 质量要求</w:t>
      </w:r>
    </w:p>
    <w:p w14:paraId="5F0475E5">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3.1</w:t>
      </w:r>
      <w:r>
        <w:rPr>
          <w:rFonts w:ascii="Times New Roman" w:hAns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产品必须是</w:t>
      </w:r>
      <w:r>
        <w:rPr>
          <w:rFonts w:hint="eastAsia" w:ascii="Times New Roman" w:cs="Times New Roman"/>
          <w:color w:val="auto"/>
          <w:highlight w:val="none"/>
        </w:rPr>
        <w:t>原厂生产</w:t>
      </w:r>
      <w:r>
        <w:rPr>
          <w:rFonts w:ascii="Times New Roman" w:cs="Times New Roman"/>
          <w:color w:val="auto"/>
          <w:highlight w:val="none"/>
        </w:rPr>
        <w:t>全新货品。</w:t>
      </w:r>
    </w:p>
    <w:p w14:paraId="492BC31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3.2</w:t>
      </w:r>
      <w:r>
        <w:rPr>
          <w:rFonts w:asci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w:t>
      </w:r>
      <w:r>
        <w:rPr>
          <w:rFonts w:hint="eastAsia" w:ascii="Times New Roman" w:cs="Times New Roman"/>
          <w:color w:val="auto"/>
          <w:highlight w:val="none"/>
        </w:rPr>
        <w:t>必须符合标准。</w:t>
      </w:r>
    </w:p>
    <w:p w14:paraId="2EE8D8B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4 质保要求</w:t>
      </w:r>
    </w:p>
    <w:p w14:paraId="35CFED7B">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 xml:space="preserve">.1 </w:t>
      </w:r>
      <w:r>
        <w:rPr>
          <w:rFonts w:hint="eastAsia"/>
          <w:color w:val="auto"/>
          <w:sz w:val="24"/>
          <w:szCs w:val="24"/>
          <w:highlight w:val="none"/>
        </w:rPr>
        <w:t>自货物验收合格之日起（从次日起算）不少于</w:t>
      </w:r>
      <w:r>
        <w:rPr>
          <w:color w:val="auto"/>
          <w:sz w:val="24"/>
          <w:szCs w:val="24"/>
          <w:highlight w:val="none"/>
        </w:rPr>
        <w:t>12</w:t>
      </w:r>
      <w:r>
        <w:rPr>
          <w:rFonts w:hint="eastAsia"/>
          <w:color w:val="auto"/>
          <w:sz w:val="24"/>
          <w:szCs w:val="24"/>
          <w:highlight w:val="none"/>
        </w:rPr>
        <w:t>个月（货物依法标注有效期的，其有效期不得少于质保期；国家有期限规定的，从其规定）为质保期。</w:t>
      </w:r>
    </w:p>
    <w:p w14:paraId="04D65636">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.2 在质保期内正常使用中买方如发现卖方产品有质量问题，卖方在接到买方通知后应及时予以调换或修理。</w:t>
      </w:r>
    </w:p>
    <w:p w14:paraId="2DB616E2">
      <w:pPr>
        <w:pStyle w:val="59"/>
        <w:snapToGrid w:val="0"/>
        <w:spacing w:line="360" w:lineRule="auto"/>
        <w:ind w:left="432" w:hanging="432" w:hangingChars="180"/>
        <w:rPr>
          <w:color w:val="auto"/>
          <w:highlight w:val="none"/>
        </w:rPr>
      </w:pPr>
      <w:r>
        <w:rPr>
          <w:rFonts w:hint="eastAsia" w:hAnsi="宋体"/>
          <w:color w:val="auto"/>
          <w:sz w:val="24"/>
          <w:szCs w:val="24"/>
          <w:highlight w:val="none"/>
        </w:rPr>
        <w:t>4</w:t>
      </w:r>
      <w:r>
        <w:rPr>
          <w:rFonts w:hAnsi="宋体"/>
          <w:color w:val="auto"/>
          <w:sz w:val="24"/>
          <w:szCs w:val="24"/>
          <w:highlight w:val="none"/>
        </w:rPr>
        <w:t>.3 对于买方的投诉，卖方必须在</w:t>
      </w:r>
      <w:r>
        <w:rPr>
          <w:color w:val="auto"/>
          <w:sz w:val="24"/>
          <w:szCs w:val="24"/>
          <w:highlight w:val="none"/>
        </w:rPr>
        <w:t>1</w:t>
      </w:r>
      <w:r>
        <w:rPr>
          <w:rFonts w:hAnsi="宋体"/>
          <w:color w:val="auto"/>
          <w:sz w:val="24"/>
          <w:szCs w:val="24"/>
          <w:highlight w:val="none"/>
        </w:rPr>
        <w:t>小时内给予满意答复，若不能用传真及电话沟通解决，而该产品又在运营使用之中，卖方应派员在</w:t>
      </w:r>
      <w:r>
        <w:rPr>
          <w:color w:val="auto"/>
          <w:sz w:val="24"/>
          <w:szCs w:val="24"/>
          <w:highlight w:val="none"/>
        </w:rPr>
        <w:t>48</w:t>
      </w:r>
      <w:r>
        <w:rPr>
          <w:rFonts w:hAnsi="宋体"/>
          <w:color w:val="auto"/>
          <w:sz w:val="24"/>
          <w:szCs w:val="24"/>
          <w:highlight w:val="none"/>
        </w:rPr>
        <w:t>小时之内到货物使用现场给予解决，在质保期内由此产生的一切费用由卖方承担。</w:t>
      </w:r>
    </w:p>
    <w:p w14:paraId="3D98979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交货要求</w:t>
      </w:r>
    </w:p>
    <w:p w14:paraId="21FC84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.1 </w:t>
      </w:r>
      <w:r>
        <w:rPr>
          <w:rFonts w:hint="eastAsia" w:ascii="Times New Roman" w:hAnsi="Times New Roman" w:cs="Times New Roman"/>
          <w:color w:val="auto"/>
          <w:highlight w:val="none"/>
        </w:rPr>
        <w:t>交货时间：</w:t>
      </w:r>
      <w:r>
        <w:rPr>
          <w:rFonts w:hint="eastAsia" w:ascii="Times New Roman" w:cs="Times New Roman"/>
          <w:color w:val="auto"/>
          <w:highlight w:val="none"/>
        </w:rPr>
        <w:t>按照合同</w:t>
      </w:r>
      <w:r>
        <w:rPr>
          <w:rFonts w:ascii="Times New Roman" w:cs="Times New Roman"/>
          <w:color w:val="auto"/>
          <w:highlight w:val="none"/>
        </w:rPr>
        <w:t>要求供货。</w:t>
      </w:r>
    </w:p>
    <w:p w14:paraId="6F77CE60">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交货地点</w:t>
      </w:r>
      <w:r>
        <w:rPr>
          <w:rFonts w:ascii="Times New Roman" w:hAnsi="Times New Roman" w:cs="Times New Roman"/>
          <w:color w:val="auto"/>
          <w:highlight w:val="none"/>
        </w:rPr>
        <w:t>：</w:t>
      </w:r>
      <w:r>
        <w:rPr>
          <w:rFonts w:hint="eastAsia" w:ascii="Times New Roman" w:hAnsi="Times New Roman" w:cs="Times New Roman"/>
          <w:color w:val="auto"/>
          <w:highlight w:val="none"/>
        </w:rPr>
        <w:t>安徽省滁州市来安县水口镇新河村范庄组100号相官车辆段物资总库。</w:t>
      </w:r>
    </w:p>
    <w:p w14:paraId="62352F2F">
      <w:pPr>
        <w:pStyle w:val="16"/>
        <w:spacing w:before="0" w:beforeAutospacing="0" w:after="0" w:afterAutospacing="0" w:line="240" w:lineRule="auto"/>
        <w:ind w:left="0" w:firstLine="0" w:firstLineChars="0"/>
        <w:jc w:val="center"/>
        <w:rPr>
          <w:rFonts w:ascii="Times New Roman" w:hAnsi="Times New Roman" w:cs="Times New Roman"/>
          <w:color w:val="auto"/>
          <w:highlight w:val="none"/>
        </w:rPr>
      </w:pPr>
    </w:p>
    <w:p w14:paraId="2D601716">
      <w:pPr>
        <w:pStyle w:val="17"/>
        <w:spacing w:before="0" w:after="100" w:afterAutospacing="1" w:line="360" w:lineRule="auto"/>
        <w:ind w:left="567" w:hanging="567"/>
        <w:rPr>
          <w:color w:val="auto"/>
          <w:highlight w:val="none"/>
        </w:rPr>
      </w:pPr>
      <w:r>
        <w:rPr>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numPr>
          <w:ilvl w:val="0"/>
          <w:numId w:val="3"/>
        </w:numPr>
        <w:spacing w:before="0" w:beforeAutospacing="0" w:after="0" w:afterAutospacing="0" w:line="360" w:lineRule="auto"/>
        <w:ind w:left="420" w:leftChars="200" w:firstLine="79" w:firstLineChars="33"/>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drawing>
                <wp:anchor distT="0" distB="0" distL="114300" distR="114300" simplePos="0" relativeHeight="251659264" behindDoc="0" locked="0" layoutInCell="1" allowOverlap="1">
                  <wp:simplePos x="0" y="0"/>
                  <wp:positionH relativeFrom="column">
                    <wp:posOffset>1905</wp:posOffset>
                  </wp:positionH>
                  <wp:positionV relativeFrom="paragraph">
                    <wp:posOffset>0</wp:posOffset>
                  </wp:positionV>
                  <wp:extent cx="2172335" cy="480060"/>
                  <wp:effectExtent l="0" t="0" r="12065" b="2540"/>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17"/>
                          <a:stretch>
                            <a:fillRect/>
                          </a:stretch>
                        </pic:blipFill>
                        <pic:spPr>
                          <a:xfrm>
                            <a:off x="0" y="0"/>
                            <a:ext cx="2172335" cy="480060"/>
                          </a:xfrm>
                          <a:prstGeom prst="rect">
                            <a:avLst/>
                          </a:prstGeom>
                          <a:noFill/>
                          <a:ln>
                            <a:noFill/>
                          </a:ln>
                        </pic:spPr>
                      </pic:pic>
                    </a:graphicData>
                  </a:graphic>
                </wp:anchor>
              </w:drawing>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CNCJ-XJ-20250</w:t>
            </w:r>
            <w:r>
              <w:rPr>
                <w:rFonts w:hint="eastAsia"/>
                <w:color w:val="auto"/>
                <w:sz w:val="22"/>
                <w:szCs w:val="22"/>
                <w:highlight w:val="none"/>
                <w:lang w:val="en-US" w:eastAsia="zh-CN"/>
              </w:rPr>
              <w:t>9</w:t>
            </w:r>
            <w:r>
              <w:rPr>
                <w:rFonts w:hint="eastAsia"/>
                <w:color w:val="auto"/>
                <w:sz w:val="22"/>
                <w:szCs w:val="22"/>
                <w:highlight w:val="none"/>
                <w:lang w:eastAsia="zh-CN"/>
              </w:rPr>
              <w:t>-000</w:t>
            </w:r>
            <w:r>
              <w:rPr>
                <w:rFonts w:hint="eastAsia"/>
                <w:color w:val="auto"/>
                <w:sz w:val="22"/>
                <w:szCs w:val="22"/>
                <w:highlight w:val="none"/>
                <w:lang w:val="en-US" w:eastAsia="zh-CN"/>
              </w:rPr>
              <w:t>3</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日期：2</w:t>
            </w:r>
            <w:r>
              <w:rPr>
                <w:rFonts w:ascii="宋体" w:hAnsi="宋体" w:cs="宋体"/>
                <w:color w:val="auto"/>
                <w:kern w:val="0"/>
                <w:sz w:val="20"/>
                <w:highlight w:val="none"/>
                <w:lang w:bidi="ar"/>
              </w:rPr>
              <w:t>02</w:t>
            </w:r>
            <w:r>
              <w:rPr>
                <w:rFonts w:hint="eastAsia" w:ascii="宋体" w:hAnsi="宋体" w:cs="宋体"/>
                <w:color w:val="auto"/>
                <w:kern w:val="0"/>
                <w:sz w:val="20"/>
                <w:highlight w:val="none"/>
                <w:lang w:val="en-US" w:eastAsia="zh-CN" w:bidi="ar"/>
              </w:rPr>
              <w:t>5</w:t>
            </w:r>
            <w:r>
              <w:rPr>
                <w:rFonts w:hint="eastAsia" w:ascii="宋体" w:hAnsi="宋体" w:cs="宋体"/>
                <w:color w:val="auto"/>
                <w:kern w:val="0"/>
                <w:sz w:val="20"/>
                <w:highlight w:val="none"/>
                <w:lang w:bidi="ar"/>
              </w:rPr>
              <w:t>年</w:t>
            </w:r>
            <w:r>
              <w:rPr>
                <w:rFonts w:hint="eastAsia" w:ascii="宋体" w:hAnsi="宋体" w:cs="宋体"/>
                <w:color w:val="auto"/>
                <w:kern w:val="0"/>
                <w:sz w:val="20"/>
                <w:highlight w:val="none"/>
                <w:lang w:val="en-US" w:eastAsia="zh-CN" w:bidi="ar"/>
              </w:rPr>
              <w:t>10</w:t>
            </w:r>
            <w:r>
              <w:rPr>
                <w:rFonts w:hint="eastAsia" w:ascii="宋体" w:hAnsi="宋体" w:cs="宋体"/>
                <w:color w:val="auto"/>
                <w:kern w:val="0"/>
                <w:sz w:val="20"/>
                <w:highlight w:val="none"/>
                <w:lang w:bidi="ar"/>
              </w:rPr>
              <w:t>月</w:t>
            </w:r>
            <w:r>
              <w:rPr>
                <w:rFonts w:hint="eastAsia" w:ascii="宋体" w:hAnsi="宋体" w:cs="宋体"/>
                <w:color w:val="auto"/>
                <w:kern w:val="0"/>
                <w:sz w:val="20"/>
                <w:highlight w:val="none"/>
                <w:lang w:val="en-US" w:eastAsia="zh-CN" w:bidi="ar"/>
              </w:rPr>
              <w:t>13</w:t>
            </w:r>
            <w:r>
              <w:rPr>
                <w:rFonts w:hint="eastAsia" w:ascii="宋体" w:hAnsi="宋体" w:cs="宋体"/>
                <w:color w:val="auto"/>
                <w:kern w:val="0"/>
                <w:sz w:val="20"/>
                <w:highlight w:val="none"/>
                <w:lang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default"/>
                <w:color w:val="auto"/>
                <w:highlight w:val="none"/>
                <w:lang w:bidi="ar"/>
              </w:rPr>
              <w:t>202</w:t>
            </w:r>
            <w:r>
              <w:rPr>
                <w:rStyle w:val="79"/>
                <w:rFonts w:hint="eastAsia"/>
                <w:color w:val="auto"/>
                <w:highlight w:val="none"/>
                <w:lang w:val="en-US" w:eastAsia="zh-CN" w:bidi="ar"/>
              </w:rPr>
              <w:t>5</w:t>
            </w:r>
            <w:r>
              <w:rPr>
                <w:rStyle w:val="75"/>
                <w:rFonts w:hint="default"/>
                <w:color w:val="auto"/>
                <w:highlight w:val="none"/>
                <w:lang w:bidi="ar"/>
              </w:rPr>
              <w:t>年</w:t>
            </w:r>
            <w:r>
              <w:rPr>
                <w:rStyle w:val="79"/>
                <w:rFonts w:hint="eastAsia"/>
                <w:color w:val="auto"/>
                <w:highlight w:val="none"/>
                <w:lang w:val="en-US" w:eastAsia="zh-CN" w:bidi="ar"/>
              </w:rPr>
              <w:t>10</w:t>
            </w:r>
            <w:r>
              <w:rPr>
                <w:rStyle w:val="75"/>
                <w:rFonts w:hint="default"/>
                <w:color w:val="auto"/>
                <w:highlight w:val="none"/>
                <w:lang w:bidi="ar"/>
              </w:rPr>
              <w:t>月</w:t>
            </w:r>
            <w:r>
              <w:rPr>
                <w:rStyle w:val="79"/>
                <w:rFonts w:hint="eastAsia"/>
                <w:color w:val="auto"/>
                <w:highlight w:val="none"/>
                <w:lang w:val="en-US" w:eastAsia="zh-CN" w:bidi="ar"/>
              </w:rPr>
              <w:t>24</w:t>
            </w:r>
            <w:r>
              <w:rPr>
                <w:rStyle w:val="75"/>
                <w:rFonts w:hint="default"/>
                <w:color w:val="auto"/>
                <w:highlight w:val="none"/>
                <w:lang w:bidi="ar"/>
              </w:rPr>
              <w:t>日前盖章寄回</w:t>
            </w:r>
            <w:r>
              <w:rPr>
                <w:rStyle w:val="75"/>
                <w:rFonts w:hint="eastAsia"/>
                <w:color w:val="auto"/>
                <w:highlight w:val="none"/>
                <w:lang w:eastAsia="zh-CN" w:bidi="ar"/>
              </w:rPr>
              <w:t>，</w:t>
            </w:r>
            <w:r>
              <w:rPr>
                <w:rStyle w:val="75"/>
                <w:rFonts w:hint="default"/>
                <w:color w:val="auto"/>
                <w:highlight w:val="none"/>
                <w:lang w:bidi="ar"/>
              </w:rPr>
              <w:t>并确保此报价至少在30天内有效。若该产品或原材料行情波动较大，请另行注明有效期。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1EBA2F6A">
      <w:pPr>
        <w:snapToGrid w:val="0"/>
        <w:spacing w:line="360" w:lineRule="auto"/>
        <w:jc w:val="center"/>
        <w:rPr>
          <w:rFonts w:hint="eastAsia" w:eastAsia="宋体"/>
          <w:b/>
          <w:color w:val="auto"/>
          <w:sz w:val="48"/>
          <w:szCs w:val="48"/>
          <w:highlight w:val="none"/>
          <w:lang w:eastAsia="zh-CN"/>
        </w:rPr>
      </w:pPr>
      <w:r>
        <w:rPr>
          <w:rFonts w:hint="eastAsia"/>
          <w:b/>
          <w:color w:val="auto"/>
          <w:sz w:val="48"/>
          <w:szCs w:val="48"/>
          <w:highlight w:val="none"/>
          <w:lang w:eastAsia="zh-CN"/>
        </w:rPr>
        <w:t>2025年滁州轨道运营压力表等车辆备件</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rPr>
        <w:t>采购项目</w:t>
      </w: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w:t>
            </w:r>
            <w:r>
              <w:rPr>
                <w:rFonts w:hint="eastAsia"/>
                <w:color w:val="auto"/>
                <w:sz w:val="18"/>
                <w:szCs w:val="18"/>
                <w:highlight w:val="none"/>
                <w:lang w:eastAsia="zh-CN"/>
              </w:rPr>
              <w:t>绝无</w:t>
            </w:r>
            <w:r>
              <w:rPr>
                <w:rFonts w:hint="eastAsia"/>
                <w:color w:val="auto"/>
                <w:sz w:val="18"/>
                <w:szCs w:val="18"/>
                <w:highlight w:val="none"/>
              </w:rPr>
              <w:t>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w:t>
            </w:r>
            <w:r>
              <w:rPr>
                <w:rFonts w:hint="eastAsia"/>
                <w:color w:val="auto"/>
                <w:sz w:val="18"/>
                <w:szCs w:val="18"/>
                <w:highlight w:val="none"/>
                <w:lang w:eastAsia="zh-CN"/>
              </w:rPr>
              <w:t>（</w:t>
            </w:r>
            <w:r>
              <w:rPr>
                <w:rFonts w:hint="eastAsia"/>
                <w:color w:val="auto"/>
                <w:sz w:val="18"/>
                <w:szCs w:val="18"/>
                <w:highlight w:val="none"/>
              </w:rPr>
              <w:t>CCC</w:t>
            </w:r>
            <w:r>
              <w:rPr>
                <w:rFonts w:hint="eastAsia"/>
                <w:color w:val="auto"/>
                <w:sz w:val="18"/>
                <w:szCs w:val="18"/>
                <w:highlight w:val="none"/>
                <w:lang w:eastAsia="zh-CN"/>
              </w:rPr>
              <w:t>）</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472325755"/>
      <w:bookmarkStart w:id="4" w:name="_Toc10620851"/>
      <w:bookmarkStart w:id="5" w:name="_Toc22503"/>
      <w:bookmarkStart w:id="6" w:name="_Toc470617844"/>
      <w:bookmarkStart w:id="7" w:name="_Toc477250300"/>
      <w:bookmarkStart w:id="8" w:name="_Toc471894962"/>
      <w:bookmarkStart w:id="9" w:name="_Toc92804592"/>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5"/>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5"/>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22E4F29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highlight w:val="none"/>
        </w:rPr>
      </w:pPr>
      <w:r>
        <w:rPr>
          <w:rFonts w:hint="eastAsia" w:ascii="宋体" w:hAnsi="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443BA8E1">
      <w:pPr>
        <w:snapToGrid w:val="0"/>
        <w:spacing w:line="360" w:lineRule="auto"/>
        <w:rPr>
          <w:rFonts w:ascii="宋体" w:hAnsi="宋体"/>
          <w:b/>
          <w:bCs/>
          <w:szCs w:val="21"/>
          <w:highlight w:val="none"/>
        </w:rPr>
      </w:pPr>
      <w:r>
        <w:rPr>
          <w:rFonts w:hint="eastAsia" w:ascii="宋体" w:hAnsi="宋体"/>
          <w:b/>
          <w:szCs w:val="21"/>
          <w:highlight w:val="none"/>
        </w:rPr>
        <w:t xml:space="preserve">1.   </w:t>
      </w:r>
      <w:r>
        <w:rPr>
          <w:rFonts w:hint="eastAsia" w:ascii="宋体" w:hAnsi="宋体"/>
          <w:b/>
          <w:bCs/>
          <w:szCs w:val="21"/>
          <w:highlight w:val="none"/>
        </w:rPr>
        <w:t>货物的名称、规格、数量、</w:t>
      </w:r>
      <w:r>
        <w:rPr>
          <w:rFonts w:hint="eastAsia" w:ascii="宋体" w:hAnsi="宋体"/>
          <w:b/>
          <w:bCs/>
          <w:color w:val="000000"/>
          <w:szCs w:val="21"/>
          <w:highlight w:val="none"/>
        </w:rPr>
        <w:t>技术要求</w:t>
      </w:r>
      <w:r>
        <w:rPr>
          <w:rFonts w:hint="eastAsia" w:ascii="宋体" w:hAnsi="宋体"/>
          <w:b/>
          <w:bCs/>
          <w:szCs w:val="21"/>
          <w:highlight w:val="none"/>
        </w:rPr>
        <w:t xml:space="preserve"> </w:t>
      </w:r>
    </w:p>
    <w:p w14:paraId="3FCA9CA6">
      <w:pPr>
        <w:snapToGrid w:val="0"/>
        <w:spacing w:line="360" w:lineRule="auto"/>
        <w:ind w:left="556" w:leftChars="265"/>
        <w:rPr>
          <w:rFonts w:ascii="宋体" w:hAnsi="宋体"/>
          <w:szCs w:val="21"/>
          <w:highlight w:val="none"/>
        </w:rPr>
      </w:pPr>
      <w:r>
        <w:rPr>
          <w:rFonts w:hint="eastAsia" w:ascii="宋体" w:hAnsi="宋体"/>
          <w:szCs w:val="21"/>
          <w:highlight w:val="none"/>
        </w:rPr>
        <w:t>买方和卖方同意由卖方作为供应商，</w:t>
      </w:r>
      <w:bookmarkStart w:id="10" w:name="_Hlk50671119"/>
      <w:r>
        <w:rPr>
          <w:rFonts w:hint="eastAsia" w:ascii="宋体" w:hAnsi="宋体"/>
          <w:szCs w:val="21"/>
          <w:highlight w:val="none"/>
        </w:rPr>
        <w:t>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w:t>
      </w:r>
      <w:bookmarkEnd w:id="10"/>
      <w:r>
        <w:rPr>
          <w:rFonts w:hint="eastAsia" w:ascii="宋体" w:hAnsi="宋体"/>
          <w:szCs w:val="21"/>
          <w:highlight w:val="none"/>
        </w:rPr>
        <w:t>，在本框架合同金额上限范围内，按照本框架合同约定的条件和《订货通知单》向买方出售货物。</w:t>
      </w:r>
      <w:bookmarkStart w:id="11" w:name="_Hlk50669640"/>
      <w:r>
        <w:rPr>
          <w:rFonts w:hint="eastAsia" w:ascii="宋体" w:hAnsi="宋体"/>
          <w:szCs w:val="21"/>
          <w:highlight w:val="none"/>
        </w:rPr>
        <w:t>货物的名称、规格、价格详见附件</w:t>
      </w:r>
      <w:r>
        <w:rPr>
          <w:rFonts w:ascii="宋体" w:hAnsi="宋体"/>
          <w:szCs w:val="21"/>
          <w:highlight w:val="none"/>
        </w:rPr>
        <w:t>1</w:t>
      </w:r>
      <w:r>
        <w:rPr>
          <w:rFonts w:hint="eastAsia" w:ascii="宋体" w:hAnsi="宋体"/>
          <w:szCs w:val="21"/>
          <w:highlight w:val="none"/>
        </w:rPr>
        <w:t>《货物清单》。</w:t>
      </w:r>
      <w:bookmarkEnd w:id="11"/>
      <w:r>
        <w:rPr>
          <w:rFonts w:hint="eastAsia" w:ascii="宋体" w:hAnsi="宋体"/>
          <w:szCs w:val="21"/>
          <w:highlight w:val="none"/>
        </w:rPr>
        <w:t>每次订购货物（为《货物清单》中的部分或全部）的名称、规格、数量以《订货通知单》为准。</w:t>
      </w:r>
    </w:p>
    <w:p w14:paraId="5AE86F22">
      <w:pPr>
        <w:snapToGrid w:val="0"/>
        <w:spacing w:line="360" w:lineRule="auto"/>
        <w:rPr>
          <w:rFonts w:ascii="宋体" w:hAnsi="宋体"/>
          <w:b/>
          <w:szCs w:val="21"/>
          <w:highlight w:val="none"/>
        </w:rPr>
      </w:pPr>
      <w:r>
        <w:rPr>
          <w:rFonts w:hint="eastAsia" w:ascii="宋体" w:hAnsi="宋体"/>
          <w:b/>
          <w:szCs w:val="21"/>
          <w:highlight w:val="none"/>
        </w:rPr>
        <w:t>2.   价格</w:t>
      </w:r>
    </w:p>
    <w:p w14:paraId="21FC5B99">
      <w:pPr>
        <w:snapToGrid w:val="0"/>
        <w:spacing w:line="360" w:lineRule="auto"/>
        <w:ind w:left="525" w:hanging="525" w:hangingChars="250"/>
        <w:rPr>
          <w:rFonts w:ascii="宋体" w:hAnsi="宋体"/>
          <w:szCs w:val="21"/>
          <w:highlight w:val="none"/>
        </w:rPr>
      </w:pPr>
      <w:r>
        <w:rPr>
          <w:rFonts w:hint="eastAsia" w:ascii="宋体" w:hAnsi="宋体"/>
          <w:szCs w:val="21"/>
          <w:highlight w:val="none"/>
        </w:rPr>
        <w:t>2.1  本框架合同的总金额（含税）上限为人民币（大写）</w:t>
      </w:r>
      <w:r>
        <w:rPr>
          <w:rFonts w:hint="eastAsia" w:ascii="宋体" w:hAnsi="宋体"/>
          <w:b/>
          <w:bCs/>
          <w:szCs w:val="21"/>
          <w:highlight w:val="none"/>
          <w:u w:val="single"/>
          <w:lang w:val="en-US" w:eastAsia="zh-CN"/>
        </w:rPr>
        <w:t xml:space="preserve">          </w:t>
      </w:r>
      <w:r>
        <w:rPr>
          <w:rFonts w:hint="eastAsia" w:ascii="宋体" w:hAnsi="宋体"/>
          <w:szCs w:val="21"/>
          <w:highlight w:val="none"/>
        </w:rPr>
        <w:t>（</w:t>
      </w:r>
      <w:r>
        <w:rPr>
          <w:rFonts w:hint="eastAsia" w:ascii="宋体" w:hAnsi="宋体" w:eastAsia="宋体" w:cs="Times New Roman"/>
          <w:b/>
          <w:bCs/>
          <w:szCs w:val="21"/>
          <w:highlight w:val="none"/>
          <w:u w:val="single"/>
        </w:rPr>
        <w:t>¥</w:t>
      </w:r>
      <w:r>
        <w:rPr>
          <w:rFonts w:hint="eastAsia" w:ascii="宋体" w:hAnsi="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szCs w:val="21"/>
          <w:highlight w:val="none"/>
        </w:rPr>
        <w:t>）,采购种类、采购单价（不含税）详见附件1。买方与卖方签订的各《订货通知单》的结算总金额达到本框架合同上限总金额的</w:t>
      </w:r>
      <w:r>
        <w:rPr>
          <w:rFonts w:hint="eastAsia" w:ascii="宋体" w:hAnsi="宋体"/>
          <w:szCs w:val="21"/>
          <w:highlight w:val="none"/>
          <w:u w:val="single"/>
        </w:rPr>
        <w:t>95%</w:t>
      </w:r>
      <w:r>
        <w:rPr>
          <w:rFonts w:hint="eastAsia" w:ascii="宋体" w:hAnsi="宋体"/>
          <w:szCs w:val="21"/>
          <w:highlight w:val="none"/>
        </w:rPr>
        <w:t>至</w:t>
      </w:r>
      <w:r>
        <w:rPr>
          <w:rFonts w:hint="eastAsia" w:ascii="宋体" w:hAnsi="宋体"/>
          <w:szCs w:val="21"/>
          <w:highlight w:val="none"/>
          <w:u w:val="single"/>
        </w:rPr>
        <w:t>100%</w:t>
      </w:r>
      <w:r>
        <w:rPr>
          <w:rFonts w:hint="eastAsia" w:ascii="宋体" w:hAnsi="宋体"/>
          <w:szCs w:val="21"/>
          <w:highlight w:val="none"/>
        </w:rPr>
        <w:t>，买方有权终止本</w:t>
      </w:r>
      <w:r>
        <w:rPr>
          <w:rFonts w:hint="eastAsia" w:ascii="宋体" w:hAnsi="宋体"/>
          <w:szCs w:val="21"/>
          <w:highlight w:val="none"/>
          <w:lang w:val="en-US" w:eastAsia="zh-CN"/>
        </w:rPr>
        <w:t>框架</w:t>
      </w:r>
      <w:r>
        <w:rPr>
          <w:rFonts w:hint="eastAsia" w:ascii="宋体" w:hAnsi="宋体"/>
          <w:szCs w:val="21"/>
          <w:highlight w:val="none"/>
        </w:rPr>
        <w:t>合同。</w:t>
      </w:r>
    </w:p>
    <w:p w14:paraId="6952B3CD">
      <w:pPr>
        <w:snapToGrid w:val="0"/>
        <w:spacing w:line="360" w:lineRule="auto"/>
        <w:ind w:left="525" w:hanging="525" w:hangingChars="250"/>
        <w:rPr>
          <w:rFonts w:ascii="宋体" w:hAnsi="宋体"/>
          <w:szCs w:val="21"/>
          <w:highlight w:val="none"/>
        </w:rPr>
      </w:pPr>
      <w:r>
        <w:rPr>
          <w:rFonts w:hint="eastAsia" w:ascii="宋体" w:hAnsi="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4C8BAA8">
      <w:pPr>
        <w:snapToGrid w:val="0"/>
        <w:spacing w:line="360" w:lineRule="auto"/>
        <w:ind w:left="525" w:hanging="525" w:hangingChars="250"/>
        <w:rPr>
          <w:rFonts w:ascii="宋体" w:hAnsi="宋体"/>
          <w:szCs w:val="21"/>
          <w:highlight w:val="none"/>
        </w:rPr>
      </w:pPr>
      <w:r>
        <w:rPr>
          <w:rFonts w:hint="eastAsia" w:ascii="宋体" w:hAnsi="宋体"/>
          <w:szCs w:val="21"/>
          <w:highlight w:val="none"/>
        </w:rPr>
        <w:t>2.3  本合同中约定的价格为合同有效期内（自本框架合同签订之日起至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时止）的货物单价（见附件1《货物清单》）。该单价为买方指定地点交货价（人民币），包含货物设计、制造、包装、仓储、运输、保险、售后服务等所发生的一切费用。</w:t>
      </w:r>
    </w:p>
    <w:p w14:paraId="43AD8A2F">
      <w:pPr>
        <w:tabs>
          <w:tab w:val="left" w:pos="540"/>
        </w:tabs>
        <w:snapToGrid w:val="0"/>
        <w:spacing w:line="360" w:lineRule="auto"/>
        <w:rPr>
          <w:rFonts w:ascii="宋体" w:hAnsi="宋体"/>
          <w:b/>
          <w:szCs w:val="21"/>
          <w:highlight w:val="none"/>
        </w:rPr>
      </w:pPr>
      <w:r>
        <w:rPr>
          <w:rFonts w:hint="eastAsia" w:ascii="宋体" w:hAnsi="宋体"/>
          <w:b/>
          <w:szCs w:val="21"/>
          <w:highlight w:val="none"/>
        </w:rPr>
        <w:t xml:space="preserve">3.   交货地点 </w:t>
      </w:r>
    </w:p>
    <w:p w14:paraId="739B0E07">
      <w:pPr>
        <w:snapToGrid w:val="0"/>
        <w:spacing w:line="360" w:lineRule="auto"/>
        <w:ind w:firstLine="558" w:firstLineChars="266"/>
        <w:rPr>
          <w:rFonts w:ascii="宋体" w:hAnsi="宋体"/>
          <w:highlight w:val="none"/>
        </w:rPr>
      </w:pPr>
      <w:r>
        <w:rPr>
          <w:rFonts w:hint="eastAsia" w:ascii="宋体" w:hAnsi="宋体"/>
          <w:highlight w:val="none"/>
        </w:rPr>
        <w:t>滁州市买方指定地点。</w:t>
      </w:r>
    </w:p>
    <w:p w14:paraId="1E762465">
      <w:pPr>
        <w:snapToGrid w:val="0"/>
        <w:spacing w:line="360" w:lineRule="auto"/>
        <w:rPr>
          <w:rFonts w:ascii="宋体" w:hAnsi="宋体"/>
          <w:b/>
          <w:szCs w:val="21"/>
          <w:highlight w:val="none"/>
        </w:rPr>
      </w:pPr>
      <w:r>
        <w:rPr>
          <w:rFonts w:hint="eastAsia" w:ascii="宋体" w:hAnsi="宋体"/>
          <w:b/>
          <w:szCs w:val="21"/>
          <w:highlight w:val="none"/>
        </w:rPr>
        <w:t>4.   交货时间</w:t>
      </w:r>
    </w:p>
    <w:p w14:paraId="355F084A">
      <w:pPr>
        <w:tabs>
          <w:tab w:val="left" w:pos="540"/>
        </w:tabs>
        <w:snapToGrid w:val="0"/>
        <w:spacing w:line="360" w:lineRule="auto"/>
        <w:ind w:left="525" w:leftChars="250"/>
        <w:rPr>
          <w:rFonts w:ascii="宋体" w:hAnsi="宋体"/>
          <w:color w:val="3366FF"/>
          <w:szCs w:val="21"/>
          <w:highlight w:val="none"/>
        </w:rPr>
      </w:pPr>
      <w:r>
        <w:rPr>
          <w:rFonts w:hint="eastAsia" w:ascii="宋体" w:hAnsi="宋体"/>
          <w:szCs w:val="21"/>
          <w:highlight w:val="none"/>
        </w:rPr>
        <w:t>卖方于接到买方《订货通知单》之时起</w:t>
      </w:r>
      <w:r>
        <w:rPr>
          <w:rFonts w:hint="eastAsia" w:ascii="宋体" w:hAnsi="宋体"/>
          <w:szCs w:val="21"/>
          <w:highlight w:val="none"/>
          <w:u w:val="single"/>
          <w:lang w:val="en-US" w:eastAsia="zh-CN"/>
        </w:rPr>
        <w:t xml:space="preserve">     </w:t>
      </w:r>
      <w:r>
        <w:rPr>
          <w:rFonts w:hint="eastAsia" w:ascii="宋体" w:hAnsi="宋体"/>
          <w:szCs w:val="21"/>
          <w:highlight w:val="none"/>
        </w:rPr>
        <w:t>个日历天内，将货物全部送达上述指定地点</w:t>
      </w:r>
      <w:r>
        <w:rPr>
          <w:rFonts w:hint="eastAsia" w:ascii="宋体" w:hAnsi="宋体"/>
          <w:color w:val="000000"/>
          <w:szCs w:val="21"/>
          <w:highlight w:val="none"/>
        </w:rPr>
        <w:t>。</w:t>
      </w:r>
    </w:p>
    <w:p w14:paraId="19CDD14E">
      <w:pPr>
        <w:tabs>
          <w:tab w:val="left" w:pos="435"/>
          <w:tab w:val="left" w:pos="3135"/>
        </w:tabs>
        <w:snapToGrid w:val="0"/>
        <w:spacing w:line="360" w:lineRule="auto"/>
        <w:rPr>
          <w:rFonts w:ascii="宋体" w:hAnsi="宋体"/>
          <w:b/>
          <w:szCs w:val="21"/>
          <w:highlight w:val="none"/>
        </w:rPr>
      </w:pPr>
      <w:r>
        <w:rPr>
          <w:rFonts w:hint="eastAsia" w:ascii="宋体" w:hAnsi="宋体"/>
          <w:b/>
          <w:szCs w:val="21"/>
          <w:highlight w:val="none"/>
        </w:rPr>
        <w:t>5.</w:t>
      </w:r>
      <w:r>
        <w:rPr>
          <w:rFonts w:hint="eastAsia" w:ascii="宋体" w:hAnsi="宋体"/>
          <w:szCs w:val="21"/>
          <w:highlight w:val="none"/>
        </w:rPr>
        <w:t xml:space="preserve">   </w:t>
      </w:r>
      <w:r>
        <w:rPr>
          <w:rFonts w:hint="eastAsia" w:ascii="宋体" w:hAnsi="宋体"/>
          <w:b/>
          <w:szCs w:val="21"/>
          <w:highlight w:val="none"/>
        </w:rPr>
        <w:t>质量保证</w:t>
      </w:r>
    </w:p>
    <w:p w14:paraId="761F663C">
      <w:pPr>
        <w:snapToGrid w:val="0"/>
        <w:spacing w:line="360" w:lineRule="auto"/>
        <w:ind w:left="525" w:hanging="525" w:hangingChars="250"/>
        <w:rPr>
          <w:rFonts w:ascii="宋体" w:hAnsi="宋体"/>
          <w:szCs w:val="21"/>
          <w:highlight w:val="none"/>
        </w:rPr>
      </w:pPr>
      <w:r>
        <w:rPr>
          <w:rFonts w:hint="eastAsia" w:ascii="宋体" w:hAnsi="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7AEE2316">
      <w:pPr>
        <w:snapToGrid w:val="0"/>
        <w:spacing w:line="360" w:lineRule="auto"/>
        <w:ind w:left="525" w:hanging="525" w:hangingChars="250"/>
        <w:rPr>
          <w:rFonts w:ascii="宋体" w:hAnsi="宋体"/>
          <w:color w:val="3366FF"/>
          <w:szCs w:val="21"/>
          <w:highlight w:val="none"/>
        </w:rPr>
      </w:pPr>
      <w:r>
        <w:rPr>
          <w:rFonts w:hint="eastAsia" w:ascii="宋体" w:hAnsi="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highlight w:val="none"/>
        </w:rPr>
        <w:t>。</w:t>
      </w:r>
    </w:p>
    <w:p w14:paraId="3201D47C">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5.3  卖方所供货物如有缺陷或隐蔽瑕疵，应书面如实告知买方，否则，应对货物缺陷或隐蔽瑕疵而造成的损失承担全部赔偿责任。</w:t>
      </w:r>
    </w:p>
    <w:p w14:paraId="2CCBB90A">
      <w:pPr>
        <w:tabs>
          <w:tab w:val="left" w:pos="540"/>
        </w:tabs>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4A7328E1">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szCs w:val="21"/>
          <w:highlight w:val="none"/>
        </w:rPr>
        <w:t>5.5  卖方出售的货物造成人身损害、财产损失的，卖方应当承担赔偿责任</w:t>
      </w:r>
      <w:r>
        <w:rPr>
          <w:rFonts w:hint="eastAsia" w:ascii="宋体" w:hAnsi="宋体" w:cs="宋体"/>
          <w:color w:val="000000"/>
          <w:kern w:val="0"/>
          <w:szCs w:val="21"/>
          <w:highlight w:val="none"/>
        </w:rPr>
        <w:t>。</w:t>
      </w:r>
    </w:p>
    <w:p w14:paraId="17AAE9EF">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3AB1DC51">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cs="宋体"/>
          <w:kern w:val="0"/>
          <w:szCs w:val="21"/>
          <w:highlight w:val="none"/>
        </w:rPr>
        <w:t>或</w:t>
      </w:r>
    </w:p>
    <w:p w14:paraId="2AC04ACA">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2E01EBF2">
      <w:pPr>
        <w:tabs>
          <w:tab w:val="left" w:pos="540"/>
        </w:tabs>
        <w:snapToGrid w:val="0"/>
        <w:spacing w:line="360" w:lineRule="auto"/>
        <w:rPr>
          <w:rFonts w:ascii="宋体" w:hAnsi="宋体"/>
          <w:b/>
          <w:szCs w:val="21"/>
          <w:highlight w:val="none"/>
        </w:rPr>
      </w:pPr>
      <w:r>
        <w:rPr>
          <w:rFonts w:hint="eastAsia" w:ascii="宋体" w:hAnsi="宋体"/>
          <w:b/>
          <w:szCs w:val="21"/>
          <w:highlight w:val="none"/>
        </w:rPr>
        <w:t>6.   包装、包装标志及环境保护</w:t>
      </w:r>
    </w:p>
    <w:p w14:paraId="1AC55E1C">
      <w:pPr>
        <w:snapToGrid w:val="0"/>
        <w:spacing w:line="360" w:lineRule="auto"/>
        <w:ind w:left="525" w:hanging="525" w:hangingChars="250"/>
        <w:rPr>
          <w:rFonts w:ascii="宋体" w:hAnsi="宋体"/>
          <w:szCs w:val="21"/>
          <w:highlight w:val="none"/>
        </w:rPr>
      </w:pPr>
      <w:r>
        <w:rPr>
          <w:rFonts w:hint="eastAsia" w:ascii="宋体" w:hAnsi="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20B81EAE">
      <w:pPr>
        <w:tabs>
          <w:tab w:val="left" w:pos="540"/>
        </w:tabs>
        <w:snapToGrid w:val="0"/>
        <w:spacing w:line="360" w:lineRule="auto"/>
        <w:rPr>
          <w:rFonts w:ascii="宋体" w:hAnsi="宋体"/>
          <w:szCs w:val="21"/>
          <w:highlight w:val="none"/>
        </w:rPr>
      </w:pPr>
      <w:r>
        <w:rPr>
          <w:rFonts w:hint="eastAsia" w:ascii="宋体" w:hAnsi="宋体"/>
          <w:szCs w:val="21"/>
          <w:highlight w:val="none"/>
        </w:rPr>
        <w:t>6.2  卖方应在每一包装箱的适当位置作出下列标记：</w:t>
      </w:r>
    </w:p>
    <w:p w14:paraId="527DD021">
      <w:pPr>
        <w:snapToGrid w:val="0"/>
        <w:spacing w:line="360" w:lineRule="auto"/>
        <w:ind w:left="525" w:leftChars="250"/>
        <w:rPr>
          <w:rFonts w:ascii="宋体" w:hAnsi="宋体"/>
          <w:szCs w:val="21"/>
          <w:highlight w:val="none"/>
        </w:rPr>
      </w:pPr>
      <w:r>
        <w:rPr>
          <w:rFonts w:hint="eastAsia" w:ascii="宋体" w:hAnsi="宋体"/>
          <w:szCs w:val="21"/>
          <w:highlight w:val="none"/>
        </w:rPr>
        <w:t>1）收货人；</w:t>
      </w:r>
    </w:p>
    <w:p w14:paraId="3FA65070">
      <w:pPr>
        <w:snapToGrid w:val="0"/>
        <w:spacing w:line="360" w:lineRule="auto"/>
        <w:ind w:left="525" w:leftChars="250"/>
        <w:rPr>
          <w:rFonts w:ascii="宋体" w:hAnsi="宋体"/>
          <w:szCs w:val="21"/>
          <w:highlight w:val="none"/>
        </w:rPr>
      </w:pPr>
      <w:r>
        <w:rPr>
          <w:rFonts w:hint="eastAsia" w:ascii="宋体" w:hAnsi="宋体"/>
          <w:szCs w:val="21"/>
          <w:highlight w:val="none"/>
        </w:rPr>
        <w:t>2）货物名称、件数；</w:t>
      </w:r>
    </w:p>
    <w:p w14:paraId="6A68B958">
      <w:pPr>
        <w:snapToGrid w:val="0"/>
        <w:spacing w:line="360" w:lineRule="auto"/>
        <w:ind w:left="525" w:leftChars="250"/>
        <w:rPr>
          <w:rFonts w:ascii="宋体" w:hAnsi="宋体"/>
          <w:szCs w:val="21"/>
          <w:highlight w:val="none"/>
        </w:rPr>
      </w:pPr>
      <w:r>
        <w:rPr>
          <w:rFonts w:hint="eastAsia" w:ascii="宋体" w:hAnsi="宋体"/>
          <w:szCs w:val="21"/>
          <w:highlight w:val="none"/>
        </w:rPr>
        <w:t>3）毛重、净重；</w:t>
      </w:r>
    </w:p>
    <w:p w14:paraId="4E9B4AF2">
      <w:pPr>
        <w:snapToGrid w:val="0"/>
        <w:spacing w:line="360" w:lineRule="auto"/>
        <w:ind w:left="525" w:leftChars="250"/>
        <w:rPr>
          <w:rFonts w:ascii="宋体" w:hAnsi="宋体"/>
          <w:szCs w:val="21"/>
          <w:highlight w:val="none"/>
        </w:rPr>
      </w:pPr>
      <w:r>
        <w:rPr>
          <w:rFonts w:hint="eastAsia" w:ascii="宋体" w:hAnsi="宋体"/>
          <w:szCs w:val="21"/>
          <w:highlight w:val="none"/>
        </w:rPr>
        <w:t>4）体积（长×宽×高，用毫米表示）；</w:t>
      </w:r>
    </w:p>
    <w:p w14:paraId="369707EC">
      <w:pPr>
        <w:snapToGrid w:val="0"/>
        <w:spacing w:line="360" w:lineRule="auto"/>
        <w:ind w:left="525" w:leftChars="250"/>
        <w:rPr>
          <w:rFonts w:ascii="宋体" w:hAnsi="宋体"/>
          <w:szCs w:val="21"/>
          <w:highlight w:val="none"/>
        </w:rPr>
      </w:pPr>
      <w:r>
        <w:rPr>
          <w:rFonts w:hint="eastAsia" w:ascii="宋体" w:hAnsi="宋体"/>
          <w:szCs w:val="21"/>
          <w:highlight w:val="none"/>
        </w:rPr>
        <w:t>5）货物运输警示标识；</w:t>
      </w:r>
    </w:p>
    <w:p w14:paraId="5B17B2B0">
      <w:pPr>
        <w:snapToGrid w:val="0"/>
        <w:spacing w:line="360" w:lineRule="auto"/>
        <w:ind w:left="525" w:leftChars="250"/>
        <w:rPr>
          <w:rFonts w:ascii="宋体" w:hAnsi="宋体"/>
          <w:szCs w:val="21"/>
          <w:highlight w:val="none"/>
        </w:rPr>
      </w:pPr>
      <w:r>
        <w:rPr>
          <w:rFonts w:hint="eastAsia" w:ascii="宋体" w:hAnsi="宋体"/>
          <w:szCs w:val="21"/>
          <w:highlight w:val="none"/>
        </w:rPr>
        <w:t>6）合同号；</w:t>
      </w:r>
    </w:p>
    <w:p w14:paraId="372EEE7E">
      <w:pPr>
        <w:snapToGrid w:val="0"/>
        <w:spacing w:line="360" w:lineRule="auto"/>
        <w:ind w:left="525" w:leftChars="250"/>
        <w:rPr>
          <w:rFonts w:ascii="宋体" w:hAnsi="宋体"/>
          <w:szCs w:val="21"/>
          <w:highlight w:val="none"/>
        </w:rPr>
      </w:pPr>
      <w:r>
        <w:rPr>
          <w:rFonts w:hint="eastAsia" w:ascii="宋体" w:hAnsi="宋体"/>
          <w:szCs w:val="21"/>
          <w:highlight w:val="none"/>
        </w:rPr>
        <w:t>7）其他应标记内容。</w:t>
      </w:r>
    </w:p>
    <w:p w14:paraId="1E802879">
      <w:pPr>
        <w:snapToGrid w:val="0"/>
        <w:spacing w:line="360" w:lineRule="auto"/>
        <w:ind w:left="525" w:leftChars="250"/>
        <w:rPr>
          <w:rFonts w:ascii="宋体" w:hAnsi="宋体"/>
          <w:szCs w:val="21"/>
          <w:highlight w:val="none"/>
        </w:rPr>
      </w:pPr>
      <w:r>
        <w:rPr>
          <w:rFonts w:hint="eastAsia" w:ascii="宋体" w:hAnsi="宋体"/>
          <w:szCs w:val="21"/>
          <w:highlight w:val="none"/>
        </w:rPr>
        <w:t>按照货物的特点及装卸和运输上的不同要求，包装箱上应明显印刷有“轻放”、“勿倒置”和“防雨”等字样，危险品包装应有警示标志。</w:t>
      </w:r>
    </w:p>
    <w:p w14:paraId="359D757C">
      <w:pPr>
        <w:adjustRightInd w:val="0"/>
        <w:snapToGrid w:val="0"/>
        <w:spacing w:line="360" w:lineRule="auto"/>
        <w:rPr>
          <w:rFonts w:ascii="宋体" w:hAnsi="宋体"/>
          <w:b/>
          <w:szCs w:val="21"/>
          <w:highlight w:val="none"/>
        </w:rPr>
      </w:pPr>
      <w:r>
        <w:rPr>
          <w:rFonts w:hint="eastAsia" w:ascii="宋体" w:hAnsi="宋体"/>
          <w:b/>
          <w:szCs w:val="21"/>
          <w:highlight w:val="none"/>
        </w:rPr>
        <w:t>7.</w:t>
      </w:r>
      <w:r>
        <w:rPr>
          <w:rFonts w:hint="eastAsia" w:ascii="宋体" w:hAnsi="宋体"/>
          <w:szCs w:val="21"/>
          <w:highlight w:val="none"/>
        </w:rPr>
        <w:t xml:space="preserve">   </w:t>
      </w:r>
      <w:r>
        <w:rPr>
          <w:rFonts w:hint="eastAsia" w:ascii="宋体" w:hAnsi="宋体"/>
          <w:b/>
          <w:szCs w:val="21"/>
          <w:highlight w:val="none"/>
        </w:rPr>
        <w:t>交货和验收</w:t>
      </w:r>
    </w:p>
    <w:p w14:paraId="74B0F37B">
      <w:pPr>
        <w:snapToGrid w:val="0"/>
        <w:spacing w:line="360" w:lineRule="auto"/>
        <w:ind w:left="525" w:hanging="525" w:hangingChars="250"/>
        <w:rPr>
          <w:rFonts w:ascii="宋体" w:hAnsi="宋体"/>
          <w:szCs w:val="21"/>
          <w:highlight w:val="none"/>
        </w:rPr>
      </w:pPr>
      <w:r>
        <w:rPr>
          <w:rFonts w:hint="eastAsia" w:ascii="宋体" w:hAnsi="宋体"/>
          <w:szCs w:val="21"/>
          <w:highlight w:val="none"/>
        </w:rPr>
        <w:t>7.1  除双方另有书面约定或买方自提外，本合同项下货物的所有权及毁损、灭失之风险自卖方运到买方仓库或买方指定地点完成交付之日起转移。</w:t>
      </w:r>
    </w:p>
    <w:p w14:paraId="4379A2EE">
      <w:pPr>
        <w:snapToGrid w:val="0"/>
        <w:spacing w:line="360" w:lineRule="auto"/>
        <w:ind w:left="525" w:hanging="525" w:hangingChars="250"/>
        <w:rPr>
          <w:rFonts w:ascii="宋体" w:hAnsi="宋体"/>
          <w:szCs w:val="21"/>
          <w:highlight w:val="none"/>
        </w:rPr>
      </w:pPr>
      <w:r>
        <w:rPr>
          <w:rFonts w:hint="eastAsia" w:ascii="宋体" w:hAnsi="宋体"/>
          <w:szCs w:val="21"/>
          <w:highlight w:val="none"/>
        </w:rPr>
        <w:t>7.2  卖方应按照本合同规定的时间、地点和方式，向买方交付货物。如未按规定送至买方指定的地点，由此引起的</w:t>
      </w:r>
      <w:r>
        <w:rPr>
          <w:rFonts w:hint="eastAsia"/>
          <w:bCs/>
          <w:snapToGrid w:val="0"/>
          <w:szCs w:val="21"/>
          <w:highlight w:val="none"/>
        </w:rPr>
        <w:t>遗失或损坏等一切</w:t>
      </w:r>
      <w:r>
        <w:rPr>
          <w:rFonts w:hint="eastAsia" w:ascii="宋体" w:hAnsi="宋体"/>
          <w:szCs w:val="21"/>
          <w:highlight w:val="none"/>
        </w:rPr>
        <w:t>问题，由卖方承担全部责任。</w:t>
      </w:r>
    </w:p>
    <w:p w14:paraId="2C6C5802">
      <w:pPr>
        <w:snapToGrid w:val="0"/>
        <w:spacing w:line="360" w:lineRule="auto"/>
        <w:ind w:left="525" w:hanging="525" w:hangingChars="250"/>
        <w:rPr>
          <w:rFonts w:ascii="宋体" w:hAnsi="宋体"/>
          <w:b/>
          <w:bCs/>
          <w:szCs w:val="21"/>
          <w:highlight w:val="none"/>
        </w:rPr>
      </w:pPr>
      <w:r>
        <w:rPr>
          <w:rFonts w:hint="eastAsia" w:ascii="宋体" w:hAnsi="宋体"/>
          <w:szCs w:val="21"/>
          <w:highlight w:val="none"/>
        </w:rPr>
        <w:t>7.3  卖方送货时必须附有详细的送货清单</w:t>
      </w:r>
      <w:r>
        <w:rPr>
          <w:rFonts w:hint="eastAsia" w:ascii="宋体" w:hAnsi="宋体"/>
          <w:szCs w:val="21"/>
          <w:highlight w:val="none"/>
          <w:lang w:eastAsia="zh-CN"/>
        </w:rPr>
        <w:t>（</w:t>
      </w:r>
      <w:r>
        <w:rPr>
          <w:rFonts w:hint="eastAsia" w:ascii="宋体" w:hAnsi="宋体"/>
          <w:szCs w:val="21"/>
          <w:highlight w:val="none"/>
        </w:rPr>
        <w:t>详见附件3），内容应包括本</w:t>
      </w:r>
      <w:r>
        <w:rPr>
          <w:rFonts w:hint="eastAsia" w:ascii="宋体" w:hAnsi="宋体"/>
          <w:color w:val="000000"/>
          <w:szCs w:val="21"/>
          <w:highlight w:val="none"/>
        </w:rPr>
        <w:t>合同编号、货物名</w:t>
      </w:r>
      <w:r>
        <w:rPr>
          <w:rFonts w:hint="eastAsia" w:ascii="宋体" w:hAnsi="宋体"/>
          <w:szCs w:val="21"/>
          <w:highlight w:val="none"/>
        </w:rPr>
        <w:t>称、规格/型号、品牌/生产厂、数量及采购人等。</w:t>
      </w:r>
      <w:r>
        <w:rPr>
          <w:rFonts w:hint="eastAsia" w:ascii="宋体" w:hAnsi="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b/>
          <w:bCs/>
          <w:szCs w:val="21"/>
          <w:highlight w:val="none"/>
          <w:u w:val="single"/>
        </w:rPr>
        <w:t>180</w:t>
      </w:r>
      <w:r>
        <w:rPr>
          <w:rFonts w:hint="eastAsia" w:ascii="宋体" w:hAnsi="宋体"/>
          <w:b/>
          <w:bCs/>
          <w:szCs w:val="21"/>
          <w:highlight w:val="none"/>
        </w:rPr>
        <w:t>个日历天。</w:t>
      </w:r>
    </w:p>
    <w:p w14:paraId="6E74DF6F">
      <w:pPr>
        <w:snapToGrid w:val="0"/>
        <w:spacing w:line="360" w:lineRule="auto"/>
        <w:ind w:left="525" w:hanging="525" w:hangingChars="250"/>
        <w:rPr>
          <w:rFonts w:ascii="宋体" w:hAnsi="宋体"/>
          <w:szCs w:val="21"/>
          <w:highlight w:val="none"/>
        </w:rPr>
      </w:pPr>
      <w:r>
        <w:rPr>
          <w:rFonts w:hint="eastAsia" w:ascii="宋体" w:hAnsi="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0AB37F34">
      <w:pPr>
        <w:snapToGrid w:val="0"/>
        <w:spacing w:line="360" w:lineRule="auto"/>
        <w:ind w:left="525" w:hanging="525" w:hangingChars="250"/>
        <w:rPr>
          <w:rFonts w:ascii="宋体" w:hAnsi="宋体"/>
          <w:szCs w:val="21"/>
          <w:highlight w:val="none"/>
        </w:rPr>
      </w:pPr>
      <w:r>
        <w:rPr>
          <w:rFonts w:hint="eastAsia" w:ascii="宋体" w:hAnsi="宋体"/>
          <w:szCs w:val="21"/>
          <w:highlight w:val="none"/>
        </w:rPr>
        <w:t>7.5  自卖方提供完整无误的送货清单等文件并且交付货物之日起（从次日起算）</w:t>
      </w:r>
      <w:r>
        <w:rPr>
          <w:rFonts w:hint="eastAsia" w:ascii="宋体" w:hAnsi="宋体"/>
          <w:szCs w:val="21"/>
          <w:highlight w:val="none"/>
          <w:u w:val="single"/>
        </w:rPr>
        <w:t xml:space="preserve"> 5 </w:t>
      </w:r>
      <w:r>
        <w:rPr>
          <w:rFonts w:hint="eastAsia" w:ascii="宋体" w:hAnsi="宋体"/>
          <w:szCs w:val="21"/>
          <w:highlight w:val="none"/>
        </w:rPr>
        <w:t>个工作日内，买方对货物进行验收；需要卖方对货物或系统进行安装调试的，买方应在货物安装调试完毕后的</w:t>
      </w:r>
      <w:r>
        <w:rPr>
          <w:rFonts w:hint="eastAsia" w:ascii="宋体" w:hAnsi="宋体"/>
          <w:szCs w:val="21"/>
          <w:highlight w:val="none"/>
          <w:u w:val="single"/>
        </w:rPr>
        <w:t xml:space="preserve"> 5 </w:t>
      </w:r>
      <w:r>
        <w:rPr>
          <w:rFonts w:hint="eastAsia" w:ascii="宋体" w:hAnsi="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28DC5207">
      <w:pPr>
        <w:snapToGrid w:val="0"/>
        <w:spacing w:line="360" w:lineRule="auto"/>
        <w:ind w:left="525" w:hanging="525" w:hangingChars="250"/>
        <w:rPr>
          <w:rFonts w:ascii="宋体" w:hAnsi="宋体"/>
          <w:szCs w:val="21"/>
          <w:highlight w:val="none"/>
        </w:rPr>
      </w:pPr>
      <w:r>
        <w:rPr>
          <w:rFonts w:hint="eastAsia" w:ascii="宋体" w:hAnsi="宋体"/>
          <w:color w:val="000000"/>
          <w:szCs w:val="21"/>
          <w:highlight w:val="none"/>
        </w:rPr>
        <w:t>7.6</w:t>
      </w:r>
      <w:r>
        <w:rPr>
          <w:rFonts w:hint="eastAsia" w:ascii="宋体" w:hAnsi="宋体"/>
          <w:szCs w:val="21"/>
          <w:highlight w:val="none"/>
        </w:rPr>
        <w:t xml:space="preserve">  货物验收按买方的规定进行</w:t>
      </w:r>
      <w:r>
        <w:rPr>
          <w:rFonts w:hint="eastAsia" w:ascii="宋体" w:hAnsi="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7A179B90">
      <w:pPr>
        <w:adjustRightInd w:val="0"/>
        <w:snapToGrid w:val="0"/>
        <w:spacing w:line="360" w:lineRule="auto"/>
        <w:rPr>
          <w:rFonts w:ascii="宋体" w:hAnsi="宋体"/>
          <w:szCs w:val="21"/>
          <w:highlight w:val="none"/>
        </w:rPr>
      </w:pPr>
      <w:r>
        <w:rPr>
          <w:rFonts w:hint="eastAsia" w:ascii="宋体" w:hAnsi="宋体"/>
          <w:b/>
          <w:bCs/>
          <w:szCs w:val="21"/>
          <w:highlight w:val="none"/>
        </w:rPr>
        <w:t xml:space="preserve">8.   </w:t>
      </w:r>
      <w:r>
        <w:rPr>
          <w:rFonts w:hint="eastAsia" w:ascii="宋体" w:hAnsi="宋体"/>
          <w:b/>
          <w:szCs w:val="21"/>
          <w:highlight w:val="none"/>
        </w:rPr>
        <w:t>伴随服务／售后服务</w:t>
      </w:r>
    </w:p>
    <w:p w14:paraId="4B779E51">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8.1  卖方应按照国家有关法律法规和“三包”规定提供服务。</w:t>
      </w:r>
    </w:p>
    <w:p w14:paraId="0155E2DD">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8.2  除前款规定外，根据买方需要，卖方还应提供下列服务：</w:t>
      </w:r>
    </w:p>
    <w:p w14:paraId="52527B68">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　</w:t>
      </w:r>
      <w:r>
        <w:rPr>
          <w:rFonts w:hint="eastAsia" w:ascii="宋体" w:hAnsi="宋体"/>
          <w:color w:val="000000"/>
          <w:szCs w:val="21"/>
          <w:highlight w:val="none"/>
        </w:rPr>
        <w:tab/>
      </w:r>
      <w:r>
        <w:rPr>
          <w:rFonts w:hint="eastAsia" w:ascii="宋体" w:hAnsi="宋体"/>
          <w:color w:val="000000"/>
          <w:szCs w:val="21"/>
          <w:highlight w:val="none"/>
        </w:rPr>
        <w:t>1）货物的现场安装、调试，卖方应在到货之日起（从次日起算）</w:t>
      </w:r>
      <w:r>
        <w:rPr>
          <w:rFonts w:hint="eastAsia" w:ascii="宋体" w:hAnsi="宋体"/>
          <w:color w:val="000000"/>
          <w:szCs w:val="21"/>
          <w:highlight w:val="none"/>
          <w:u w:val="single"/>
        </w:rPr>
        <w:t xml:space="preserve"> / </w:t>
      </w:r>
      <w:r>
        <w:rPr>
          <w:rFonts w:hint="eastAsia" w:ascii="宋体" w:hAnsi="宋体"/>
          <w:color w:val="000000"/>
          <w:szCs w:val="21"/>
          <w:highlight w:val="none"/>
        </w:rPr>
        <w:t>日内完成；</w:t>
      </w:r>
    </w:p>
    <w:p w14:paraId="36914110">
      <w:pPr>
        <w:adjustRightInd w:val="0"/>
        <w:snapToGrid w:val="0"/>
        <w:spacing w:line="360" w:lineRule="auto"/>
        <w:ind w:left="525"/>
        <w:rPr>
          <w:rFonts w:ascii="宋体" w:hAnsi="宋体"/>
          <w:color w:val="000000"/>
          <w:szCs w:val="21"/>
          <w:highlight w:val="none"/>
        </w:rPr>
      </w:pPr>
      <w:r>
        <w:rPr>
          <w:rFonts w:hint="eastAsia" w:ascii="宋体" w:hAnsi="宋体"/>
          <w:color w:val="000000"/>
          <w:szCs w:val="21"/>
          <w:highlight w:val="none"/>
        </w:rPr>
        <w:t>2）就货物的安装、启动、运行及维护等对买方人员进行免费培训。</w:t>
      </w:r>
    </w:p>
    <w:p w14:paraId="0D29F9D1">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00C0B67">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8.4  在安装调试期间，卖方应遵守买方安全管理规定，做好自身工作人员安全管理；卖方工作人员自身的一切安全问题，由卖方承担全部责任。</w:t>
      </w:r>
    </w:p>
    <w:p w14:paraId="5423E70F">
      <w:pPr>
        <w:tabs>
          <w:tab w:val="left" w:pos="360"/>
          <w:tab w:val="left" w:pos="540"/>
        </w:tabs>
        <w:snapToGrid w:val="0"/>
        <w:spacing w:line="360" w:lineRule="auto"/>
        <w:rPr>
          <w:rFonts w:ascii="宋体" w:hAnsi="宋体"/>
          <w:b/>
          <w:bCs/>
          <w:szCs w:val="21"/>
          <w:highlight w:val="none"/>
        </w:rPr>
      </w:pPr>
      <w:r>
        <w:rPr>
          <w:rFonts w:hint="eastAsia" w:ascii="宋体" w:hAnsi="宋体"/>
          <w:b/>
          <w:bCs/>
          <w:szCs w:val="21"/>
          <w:highlight w:val="none"/>
        </w:rPr>
        <w:t>9.   质保期</w:t>
      </w:r>
    </w:p>
    <w:p w14:paraId="0FEB93D0">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9.1  自货物验收合格之日起（从次日起算）</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31125CB6">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29E22758">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1）修理：卖方对不符合合同规定的合同货物进行修理，以使其符合合同要求，费用由卖方承担。除非买方同意，修理工作应在</w:t>
      </w:r>
      <w:r>
        <w:rPr>
          <w:rFonts w:hint="eastAsia" w:ascii="宋体" w:hAnsi="宋体"/>
          <w:szCs w:val="21"/>
          <w:highlight w:val="none"/>
          <w:u w:val="single"/>
        </w:rPr>
        <w:t xml:space="preserve"> 7 </w:t>
      </w:r>
      <w:r>
        <w:rPr>
          <w:rFonts w:hint="eastAsia" w:ascii="宋体" w:hAnsi="宋体"/>
          <w:szCs w:val="21"/>
          <w:highlight w:val="none"/>
        </w:rPr>
        <w:t>天内（含本数）完成。</w:t>
      </w:r>
    </w:p>
    <w:p w14:paraId="361FED6A">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2）更换：卖方以符合合同要求的货物替换不符合要求的合同货物，费用由卖方承担。除非买方同意，更换应在</w:t>
      </w:r>
      <w:r>
        <w:rPr>
          <w:rFonts w:hint="eastAsia" w:ascii="宋体" w:hAnsi="宋体"/>
          <w:szCs w:val="21"/>
          <w:highlight w:val="none"/>
          <w:u w:val="single"/>
        </w:rPr>
        <w:t xml:space="preserve"> 30 </w:t>
      </w:r>
      <w:r>
        <w:rPr>
          <w:rFonts w:hint="eastAsia" w:ascii="宋体" w:hAnsi="宋体"/>
          <w:szCs w:val="21"/>
          <w:highlight w:val="none"/>
        </w:rPr>
        <w:t>天内（含本数）完成。</w:t>
      </w:r>
    </w:p>
    <w:p w14:paraId="1971DFF0">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64BFD8D">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4）削价：在买卖双方同意的前提下，对有缺陷的合同货物作削价处理，卖方应将有缺陷的合同货物原合同价与削减后价格之间的差额退回买方。</w:t>
      </w:r>
    </w:p>
    <w:p w14:paraId="5D657812">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5）赔偿损失：除已有规定外，卖方应赔偿买方因采取上述措施所发生的损失。</w:t>
      </w:r>
    </w:p>
    <w:p w14:paraId="07821E2F">
      <w:pPr>
        <w:numPr>
          <w:ilvl w:val="0"/>
          <w:numId w:val="6"/>
        </w:numPr>
        <w:snapToGrid w:val="0"/>
        <w:spacing w:line="360" w:lineRule="auto"/>
        <w:ind w:left="0" w:firstLine="0"/>
        <w:rPr>
          <w:rFonts w:ascii="宋体" w:hAnsi="宋体"/>
          <w:b/>
          <w:szCs w:val="21"/>
          <w:highlight w:val="none"/>
        </w:rPr>
      </w:pPr>
      <w:r>
        <w:rPr>
          <w:rFonts w:hint="eastAsia" w:ascii="宋体" w:hAnsi="宋体"/>
          <w:b/>
          <w:szCs w:val="21"/>
          <w:highlight w:val="none"/>
        </w:rPr>
        <w:t>货款支付</w:t>
      </w:r>
    </w:p>
    <w:p w14:paraId="7856314A">
      <w:pPr>
        <w:snapToGrid w:val="0"/>
        <w:spacing w:line="360" w:lineRule="auto"/>
        <w:ind w:left="525" w:hanging="525" w:hangingChars="250"/>
        <w:rPr>
          <w:rFonts w:ascii="宋体" w:hAnsi="宋体"/>
          <w:szCs w:val="21"/>
          <w:highlight w:val="none"/>
        </w:rPr>
      </w:pPr>
      <w:r>
        <w:rPr>
          <w:rFonts w:hint="eastAsia" w:ascii="宋体" w:hAnsi="宋体"/>
          <w:szCs w:val="21"/>
          <w:highlight w:val="none"/>
        </w:rPr>
        <w:t>10.1 本合同项下所有款项均在卖方货物交付验收合格并提交与交付货物总价相一致的有效增值税专用发票（税率</w:t>
      </w:r>
      <w:r>
        <w:rPr>
          <w:rFonts w:hint="eastAsia" w:ascii="宋体" w:hAnsi="宋体"/>
          <w:szCs w:val="21"/>
          <w:highlight w:val="none"/>
          <w:u w:val="single"/>
        </w:rPr>
        <w:t>1</w:t>
      </w:r>
      <w:r>
        <w:rPr>
          <w:rFonts w:ascii="宋体" w:hAnsi="宋体"/>
          <w:szCs w:val="21"/>
          <w:highlight w:val="none"/>
          <w:u w:val="single"/>
        </w:rPr>
        <w:t>3</w:t>
      </w:r>
      <w:r>
        <w:rPr>
          <w:rFonts w:hint="eastAsia" w:ascii="宋体" w:hAnsi="宋体"/>
          <w:szCs w:val="21"/>
          <w:highlight w:val="none"/>
          <w:u w:val="single"/>
        </w:rPr>
        <w:t>%</w:t>
      </w:r>
      <w:r>
        <w:rPr>
          <w:rFonts w:hint="eastAsia" w:ascii="宋体" w:hAnsi="宋体"/>
          <w:szCs w:val="21"/>
          <w:highlight w:val="none"/>
          <w:u w:val="single"/>
          <w:lang w:eastAsia="zh-CN"/>
        </w:rPr>
        <w:t>）</w:t>
      </w:r>
      <w:r>
        <w:rPr>
          <w:rFonts w:hint="eastAsia" w:ascii="宋体" w:hAnsi="宋体"/>
          <w:szCs w:val="21"/>
          <w:highlight w:val="none"/>
        </w:rPr>
        <w:t>后支付，发票备注栏需注明本合同编号；若是开“货物一批”单张增值税专用发票时，应附有加盖发票专用章的货物明细清单。</w:t>
      </w:r>
    </w:p>
    <w:p w14:paraId="0BC378C4">
      <w:pPr>
        <w:tabs>
          <w:tab w:val="left" w:pos="180"/>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10.2</w:t>
      </w:r>
      <w:r>
        <w:rPr>
          <w:rFonts w:ascii="宋体" w:hAnsi="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w:t>
      </w:r>
      <w:r>
        <w:rPr>
          <w:rFonts w:hint="eastAsia" w:ascii="宋体" w:hAnsi="宋体" w:cs="Times New Roman"/>
          <w:kern w:val="2"/>
          <w:sz w:val="21"/>
          <w:szCs w:val="21"/>
          <w:highlight w:val="none"/>
          <w:u w:val="none"/>
          <w:lang w:val="en-US" w:eastAsia="zh-CN" w:bidi="ar"/>
        </w:rPr>
        <w:t>（或交付货物金额）</w:t>
      </w:r>
      <w:r>
        <w:rPr>
          <w:rFonts w:hint="eastAsia" w:ascii="宋体" w:hAnsi="宋体" w:eastAsia="宋体" w:cs="Times New Roman"/>
          <w:kern w:val="2"/>
          <w:sz w:val="21"/>
          <w:szCs w:val="21"/>
          <w:highlight w:val="none"/>
          <w:u w:val="none"/>
          <w:lang w:val="en-US" w:eastAsia="zh-CN" w:bidi="ar"/>
        </w:rPr>
        <w:t>的</w:t>
      </w:r>
      <w:r>
        <w:rPr>
          <w:rFonts w:hint="eastAsia" w:ascii="宋体" w:hAnsi="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single"/>
          <w:lang w:val="en-US" w:eastAsia="zh-CN" w:bidi="ar"/>
        </w:rPr>
        <w:t>%</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cs="Times New Roman"/>
          <w:kern w:val="2"/>
          <w:sz w:val="21"/>
          <w:szCs w:val="21"/>
          <w:highlight w:val="none"/>
          <w:u w:val="none"/>
          <w:lang w:val="en-US" w:eastAsia="zh-CN" w:bidi="ar"/>
        </w:rPr>
        <w:t>，</w:t>
      </w:r>
      <w:r>
        <w:rPr>
          <w:rFonts w:hint="eastAsia" w:ascii="宋体" w:hAnsi="宋体"/>
          <w:szCs w:val="21"/>
        </w:rPr>
        <w:t>余款自货物验收合格之日起（从次日起算）一年内无任何质量问题，由买方</w:t>
      </w:r>
      <w:r>
        <w:rPr>
          <w:rFonts w:hint="eastAsia" w:ascii="宋体" w:hAnsi="宋体"/>
          <w:szCs w:val="21"/>
          <w:u w:val="none"/>
        </w:rPr>
        <w:t>90</w:t>
      </w:r>
      <w:r>
        <w:rPr>
          <w:rFonts w:hint="eastAsia" w:ascii="宋体" w:hAnsi="宋体"/>
          <w:szCs w:val="21"/>
        </w:rPr>
        <w:t>个工作日内向卖方支付</w:t>
      </w:r>
      <w:r>
        <w:rPr>
          <w:rFonts w:hint="eastAsia" w:ascii="宋体" w:hAnsi="宋体" w:eastAsia="宋体" w:cs="Times New Roman"/>
          <w:kern w:val="2"/>
          <w:sz w:val="21"/>
          <w:szCs w:val="21"/>
          <w:highlight w:val="none"/>
          <w:u w:val="none"/>
          <w:lang w:val="en-US" w:eastAsia="zh-CN" w:bidi="ar"/>
        </w:rPr>
        <w:t>。</w:t>
      </w:r>
      <w:r>
        <w:rPr>
          <w:rFonts w:hint="eastAsia" w:ascii="宋体" w:hAnsi="宋体" w:cs="Times New Roman"/>
          <w:kern w:val="2"/>
          <w:sz w:val="21"/>
          <w:szCs w:val="21"/>
          <w:highlight w:val="none"/>
          <w:u w:val="none"/>
          <w:lang w:val="en-US" w:eastAsia="zh-CN" w:bidi="ar"/>
        </w:rPr>
        <w:t>如果卖方未能及时开具发票，买方有权拒绝支付相应货款而不承担任何责任。</w:t>
      </w:r>
    </w:p>
    <w:p w14:paraId="72D39036">
      <w:pPr>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10.3 </w:t>
      </w:r>
      <w:r>
        <w:rPr>
          <w:rFonts w:hint="eastAsia" w:ascii="宋体" w:hAnsi="宋体"/>
          <w:b/>
          <w:bCs/>
          <w:szCs w:val="21"/>
          <w:highlight w:val="none"/>
        </w:rPr>
        <w:t>在提交发票时，需附有详细的发票清单（详见附件4），</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如未提供上述材料、提供有误或不完整，买方将有权推迟向卖方支付货款，推迟时间为自货物验收合格之日起（从次日起算）</w:t>
      </w:r>
      <w:r>
        <w:rPr>
          <w:rFonts w:hint="eastAsia" w:ascii="宋体" w:hAnsi="宋体"/>
          <w:b/>
          <w:bCs/>
          <w:szCs w:val="21"/>
          <w:highlight w:val="none"/>
          <w:u w:val="single"/>
        </w:rPr>
        <w:t>90</w:t>
      </w:r>
      <w:r>
        <w:rPr>
          <w:rFonts w:hint="eastAsia" w:ascii="宋体" w:hAnsi="宋体"/>
          <w:b/>
          <w:bCs/>
          <w:szCs w:val="21"/>
          <w:highlight w:val="none"/>
        </w:rPr>
        <w:t>个日历天。</w:t>
      </w:r>
    </w:p>
    <w:p w14:paraId="6B55C6C0">
      <w:pPr>
        <w:snapToGrid w:val="0"/>
        <w:spacing w:line="360" w:lineRule="auto"/>
        <w:rPr>
          <w:rFonts w:ascii="宋体" w:hAnsi="宋体"/>
          <w:szCs w:val="21"/>
          <w:highlight w:val="none"/>
        </w:rPr>
      </w:pPr>
      <w:r>
        <w:rPr>
          <w:rFonts w:hint="eastAsia" w:ascii="宋体" w:hAnsi="宋体"/>
          <w:szCs w:val="21"/>
          <w:highlight w:val="none"/>
        </w:rPr>
        <w:t>10.4 货款以银行转账方式结算。</w:t>
      </w:r>
    </w:p>
    <w:p w14:paraId="4E6D0B63">
      <w:pPr>
        <w:snapToGrid w:val="0"/>
        <w:spacing w:line="360" w:lineRule="auto"/>
        <w:ind w:left="525" w:hanging="525" w:hangingChars="250"/>
        <w:rPr>
          <w:rFonts w:ascii="宋体" w:hAnsi="宋体"/>
          <w:szCs w:val="21"/>
          <w:highlight w:val="none"/>
        </w:rPr>
      </w:pPr>
      <w:r>
        <w:rPr>
          <w:rFonts w:hint="eastAsia" w:ascii="宋体" w:hAnsi="宋体"/>
          <w:szCs w:val="21"/>
          <w:highlight w:val="none"/>
        </w:rPr>
        <w:t>10.5 本合同约定的不含税价款不因国家税率变化而变化。在合同履行期间，如遇国家的税率调整或其他政策影响税率的，则价税合计金额做相应调整。</w:t>
      </w:r>
    </w:p>
    <w:p w14:paraId="72D3408C">
      <w:pPr>
        <w:snapToGrid w:val="0"/>
        <w:spacing w:line="360" w:lineRule="auto"/>
        <w:ind w:left="525" w:hanging="525" w:hangingChars="250"/>
        <w:rPr>
          <w:rFonts w:ascii="宋体" w:hAnsi="宋体"/>
          <w:szCs w:val="21"/>
          <w:highlight w:val="none"/>
        </w:rPr>
      </w:pPr>
      <w:r>
        <w:rPr>
          <w:rFonts w:hint="eastAsia" w:ascii="宋体" w:hAnsi="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67C31E95">
      <w:pPr>
        <w:snapToGrid w:val="0"/>
        <w:spacing w:line="360" w:lineRule="auto"/>
        <w:ind w:left="527" w:hanging="527" w:hangingChars="250"/>
        <w:rPr>
          <w:rFonts w:ascii="宋体" w:hAnsi="宋体"/>
          <w:b/>
          <w:bCs/>
          <w:szCs w:val="21"/>
          <w:highlight w:val="none"/>
        </w:rPr>
      </w:pPr>
      <w:r>
        <w:rPr>
          <w:rFonts w:hint="eastAsia" w:ascii="宋体" w:hAnsi="宋体"/>
          <w:b/>
          <w:bCs/>
          <w:szCs w:val="21"/>
          <w:highlight w:val="none"/>
        </w:rPr>
        <w:t>11</w:t>
      </w:r>
      <w:r>
        <w:rPr>
          <w:rFonts w:ascii="宋体" w:hAnsi="宋体"/>
          <w:b/>
          <w:bCs/>
          <w:szCs w:val="21"/>
          <w:highlight w:val="none"/>
        </w:rPr>
        <w:t xml:space="preserve">.  </w:t>
      </w:r>
      <w:r>
        <w:rPr>
          <w:rFonts w:hint="eastAsia" w:ascii="宋体" w:hAnsi="宋体"/>
          <w:b/>
          <w:bCs/>
          <w:szCs w:val="21"/>
          <w:highlight w:val="none"/>
        </w:rPr>
        <w:t>履约保证金</w:t>
      </w:r>
    </w:p>
    <w:p w14:paraId="437933AA">
      <w:pPr>
        <w:snapToGrid w:val="0"/>
        <w:spacing w:line="360" w:lineRule="auto"/>
        <w:ind w:left="525" w:hanging="525" w:hangingChars="250"/>
        <w:rPr>
          <w:rFonts w:ascii="宋体" w:hAnsi="宋体"/>
          <w:bCs/>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 xml:space="preserve"> </w:t>
      </w:r>
      <w:r>
        <w:rPr>
          <w:rFonts w:ascii="宋体" w:hAnsi="宋体"/>
          <w:szCs w:val="21"/>
          <w:highlight w:val="none"/>
        </w:rPr>
        <w:t>在本合同签订时，卖方应向买方提交履约保证金，金额</w:t>
      </w:r>
      <w:r>
        <w:rPr>
          <w:rFonts w:hint="eastAsia" w:ascii="宋体" w:hAnsi="宋体"/>
          <w:bCs/>
          <w:szCs w:val="21"/>
          <w:highlight w:val="none"/>
        </w:rPr>
        <w:t>为人民币（大写）</w:t>
      </w:r>
      <w:r>
        <w:rPr>
          <w:rFonts w:hint="eastAsia" w:ascii="宋体" w:hAnsi="宋体"/>
          <w:b/>
          <w:szCs w:val="21"/>
          <w:highlight w:val="none"/>
          <w:u w:val="single"/>
          <w:lang w:val="en-US" w:eastAsia="zh-CN"/>
        </w:rPr>
        <w:t xml:space="preserve">         </w:t>
      </w:r>
      <w:r>
        <w:rPr>
          <w:rFonts w:hint="eastAsia" w:ascii="宋体" w:hAnsi="宋体"/>
          <w:bCs/>
          <w:szCs w:val="21"/>
          <w:highlight w:val="none"/>
        </w:rPr>
        <w:t>（</w:t>
      </w:r>
      <w:r>
        <w:rPr>
          <w:rFonts w:hint="eastAsia" w:ascii="宋体" w:hAnsi="宋体"/>
          <w:b/>
          <w:szCs w:val="21"/>
          <w:highlight w:val="none"/>
        </w:rPr>
        <w:t>¥</w:t>
      </w:r>
      <w:r>
        <w:rPr>
          <w:rFonts w:hint="eastAsia" w:ascii="宋体" w:hAnsi="宋体"/>
          <w:b/>
          <w:szCs w:val="21"/>
          <w:highlight w:val="none"/>
          <w:u w:val="single"/>
          <w:lang w:val="en-US" w:eastAsia="zh-CN"/>
        </w:rPr>
        <w:t xml:space="preserve">        </w:t>
      </w:r>
      <w:r>
        <w:rPr>
          <w:rFonts w:hint="eastAsia" w:ascii="宋体" w:hAnsi="宋体"/>
          <w:bCs/>
          <w:szCs w:val="21"/>
          <w:highlight w:val="none"/>
        </w:rPr>
        <w:t>元）。</w:t>
      </w:r>
    </w:p>
    <w:p w14:paraId="6162E75D">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272E6C45">
      <w:pPr>
        <w:snapToGrid w:val="0"/>
        <w:spacing w:line="360" w:lineRule="auto"/>
        <w:ind w:left="525" w:hanging="525" w:hangingChars="250"/>
        <w:rPr>
          <w:rFonts w:ascii="宋体" w:hAnsi="宋体"/>
          <w:szCs w:val="21"/>
          <w:highlight w:val="none"/>
        </w:rPr>
      </w:pPr>
      <w:r>
        <w:rPr>
          <w:rFonts w:hint="eastAsia" w:ascii="宋体" w:hAnsi="宋体"/>
          <w:bCs/>
          <w:szCs w:val="21"/>
          <w:highlight w:val="none"/>
        </w:rPr>
        <w:t>11.</w:t>
      </w:r>
      <w:r>
        <w:rPr>
          <w:rFonts w:hint="eastAsia" w:ascii="宋体" w:hAnsi="宋体"/>
          <w:bCs/>
          <w:szCs w:val="21"/>
          <w:highlight w:val="none"/>
          <w:lang w:val="en-US" w:eastAsia="zh-CN"/>
        </w:rPr>
        <w:t>3</w:t>
      </w:r>
      <w:r>
        <w:rPr>
          <w:rFonts w:ascii="宋体" w:hAnsi="宋体"/>
          <w:bCs/>
          <w:szCs w:val="21"/>
          <w:highlight w:val="none"/>
        </w:rPr>
        <w:t xml:space="preserve"> </w:t>
      </w:r>
      <w:r>
        <w:rPr>
          <w:rFonts w:hint="eastAsia" w:ascii="宋体" w:hAnsi="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68C37503">
      <w:pPr>
        <w:snapToGrid w:val="0"/>
        <w:spacing w:line="360" w:lineRule="auto"/>
        <w:ind w:left="525" w:hanging="525" w:hangingChars="250"/>
        <w:rPr>
          <w:rFonts w:ascii="宋体" w:hAnsi="宋体"/>
          <w:b/>
          <w:bCs/>
          <w:color w:val="FF0000"/>
          <w:szCs w:val="21"/>
          <w:highlight w:val="none"/>
        </w:rPr>
      </w:pPr>
      <w:r>
        <w:rPr>
          <w:rFonts w:hint="eastAsia" w:ascii="宋体" w:hAnsi="宋体"/>
          <w:szCs w:val="21"/>
          <w:highlight w:val="none"/>
        </w:rPr>
        <w:t>11.</w:t>
      </w:r>
      <w:r>
        <w:rPr>
          <w:rFonts w:hint="eastAsia" w:ascii="宋体" w:hAnsi="宋体"/>
          <w:szCs w:val="21"/>
          <w:highlight w:val="none"/>
          <w:lang w:val="en-US" w:eastAsia="zh-CN"/>
        </w:rPr>
        <w:t>4</w:t>
      </w:r>
      <w:r>
        <w:rPr>
          <w:rFonts w:ascii="宋体" w:hAnsi="宋体"/>
          <w:szCs w:val="21"/>
          <w:highlight w:val="none"/>
        </w:rPr>
        <w:t xml:space="preserve"> </w:t>
      </w:r>
      <w:r>
        <w:rPr>
          <w:rFonts w:hint="eastAsia" w:ascii="宋体" w:hAnsi="宋体"/>
          <w:szCs w:val="21"/>
          <w:highlight w:val="none"/>
        </w:rPr>
        <w:t>如买方根据本合同的约定扣除履约保证金，卖方必须在扣款后</w:t>
      </w:r>
      <w:r>
        <w:rPr>
          <w:rFonts w:hint="eastAsia" w:ascii="宋体" w:hAnsi="宋体"/>
          <w:szCs w:val="21"/>
          <w:highlight w:val="none"/>
          <w:u w:val="single"/>
          <w:lang w:val="en-US" w:eastAsia="zh-CN"/>
        </w:rPr>
        <w:t xml:space="preserve"> 5 </w:t>
      </w:r>
      <w:r>
        <w:rPr>
          <w:rFonts w:hint="eastAsia" w:ascii="宋体" w:hAnsi="宋体"/>
          <w:szCs w:val="21"/>
          <w:highlight w:val="none"/>
        </w:rPr>
        <w:t>个工作日内，补足相等于该扣除款额的履约保证金，以保证合同履行期间履约保证金的完整。如履约保证金尚不能弥补买方的损失，买方有权向卖方另行主张赔偿。</w:t>
      </w:r>
    </w:p>
    <w:p w14:paraId="47A4E537">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w:t>
      </w:r>
      <w:r>
        <w:rPr>
          <w:rFonts w:hint="eastAsia" w:ascii="宋体" w:hAnsi="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b w:val="0"/>
          <w:bCs w:val="0"/>
          <w:szCs w:val="21"/>
          <w:highlight w:val="none"/>
        </w:rPr>
        <w:t>个</w:t>
      </w:r>
      <w:r>
        <w:rPr>
          <w:rFonts w:hint="eastAsia" w:ascii="宋体" w:hAnsi="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1BFA414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b/>
          <w:szCs w:val="21"/>
          <w:highlight w:val="none"/>
        </w:rPr>
      </w:pPr>
      <w:r>
        <w:rPr>
          <w:rFonts w:hint="eastAsia" w:ascii="宋体" w:hAnsi="宋体"/>
          <w:b/>
          <w:bCs/>
          <w:szCs w:val="21"/>
          <w:highlight w:val="none"/>
        </w:rPr>
        <w:t>12.</w:t>
      </w:r>
      <w:r>
        <w:rPr>
          <w:rFonts w:hint="eastAsia" w:ascii="宋体" w:hAnsi="宋体"/>
          <w:szCs w:val="21"/>
          <w:highlight w:val="none"/>
        </w:rPr>
        <w:t xml:space="preserve">  </w:t>
      </w:r>
      <w:r>
        <w:rPr>
          <w:rFonts w:hint="eastAsia" w:ascii="宋体" w:hAnsi="宋体"/>
          <w:b/>
          <w:szCs w:val="21"/>
          <w:highlight w:val="none"/>
        </w:rPr>
        <w:t>保密条款</w:t>
      </w:r>
    </w:p>
    <w:p w14:paraId="6AA61F05">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200FCCE">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7AEF1338">
      <w:pPr>
        <w:tabs>
          <w:tab w:val="left" w:pos="360"/>
        </w:tabs>
        <w:snapToGrid w:val="0"/>
        <w:spacing w:line="360" w:lineRule="auto"/>
        <w:rPr>
          <w:rFonts w:ascii="宋体" w:hAnsi="宋体"/>
          <w:szCs w:val="21"/>
          <w:highlight w:val="none"/>
        </w:rPr>
      </w:pPr>
      <w:r>
        <w:rPr>
          <w:rFonts w:hint="eastAsia" w:ascii="宋体" w:hAnsi="宋体"/>
          <w:b/>
          <w:bCs/>
          <w:szCs w:val="21"/>
          <w:highlight w:val="none"/>
        </w:rPr>
        <w:t>13.</w:t>
      </w:r>
      <w:r>
        <w:rPr>
          <w:rFonts w:hint="eastAsia" w:ascii="宋体" w:hAnsi="宋体"/>
          <w:szCs w:val="21"/>
          <w:highlight w:val="none"/>
        </w:rPr>
        <w:t xml:space="preserve">  </w:t>
      </w:r>
      <w:r>
        <w:rPr>
          <w:rFonts w:hint="eastAsia" w:ascii="宋体" w:hAnsi="宋体"/>
          <w:b/>
          <w:szCs w:val="21"/>
          <w:highlight w:val="none"/>
        </w:rPr>
        <w:t>违约责任</w:t>
      </w:r>
    </w:p>
    <w:p w14:paraId="20F582B8">
      <w:pPr>
        <w:snapToGrid w:val="0"/>
        <w:spacing w:line="360" w:lineRule="auto"/>
        <w:ind w:left="525" w:hanging="525" w:hangingChars="250"/>
        <w:rPr>
          <w:rFonts w:ascii="宋体" w:hAnsi="宋体"/>
          <w:szCs w:val="21"/>
          <w:highlight w:val="none"/>
        </w:rPr>
      </w:pPr>
      <w:r>
        <w:rPr>
          <w:rFonts w:hint="eastAsia" w:ascii="宋体" w:hAnsi="宋体"/>
          <w:szCs w:val="21"/>
          <w:highlight w:val="none"/>
        </w:rPr>
        <w:t>13.1 买方不得无正当理由拒收货物、拒付货款，非经卖方原因，买方延期付款，经卖方书面告知后</w:t>
      </w:r>
      <w:r>
        <w:rPr>
          <w:rFonts w:hint="eastAsia" w:ascii="宋体" w:hAnsi="宋体"/>
          <w:szCs w:val="21"/>
          <w:highlight w:val="none"/>
          <w:u w:val="single"/>
        </w:rPr>
        <w:t xml:space="preserve"> 30 </w:t>
      </w:r>
      <w:r>
        <w:rPr>
          <w:rFonts w:hint="eastAsia" w:ascii="宋体" w:hAnsi="宋体"/>
          <w:szCs w:val="21"/>
          <w:highlight w:val="none"/>
        </w:rPr>
        <w:t>个工作日内仍未付款的，每迟延一日，买方应向卖方支付迟延付款金额的</w:t>
      </w:r>
      <w:r>
        <w:rPr>
          <w:rFonts w:hint="eastAsia" w:ascii="宋体" w:hAnsi="宋体" w:cs="宋体"/>
          <w:szCs w:val="21"/>
          <w:highlight w:val="none"/>
          <w:u w:val="single"/>
        </w:rPr>
        <w:t>0.3</w:t>
      </w:r>
      <w:r>
        <w:rPr>
          <w:rFonts w:hint="eastAsia" w:ascii="宋体" w:hAnsi="宋体"/>
          <w:szCs w:val="21"/>
          <w:highlight w:val="none"/>
          <w:u w:val="single"/>
        </w:rPr>
        <w:t>‰</w:t>
      </w:r>
      <w:r>
        <w:rPr>
          <w:rFonts w:hint="eastAsia" w:ascii="宋体" w:hAnsi="宋体"/>
          <w:szCs w:val="21"/>
          <w:highlight w:val="none"/>
        </w:rPr>
        <w:t>的违约金，直至款项付清之日，但卖方不得以此为由迟延交付货物。</w:t>
      </w:r>
    </w:p>
    <w:p w14:paraId="2AA006A1">
      <w:pPr>
        <w:snapToGrid w:val="0"/>
        <w:spacing w:line="360" w:lineRule="auto"/>
        <w:ind w:left="525" w:hanging="525" w:hangingChars="250"/>
        <w:rPr>
          <w:rFonts w:ascii="宋体" w:hAnsi="宋体"/>
          <w:szCs w:val="21"/>
          <w:highlight w:val="none"/>
        </w:rPr>
      </w:pPr>
      <w:r>
        <w:rPr>
          <w:rFonts w:hint="eastAsia" w:ascii="宋体" w:hAnsi="宋体"/>
          <w:szCs w:val="21"/>
          <w:highlight w:val="none"/>
        </w:rPr>
        <w:t>13.2 若卖方未能按本合同约定时间及方式将全部货物交付至买方指定地点，每迟延一日，应向买方支付该批货物总价的</w:t>
      </w:r>
      <w:r>
        <w:rPr>
          <w:rFonts w:hint="eastAsia" w:ascii="宋体" w:hAnsi="宋体" w:cs="宋体"/>
          <w:szCs w:val="21"/>
          <w:highlight w:val="none"/>
          <w:u w:val="single"/>
        </w:rPr>
        <w:t>1</w:t>
      </w:r>
      <w:r>
        <w:rPr>
          <w:rFonts w:hint="eastAsia" w:ascii="宋体" w:hAnsi="宋体"/>
          <w:szCs w:val="21"/>
          <w:highlight w:val="none"/>
          <w:u w:val="single"/>
        </w:rPr>
        <w:t>‰</w:t>
      </w:r>
      <w:r>
        <w:rPr>
          <w:rFonts w:hint="eastAsia" w:ascii="宋体" w:hAnsi="宋体"/>
          <w:szCs w:val="21"/>
          <w:highlight w:val="none"/>
        </w:rPr>
        <w:t>的违约金，直至货物交付之日。若卖方迟延交货超过</w:t>
      </w:r>
      <w:r>
        <w:rPr>
          <w:rFonts w:hint="eastAsia" w:ascii="宋体" w:hAnsi="宋体"/>
          <w:szCs w:val="21"/>
          <w:highlight w:val="none"/>
          <w:u w:val="single"/>
        </w:rPr>
        <w:t xml:space="preserve"> 30 </w:t>
      </w:r>
      <w:r>
        <w:rPr>
          <w:rFonts w:hint="eastAsia" w:ascii="宋体" w:hAnsi="宋体"/>
          <w:szCs w:val="21"/>
          <w:highlight w:val="none"/>
        </w:rPr>
        <w:t>日，买方有权书面通知卖方单方面解除本合同，且有权要求卖方支付相当于合同总价5%的违约金，若该违约金不足以补偿给买方造成的损失，则卖方还应当补足差额部分。</w:t>
      </w:r>
    </w:p>
    <w:p w14:paraId="1D739831">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13.3 卖方所交付的货物品种、规格型号不符合合同规定的，买方有权拒收，卖方应向买方支付拒收不合格货物货款总额</w:t>
      </w:r>
      <w:r>
        <w:rPr>
          <w:rFonts w:hint="eastAsia" w:ascii="宋体" w:hAnsi="宋体" w:cs="宋体"/>
          <w:color w:val="000000"/>
          <w:szCs w:val="21"/>
          <w:highlight w:val="none"/>
          <w:u w:val="single"/>
        </w:rPr>
        <w:t>5</w:t>
      </w:r>
      <w:r>
        <w:rPr>
          <w:rFonts w:hint="eastAsia" w:ascii="宋体" w:hAnsi="宋体"/>
          <w:color w:val="000000"/>
          <w:szCs w:val="21"/>
          <w:highlight w:val="none"/>
          <w:u w:val="single"/>
        </w:rPr>
        <w:t>％</w:t>
      </w:r>
      <w:r>
        <w:rPr>
          <w:rFonts w:hint="eastAsia" w:ascii="宋体" w:hAnsi="宋体"/>
          <w:color w:val="000000"/>
          <w:szCs w:val="21"/>
          <w:highlight w:val="none"/>
        </w:rPr>
        <w:t>的违约金。</w:t>
      </w:r>
    </w:p>
    <w:p w14:paraId="17D6A144">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color w:val="000000"/>
          <w:szCs w:val="21"/>
          <w:highlight w:val="none"/>
          <w:u w:val="single"/>
        </w:rPr>
        <w:t>5%</w:t>
      </w:r>
      <w:r>
        <w:rPr>
          <w:rFonts w:hint="eastAsia" w:ascii="宋体" w:hAnsi="宋体"/>
          <w:color w:val="000000"/>
          <w:szCs w:val="21"/>
          <w:highlight w:val="none"/>
        </w:rPr>
        <w:t>的违约金。</w:t>
      </w:r>
    </w:p>
    <w:p w14:paraId="704DEB8E">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13.5 卖方未按本合同的规定和“服务承诺”提供伴随服务/售后服务的，应按合同总额的</w:t>
      </w:r>
      <w:r>
        <w:rPr>
          <w:rFonts w:hint="eastAsia" w:ascii="宋体" w:hAnsi="宋体"/>
          <w:color w:val="000000"/>
          <w:szCs w:val="21"/>
          <w:highlight w:val="none"/>
          <w:u w:val="single"/>
        </w:rPr>
        <w:t>5%</w:t>
      </w:r>
      <w:r>
        <w:rPr>
          <w:rFonts w:hint="eastAsia" w:ascii="宋体" w:hAnsi="宋体"/>
          <w:color w:val="000000"/>
          <w:szCs w:val="21"/>
          <w:highlight w:val="none"/>
        </w:rPr>
        <w:t>向买方承担违约责任。</w:t>
      </w:r>
    </w:p>
    <w:p w14:paraId="56658A5C">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13.6 鉴于买方属</w:t>
      </w:r>
      <w:r>
        <w:rPr>
          <w:rFonts w:hint="eastAsia" w:ascii="宋体" w:hAnsi="宋体"/>
          <w:color w:val="000000"/>
          <w:szCs w:val="21"/>
          <w:highlight w:val="none"/>
          <w:lang w:val="en-US" w:eastAsia="zh-CN"/>
        </w:rPr>
        <w:t>轨道交通</w:t>
      </w:r>
      <w:r>
        <w:rPr>
          <w:rFonts w:hint="eastAsia" w:ascii="宋体" w:hAnsi="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20F4DEA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19C4B11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13.8</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如果出现如下情形之一或者全部的，买方有权直接通知卖方解除或者终止合同：</w:t>
      </w:r>
    </w:p>
    <w:p w14:paraId="6D646912">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1）因不可抗力导致买方不能实现合同目的；</w:t>
      </w:r>
    </w:p>
    <w:p w14:paraId="777A7C3D">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2）在合同约定的履行期届满之前，卖方明确表示或者以自己的行为</w:t>
      </w:r>
      <w:r>
        <w:rPr>
          <w:rFonts w:hint="eastAsia" w:ascii="宋体" w:hAnsi="宋体"/>
          <w:color w:val="000000"/>
          <w:szCs w:val="21"/>
          <w:highlight w:val="none"/>
          <w:lang w:val="en-US" w:eastAsia="zh-CN"/>
        </w:rPr>
        <w:t>表</w:t>
      </w:r>
      <w:r>
        <w:rPr>
          <w:rFonts w:hint="eastAsia" w:ascii="宋体" w:hAnsi="宋体"/>
          <w:color w:val="000000"/>
          <w:szCs w:val="21"/>
          <w:highlight w:val="none"/>
        </w:rPr>
        <w:t>明不履行相应义务的；</w:t>
      </w:r>
    </w:p>
    <w:p w14:paraId="49EE6DD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3）卖方延迟履行部分或者全部</w:t>
      </w:r>
      <w:r>
        <w:rPr>
          <w:rFonts w:hint="eastAsia" w:ascii="宋体" w:hAnsi="宋体"/>
          <w:color w:val="000000"/>
          <w:szCs w:val="21"/>
          <w:highlight w:val="none"/>
          <w:lang w:val="en-US" w:eastAsia="zh-CN"/>
        </w:rPr>
        <w:t>义务</w:t>
      </w:r>
      <w:r>
        <w:rPr>
          <w:rFonts w:hint="eastAsia" w:ascii="宋体" w:hAnsi="宋体"/>
          <w:color w:val="000000"/>
          <w:szCs w:val="21"/>
          <w:highlight w:val="none"/>
        </w:rPr>
        <w:t>，</w:t>
      </w:r>
      <w:r>
        <w:rPr>
          <w:rFonts w:hint="eastAsia" w:ascii="宋体" w:hAnsi="宋体"/>
          <w:color w:val="000000"/>
          <w:szCs w:val="21"/>
          <w:highlight w:val="none"/>
          <w:lang w:val="en-US" w:eastAsia="zh-CN"/>
        </w:rPr>
        <w:t>经催告后仍未在买方规定期限履行的；</w:t>
      </w:r>
    </w:p>
    <w:p w14:paraId="41E087A8">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color w:val="000000"/>
          <w:szCs w:val="21"/>
          <w:highlight w:val="none"/>
        </w:rPr>
      </w:pPr>
      <w:r>
        <w:rPr>
          <w:rFonts w:hint="eastAsia" w:ascii="宋体" w:hAnsi="宋体"/>
          <w:color w:val="000000"/>
          <w:szCs w:val="21"/>
          <w:highlight w:val="none"/>
          <w:lang w:val="en-US" w:eastAsia="zh-CN"/>
        </w:rPr>
        <w:t>4）卖方</w:t>
      </w:r>
      <w:r>
        <w:rPr>
          <w:rFonts w:hint="eastAsia" w:ascii="宋体" w:hAnsi="宋体"/>
          <w:color w:val="000000"/>
          <w:szCs w:val="21"/>
          <w:highlight w:val="none"/>
        </w:rPr>
        <w:t>发生其他</w:t>
      </w:r>
      <w:r>
        <w:rPr>
          <w:rFonts w:hint="eastAsia" w:ascii="宋体" w:hAnsi="宋体"/>
          <w:color w:val="000000"/>
          <w:szCs w:val="21"/>
          <w:highlight w:val="none"/>
          <w:lang w:val="en-US" w:eastAsia="zh-CN"/>
        </w:rPr>
        <w:t>根本违约行为的。</w:t>
      </w:r>
    </w:p>
    <w:p w14:paraId="482D283D">
      <w:pPr>
        <w:snapToGrid w:val="0"/>
        <w:spacing w:line="360" w:lineRule="auto"/>
        <w:rPr>
          <w:rFonts w:ascii="宋体" w:hAnsi="宋体"/>
          <w:color w:val="000000"/>
          <w:szCs w:val="21"/>
          <w:highlight w:val="none"/>
        </w:rPr>
      </w:pPr>
      <w:r>
        <w:rPr>
          <w:rFonts w:hint="eastAsia" w:ascii="宋体" w:hAnsi="宋体"/>
          <w:b/>
          <w:bCs/>
          <w:szCs w:val="21"/>
          <w:highlight w:val="none"/>
        </w:rPr>
        <w:t xml:space="preserve">14.  </w:t>
      </w:r>
      <w:r>
        <w:rPr>
          <w:rFonts w:hint="eastAsia" w:ascii="宋体" w:hAnsi="宋体"/>
          <w:b/>
          <w:szCs w:val="21"/>
          <w:highlight w:val="none"/>
        </w:rPr>
        <w:t>不可抗力</w:t>
      </w:r>
    </w:p>
    <w:p w14:paraId="076D9178">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color w:val="000000"/>
          <w:szCs w:val="21"/>
          <w:highlight w:val="none"/>
          <w:u w:val="single"/>
        </w:rPr>
        <w:t xml:space="preserve"> 30 </w:t>
      </w:r>
      <w:r>
        <w:rPr>
          <w:rFonts w:hint="eastAsia" w:ascii="宋体" w:hAnsi="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11724BE3">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68D60C25">
      <w:pPr>
        <w:tabs>
          <w:tab w:val="left" w:pos="360"/>
        </w:tabs>
        <w:snapToGrid w:val="0"/>
        <w:spacing w:line="360" w:lineRule="auto"/>
        <w:rPr>
          <w:bCs/>
          <w:snapToGrid w:val="0"/>
          <w:szCs w:val="21"/>
          <w:highlight w:val="none"/>
        </w:rPr>
      </w:pPr>
      <w:r>
        <w:rPr>
          <w:rFonts w:hint="eastAsia" w:ascii="宋体" w:hAnsi="宋体"/>
          <w:b/>
          <w:bCs/>
          <w:szCs w:val="21"/>
          <w:highlight w:val="none"/>
        </w:rPr>
        <w:t>15.</w:t>
      </w:r>
      <w:r>
        <w:rPr>
          <w:rFonts w:hint="eastAsia" w:ascii="宋体" w:hAnsi="宋体"/>
          <w:b/>
          <w:szCs w:val="21"/>
          <w:highlight w:val="none"/>
        </w:rPr>
        <w:t xml:space="preserve">  知识产权</w:t>
      </w:r>
    </w:p>
    <w:p w14:paraId="769CC89F">
      <w:pPr>
        <w:tabs>
          <w:tab w:val="left" w:pos="360"/>
        </w:tabs>
        <w:snapToGrid w:val="0"/>
        <w:spacing w:line="360" w:lineRule="auto"/>
        <w:rPr>
          <w:rFonts w:ascii="宋体" w:hAnsi="宋体"/>
          <w:color w:val="000000"/>
          <w:kern w:val="0"/>
          <w:szCs w:val="21"/>
          <w:highlight w:val="none"/>
        </w:rPr>
      </w:pPr>
      <w:r>
        <w:rPr>
          <w:rFonts w:hint="eastAsia" w:ascii="宋体" w:hAnsi="宋体"/>
          <w:color w:val="000000"/>
          <w:kern w:val="0"/>
          <w:szCs w:val="21"/>
          <w:highlight w:val="none"/>
        </w:rPr>
        <w:t>15.1 买方在履行合同过程中提供给卖方的全部图纸、文件和其他含有数据和信息的资料，其知识产权属于买方。</w:t>
      </w:r>
    </w:p>
    <w:p w14:paraId="77C96C27">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0546FFB2">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15.3 卖方保证，买方在使用本合同项下货物或该货物的任何一部分时，免受第三方提出的侵犯其专利权、商标权、著作权或其他知识产权的起诉。</w:t>
      </w:r>
    </w:p>
    <w:p w14:paraId="0FCBF5F5">
      <w:pPr>
        <w:tabs>
          <w:tab w:val="left" w:pos="360"/>
        </w:tabs>
        <w:snapToGrid w:val="0"/>
        <w:spacing w:line="360" w:lineRule="auto"/>
        <w:ind w:left="525" w:hanging="525" w:hangingChars="250"/>
        <w:rPr>
          <w:bCs/>
          <w:snapToGrid w:val="0"/>
          <w:szCs w:val="21"/>
          <w:highlight w:val="none"/>
        </w:rPr>
      </w:pPr>
      <w:r>
        <w:rPr>
          <w:rFonts w:hint="eastAsia" w:ascii="宋体" w:hAnsi="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1EA76484">
      <w:pPr>
        <w:tabs>
          <w:tab w:val="left" w:pos="360"/>
        </w:tabs>
        <w:snapToGrid w:val="0"/>
        <w:spacing w:line="360" w:lineRule="auto"/>
        <w:rPr>
          <w:bCs/>
          <w:snapToGrid w:val="0"/>
          <w:szCs w:val="21"/>
          <w:highlight w:val="none"/>
        </w:rPr>
      </w:pPr>
      <w:r>
        <w:rPr>
          <w:rFonts w:hint="eastAsia" w:ascii="宋体" w:hAnsi="宋体"/>
          <w:b/>
          <w:bCs/>
          <w:szCs w:val="21"/>
          <w:highlight w:val="none"/>
        </w:rPr>
        <w:t>16.</w:t>
      </w:r>
      <w:r>
        <w:rPr>
          <w:rFonts w:hint="eastAsia" w:ascii="宋体" w:hAnsi="宋体"/>
          <w:b/>
          <w:szCs w:val="21"/>
          <w:highlight w:val="none"/>
        </w:rPr>
        <w:t xml:space="preserve">  合同的变更或终止</w:t>
      </w:r>
    </w:p>
    <w:p w14:paraId="16C7CB63">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16.1 买方有权向卖方发出书面通知，从以下方面对合同内容进行变更，卖方应无条件执行买方的变更要求：</w:t>
      </w:r>
    </w:p>
    <w:p w14:paraId="09D2479F">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1）提前、推迟或暂停合同货物的交货，但应在交货期</w:t>
      </w:r>
      <w:r>
        <w:rPr>
          <w:rFonts w:hint="eastAsia" w:ascii="宋体" w:hAnsi="宋体"/>
          <w:color w:val="000000"/>
          <w:szCs w:val="21"/>
          <w:highlight w:val="none"/>
          <w:u w:val="single"/>
        </w:rPr>
        <w:t xml:space="preserve"> 30 </w:t>
      </w:r>
      <w:r>
        <w:rPr>
          <w:rFonts w:hint="eastAsia" w:ascii="宋体" w:hAnsi="宋体"/>
          <w:color w:val="000000"/>
          <w:szCs w:val="21"/>
          <w:highlight w:val="none"/>
        </w:rPr>
        <w:t>天前（含本数）通知卖方，以便卖方提前做好各项生产准备工作。提前、推迟、暂停及重新确定交货时间均应办理有关合同变更手续。</w:t>
      </w:r>
    </w:p>
    <w:p w14:paraId="63124A25">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2）在交货期</w:t>
      </w:r>
      <w:r>
        <w:rPr>
          <w:rFonts w:hint="eastAsia" w:ascii="宋体" w:hAnsi="宋体"/>
          <w:color w:val="000000"/>
          <w:szCs w:val="21"/>
          <w:highlight w:val="none"/>
          <w:u w:val="single"/>
        </w:rPr>
        <w:t xml:space="preserve"> 7 </w:t>
      </w:r>
      <w:r>
        <w:rPr>
          <w:rFonts w:hint="eastAsia" w:ascii="宋体" w:hAnsi="宋体"/>
          <w:color w:val="000000"/>
          <w:szCs w:val="21"/>
          <w:highlight w:val="none"/>
        </w:rPr>
        <w:t>天前（含本数）通知卖方变更运输方式、包装方式、交货地点及卖方需提供的服务。</w:t>
      </w:r>
    </w:p>
    <w:p w14:paraId="4FB34DCC">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16.2 除合同另有约定外，本框架合同在下列情况下终止：</w:t>
      </w:r>
    </w:p>
    <w:p w14:paraId="2CBC7B9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1）双方协商同意，并签署书面终止合同；</w:t>
      </w:r>
    </w:p>
    <w:p w14:paraId="55DDA8E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2）合同一方或者其受让人、承继人严重违反本合同规定的其义务且在另一方书面通知其纠正违约后的三十天内未能纠正违约，另一方可以书面通知违约方终止本合同；</w:t>
      </w:r>
    </w:p>
    <w:p w14:paraId="33A521A6">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3）一方破产、解散或停业清理，另一方可以在向该方发出通知后的十天内终止本合同。</w:t>
      </w:r>
    </w:p>
    <w:p w14:paraId="6108A994">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ab/>
      </w:r>
      <w:r>
        <w:rPr>
          <w:rFonts w:hint="eastAsia" w:ascii="宋体" w:hAnsi="宋体"/>
          <w:color w:val="000000"/>
          <w:szCs w:val="21"/>
          <w:highlight w:val="none"/>
        </w:rPr>
        <w:tab/>
      </w:r>
      <w:r>
        <w:rPr>
          <w:rFonts w:hint="eastAsia" w:ascii="宋体" w:hAnsi="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245E8F86">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16.3 除非买卖双方签署书面变更合同，并成为本合同不可分割的一部分之情形外，本合同的条款不得有任何变化或修改。</w:t>
      </w:r>
    </w:p>
    <w:p w14:paraId="5AB4CBB7">
      <w:pPr>
        <w:tabs>
          <w:tab w:val="left" w:pos="180"/>
        </w:tabs>
        <w:snapToGrid w:val="0"/>
        <w:spacing w:line="360" w:lineRule="auto"/>
        <w:rPr>
          <w:rFonts w:ascii="宋体" w:hAnsi="宋体"/>
          <w:szCs w:val="21"/>
          <w:highlight w:val="none"/>
        </w:rPr>
      </w:pPr>
      <w:r>
        <w:rPr>
          <w:rFonts w:hint="eastAsia" w:ascii="宋体" w:hAnsi="宋体"/>
          <w:b/>
          <w:bCs/>
          <w:szCs w:val="21"/>
          <w:highlight w:val="none"/>
        </w:rPr>
        <w:t xml:space="preserve">17.  </w:t>
      </w:r>
      <w:r>
        <w:rPr>
          <w:rFonts w:hint="eastAsia" w:ascii="宋体" w:hAnsi="宋体"/>
          <w:b/>
          <w:szCs w:val="21"/>
          <w:highlight w:val="none"/>
        </w:rPr>
        <w:t>合同的转让</w:t>
      </w:r>
      <w:r>
        <w:rPr>
          <w:rFonts w:hint="eastAsia" w:ascii="宋体" w:hAnsi="宋体"/>
          <w:szCs w:val="21"/>
          <w:highlight w:val="none"/>
        </w:rPr>
        <w:t xml:space="preserve"> </w:t>
      </w:r>
    </w:p>
    <w:p w14:paraId="64F8029F">
      <w:pPr>
        <w:tabs>
          <w:tab w:val="left" w:pos="360"/>
        </w:tabs>
        <w:snapToGrid w:val="0"/>
        <w:spacing w:line="360" w:lineRule="auto"/>
        <w:ind w:left="525" w:leftChars="250"/>
        <w:rPr>
          <w:rFonts w:ascii="宋体" w:hAnsi="宋体"/>
          <w:color w:val="000000"/>
          <w:szCs w:val="21"/>
          <w:highlight w:val="none"/>
        </w:rPr>
      </w:pPr>
      <w:r>
        <w:rPr>
          <w:rFonts w:hint="eastAsia" w:ascii="宋体" w:hAnsi="宋体"/>
          <w:szCs w:val="21"/>
          <w:highlight w:val="none"/>
        </w:rPr>
        <w:t>卖方不得部分转让或全部转让其应履行的合同义务，如买方发现卖方有买方不能接受的转让行为，买方有权中止或解除合同，</w:t>
      </w:r>
      <w:r>
        <w:rPr>
          <w:rFonts w:hint="eastAsia" w:ascii="宋体" w:hAnsi="宋体"/>
          <w:szCs w:val="21"/>
          <w:highlight w:val="none"/>
          <w:lang w:val="en-US" w:eastAsia="zh-CN"/>
        </w:rPr>
        <w:t>不予退还履约保证金，</w:t>
      </w:r>
      <w:r>
        <w:rPr>
          <w:rFonts w:hint="eastAsia" w:ascii="宋体" w:hAnsi="宋体"/>
          <w:szCs w:val="21"/>
          <w:highlight w:val="none"/>
        </w:rPr>
        <w:t>由此所造成的损失由卖方承担。</w:t>
      </w:r>
    </w:p>
    <w:p w14:paraId="2A00B984">
      <w:pPr>
        <w:tabs>
          <w:tab w:val="left" w:pos="180"/>
        </w:tabs>
        <w:snapToGrid w:val="0"/>
        <w:spacing w:line="360" w:lineRule="auto"/>
        <w:rPr>
          <w:rFonts w:ascii="宋体" w:hAnsi="宋体"/>
          <w:szCs w:val="21"/>
          <w:highlight w:val="none"/>
        </w:rPr>
      </w:pPr>
      <w:r>
        <w:rPr>
          <w:rFonts w:hint="eastAsia" w:ascii="宋体" w:hAnsi="宋体"/>
          <w:b/>
          <w:bCs/>
          <w:szCs w:val="21"/>
          <w:highlight w:val="none"/>
        </w:rPr>
        <w:t>1</w:t>
      </w:r>
      <w:r>
        <w:rPr>
          <w:rFonts w:hint="eastAsia" w:ascii="宋体" w:hAnsi="宋体"/>
          <w:b/>
          <w:bCs/>
          <w:szCs w:val="21"/>
          <w:highlight w:val="none"/>
          <w:lang w:val="en-US" w:eastAsia="zh-CN"/>
        </w:rPr>
        <w:t>8</w:t>
      </w:r>
      <w:r>
        <w:rPr>
          <w:rFonts w:hint="eastAsia" w:ascii="宋体" w:hAnsi="宋体"/>
          <w:b/>
          <w:bCs/>
          <w:szCs w:val="21"/>
          <w:highlight w:val="none"/>
        </w:rPr>
        <w:t xml:space="preserve">.  </w:t>
      </w:r>
      <w:r>
        <w:rPr>
          <w:rFonts w:hint="eastAsia" w:ascii="宋体" w:hAnsi="宋体"/>
          <w:b/>
          <w:szCs w:val="21"/>
          <w:highlight w:val="none"/>
        </w:rPr>
        <w:t>合同的</w:t>
      </w:r>
      <w:r>
        <w:rPr>
          <w:rFonts w:hint="eastAsia" w:ascii="宋体" w:hAnsi="宋体"/>
          <w:b/>
          <w:szCs w:val="21"/>
          <w:highlight w:val="none"/>
          <w:lang w:val="en-US" w:eastAsia="zh-CN"/>
        </w:rPr>
        <w:t>有效性</w:t>
      </w:r>
      <w:r>
        <w:rPr>
          <w:rFonts w:hint="eastAsia" w:ascii="宋体" w:hAnsi="宋体"/>
          <w:szCs w:val="21"/>
          <w:highlight w:val="none"/>
        </w:rPr>
        <w:t xml:space="preserve"> </w:t>
      </w:r>
    </w:p>
    <w:p w14:paraId="7C41DCD2">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326FFF94">
      <w:pPr>
        <w:snapToGrid w:val="0"/>
        <w:spacing w:line="360" w:lineRule="auto"/>
        <w:rPr>
          <w:rFonts w:ascii="宋体" w:hAnsi="宋体"/>
          <w:b/>
          <w:bCs/>
          <w:szCs w:val="21"/>
          <w:highlight w:val="none"/>
        </w:rPr>
      </w:pPr>
      <w:r>
        <w:rPr>
          <w:rFonts w:hint="eastAsia" w:ascii="宋体" w:hAnsi="宋体"/>
          <w:b/>
          <w:bCs/>
          <w:szCs w:val="21"/>
          <w:highlight w:val="none"/>
        </w:rPr>
        <w:t>1</w:t>
      </w:r>
      <w:r>
        <w:rPr>
          <w:rFonts w:ascii="宋体" w:hAnsi="宋体"/>
          <w:b/>
          <w:bCs/>
          <w:szCs w:val="21"/>
          <w:highlight w:val="none"/>
        </w:rPr>
        <w:t>9</w:t>
      </w:r>
      <w:r>
        <w:rPr>
          <w:rFonts w:hint="eastAsia" w:ascii="宋体" w:hAnsi="宋体"/>
          <w:b/>
          <w:bCs/>
          <w:szCs w:val="21"/>
          <w:highlight w:val="none"/>
        </w:rPr>
        <w:t>.  通知送达</w:t>
      </w:r>
    </w:p>
    <w:p w14:paraId="0433FFD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szCs w:val="21"/>
          <w:highlight w:val="none"/>
        </w:rPr>
      </w:pPr>
      <w:r>
        <w:rPr>
          <w:rFonts w:hint="eastAsia" w:ascii="宋体" w:hAnsi="宋体"/>
          <w:szCs w:val="21"/>
          <w:highlight w:val="none"/>
        </w:rPr>
        <w:t>19.1 买、卖双方应就合同履行中有关的事项及时进行联络，双方关于本合同的履行和相关事宜的通知，应当以</w:t>
      </w:r>
      <w:r>
        <w:rPr>
          <w:rFonts w:hint="eastAsia" w:ascii="宋体" w:hAnsi="宋体"/>
          <w:szCs w:val="21"/>
          <w:highlight w:val="none"/>
          <w:lang w:val="en-US" w:eastAsia="zh-CN"/>
        </w:rPr>
        <w:t>如下约定的</w:t>
      </w:r>
      <w:r>
        <w:rPr>
          <w:rFonts w:hint="eastAsia" w:ascii="宋体" w:hAnsi="宋体"/>
          <w:szCs w:val="21"/>
          <w:highlight w:val="none"/>
        </w:rPr>
        <w:t>联系人、联系方式</w:t>
      </w:r>
      <w:r>
        <w:rPr>
          <w:rFonts w:hint="eastAsia" w:ascii="宋体" w:hAnsi="宋体"/>
          <w:szCs w:val="21"/>
          <w:highlight w:val="none"/>
          <w:lang w:val="en-US" w:eastAsia="zh-CN"/>
        </w:rPr>
        <w:t>等</w:t>
      </w:r>
      <w:r>
        <w:rPr>
          <w:rFonts w:hint="eastAsia" w:ascii="宋体" w:hAnsi="宋体"/>
          <w:szCs w:val="21"/>
          <w:highlight w:val="none"/>
        </w:rPr>
        <w:t>送达</w:t>
      </w:r>
      <w:r>
        <w:rPr>
          <w:rFonts w:hint="eastAsia" w:ascii="宋体" w:hAnsi="宋体"/>
          <w:szCs w:val="21"/>
          <w:highlight w:val="none"/>
          <w:lang w:val="en-US" w:eastAsia="zh-CN"/>
        </w:rPr>
        <w:t>函件或者通知</w:t>
      </w:r>
      <w:r>
        <w:rPr>
          <w:rFonts w:hint="eastAsia" w:ascii="宋体" w:hAnsi="宋体"/>
          <w:szCs w:val="21"/>
          <w:highlight w:val="none"/>
        </w:rPr>
        <w:t>。合同履行过程中的任何联络及相关文件的签署，均应通过指定的联系人和联系方式进行。合同履行过程中，双方可以书面形式增加或变更指定联系人。</w:t>
      </w:r>
    </w:p>
    <w:p w14:paraId="19D1EB41">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2111589031"/>
          <w:lang w:val="en-US" w:eastAsia="zh-CN"/>
        </w:rPr>
        <w:t>卖方联系人</w:t>
      </w:r>
      <w:r>
        <w:rPr>
          <w:rFonts w:hint="eastAsia" w:ascii="宋体" w:hAnsi="宋体" w:eastAsia="宋体" w:cs="Times New Roman"/>
          <w:spacing w:val="0"/>
          <w:kern w:val="0"/>
          <w:szCs w:val="21"/>
          <w:highlight w:val="none"/>
          <w:fitText w:val="1470" w:id="2111589031"/>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D4D3F78">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2089826645"/>
          <w:lang w:val="en-US" w:eastAsia="zh-CN"/>
        </w:rPr>
        <w:t>电话号码</w:t>
      </w:r>
      <w:r>
        <w:rPr>
          <w:rFonts w:hint="eastAsia" w:ascii="宋体" w:hAnsi="宋体" w:eastAsia="宋体" w:cs="Times New Roman"/>
          <w:spacing w:val="2"/>
          <w:kern w:val="0"/>
          <w:szCs w:val="21"/>
          <w:highlight w:val="none"/>
          <w:fitText w:val="1470" w:id="208982664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3319934B">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724775708"/>
          <w:lang w:val="en-US" w:eastAsia="zh-CN"/>
        </w:rPr>
        <w:t>送达地址</w:t>
      </w:r>
      <w:r>
        <w:rPr>
          <w:rFonts w:hint="eastAsia" w:ascii="宋体" w:hAnsi="宋体" w:eastAsia="宋体" w:cs="Times New Roman"/>
          <w:spacing w:val="2"/>
          <w:kern w:val="0"/>
          <w:szCs w:val="21"/>
          <w:highlight w:val="none"/>
          <w:fitText w:val="1470" w:id="724775708"/>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504726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103897709"/>
          <w:lang w:val="en-US" w:eastAsia="zh-CN"/>
        </w:rPr>
        <w:t>电子联系</w:t>
      </w:r>
      <w:r>
        <w:rPr>
          <w:rFonts w:hint="eastAsia" w:ascii="宋体" w:hAnsi="宋体" w:eastAsia="宋体" w:cs="Times New Roman"/>
          <w:spacing w:val="0"/>
          <w:kern w:val="0"/>
          <w:szCs w:val="21"/>
          <w:highlight w:val="none"/>
          <w:fitText w:val="1470" w:id="103897709"/>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BB77BD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lang w:val="en-US" w:eastAsia="zh-CN"/>
        </w:rPr>
      </w:pPr>
      <w:r>
        <w:rPr>
          <w:rFonts w:hint="eastAsia" w:ascii="宋体" w:hAnsi="宋体" w:eastAsia="宋体" w:cs="Times New Roman"/>
          <w:spacing w:val="21"/>
          <w:kern w:val="0"/>
          <w:szCs w:val="21"/>
          <w:highlight w:val="none"/>
          <w:fitText w:val="1470" w:id="687347391"/>
        </w:rPr>
        <w:t>买方联系人</w:t>
      </w:r>
      <w:r>
        <w:rPr>
          <w:rFonts w:hint="eastAsia" w:ascii="宋体" w:hAnsi="宋体" w:eastAsia="宋体" w:cs="Times New Roman"/>
          <w:spacing w:val="0"/>
          <w:kern w:val="0"/>
          <w:szCs w:val="21"/>
          <w:highlight w:val="none"/>
          <w:fitText w:val="1470" w:id="687347391"/>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A7808B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u w:val="single"/>
          <w:lang w:val="en-US" w:eastAsia="zh-CN"/>
        </w:rPr>
      </w:pPr>
      <w:r>
        <w:rPr>
          <w:rFonts w:hint="eastAsia" w:ascii="宋体" w:hAnsi="宋体" w:eastAsia="宋体" w:cs="Times New Roman"/>
          <w:spacing w:val="52"/>
          <w:kern w:val="0"/>
          <w:szCs w:val="21"/>
          <w:fitText w:val="1470" w:id="1127639118"/>
        </w:rPr>
        <w:t>电话号码</w:t>
      </w:r>
      <w:r>
        <w:rPr>
          <w:rFonts w:hint="eastAsia" w:ascii="宋体" w:hAnsi="宋体" w:eastAsia="宋体" w:cs="Times New Roman"/>
          <w:spacing w:val="2"/>
          <w:kern w:val="0"/>
          <w:szCs w:val="21"/>
          <w:fitText w:val="1470" w:id="1127639118"/>
        </w:rPr>
        <w:t>：</w:t>
      </w:r>
      <w:r>
        <w:rPr>
          <w:rFonts w:hint="eastAsia" w:ascii="宋体" w:hAnsi="宋体" w:eastAsia="宋体" w:cs="Times New Roman"/>
          <w:kern w:val="0"/>
          <w:szCs w:val="21"/>
          <w:lang w:val="en-US" w:eastAsia="zh-CN"/>
        </w:rPr>
        <w:t xml:space="preserve"> </w:t>
      </w:r>
      <w:r>
        <w:rPr>
          <w:rFonts w:hint="eastAsia" w:ascii="宋体" w:hAnsi="宋体" w:eastAsia="宋体" w:cs="Times New Roman"/>
          <w:kern w:val="0"/>
          <w:szCs w:val="21"/>
          <w:lang w:val="en-US" w:eastAsia="zh-CN"/>
        </w:rPr>
        <w:tab/>
      </w:r>
    </w:p>
    <w:p w14:paraId="303ABDD8">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u w:val="single"/>
          <w:lang w:val="en-US" w:eastAsia="zh-CN"/>
        </w:rPr>
      </w:pPr>
      <w:r>
        <w:rPr>
          <w:rFonts w:hint="eastAsia" w:ascii="宋体" w:hAnsi="宋体" w:eastAsia="宋体" w:cs="Times New Roman"/>
          <w:spacing w:val="52"/>
          <w:kern w:val="0"/>
          <w:szCs w:val="21"/>
          <w:fitText w:val="1470" w:id="551106290"/>
        </w:rPr>
        <w:t>送达地址</w:t>
      </w:r>
      <w:r>
        <w:rPr>
          <w:rFonts w:hint="eastAsia" w:ascii="宋体" w:hAnsi="宋体" w:eastAsia="宋体" w:cs="Times New Roman"/>
          <w:spacing w:val="2"/>
          <w:kern w:val="0"/>
          <w:szCs w:val="21"/>
          <w:fitText w:val="1470" w:id="551106290"/>
        </w:rPr>
        <w:t>：</w:t>
      </w:r>
      <w:r>
        <w:rPr>
          <w:rFonts w:hint="eastAsia" w:ascii="宋体" w:hAnsi="宋体" w:eastAsia="宋体" w:cs="Times New Roman"/>
          <w:kern w:val="0"/>
          <w:szCs w:val="21"/>
          <w:lang w:val="en-US" w:eastAsia="zh-CN"/>
        </w:rPr>
        <w:t xml:space="preserve"> </w:t>
      </w:r>
      <w:r>
        <w:rPr>
          <w:rFonts w:hint="eastAsia" w:ascii="宋体" w:hAnsi="宋体" w:eastAsia="宋体" w:cs="Times New Roman"/>
          <w:kern w:val="0"/>
          <w:szCs w:val="21"/>
          <w:lang w:val="en-US" w:eastAsia="zh-CN"/>
        </w:rPr>
        <w:tab/>
      </w:r>
    </w:p>
    <w:p w14:paraId="2E740AD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szCs w:val="21"/>
          <w:highlight w:val="none"/>
          <w:lang w:val="en-US"/>
        </w:rPr>
      </w:pPr>
      <w:r>
        <w:rPr>
          <w:rFonts w:hint="eastAsia" w:ascii="宋体" w:hAnsi="宋体" w:eastAsia="宋体" w:cs="Times New Roman"/>
          <w:spacing w:val="0"/>
          <w:kern w:val="0"/>
          <w:szCs w:val="21"/>
          <w:fitText w:val="1470" w:id="592403588"/>
        </w:rPr>
        <w:t>电子联系方式：</w:t>
      </w:r>
      <w:r>
        <w:rPr>
          <w:rFonts w:hint="eastAsia" w:ascii="宋体" w:hAnsi="宋体" w:eastAsia="宋体" w:cs="Times New Roman"/>
          <w:kern w:val="0"/>
          <w:szCs w:val="21"/>
          <w:lang w:val="en-US" w:eastAsia="zh-CN"/>
        </w:rPr>
        <w:t xml:space="preserve"> </w:t>
      </w:r>
      <w:r>
        <w:rPr>
          <w:rFonts w:hint="eastAsia" w:ascii="宋体" w:hAnsi="宋体" w:eastAsia="宋体" w:cs="Times New Roman"/>
          <w:kern w:val="0"/>
          <w:szCs w:val="21"/>
          <w:lang w:val="en-US" w:eastAsia="zh-CN"/>
        </w:rPr>
        <w:tab/>
      </w:r>
    </w:p>
    <w:p w14:paraId="4DCA3554">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szCs w:val="21"/>
          <w:highlight w:val="none"/>
        </w:rPr>
      </w:pPr>
      <w:r>
        <w:rPr>
          <w:rFonts w:hint="eastAsia" w:ascii="宋体" w:hAnsi="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7CC3A604">
      <w:pPr>
        <w:tabs>
          <w:tab w:val="left" w:pos="360"/>
        </w:tabs>
        <w:snapToGrid w:val="0"/>
        <w:spacing w:line="360" w:lineRule="auto"/>
        <w:ind w:left="525" w:hanging="525" w:hangingChars="250"/>
        <w:jc w:val="left"/>
        <w:rPr>
          <w:rFonts w:ascii="宋体" w:hAnsi="宋体"/>
          <w:szCs w:val="21"/>
          <w:highlight w:val="none"/>
        </w:rPr>
      </w:pP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lang w:val="en-US" w:eastAsia="zh-CN"/>
        </w:rPr>
        <w:t xml:space="preserve">.3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szCs w:val="21"/>
          <w:highlight w:val="none"/>
        </w:rPr>
        <w:t xml:space="preserve"> </w:t>
      </w:r>
    </w:p>
    <w:p w14:paraId="32C82686">
      <w:pPr>
        <w:tabs>
          <w:tab w:val="left" w:pos="360"/>
        </w:tabs>
        <w:snapToGrid w:val="0"/>
        <w:spacing w:line="360" w:lineRule="auto"/>
        <w:rPr>
          <w:rFonts w:hint="eastAsia" w:ascii="宋体" w:hAnsi="宋体"/>
          <w:b/>
          <w:bCs/>
          <w:szCs w:val="21"/>
          <w:highlight w:val="none"/>
        </w:rPr>
      </w:pPr>
      <w:r>
        <w:rPr>
          <w:rFonts w:hint="eastAsia" w:ascii="宋体" w:hAnsi="宋体"/>
          <w:szCs w:val="21"/>
          <w:highlight w:val="none"/>
        </w:rPr>
        <w:t>19.</w:t>
      </w:r>
      <w:r>
        <w:rPr>
          <w:rFonts w:hint="eastAsia" w:ascii="宋体" w:hAnsi="宋体"/>
          <w:szCs w:val="21"/>
          <w:highlight w:val="none"/>
          <w:lang w:val="en-US" w:eastAsia="zh-CN"/>
        </w:rPr>
        <w:t>4</w:t>
      </w:r>
      <w:r>
        <w:rPr>
          <w:rFonts w:hint="eastAsia" w:ascii="宋体" w:hAnsi="宋体"/>
          <w:szCs w:val="21"/>
          <w:highlight w:val="none"/>
        </w:rPr>
        <w:t xml:space="preserve"> 本条款为独立条款，不受协议整体或其他条款的效力的影响，始终有效。</w:t>
      </w:r>
    </w:p>
    <w:p w14:paraId="56B6D058">
      <w:pPr>
        <w:snapToGrid w:val="0"/>
        <w:spacing w:line="360" w:lineRule="auto"/>
        <w:rPr>
          <w:rFonts w:hint="default" w:ascii="宋体" w:hAnsi="宋体" w:eastAsia="宋体"/>
          <w:b/>
          <w:bCs/>
          <w:szCs w:val="21"/>
          <w:highlight w:val="none"/>
          <w:lang w:val="en-US" w:eastAsia="zh-CN"/>
        </w:rPr>
      </w:pPr>
      <w:r>
        <w:rPr>
          <w:rFonts w:hint="eastAsia" w:ascii="宋体" w:hAnsi="宋体"/>
          <w:b/>
          <w:bCs/>
          <w:szCs w:val="21"/>
          <w:highlight w:val="none"/>
          <w:lang w:val="en-US" w:eastAsia="zh-CN"/>
        </w:rPr>
        <w:t>20</w:t>
      </w:r>
      <w:r>
        <w:rPr>
          <w:rFonts w:hint="eastAsia" w:ascii="宋体" w:hAnsi="宋体"/>
          <w:b/>
          <w:bCs/>
          <w:szCs w:val="21"/>
          <w:highlight w:val="none"/>
        </w:rPr>
        <w:t xml:space="preserve">.  </w:t>
      </w:r>
      <w:r>
        <w:rPr>
          <w:rFonts w:hint="eastAsia" w:ascii="宋体" w:hAnsi="宋体"/>
          <w:b/>
          <w:bCs/>
          <w:szCs w:val="21"/>
          <w:highlight w:val="none"/>
          <w:lang w:val="en-US" w:eastAsia="zh-CN"/>
        </w:rPr>
        <w:t>合规条款</w:t>
      </w:r>
    </w:p>
    <w:p w14:paraId="3D41CFE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.1 卖方充分理解并接受买方的合规管理要求，承诺并保证在与买方合作期间严格遵守以下条款，并积极采取有效措施确保关联方（包括但不限于董事、监事、管理人员、员工、外协人员、分包商及代理商等）遵守：</w:t>
      </w:r>
    </w:p>
    <w:p w14:paraId="5F4DF78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3188C56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B261B9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49C178E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026568B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6B2D59D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090B1D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5BEAF5A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0BC674C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2723895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0D6BF74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7A21E60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106244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.3 在任何情形下，如果买方有实质性证据证明或有充分且合理的理由认为某一作为或不作为将可能会导致其违</w:t>
      </w:r>
    </w:p>
    <w:p w14:paraId="36EB1F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092F08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.4 在任何情形下，买方均不因卖方及关联方所实施的任何不当行为而遭受任何损失（包括但不限于处理第三方</w:t>
      </w:r>
    </w:p>
    <w:p w14:paraId="606277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1989711F">
      <w:pPr>
        <w:tabs>
          <w:tab w:val="left" w:pos="360"/>
        </w:tabs>
        <w:snapToGrid w:val="0"/>
        <w:spacing w:line="360" w:lineRule="auto"/>
        <w:rPr>
          <w:rFonts w:ascii="宋体" w:hAnsi="宋体"/>
          <w:szCs w:val="21"/>
          <w:highlight w:val="none"/>
        </w:rPr>
      </w:pPr>
      <w:r>
        <w:rPr>
          <w:rFonts w:hint="eastAsia" w:ascii="宋体" w:hAnsi="宋体"/>
          <w:b/>
          <w:bCs/>
          <w:szCs w:val="21"/>
          <w:highlight w:val="none"/>
          <w:lang w:val="en-US" w:eastAsia="zh-CN"/>
        </w:rPr>
        <w:t>21</w:t>
      </w:r>
      <w:r>
        <w:rPr>
          <w:rFonts w:hint="eastAsia" w:ascii="宋体" w:hAnsi="宋体"/>
          <w:b/>
          <w:bCs/>
          <w:szCs w:val="21"/>
          <w:highlight w:val="none"/>
        </w:rPr>
        <w:t xml:space="preserve">.  </w:t>
      </w:r>
      <w:r>
        <w:rPr>
          <w:rFonts w:hint="eastAsia" w:ascii="宋体" w:hAnsi="宋体"/>
          <w:b/>
          <w:szCs w:val="21"/>
          <w:highlight w:val="none"/>
        </w:rPr>
        <w:t>适用法律与争议解决</w:t>
      </w:r>
    </w:p>
    <w:p w14:paraId="48C56031">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.1 本合同的效力、履行及任何争议仅适用中华人民共和国法律。</w:t>
      </w:r>
    </w:p>
    <w:p w14:paraId="57081EE7">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.2 因本合同引起的或与本合同有关的争议，买卖双方应通过友好协商解决，如果协商不成，双方同意按照以下第（1）种方式处理：</w:t>
      </w:r>
    </w:p>
    <w:p w14:paraId="6D965B5B">
      <w:pPr>
        <w:snapToGrid w:val="0"/>
        <w:spacing w:line="360" w:lineRule="auto"/>
        <w:ind w:left="525" w:leftChars="250"/>
        <w:rPr>
          <w:rFonts w:ascii="宋体" w:hAnsi="宋体"/>
          <w:szCs w:val="21"/>
          <w:highlight w:val="none"/>
        </w:rPr>
      </w:pPr>
      <w:r>
        <w:rPr>
          <w:rFonts w:hint="eastAsia" w:ascii="宋体" w:hAnsi="宋体"/>
          <w:szCs w:val="21"/>
          <w:highlight w:val="none"/>
        </w:rPr>
        <w:t>1）向买方所在地有管辖权的人民法院提起诉讼；</w:t>
      </w:r>
    </w:p>
    <w:p w14:paraId="3C3BB14A">
      <w:pPr>
        <w:snapToGrid w:val="0"/>
        <w:spacing w:line="360" w:lineRule="auto"/>
        <w:ind w:left="525" w:leftChars="250"/>
        <w:rPr>
          <w:rFonts w:ascii="宋体" w:hAnsi="宋体"/>
          <w:szCs w:val="21"/>
          <w:highlight w:val="none"/>
        </w:rPr>
      </w:pPr>
      <w:r>
        <w:rPr>
          <w:rFonts w:hint="eastAsia" w:ascii="宋体" w:hAnsi="宋体"/>
          <w:szCs w:val="21"/>
          <w:highlight w:val="none"/>
        </w:rPr>
        <w:t>2）提交滁州仲裁委员会仲裁，并同意按照该会届时有效的仲裁规则仲裁。仲裁裁决是终局的，对各方均有约束力。</w:t>
      </w:r>
    </w:p>
    <w:p w14:paraId="2DCD90CF">
      <w:pPr>
        <w:snapToGrid w:val="0"/>
        <w:spacing w:line="360" w:lineRule="auto"/>
        <w:rPr>
          <w:rFonts w:ascii="宋体" w:hAnsi="宋体"/>
          <w:b/>
          <w:bCs/>
          <w:szCs w:val="21"/>
          <w:highlight w:val="none"/>
        </w:rPr>
      </w:pPr>
      <w:r>
        <w:rPr>
          <w:rFonts w:ascii="宋体" w:hAnsi="宋体"/>
          <w:b/>
          <w:bCs/>
          <w:szCs w:val="21"/>
          <w:highlight w:val="none"/>
        </w:rPr>
        <w:t>2</w:t>
      </w:r>
      <w:r>
        <w:rPr>
          <w:rFonts w:hint="eastAsia" w:ascii="宋体" w:hAnsi="宋体"/>
          <w:b/>
          <w:bCs/>
          <w:szCs w:val="21"/>
          <w:highlight w:val="none"/>
          <w:lang w:val="en-US" w:eastAsia="zh-CN"/>
        </w:rPr>
        <w:t>2</w:t>
      </w:r>
      <w:r>
        <w:rPr>
          <w:rFonts w:hint="eastAsia" w:ascii="宋体" w:hAnsi="宋体"/>
          <w:b/>
          <w:bCs/>
          <w:szCs w:val="21"/>
          <w:highlight w:val="none"/>
        </w:rPr>
        <w:t>.  其它</w:t>
      </w:r>
    </w:p>
    <w:p w14:paraId="4239153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22EEB0ED">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.2 当买方与卖方之间签署、确认的法律文件之间内容有冲突时，除另有明确书面约定外，其适用顺序如下：</w:t>
      </w:r>
    </w:p>
    <w:p w14:paraId="3A062973">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1）后达成的合同优先于先达成的合同适用；</w:t>
      </w:r>
    </w:p>
    <w:p w14:paraId="1970E0D8">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2）双方确认的订单优先于特别条款；</w:t>
      </w:r>
    </w:p>
    <w:p w14:paraId="1A6E7D90">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3）特别条款优先于一般条款。</w:t>
      </w:r>
    </w:p>
    <w:p w14:paraId="1BD3AE8B">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.3 卖方如在中标</w:t>
      </w:r>
      <w:r>
        <w:rPr>
          <w:rFonts w:hint="eastAsia" w:ascii="宋体" w:hAnsi="宋体"/>
          <w:szCs w:val="21"/>
          <w:highlight w:val="none"/>
          <w:lang w:val="en-US" w:eastAsia="zh-CN"/>
        </w:rPr>
        <w:t>/成交</w:t>
      </w:r>
      <w:r>
        <w:rPr>
          <w:rFonts w:hint="eastAsia" w:ascii="宋体" w:hAnsi="宋体"/>
          <w:szCs w:val="21"/>
          <w:highlight w:val="none"/>
        </w:rPr>
        <w:t>后或者合同履行期间发生被人民法院列为失信被执行人、影响合同履约能力的重大行政处罚等情形，应及时向买方的履约管理单位、</w:t>
      </w:r>
      <w:r>
        <w:rPr>
          <w:rFonts w:hint="eastAsia" w:ascii="宋体" w:hAnsi="宋体"/>
          <w:szCs w:val="21"/>
          <w:highlight w:val="none"/>
          <w:lang w:val="en-US" w:eastAsia="zh-CN"/>
        </w:rPr>
        <w:t>物资部</w:t>
      </w:r>
      <w:r>
        <w:rPr>
          <w:rFonts w:hint="eastAsia" w:ascii="宋体" w:hAnsi="宋体"/>
          <w:szCs w:val="21"/>
          <w:highlight w:val="none"/>
        </w:rPr>
        <w:t>报备。</w:t>
      </w:r>
    </w:p>
    <w:p w14:paraId="22DBCAF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348A7A94">
      <w:pPr>
        <w:tabs>
          <w:tab w:val="left" w:pos="360"/>
        </w:tabs>
        <w:snapToGrid w:val="0"/>
        <w:spacing w:line="360" w:lineRule="auto"/>
        <w:ind w:left="525" w:hanging="525" w:hangingChars="250"/>
        <w:rPr>
          <w:rFonts w:ascii="宋体" w:hAnsi="宋体"/>
          <w:color w:val="auto"/>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 xml:space="preserve">.5 </w:t>
      </w:r>
      <w:r>
        <w:rPr>
          <w:rFonts w:hint="eastAsia" w:ascii="宋体" w:hAnsi="宋体"/>
          <w:bCs/>
          <w:szCs w:val="21"/>
          <w:highlight w:val="none"/>
        </w:rPr>
        <w:t>本合同正本（包括附件）一式两份，买方执一份，卖方执一份；副本（包括附件）一式</w:t>
      </w:r>
      <w:r>
        <w:rPr>
          <w:rFonts w:hint="eastAsia" w:ascii="宋体" w:hAnsi="宋体"/>
          <w:bCs/>
          <w:szCs w:val="21"/>
          <w:highlight w:val="none"/>
          <w:lang w:val="en-US" w:eastAsia="zh-CN"/>
        </w:rPr>
        <w:t>一</w:t>
      </w:r>
      <w:r>
        <w:rPr>
          <w:rFonts w:hint="eastAsia" w:ascii="宋体" w:hAnsi="宋体"/>
          <w:bCs/>
          <w:szCs w:val="21"/>
          <w:highlight w:val="none"/>
        </w:rPr>
        <w:t>份，买方执</w:t>
      </w:r>
      <w:r>
        <w:rPr>
          <w:rFonts w:hint="eastAsia" w:ascii="宋体" w:hAnsi="宋体"/>
          <w:bCs/>
          <w:szCs w:val="21"/>
          <w:highlight w:val="none"/>
          <w:lang w:val="en-US" w:eastAsia="zh-CN"/>
        </w:rPr>
        <w:t>一</w:t>
      </w:r>
      <w:r>
        <w:rPr>
          <w:rFonts w:hint="eastAsia" w:ascii="宋体" w:hAnsi="宋体"/>
          <w:bCs/>
          <w:szCs w:val="21"/>
          <w:highlight w:val="none"/>
        </w:rPr>
        <w:t>份。正本和副本具有同等法律效力，如有互相矛盾之处，以正本为准</w:t>
      </w:r>
      <w:r>
        <w:rPr>
          <w:rFonts w:hint="eastAsia" w:ascii="宋体" w:hAnsi="宋体"/>
          <w:bCs/>
          <w:color w:val="auto"/>
          <w:szCs w:val="21"/>
          <w:highlight w:val="none"/>
        </w:rPr>
        <w:t>。</w:t>
      </w: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6CFE336"/>
    <w:multiLevelType w:val="singleLevel"/>
    <w:tmpl w:val="E6CFE336"/>
    <w:lvl w:ilvl="0" w:tentative="0">
      <w:start w:val="1"/>
      <w:numFmt w:val="decimal"/>
      <w:lvlText w:val="(%1)"/>
      <w:lvlJc w:val="left"/>
      <w:pPr>
        <w:ind w:left="425" w:hanging="425"/>
      </w:pPr>
      <w:rPr>
        <w:rFonts w:hint="default"/>
      </w:rPr>
    </w:lvl>
  </w:abstractNum>
  <w:abstractNum w:abstractNumId="2">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15671BB"/>
    <w:multiLevelType w:val="singleLevel"/>
    <w:tmpl w:val="315671BB"/>
    <w:lvl w:ilvl="0" w:tentative="0">
      <w:start w:val="1"/>
      <w:numFmt w:val="decimal"/>
      <w:suff w:val="nothing"/>
      <w:lvlText w:val="%1）"/>
      <w:lvlJc w:val="left"/>
      <w:rPr>
        <w:rFonts w:hint="default"/>
        <w:b w:val="0"/>
        <w:bCs w:val="0"/>
      </w:rPr>
    </w:lvl>
  </w:abstractNum>
  <w:abstractNum w:abstractNumId="4">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1"/>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C20BC1"/>
    <w:rsid w:val="01F114A6"/>
    <w:rsid w:val="022C0730"/>
    <w:rsid w:val="02645583"/>
    <w:rsid w:val="02EA3359"/>
    <w:rsid w:val="02F823F5"/>
    <w:rsid w:val="037325E9"/>
    <w:rsid w:val="03822CFE"/>
    <w:rsid w:val="039F5432"/>
    <w:rsid w:val="03AE3AF3"/>
    <w:rsid w:val="03FD05D6"/>
    <w:rsid w:val="040A2CF3"/>
    <w:rsid w:val="043553B6"/>
    <w:rsid w:val="045B2BCC"/>
    <w:rsid w:val="046B5540"/>
    <w:rsid w:val="047F723D"/>
    <w:rsid w:val="048819FD"/>
    <w:rsid w:val="04893C18"/>
    <w:rsid w:val="04ED064B"/>
    <w:rsid w:val="053718C6"/>
    <w:rsid w:val="05924D4E"/>
    <w:rsid w:val="059511D6"/>
    <w:rsid w:val="05CB5336"/>
    <w:rsid w:val="05DE202C"/>
    <w:rsid w:val="060A660A"/>
    <w:rsid w:val="062067FE"/>
    <w:rsid w:val="068F6E11"/>
    <w:rsid w:val="069A01B7"/>
    <w:rsid w:val="06AE70E8"/>
    <w:rsid w:val="06CE0008"/>
    <w:rsid w:val="07117EF5"/>
    <w:rsid w:val="07153E89"/>
    <w:rsid w:val="07D77390"/>
    <w:rsid w:val="0822060B"/>
    <w:rsid w:val="084E7652"/>
    <w:rsid w:val="08504A1F"/>
    <w:rsid w:val="08DA2C94"/>
    <w:rsid w:val="08E375DA"/>
    <w:rsid w:val="08E458C1"/>
    <w:rsid w:val="09343767"/>
    <w:rsid w:val="094A5F81"/>
    <w:rsid w:val="09646A02"/>
    <w:rsid w:val="097E3F67"/>
    <w:rsid w:val="09896468"/>
    <w:rsid w:val="09A428CF"/>
    <w:rsid w:val="09F2400E"/>
    <w:rsid w:val="0A00672A"/>
    <w:rsid w:val="0A3E078F"/>
    <w:rsid w:val="0A434869"/>
    <w:rsid w:val="0A490A8C"/>
    <w:rsid w:val="0A870BFA"/>
    <w:rsid w:val="0A8960BD"/>
    <w:rsid w:val="0A981059"/>
    <w:rsid w:val="0B2F1F4E"/>
    <w:rsid w:val="0B903ADE"/>
    <w:rsid w:val="0BAF665A"/>
    <w:rsid w:val="0BC35C62"/>
    <w:rsid w:val="0BCD7E05"/>
    <w:rsid w:val="0BEF4CA9"/>
    <w:rsid w:val="0C607954"/>
    <w:rsid w:val="0C961555"/>
    <w:rsid w:val="0D474670"/>
    <w:rsid w:val="0D49488C"/>
    <w:rsid w:val="0D6B4803"/>
    <w:rsid w:val="0D961154"/>
    <w:rsid w:val="0DFE3C20"/>
    <w:rsid w:val="0E41118E"/>
    <w:rsid w:val="0E5E6115"/>
    <w:rsid w:val="0E6F3E7F"/>
    <w:rsid w:val="0E9B2F86"/>
    <w:rsid w:val="0EAF071F"/>
    <w:rsid w:val="0F2067B0"/>
    <w:rsid w:val="0F706100"/>
    <w:rsid w:val="0FB12275"/>
    <w:rsid w:val="106313BA"/>
    <w:rsid w:val="10A51DDA"/>
    <w:rsid w:val="10CA6ACA"/>
    <w:rsid w:val="10EC3443"/>
    <w:rsid w:val="11001706"/>
    <w:rsid w:val="11744091"/>
    <w:rsid w:val="119360D6"/>
    <w:rsid w:val="123A47A4"/>
    <w:rsid w:val="127315B1"/>
    <w:rsid w:val="12E24FBE"/>
    <w:rsid w:val="132A63DF"/>
    <w:rsid w:val="13503F20"/>
    <w:rsid w:val="13623FB2"/>
    <w:rsid w:val="1378114C"/>
    <w:rsid w:val="138B016E"/>
    <w:rsid w:val="138D1D96"/>
    <w:rsid w:val="13ED66B2"/>
    <w:rsid w:val="13F80459"/>
    <w:rsid w:val="14237BE5"/>
    <w:rsid w:val="1435760F"/>
    <w:rsid w:val="14BA3748"/>
    <w:rsid w:val="150F4102"/>
    <w:rsid w:val="15A13B32"/>
    <w:rsid w:val="15B17473"/>
    <w:rsid w:val="15D20325"/>
    <w:rsid w:val="15D62A35"/>
    <w:rsid w:val="15E6711C"/>
    <w:rsid w:val="15FA6724"/>
    <w:rsid w:val="166D339A"/>
    <w:rsid w:val="16B926C0"/>
    <w:rsid w:val="16F13FCB"/>
    <w:rsid w:val="17575DF8"/>
    <w:rsid w:val="17CC40F0"/>
    <w:rsid w:val="17E31439"/>
    <w:rsid w:val="180A24D2"/>
    <w:rsid w:val="188E75F7"/>
    <w:rsid w:val="197902A7"/>
    <w:rsid w:val="198E2A16"/>
    <w:rsid w:val="19A76BC3"/>
    <w:rsid w:val="19B906A4"/>
    <w:rsid w:val="19C31F4B"/>
    <w:rsid w:val="19DB2D10"/>
    <w:rsid w:val="1A18361C"/>
    <w:rsid w:val="1A240D2C"/>
    <w:rsid w:val="1A5F124B"/>
    <w:rsid w:val="1AAE5D2F"/>
    <w:rsid w:val="1AE9320B"/>
    <w:rsid w:val="1AF8344E"/>
    <w:rsid w:val="1AFC2F3E"/>
    <w:rsid w:val="1B291859"/>
    <w:rsid w:val="1B4A3CA9"/>
    <w:rsid w:val="1BAA7B2C"/>
    <w:rsid w:val="1BBE4697"/>
    <w:rsid w:val="1BEA0FE8"/>
    <w:rsid w:val="1CA90839"/>
    <w:rsid w:val="1CC21F65"/>
    <w:rsid w:val="1CEC6D48"/>
    <w:rsid w:val="1D21411F"/>
    <w:rsid w:val="1D5C4168"/>
    <w:rsid w:val="1D7E7C3A"/>
    <w:rsid w:val="1DBC6559"/>
    <w:rsid w:val="1DC85359"/>
    <w:rsid w:val="1DD2442A"/>
    <w:rsid w:val="1E312EFF"/>
    <w:rsid w:val="1E450758"/>
    <w:rsid w:val="1E8632EE"/>
    <w:rsid w:val="1F027EE3"/>
    <w:rsid w:val="1F220A99"/>
    <w:rsid w:val="1F3D0BF1"/>
    <w:rsid w:val="1F4A7345"/>
    <w:rsid w:val="1F4E71EE"/>
    <w:rsid w:val="1F533349"/>
    <w:rsid w:val="1F666BD8"/>
    <w:rsid w:val="1F7D45D0"/>
    <w:rsid w:val="1F831D1F"/>
    <w:rsid w:val="1FF22990"/>
    <w:rsid w:val="1FF468DA"/>
    <w:rsid w:val="20531852"/>
    <w:rsid w:val="207D242B"/>
    <w:rsid w:val="20E44F18"/>
    <w:rsid w:val="20FF5536"/>
    <w:rsid w:val="21124FCE"/>
    <w:rsid w:val="21130FE1"/>
    <w:rsid w:val="216141DA"/>
    <w:rsid w:val="21661111"/>
    <w:rsid w:val="21751354"/>
    <w:rsid w:val="21C916A0"/>
    <w:rsid w:val="21EE1107"/>
    <w:rsid w:val="222334A6"/>
    <w:rsid w:val="222C308D"/>
    <w:rsid w:val="227A50AE"/>
    <w:rsid w:val="228D0920"/>
    <w:rsid w:val="22E62859"/>
    <w:rsid w:val="231E77CA"/>
    <w:rsid w:val="23353491"/>
    <w:rsid w:val="2382546B"/>
    <w:rsid w:val="23A45829"/>
    <w:rsid w:val="241B2D61"/>
    <w:rsid w:val="24280900"/>
    <w:rsid w:val="24AC5BAF"/>
    <w:rsid w:val="253432D4"/>
    <w:rsid w:val="255F2A47"/>
    <w:rsid w:val="25826736"/>
    <w:rsid w:val="263712CE"/>
    <w:rsid w:val="266320C3"/>
    <w:rsid w:val="26C708A4"/>
    <w:rsid w:val="27133AE9"/>
    <w:rsid w:val="275C189F"/>
    <w:rsid w:val="277E1FE6"/>
    <w:rsid w:val="28616AD6"/>
    <w:rsid w:val="289F580D"/>
    <w:rsid w:val="28A25500"/>
    <w:rsid w:val="28C826B1"/>
    <w:rsid w:val="28D65B85"/>
    <w:rsid w:val="28F33BD2"/>
    <w:rsid w:val="29A273A6"/>
    <w:rsid w:val="2A5921FA"/>
    <w:rsid w:val="2ABC7FF4"/>
    <w:rsid w:val="2B7F044A"/>
    <w:rsid w:val="2B8B1E9A"/>
    <w:rsid w:val="2BB90BFC"/>
    <w:rsid w:val="2BF76571"/>
    <w:rsid w:val="2C3A1B18"/>
    <w:rsid w:val="2C90798A"/>
    <w:rsid w:val="2CAD4098"/>
    <w:rsid w:val="2CCE400E"/>
    <w:rsid w:val="2CE448E4"/>
    <w:rsid w:val="2CFF6CD5"/>
    <w:rsid w:val="2D1C2FCC"/>
    <w:rsid w:val="2D3C3C89"/>
    <w:rsid w:val="2D832FCE"/>
    <w:rsid w:val="2E4647A4"/>
    <w:rsid w:val="2E884FDF"/>
    <w:rsid w:val="2ECE02F6"/>
    <w:rsid w:val="2F1403FE"/>
    <w:rsid w:val="2F4F7689"/>
    <w:rsid w:val="2F7610B9"/>
    <w:rsid w:val="2FEF49C8"/>
    <w:rsid w:val="300372B7"/>
    <w:rsid w:val="30660AF7"/>
    <w:rsid w:val="30B359F5"/>
    <w:rsid w:val="31DE6AA2"/>
    <w:rsid w:val="31FB58A6"/>
    <w:rsid w:val="329B0E37"/>
    <w:rsid w:val="32A001FB"/>
    <w:rsid w:val="32A93554"/>
    <w:rsid w:val="32B56DE4"/>
    <w:rsid w:val="32F56799"/>
    <w:rsid w:val="32FF03D4"/>
    <w:rsid w:val="33C9152D"/>
    <w:rsid w:val="33CF1916"/>
    <w:rsid w:val="33E04D53"/>
    <w:rsid w:val="33F20F2A"/>
    <w:rsid w:val="345117AD"/>
    <w:rsid w:val="346C4EC4"/>
    <w:rsid w:val="354237EC"/>
    <w:rsid w:val="354C53DB"/>
    <w:rsid w:val="362E38F2"/>
    <w:rsid w:val="368C2F70"/>
    <w:rsid w:val="370664EA"/>
    <w:rsid w:val="37691503"/>
    <w:rsid w:val="37E4443E"/>
    <w:rsid w:val="38107BD1"/>
    <w:rsid w:val="381C0324"/>
    <w:rsid w:val="383407C4"/>
    <w:rsid w:val="385C1F83"/>
    <w:rsid w:val="38844711"/>
    <w:rsid w:val="388A7983"/>
    <w:rsid w:val="38BA6025"/>
    <w:rsid w:val="38D46E50"/>
    <w:rsid w:val="38D70FAB"/>
    <w:rsid w:val="390A6409"/>
    <w:rsid w:val="39324E64"/>
    <w:rsid w:val="394C2E8B"/>
    <w:rsid w:val="395064D7"/>
    <w:rsid w:val="39AB7BB1"/>
    <w:rsid w:val="39B051C8"/>
    <w:rsid w:val="39EE21C7"/>
    <w:rsid w:val="3A120740"/>
    <w:rsid w:val="3A4B4EF0"/>
    <w:rsid w:val="3A571AE7"/>
    <w:rsid w:val="3A5A5133"/>
    <w:rsid w:val="3A687486"/>
    <w:rsid w:val="3A6B7341"/>
    <w:rsid w:val="3A7E21CB"/>
    <w:rsid w:val="3B1765E0"/>
    <w:rsid w:val="3B3D0CDD"/>
    <w:rsid w:val="3B404329"/>
    <w:rsid w:val="3B691AD2"/>
    <w:rsid w:val="3B7B1805"/>
    <w:rsid w:val="3B824942"/>
    <w:rsid w:val="3B954675"/>
    <w:rsid w:val="3BC96A15"/>
    <w:rsid w:val="3BDA477E"/>
    <w:rsid w:val="3C37572C"/>
    <w:rsid w:val="3C5067EE"/>
    <w:rsid w:val="3C746980"/>
    <w:rsid w:val="3CB94393"/>
    <w:rsid w:val="3D3B56F0"/>
    <w:rsid w:val="3D804EB1"/>
    <w:rsid w:val="3EA70C81"/>
    <w:rsid w:val="3EB92D70"/>
    <w:rsid w:val="3EBA2645"/>
    <w:rsid w:val="3F1A0A47"/>
    <w:rsid w:val="3F407652"/>
    <w:rsid w:val="3F43263A"/>
    <w:rsid w:val="3F6E5586"/>
    <w:rsid w:val="3FAE21A3"/>
    <w:rsid w:val="3FDA11F0"/>
    <w:rsid w:val="3FF57DD8"/>
    <w:rsid w:val="3FF9638C"/>
    <w:rsid w:val="400662A3"/>
    <w:rsid w:val="400B3158"/>
    <w:rsid w:val="4013200C"/>
    <w:rsid w:val="40143812"/>
    <w:rsid w:val="401C02CA"/>
    <w:rsid w:val="40D75730"/>
    <w:rsid w:val="412A0E7A"/>
    <w:rsid w:val="41886A2A"/>
    <w:rsid w:val="420432B8"/>
    <w:rsid w:val="425A2175"/>
    <w:rsid w:val="42642FF3"/>
    <w:rsid w:val="42964976"/>
    <w:rsid w:val="42997141"/>
    <w:rsid w:val="42F73E67"/>
    <w:rsid w:val="433B5A32"/>
    <w:rsid w:val="433E1A96"/>
    <w:rsid w:val="435F188A"/>
    <w:rsid w:val="436D237B"/>
    <w:rsid w:val="43A16A47"/>
    <w:rsid w:val="44044A8E"/>
    <w:rsid w:val="44474665"/>
    <w:rsid w:val="44D04A95"/>
    <w:rsid w:val="44D86B0F"/>
    <w:rsid w:val="44EB7AF4"/>
    <w:rsid w:val="452324F1"/>
    <w:rsid w:val="45246A6A"/>
    <w:rsid w:val="452F45DE"/>
    <w:rsid w:val="453A03D8"/>
    <w:rsid w:val="45A02594"/>
    <w:rsid w:val="45B97E8C"/>
    <w:rsid w:val="45F60406"/>
    <w:rsid w:val="45F75F2C"/>
    <w:rsid w:val="465A0995"/>
    <w:rsid w:val="469B36C4"/>
    <w:rsid w:val="46A60EB0"/>
    <w:rsid w:val="46F32B98"/>
    <w:rsid w:val="472C6521"/>
    <w:rsid w:val="48147269"/>
    <w:rsid w:val="484D62D8"/>
    <w:rsid w:val="48A57EC2"/>
    <w:rsid w:val="48CE566A"/>
    <w:rsid w:val="49956188"/>
    <w:rsid w:val="49971F00"/>
    <w:rsid w:val="49C2425D"/>
    <w:rsid w:val="49FE5ADB"/>
    <w:rsid w:val="4A0140FD"/>
    <w:rsid w:val="4A3B4EF1"/>
    <w:rsid w:val="4A5E7508"/>
    <w:rsid w:val="4A940469"/>
    <w:rsid w:val="4B907D32"/>
    <w:rsid w:val="4B991F60"/>
    <w:rsid w:val="4CC34DBA"/>
    <w:rsid w:val="4D0C050F"/>
    <w:rsid w:val="4D4E0B28"/>
    <w:rsid w:val="4E0452F6"/>
    <w:rsid w:val="4E5D1622"/>
    <w:rsid w:val="4E726A98"/>
    <w:rsid w:val="4E9764FE"/>
    <w:rsid w:val="4EAA6232"/>
    <w:rsid w:val="4F021BCA"/>
    <w:rsid w:val="4F133DD7"/>
    <w:rsid w:val="4F4162CB"/>
    <w:rsid w:val="4F55619D"/>
    <w:rsid w:val="4F825B80"/>
    <w:rsid w:val="4F8E7BBB"/>
    <w:rsid w:val="4F9273F2"/>
    <w:rsid w:val="4FB14184"/>
    <w:rsid w:val="4FB235F0"/>
    <w:rsid w:val="50487AB0"/>
    <w:rsid w:val="50964CC0"/>
    <w:rsid w:val="512D6602"/>
    <w:rsid w:val="51962A9D"/>
    <w:rsid w:val="51EE0B2B"/>
    <w:rsid w:val="521C2FA3"/>
    <w:rsid w:val="522B768A"/>
    <w:rsid w:val="52917F8D"/>
    <w:rsid w:val="52923265"/>
    <w:rsid w:val="52BE3679"/>
    <w:rsid w:val="52D74A7E"/>
    <w:rsid w:val="531E71EE"/>
    <w:rsid w:val="533802B0"/>
    <w:rsid w:val="53413127"/>
    <w:rsid w:val="53B06098"/>
    <w:rsid w:val="53B10062"/>
    <w:rsid w:val="53B13BBE"/>
    <w:rsid w:val="54183BDF"/>
    <w:rsid w:val="54662BFB"/>
    <w:rsid w:val="54A53D24"/>
    <w:rsid w:val="54AF6350"/>
    <w:rsid w:val="54FF6363"/>
    <w:rsid w:val="5520724E"/>
    <w:rsid w:val="5555575D"/>
    <w:rsid w:val="557E32D7"/>
    <w:rsid w:val="55801A9A"/>
    <w:rsid w:val="5583158B"/>
    <w:rsid w:val="55837931"/>
    <w:rsid w:val="55CC4CE0"/>
    <w:rsid w:val="55DA73FC"/>
    <w:rsid w:val="5632548A"/>
    <w:rsid w:val="56617B1E"/>
    <w:rsid w:val="566E223B"/>
    <w:rsid w:val="566E5A3F"/>
    <w:rsid w:val="56A62F15"/>
    <w:rsid w:val="56B539C6"/>
    <w:rsid w:val="56B93FA5"/>
    <w:rsid w:val="56C715FB"/>
    <w:rsid w:val="56FE35BF"/>
    <w:rsid w:val="57825F9E"/>
    <w:rsid w:val="57B974E6"/>
    <w:rsid w:val="58A3441E"/>
    <w:rsid w:val="58AC35AF"/>
    <w:rsid w:val="596A4F3B"/>
    <w:rsid w:val="5972723B"/>
    <w:rsid w:val="59AA17DC"/>
    <w:rsid w:val="59CA3C2C"/>
    <w:rsid w:val="5AEC372E"/>
    <w:rsid w:val="5B1A7EA6"/>
    <w:rsid w:val="5B2335F4"/>
    <w:rsid w:val="5B415796"/>
    <w:rsid w:val="5BA67D81"/>
    <w:rsid w:val="5BAD55B3"/>
    <w:rsid w:val="5C0160DE"/>
    <w:rsid w:val="5C0E6052"/>
    <w:rsid w:val="5C8F6A67"/>
    <w:rsid w:val="5CAE3391"/>
    <w:rsid w:val="5CEC5C67"/>
    <w:rsid w:val="5DB71380"/>
    <w:rsid w:val="5DEC1792"/>
    <w:rsid w:val="5DF90711"/>
    <w:rsid w:val="5E3E6996"/>
    <w:rsid w:val="5E693A13"/>
    <w:rsid w:val="5E6C3A8B"/>
    <w:rsid w:val="5E8C14B0"/>
    <w:rsid w:val="5EB822A5"/>
    <w:rsid w:val="5ED67896"/>
    <w:rsid w:val="5EE706DA"/>
    <w:rsid w:val="5F053010"/>
    <w:rsid w:val="5F092B01"/>
    <w:rsid w:val="5F2636B2"/>
    <w:rsid w:val="5FA0604A"/>
    <w:rsid w:val="5FF76DFD"/>
    <w:rsid w:val="60196E14"/>
    <w:rsid w:val="601B2AEB"/>
    <w:rsid w:val="60255718"/>
    <w:rsid w:val="602D6CC3"/>
    <w:rsid w:val="60566219"/>
    <w:rsid w:val="60CD2CBF"/>
    <w:rsid w:val="60D72A94"/>
    <w:rsid w:val="60EB4BB4"/>
    <w:rsid w:val="613B0F6B"/>
    <w:rsid w:val="615A7643"/>
    <w:rsid w:val="61686204"/>
    <w:rsid w:val="61D12D46"/>
    <w:rsid w:val="62173786"/>
    <w:rsid w:val="621912AD"/>
    <w:rsid w:val="621B3277"/>
    <w:rsid w:val="622F6D22"/>
    <w:rsid w:val="626F5FC1"/>
    <w:rsid w:val="62B31701"/>
    <w:rsid w:val="62D022B3"/>
    <w:rsid w:val="62E01E19"/>
    <w:rsid w:val="630A358C"/>
    <w:rsid w:val="632C14B3"/>
    <w:rsid w:val="6372336A"/>
    <w:rsid w:val="63730E90"/>
    <w:rsid w:val="63C96D02"/>
    <w:rsid w:val="63D47B81"/>
    <w:rsid w:val="64654C7D"/>
    <w:rsid w:val="647608C2"/>
    <w:rsid w:val="64942E6C"/>
    <w:rsid w:val="651A5A67"/>
    <w:rsid w:val="65286901"/>
    <w:rsid w:val="653F54CE"/>
    <w:rsid w:val="657A02B4"/>
    <w:rsid w:val="65D57BE0"/>
    <w:rsid w:val="65F71905"/>
    <w:rsid w:val="661A3845"/>
    <w:rsid w:val="66252916"/>
    <w:rsid w:val="668D6F37"/>
    <w:rsid w:val="66FB3677"/>
    <w:rsid w:val="670818F0"/>
    <w:rsid w:val="67627252"/>
    <w:rsid w:val="67A42D64"/>
    <w:rsid w:val="67A678BF"/>
    <w:rsid w:val="67BC554A"/>
    <w:rsid w:val="68246BFD"/>
    <w:rsid w:val="68252676"/>
    <w:rsid w:val="683C3F47"/>
    <w:rsid w:val="684D75AC"/>
    <w:rsid w:val="684E502F"/>
    <w:rsid w:val="68555008"/>
    <w:rsid w:val="68753308"/>
    <w:rsid w:val="68CC0866"/>
    <w:rsid w:val="68D45F2D"/>
    <w:rsid w:val="68DE4FFE"/>
    <w:rsid w:val="68E731FC"/>
    <w:rsid w:val="690A5DF3"/>
    <w:rsid w:val="691C65F4"/>
    <w:rsid w:val="692D388F"/>
    <w:rsid w:val="69750D65"/>
    <w:rsid w:val="69B24F3E"/>
    <w:rsid w:val="6A024D1C"/>
    <w:rsid w:val="6A0657AB"/>
    <w:rsid w:val="6A590DE0"/>
    <w:rsid w:val="6A6B0B13"/>
    <w:rsid w:val="6ABB09AA"/>
    <w:rsid w:val="6AF6662F"/>
    <w:rsid w:val="6B056872"/>
    <w:rsid w:val="6B6E2926"/>
    <w:rsid w:val="6BB838E4"/>
    <w:rsid w:val="6BBB6DE8"/>
    <w:rsid w:val="6BC1163D"/>
    <w:rsid w:val="6BC71D79"/>
    <w:rsid w:val="6BE609BE"/>
    <w:rsid w:val="6C3B62C3"/>
    <w:rsid w:val="6C77379F"/>
    <w:rsid w:val="6CF43042"/>
    <w:rsid w:val="6CFC1EF7"/>
    <w:rsid w:val="6D042B59"/>
    <w:rsid w:val="6D21195D"/>
    <w:rsid w:val="6D4C4C2C"/>
    <w:rsid w:val="6D504CBA"/>
    <w:rsid w:val="6D68758C"/>
    <w:rsid w:val="6DF3366F"/>
    <w:rsid w:val="6DF5118C"/>
    <w:rsid w:val="6E0E3C8F"/>
    <w:rsid w:val="6E172AFA"/>
    <w:rsid w:val="6E221470"/>
    <w:rsid w:val="6E340E03"/>
    <w:rsid w:val="6E6E0BD2"/>
    <w:rsid w:val="6EC151A6"/>
    <w:rsid w:val="6EC26E11"/>
    <w:rsid w:val="6EC92EC4"/>
    <w:rsid w:val="6ECB1B80"/>
    <w:rsid w:val="6EE90259"/>
    <w:rsid w:val="6EF26D5B"/>
    <w:rsid w:val="6F0F327A"/>
    <w:rsid w:val="6F3E1828"/>
    <w:rsid w:val="6F5563F8"/>
    <w:rsid w:val="6F5A6ADB"/>
    <w:rsid w:val="6FB6638D"/>
    <w:rsid w:val="702E23C7"/>
    <w:rsid w:val="708D66C2"/>
    <w:rsid w:val="7095177A"/>
    <w:rsid w:val="70B0102E"/>
    <w:rsid w:val="70BD374B"/>
    <w:rsid w:val="70C66AA3"/>
    <w:rsid w:val="70DC0D6F"/>
    <w:rsid w:val="70DD3DED"/>
    <w:rsid w:val="710650F2"/>
    <w:rsid w:val="711D243B"/>
    <w:rsid w:val="71431EA2"/>
    <w:rsid w:val="714E5325"/>
    <w:rsid w:val="7169556A"/>
    <w:rsid w:val="71760761"/>
    <w:rsid w:val="71CA6D36"/>
    <w:rsid w:val="71F80EDE"/>
    <w:rsid w:val="72351CEA"/>
    <w:rsid w:val="72402885"/>
    <w:rsid w:val="727147ED"/>
    <w:rsid w:val="7290339E"/>
    <w:rsid w:val="729F135A"/>
    <w:rsid w:val="7327134F"/>
    <w:rsid w:val="73375A36"/>
    <w:rsid w:val="735370F1"/>
    <w:rsid w:val="744978D7"/>
    <w:rsid w:val="74793E2D"/>
    <w:rsid w:val="748527D2"/>
    <w:rsid w:val="74A013B9"/>
    <w:rsid w:val="74B135C7"/>
    <w:rsid w:val="753541DE"/>
    <w:rsid w:val="75B77529"/>
    <w:rsid w:val="75BC66C7"/>
    <w:rsid w:val="75EA6B03"/>
    <w:rsid w:val="76E9789C"/>
    <w:rsid w:val="77310F4C"/>
    <w:rsid w:val="775841CD"/>
    <w:rsid w:val="77A4715B"/>
    <w:rsid w:val="77A613DD"/>
    <w:rsid w:val="77D777E8"/>
    <w:rsid w:val="78280044"/>
    <w:rsid w:val="78302F30"/>
    <w:rsid w:val="785410B1"/>
    <w:rsid w:val="792C393E"/>
    <w:rsid w:val="793D18CD"/>
    <w:rsid w:val="79881869"/>
    <w:rsid w:val="79C8563A"/>
    <w:rsid w:val="7A513882"/>
    <w:rsid w:val="7A6510DB"/>
    <w:rsid w:val="7A6D4434"/>
    <w:rsid w:val="7A9B79C4"/>
    <w:rsid w:val="7AE2097E"/>
    <w:rsid w:val="7AE81059"/>
    <w:rsid w:val="7B334D35"/>
    <w:rsid w:val="7B3B62E0"/>
    <w:rsid w:val="7B597D37"/>
    <w:rsid w:val="7B9A4DB4"/>
    <w:rsid w:val="7B9F58E0"/>
    <w:rsid w:val="7BBD0AA3"/>
    <w:rsid w:val="7BE566D0"/>
    <w:rsid w:val="7C1D1D83"/>
    <w:rsid w:val="7D0D549D"/>
    <w:rsid w:val="7D545437"/>
    <w:rsid w:val="7D6A7B1D"/>
    <w:rsid w:val="7D7E4262"/>
    <w:rsid w:val="7D8831F6"/>
    <w:rsid w:val="7DD16A88"/>
    <w:rsid w:val="7DE04EC6"/>
    <w:rsid w:val="7DF804B8"/>
    <w:rsid w:val="7E262225"/>
    <w:rsid w:val="7E6E00C4"/>
    <w:rsid w:val="7E8B1421"/>
    <w:rsid w:val="7EC43731"/>
    <w:rsid w:val="7EFC7B34"/>
    <w:rsid w:val="7F0013D2"/>
    <w:rsid w:val="7F05660A"/>
    <w:rsid w:val="7F25708B"/>
    <w:rsid w:val="7F3B356A"/>
    <w:rsid w:val="7F4E65E2"/>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microsoft.com/office/2006/relationships/keyMapCustomizations" Target="customizations.xml"/><Relationship Id="rId18" Type="http://schemas.openxmlformats.org/officeDocument/2006/relationships/numbering" Target="numbering.xml"/><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16710</Words>
  <Characters>18717</Characters>
  <Lines>101</Lines>
  <Paragraphs>28</Paragraphs>
  <TotalTime>96</TotalTime>
  <ScaleCrop>false</ScaleCrop>
  <LinksUpToDate>false</LinksUpToDate>
  <CharactersWithSpaces>20098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cp:lastModifiedBy>范家鑫</cp:lastModifiedBy>
  <cp:lastPrinted>2017-10-18T00:29:00Z</cp:lastPrinted>
  <dcterms:modified xsi:type="dcterms:W3CDTF">2025-10-11T02:12:13Z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4DB7159CBB1A49599F75AD4883C64146_13</vt:lpwstr>
  </property>
  <property fmtid="{D5CDD505-2E9C-101B-9397-08002B2CF9AE}" pid="4" name="KSOTemplateDocerSaveRecord">
    <vt:lpwstr>eyJoZGlkIjoiYjkzOGMzMjE1ODZhMWJhYzk1OWQ4M2FlOGZlNWQ3YmQiLCJ1c2VySWQiOiIzMzU1ODI2OTUifQ==</vt:lpwstr>
  </property>
</Properties>
</file>