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19E29">
      <w:pPr>
        <w:widowControl/>
        <w:spacing w:line="357" w:lineRule="atLeast"/>
        <w:jc w:val="center"/>
        <w:rPr>
          <w:sz w:val="39"/>
          <w:szCs w:val="21"/>
          <w:highlight w:val="none"/>
        </w:rPr>
      </w:pPr>
    </w:p>
    <w:p w14:paraId="3BAF6AD6">
      <w:pPr>
        <w:widowControl/>
        <w:spacing w:line="357" w:lineRule="atLeast"/>
        <w:rPr>
          <w:sz w:val="39"/>
          <w:szCs w:val="21"/>
          <w:highlight w:val="none"/>
        </w:rPr>
      </w:pPr>
    </w:p>
    <w:p w14:paraId="416C2D7F">
      <w:pPr>
        <w:pStyle w:val="5"/>
        <w:ind w:left="0" w:leftChars="0" w:firstLine="0" w:firstLineChars="0"/>
        <w:jc w:val="center"/>
        <w:rPr>
          <w:rFonts w:hint="eastAsia" w:eastAsia="宋体"/>
          <w:highlight w:val="none"/>
          <w:lang w:eastAsia="zh-CN"/>
        </w:rPr>
      </w:pPr>
      <w:r>
        <w:rPr>
          <w:rFonts w:hint="eastAsia" w:cs="宋体"/>
          <w:b/>
          <w:sz w:val="52"/>
          <w:szCs w:val="32"/>
          <w:highlight w:val="none"/>
          <w:lang w:eastAsia="zh-CN" w:bidi="ar"/>
        </w:rPr>
        <w:t>滁州轨道运营标识标牌及VI制作安装项目（2025年-2026年）</w:t>
      </w:r>
    </w:p>
    <w:p w14:paraId="0C62D347">
      <w:pPr>
        <w:widowControl/>
        <w:spacing w:line="357" w:lineRule="atLeast"/>
        <w:jc w:val="center"/>
        <w:rPr>
          <w:rFonts w:ascii="宋体" w:hAnsi="宋体" w:eastAsia="宋体" w:cs="宋体"/>
          <w:b/>
          <w:color w:val="000000"/>
          <w:kern w:val="0"/>
          <w:sz w:val="84"/>
          <w:szCs w:val="84"/>
          <w:highlight w:val="none"/>
          <w:u w:color="000000"/>
          <w:lang w:bidi="ar"/>
        </w:rPr>
      </w:pPr>
    </w:p>
    <w:p w14:paraId="0A411731">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01EB10A1">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25BF94EB">
      <w:pPr>
        <w:pStyle w:val="15"/>
        <w:widowControl/>
        <w:rPr>
          <w:highlight w:val="none"/>
        </w:rPr>
      </w:pPr>
      <w:r>
        <w:rPr>
          <w:highlight w:val="none"/>
        </w:rPr>
        <w:t xml:space="preserve"> </w:t>
      </w:r>
    </w:p>
    <w:p w14:paraId="09AF654A">
      <w:pPr>
        <w:pStyle w:val="15"/>
        <w:widowControl/>
        <w:rPr>
          <w:highlight w:val="none"/>
        </w:rPr>
      </w:pPr>
      <w:r>
        <w:rPr>
          <w:highlight w:val="none"/>
        </w:rPr>
        <w:t xml:space="preserve"> </w:t>
      </w:r>
    </w:p>
    <w:p w14:paraId="1F7468B8">
      <w:pPr>
        <w:pStyle w:val="15"/>
        <w:widowControl/>
        <w:rPr>
          <w:highlight w:val="none"/>
        </w:rPr>
      </w:pPr>
      <w:r>
        <w:rPr>
          <w:highlight w:val="none"/>
        </w:rPr>
        <w:t xml:space="preserve"> </w:t>
      </w:r>
    </w:p>
    <w:p w14:paraId="0A2C4C47">
      <w:pPr>
        <w:pStyle w:val="15"/>
        <w:widowControl/>
        <w:rPr>
          <w:rFonts w:eastAsia="宋体"/>
          <w:highlight w:val="none"/>
        </w:rPr>
      </w:pPr>
      <w:r>
        <w:rPr>
          <w:highlight w:val="none"/>
        </w:rPr>
        <w:t xml:space="preserve">  </w:t>
      </w:r>
    </w:p>
    <w:p w14:paraId="799569A9">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9046078">
      <w:pPr>
        <w:adjustRightInd w:val="0"/>
        <w:snapToGrid w:val="0"/>
        <w:ind w:firstLine="302" w:firstLineChars="94"/>
        <w:rPr>
          <w:rFonts w:ascii="宋体" w:hAnsi="宋体"/>
          <w:b/>
          <w:sz w:val="32"/>
          <w:highlight w:val="none"/>
          <w:u w:val="thick"/>
        </w:rPr>
      </w:pPr>
    </w:p>
    <w:p w14:paraId="6E4146AA">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74A1E05">
      <w:pPr>
        <w:adjustRightInd w:val="0"/>
        <w:snapToGrid w:val="0"/>
        <w:rPr>
          <w:rFonts w:ascii="宋体" w:hAnsi="宋体"/>
          <w:spacing w:val="20"/>
          <w:sz w:val="32"/>
          <w:highlight w:val="none"/>
          <w:u w:val="single"/>
        </w:rPr>
      </w:pPr>
    </w:p>
    <w:p w14:paraId="3E4F6671">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5</w:t>
      </w:r>
      <w:r>
        <w:rPr>
          <w:rFonts w:hint="eastAsia" w:ascii="宋体" w:hAnsi="宋体"/>
          <w:b/>
          <w:sz w:val="32"/>
          <w:highlight w:val="none"/>
          <w:u w:val="thick"/>
        </w:rPr>
        <w:t>年</w:t>
      </w:r>
      <w:r>
        <w:rPr>
          <w:rFonts w:hint="eastAsia" w:ascii="宋体" w:hAnsi="宋体"/>
          <w:b/>
          <w:sz w:val="32"/>
          <w:highlight w:val="none"/>
          <w:u w:val="thick"/>
          <w:lang w:val="en-US" w:eastAsia="zh-CN"/>
        </w:rPr>
        <w:t>6</w:t>
      </w:r>
      <w:r>
        <w:rPr>
          <w:rFonts w:hint="eastAsia" w:ascii="宋体" w:hAnsi="宋体"/>
          <w:b/>
          <w:sz w:val="32"/>
          <w:highlight w:val="none"/>
          <w:u w:val="thick"/>
        </w:rPr>
        <w:t xml:space="preserve">月            </w:t>
      </w:r>
    </w:p>
    <w:p w14:paraId="01E06774">
      <w:pPr>
        <w:pStyle w:val="5"/>
        <w:rPr>
          <w:highlight w:val="none"/>
        </w:rPr>
      </w:pPr>
      <w:r>
        <w:rPr>
          <w:highlight w:val="none"/>
        </w:rPr>
        <w:t xml:space="preserve"> </w:t>
      </w:r>
    </w:p>
    <w:p w14:paraId="4128B2E2">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0A11318">
      <w:pPr>
        <w:jc w:val="center"/>
        <w:rPr>
          <w:rFonts w:ascii="宋体" w:hAnsi="宋体" w:eastAsia="宋体" w:cs="宋体"/>
          <w:b/>
          <w:color w:val="000000"/>
          <w:kern w:val="0"/>
          <w:sz w:val="36"/>
          <w:szCs w:val="36"/>
          <w:highlight w:val="none"/>
          <w:u w:color="000000"/>
          <w:lang w:bidi="ar"/>
        </w:rPr>
      </w:pPr>
    </w:p>
    <w:p w14:paraId="452EB35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6CD4F9C8">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47564547">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第二章  投标人须知 ………………………………………………………………4</w:t>
      </w:r>
    </w:p>
    <w:p w14:paraId="46B336F4">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6</w:t>
      </w:r>
    </w:p>
    <w:p w14:paraId="3E31864D">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7</w:t>
      </w:r>
    </w:p>
    <w:p w14:paraId="1E5DC742">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第五章  用户需求书………………………………………………………………2</w:t>
      </w:r>
      <w:r>
        <w:rPr>
          <w:rFonts w:hint="eastAsia" w:ascii="宋体" w:hAnsi="宋体" w:eastAsia="宋体" w:cs="宋体"/>
          <w:color w:val="000000"/>
          <w:kern w:val="0"/>
          <w:sz w:val="24"/>
          <w:highlight w:val="none"/>
          <w:u w:color="000000"/>
          <w:lang w:val="en-US" w:eastAsia="zh-CN" w:bidi="ar"/>
        </w:rPr>
        <w:t>3</w:t>
      </w:r>
    </w:p>
    <w:p w14:paraId="32694EB5">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第六章  合同条款及格式…………………………………………………………4</w:t>
      </w:r>
      <w:r>
        <w:rPr>
          <w:rFonts w:hint="eastAsia" w:ascii="宋体" w:hAnsi="宋体" w:eastAsia="宋体" w:cs="宋体"/>
          <w:color w:val="000000"/>
          <w:kern w:val="0"/>
          <w:sz w:val="24"/>
          <w:highlight w:val="none"/>
          <w:u w:color="000000"/>
          <w:lang w:val="en-US" w:eastAsia="zh-CN" w:bidi="ar"/>
        </w:rPr>
        <w:t>4</w:t>
      </w:r>
    </w:p>
    <w:p w14:paraId="25B73F88">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第七章  投标文件格式……………………………………………………………5</w:t>
      </w:r>
      <w:r>
        <w:rPr>
          <w:rFonts w:hint="eastAsia" w:ascii="宋体" w:hAnsi="宋体" w:eastAsia="宋体" w:cs="宋体"/>
          <w:color w:val="000000"/>
          <w:kern w:val="0"/>
          <w:sz w:val="24"/>
          <w:highlight w:val="none"/>
          <w:u w:color="000000"/>
          <w:lang w:val="en-US" w:eastAsia="zh-CN" w:bidi="ar"/>
        </w:rPr>
        <w:t>5</w:t>
      </w:r>
    </w:p>
    <w:p w14:paraId="635D8498">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第八章  招标人、招标代理机构对本招标文件的确认…………………………7</w:t>
      </w:r>
      <w:r>
        <w:rPr>
          <w:rFonts w:hint="eastAsia" w:ascii="宋体" w:hAnsi="宋体" w:eastAsia="宋体" w:cs="宋体"/>
          <w:color w:val="000000"/>
          <w:kern w:val="0"/>
          <w:sz w:val="24"/>
          <w:highlight w:val="none"/>
          <w:u w:color="000000"/>
          <w:lang w:val="en-US" w:eastAsia="zh-CN" w:bidi="ar"/>
        </w:rPr>
        <w:t>7</w:t>
      </w:r>
    </w:p>
    <w:p w14:paraId="2CF3B429">
      <w:pPr>
        <w:rPr>
          <w:rFonts w:ascii="宋体" w:hAnsi="宋体" w:eastAsia="宋体" w:cs="宋体"/>
          <w:sz w:val="24"/>
          <w:highlight w:val="none"/>
          <w:lang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4C140588">
      <w:pPr>
        <w:pStyle w:val="15"/>
        <w:widowControl/>
        <w:spacing w:beforeAutospacing="0" w:afterAutospacing="0" w:line="480" w:lineRule="exact"/>
        <w:jc w:val="center"/>
        <w:rPr>
          <w:rFonts w:ascii="宋体" w:hAnsi="宋体" w:eastAsia="宋体" w:cs="宋体"/>
          <w:b/>
          <w:bCs/>
          <w:highlight w:val="none"/>
        </w:rPr>
      </w:pPr>
      <w:bookmarkStart w:id="208" w:name="_GoBack"/>
      <w:bookmarkStart w:id="1" w:name="_Toc23741_WPSOffice_Level1"/>
      <w:bookmarkEnd w:id="1"/>
      <w:bookmarkStart w:id="2" w:name="_Toc29214"/>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7358"/>
      <w:bookmarkEnd w:id="3"/>
      <w:bookmarkStart w:id="4" w:name="_Toc18980_WPSOffice_Level1"/>
      <w:bookmarkEnd w:id="4"/>
      <w:r>
        <w:rPr>
          <w:rFonts w:hint="eastAsia" w:ascii="宋体" w:hAnsi="宋体" w:eastAsia="宋体" w:cs="宋体"/>
          <w:b/>
          <w:bCs/>
          <w:highlight w:val="none"/>
        </w:rPr>
        <w:t>招标公告</w:t>
      </w:r>
    </w:p>
    <w:p w14:paraId="1EA7ECB6">
      <w:pPr>
        <w:widowControl/>
        <w:autoSpaceDE w:val="0"/>
        <w:spacing w:line="480" w:lineRule="exact"/>
        <w:ind w:firstLine="480" w:firstLineChars="200"/>
        <w:jc w:val="left"/>
        <w:rPr>
          <w:rFonts w:ascii="宋体" w:hAnsi="宋体" w:eastAsia="宋体" w:cs="宋体"/>
          <w:color w:val="000000"/>
          <w:kern w:val="0"/>
          <w:sz w:val="24"/>
          <w:highlight w:val="none"/>
          <w:u w:color="000000"/>
          <w:lang w:bidi="ar"/>
        </w:rPr>
      </w:pPr>
      <w:bookmarkStart w:id="5" w:name="_Toc28359002"/>
      <w:bookmarkEnd w:id="5"/>
      <w:bookmarkStart w:id="6" w:name="_Toc35393621"/>
      <w:bookmarkEnd w:id="6"/>
      <w:bookmarkStart w:id="7" w:name="_Toc28359079"/>
      <w:bookmarkEnd w:id="7"/>
      <w:bookmarkStart w:id="8" w:name="_Toc58430305"/>
      <w:bookmarkEnd w:id="8"/>
      <w:bookmarkStart w:id="9" w:name="_Toc35393790"/>
      <w:r>
        <w:rPr>
          <w:rFonts w:hint="eastAsia" w:ascii="宋体" w:hAnsi="宋体" w:eastAsia="宋体" w:cs="宋体"/>
          <w:color w:val="000000"/>
          <w:kern w:val="0"/>
          <w:sz w:val="24"/>
          <w:highlight w:val="none"/>
          <w:u w:color="000000"/>
          <w:lang w:bidi="ar"/>
        </w:rPr>
        <w:t>项目概况</w:t>
      </w:r>
    </w:p>
    <w:p w14:paraId="05D5757A">
      <w:pPr>
        <w:widowControl/>
        <w:wordWrap w:val="0"/>
        <w:autoSpaceDE w:val="0"/>
        <w:spacing w:line="48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滁州轨道运营标识标牌及VI制作安装项目（2025年-2026年）</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的潜在投标人应在滁州市滁宁城际铁路开发建设有限公司网站（http://czctgs.cn/）、招投标网http://www.infobidding.com/或采购与招标网https://www.chinabidding.cn/获取招标文件，并于202</w:t>
      </w:r>
      <w:r>
        <w:rPr>
          <w:rFonts w:hint="eastAsia" w:ascii="宋体" w:hAnsi="宋体" w:eastAsia="宋体" w:cs="宋体"/>
          <w:color w:val="000000"/>
          <w:kern w:val="0"/>
          <w:sz w:val="24"/>
          <w:highlight w:val="none"/>
          <w:u w:color="000000"/>
          <w:lang w:val="en-US" w:eastAsia="zh-CN" w:bidi="ar"/>
        </w:rPr>
        <w:t>5</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7</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15</w:t>
      </w:r>
      <w:r>
        <w:rPr>
          <w:rFonts w:hint="eastAsia" w:ascii="宋体" w:hAnsi="宋体" w:eastAsia="宋体" w:cs="宋体"/>
          <w:color w:val="000000"/>
          <w:kern w:val="0"/>
          <w:sz w:val="24"/>
          <w:highlight w:val="none"/>
          <w:u w:color="000000"/>
          <w:lang w:bidi="ar"/>
        </w:rPr>
        <w:t>日15时00分（北京时间）前递交投标文件。</w:t>
      </w:r>
    </w:p>
    <w:p w14:paraId="05A36908">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4F3B5DD0">
      <w:pPr>
        <w:widowControl/>
        <w:autoSpaceDE w:val="0"/>
        <w:spacing w:line="480" w:lineRule="exact"/>
        <w:ind w:left="478" w:leftChars="228"/>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项目名称：</w:t>
      </w:r>
      <w:r>
        <w:rPr>
          <w:rFonts w:hint="eastAsia" w:ascii="宋体" w:hAnsi="宋体" w:eastAsia="宋体" w:cs="宋体"/>
          <w:color w:val="000000"/>
          <w:kern w:val="0"/>
          <w:sz w:val="24"/>
          <w:highlight w:val="none"/>
          <w:u w:color="000000"/>
          <w:lang w:eastAsia="zh-CN" w:bidi="ar"/>
        </w:rPr>
        <w:t>滁州轨道运营标识标牌及VI制作安装项目（2025年-2026年）</w:t>
      </w:r>
    </w:p>
    <w:p w14:paraId="6E200529">
      <w:pPr>
        <w:widowControl/>
        <w:autoSpaceDE w:val="0"/>
        <w:spacing w:line="480" w:lineRule="exact"/>
        <w:ind w:left="478" w:leftChars="228"/>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预算金额：29</w:t>
      </w:r>
      <w:r>
        <w:rPr>
          <w:rFonts w:hint="eastAsia" w:ascii="宋体" w:hAnsi="宋体" w:eastAsia="宋体" w:cs="宋体"/>
          <w:color w:val="000000"/>
          <w:kern w:val="0"/>
          <w:sz w:val="24"/>
          <w:highlight w:val="none"/>
          <w:u w:color="000000"/>
          <w:lang w:val="en-US" w:eastAsia="zh-CN" w:bidi="ar"/>
        </w:rPr>
        <w:t>25</w:t>
      </w:r>
      <w:r>
        <w:rPr>
          <w:rFonts w:hint="eastAsia" w:ascii="宋体" w:hAnsi="宋体" w:eastAsia="宋体" w:cs="宋体"/>
          <w:color w:val="000000"/>
          <w:kern w:val="0"/>
          <w:sz w:val="24"/>
          <w:highlight w:val="none"/>
          <w:u w:color="000000"/>
          <w:lang w:bidi="ar"/>
        </w:rPr>
        <w:t>00元</w:t>
      </w:r>
    </w:p>
    <w:p w14:paraId="1CEF683E">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最高限价：本项目最高限价为（人民币）29</w:t>
      </w:r>
      <w:r>
        <w:rPr>
          <w:rFonts w:hint="eastAsia" w:ascii="宋体" w:hAnsi="宋体" w:eastAsia="宋体" w:cs="宋体"/>
          <w:color w:val="000000"/>
          <w:kern w:val="0"/>
          <w:sz w:val="24"/>
          <w:highlight w:val="none"/>
          <w:u w:color="000000"/>
          <w:lang w:val="en-US" w:eastAsia="zh-CN" w:bidi="ar"/>
        </w:rPr>
        <w:t>25</w:t>
      </w:r>
      <w:r>
        <w:rPr>
          <w:rFonts w:hint="eastAsia" w:ascii="宋体" w:hAnsi="宋体" w:eastAsia="宋体" w:cs="宋体"/>
          <w:color w:val="000000"/>
          <w:kern w:val="0"/>
          <w:sz w:val="24"/>
          <w:highlight w:val="none"/>
          <w:u w:color="000000"/>
          <w:lang w:bidi="ar"/>
        </w:rPr>
        <w:t>00元</w:t>
      </w:r>
    </w:p>
    <w:p w14:paraId="5EA40B33">
      <w:pPr>
        <w:spacing w:line="480" w:lineRule="exact"/>
        <w:ind w:firstLine="480" w:firstLineChars="200"/>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招标范围：</w:t>
      </w:r>
      <w:r>
        <w:rPr>
          <w:rFonts w:hint="eastAsia" w:ascii="宋体" w:hAnsi="宋体" w:eastAsia="宋体" w:cs="宋体"/>
          <w:color w:val="000000"/>
          <w:kern w:val="0"/>
          <w:sz w:val="24"/>
          <w:highlight w:val="none"/>
          <w:u w:color="000000"/>
          <w:lang w:val="en-US" w:eastAsia="zh-CN" w:bidi="ar"/>
        </w:rPr>
        <w:t>运营公司（包含滁宁城际铁路全线、控制中心、车辆段）标识标牌及VI现场测量、设计、制作、运输、安装和维护，以及《运营公司VI手册》的编制与更新</w:t>
      </w:r>
      <w:r>
        <w:rPr>
          <w:rFonts w:hint="eastAsia" w:ascii="宋体" w:hAnsi="宋体" w:eastAsia="宋体" w:cs="宋体"/>
          <w:color w:val="000000"/>
          <w:kern w:val="0"/>
          <w:sz w:val="24"/>
          <w:highlight w:val="none"/>
          <w:u w:color="000000"/>
          <w:lang w:bidi="ar"/>
        </w:rPr>
        <w:t>。详见《用户需求书》</w:t>
      </w:r>
      <w:r>
        <w:rPr>
          <w:rFonts w:hint="eastAsia" w:ascii="宋体" w:hAnsi="宋体" w:eastAsia="宋体" w:cs="宋体"/>
          <w:color w:val="000000"/>
          <w:kern w:val="0"/>
          <w:sz w:val="24"/>
          <w:highlight w:val="none"/>
          <w:u w:color="000000"/>
          <w:lang w:eastAsia="zh-CN" w:bidi="ar"/>
        </w:rPr>
        <w:t>。</w:t>
      </w:r>
    </w:p>
    <w:p w14:paraId="21701751">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服务期：一</w:t>
      </w:r>
      <w:r>
        <w:rPr>
          <w:rFonts w:hint="eastAsia" w:ascii="宋体" w:hAnsi="宋体"/>
          <w:sz w:val="24"/>
          <w:highlight w:val="none"/>
        </w:rPr>
        <w:t>年</w:t>
      </w:r>
    </w:p>
    <w:p w14:paraId="65D3AAE2">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本项目不接受联合体投标</w:t>
      </w:r>
    </w:p>
    <w:p w14:paraId="289A76E2">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0AF73A32">
      <w:pPr>
        <w:widowControl/>
        <w:autoSpaceDE w:val="0"/>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2.1</w:t>
      </w:r>
      <w:r>
        <w:rPr>
          <w:rFonts w:hint="eastAsia" w:ascii="宋体" w:hAnsi="宋体" w:eastAsia="宋体" w:cs="Times New Roman"/>
          <w:b w:val="0"/>
          <w:bCs w:val="0"/>
          <w:kern w:val="0"/>
          <w:sz w:val="24"/>
          <w:szCs w:val="24"/>
          <w:highlight w:val="none"/>
          <w:lang w:val="en-US" w:eastAsia="zh-CN" w:bidi="ar-SA"/>
        </w:rPr>
        <w:t>投标人须在中华人民共和国境内注册（不含港澳台）并取得营业执照且具有相应供货服务能力</w:t>
      </w:r>
      <w:r>
        <w:rPr>
          <w:rFonts w:hint="eastAsia" w:ascii="宋体" w:hAnsi="宋体" w:eastAsia="宋体" w:cs="宋体"/>
          <w:color w:val="000000"/>
          <w:kern w:val="0"/>
          <w:sz w:val="24"/>
          <w:highlight w:val="none"/>
          <w:u w:color="000000"/>
          <w:lang w:bidi="ar"/>
        </w:rPr>
        <w:t>。</w:t>
      </w:r>
    </w:p>
    <w:p w14:paraId="6057664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7DC2AEE5">
      <w:pPr>
        <w:widowControl/>
        <w:autoSpaceDE w:val="0"/>
        <w:spacing w:line="480" w:lineRule="exact"/>
        <w:ind w:firstLine="54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6</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23</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7</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15</w:t>
      </w:r>
      <w:r>
        <w:rPr>
          <w:rFonts w:hint="eastAsia" w:ascii="宋体" w:hAnsi="宋体" w:eastAsia="宋体" w:cs="宋体"/>
          <w:color w:val="000000"/>
          <w:kern w:val="0"/>
          <w:sz w:val="24"/>
          <w:highlight w:val="none"/>
          <w:u w:val="single" w:color="000000"/>
          <w:lang w:bidi="ar"/>
        </w:rPr>
        <w:t>日</w:t>
      </w:r>
    </w:p>
    <w:p w14:paraId="1FCBD714">
      <w:pPr>
        <w:spacing w:line="480" w:lineRule="exact"/>
        <w:ind w:firstLine="480" w:firstLineChars="200"/>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滁州市滁宁城际铁路开发建设有限公司网站（http://czctgs.cn/）、招投标网http://www.infobidding.com/或采购与招标网https://www.chinabidding.cn/</w:t>
      </w:r>
    </w:p>
    <w:p w14:paraId="4BE221F6">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5903B140">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46A65AD5">
      <w:pPr>
        <w:widowControl/>
        <w:wordWrap w:val="0"/>
        <w:autoSpaceDE w:val="0"/>
        <w:spacing w:line="480" w:lineRule="exact"/>
        <w:ind w:firstLine="480" w:firstLineChars="200"/>
        <w:rPr>
          <w:rFonts w:ascii="宋体" w:hAnsi="宋体" w:eastAsia="宋体" w:cs="宋体"/>
          <w:b/>
          <w:sz w:val="24"/>
          <w:highlight w:val="none"/>
        </w:rPr>
      </w:pPr>
      <w:bookmarkStart w:id="10" w:name="_Toc28359082"/>
      <w:bookmarkEnd w:id="10"/>
      <w:bookmarkStart w:id="11" w:name="_Toc35393793"/>
      <w:bookmarkEnd w:id="11"/>
      <w:bookmarkStart w:id="12" w:name="_Toc28359005"/>
      <w:bookmarkEnd w:id="12"/>
      <w:bookmarkStart w:id="13" w:name="_Toc58430308"/>
      <w:bookmarkEnd w:id="13"/>
      <w:r>
        <w:rPr>
          <w:rFonts w:hint="eastAsia" w:ascii="宋体" w:hAnsi="宋体" w:cs="宋体"/>
          <w:b/>
          <w:sz w:val="24"/>
          <w:highlight w:val="none"/>
        </w:rPr>
        <w:t>四、提交投标文件和样品截止时间、开标时间和地点</w:t>
      </w:r>
    </w:p>
    <w:p w14:paraId="17C02B52">
      <w:pPr>
        <w:widowControl/>
        <w:autoSpaceDE w:val="0"/>
        <w:spacing w:line="240" w:lineRule="auto"/>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5</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7</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15</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spacing w:line="480" w:lineRule="exact"/>
        <w:ind w:firstLine="480" w:firstLineChars="200"/>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6098EDDE">
      <w:pPr>
        <w:spacing w:line="480" w:lineRule="exact"/>
        <w:ind w:firstLine="480" w:firstLineChars="200"/>
        <w:rPr>
          <w:rFonts w:ascii="宋体" w:hAnsi="宋体" w:cs="宋体"/>
          <w:sz w:val="24"/>
          <w:highlight w:val="none"/>
        </w:rPr>
      </w:pPr>
      <w:r>
        <w:rPr>
          <w:rFonts w:hint="eastAsia" w:ascii="宋体" w:hAnsi="宋体" w:cs="宋体"/>
          <w:sz w:val="24"/>
          <w:highlight w:val="none"/>
        </w:rPr>
        <w:t>投标文件递交方式：</w:t>
      </w:r>
      <w:r>
        <w:rPr>
          <w:rFonts w:ascii="宋体" w:hAnsi="宋体" w:cs="宋体"/>
          <w:sz w:val="24"/>
          <w:highlight w:val="none"/>
        </w:rPr>
        <w:t>①</w:t>
      </w:r>
      <w:r>
        <w:rPr>
          <w:rFonts w:hint="eastAsia" w:ascii="宋体" w:hAnsi="宋体" w:cs="宋体"/>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ascii="宋体" w:hAnsi="宋体" w:cs="宋体"/>
          <w:sz w:val="24"/>
          <w:highlight w:val="none"/>
        </w:rPr>
        <w:t>②</w:t>
      </w:r>
      <w:r>
        <w:rPr>
          <w:rFonts w:hint="eastAsia" w:ascii="宋体" w:hAnsi="宋体" w:cs="宋体"/>
          <w:sz w:val="24"/>
          <w:highlight w:val="none"/>
        </w:rPr>
        <w:t>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2EED6645">
      <w:pPr>
        <w:spacing w:line="480" w:lineRule="exact"/>
        <w:ind w:firstLine="480" w:firstLineChars="200"/>
        <w:rPr>
          <w:rFonts w:ascii="宋体" w:hAnsi="宋体" w:cs="宋体"/>
          <w:sz w:val="24"/>
          <w:highlight w:val="none"/>
        </w:rPr>
      </w:pPr>
      <w:r>
        <w:rPr>
          <w:rFonts w:hint="eastAsia" w:ascii="宋体" w:hAnsi="宋体" w:cs="宋体"/>
          <w:sz w:val="24"/>
          <w:highlight w:val="none"/>
        </w:rPr>
        <w:t>样品递交方式：①本项目须提供不同的3件样品（详见</w:t>
      </w:r>
      <w:r>
        <w:rPr>
          <w:rFonts w:hint="eastAsia" w:ascii="宋体" w:hAnsi="宋体" w:cs="宋体"/>
          <w:sz w:val="24"/>
          <w:highlight w:val="none"/>
          <w:lang w:val="en-US" w:eastAsia="zh-CN"/>
        </w:rPr>
        <w:t>下表：</w:t>
      </w:r>
      <w:r>
        <w:rPr>
          <w:rFonts w:hint="eastAsia" w:ascii="宋体" w:hAnsi="宋体" w:cs="宋体"/>
          <w:sz w:val="24"/>
          <w:highlight w:val="none"/>
        </w:rPr>
        <w:t>样品清单 ），所有样品须全部一次性递交，不接受样品的修改及补充，提供不全的样品评分项按零分处理；各投标人务必在规定的时间内递交，时间以招标人签收时间为准，逾期送达的将被拒绝，样品评分项按零分处理，请各投标人自行合理安排邮寄时间；</w:t>
      </w:r>
    </w:p>
    <w:p w14:paraId="33BE0D01">
      <w:pPr>
        <w:spacing w:line="480" w:lineRule="exact"/>
        <w:ind w:firstLine="480" w:firstLineChars="200"/>
        <w:rPr>
          <w:rFonts w:ascii="宋体" w:hAnsi="宋体" w:cs="宋体"/>
          <w:sz w:val="24"/>
          <w:highlight w:val="none"/>
        </w:rPr>
      </w:pPr>
      <w:r>
        <w:rPr>
          <w:rFonts w:hint="eastAsia" w:ascii="宋体" w:hAnsi="宋体" w:cs="宋体"/>
          <w:sz w:val="24"/>
          <w:highlight w:val="none"/>
        </w:rPr>
        <w:t>②样品须使用顺丰快递密封送达至规定地点。样品邮寄地址：滁州市南谯区徽州路与扬子大道交叉口控制中心大楼5层 ，收件人：</w:t>
      </w:r>
      <w:r>
        <w:rPr>
          <w:rFonts w:hint="eastAsia" w:ascii="宋体" w:hAnsi="宋体" w:cs="宋体"/>
          <w:sz w:val="24"/>
          <w:highlight w:val="none"/>
          <w:lang w:eastAsia="zh-CN"/>
        </w:rPr>
        <w:t>杭祥婷</w:t>
      </w:r>
      <w:r>
        <w:rPr>
          <w:rFonts w:hint="eastAsia" w:ascii="宋体" w:hAnsi="宋体" w:cs="宋体"/>
          <w:sz w:val="24"/>
          <w:highlight w:val="none"/>
        </w:rPr>
        <w:t xml:space="preserve"> ，联系方式：</w:t>
      </w:r>
      <w:r>
        <w:rPr>
          <w:rFonts w:hint="eastAsia" w:ascii="宋体" w:hAnsi="宋体" w:cs="宋体"/>
          <w:sz w:val="24"/>
          <w:highlight w:val="none"/>
          <w:lang w:eastAsia="zh-CN"/>
        </w:rPr>
        <w:t>0550-3352129</w:t>
      </w:r>
      <w:r>
        <w:rPr>
          <w:rFonts w:hint="eastAsia" w:ascii="宋体" w:hAnsi="宋体" w:cs="宋体"/>
          <w:sz w:val="24"/>
          <w:highlight w:val="none"/>
        </w:rPr>
        <w:t>，未使用顺丰快递送达的或未按要求密封的将被拒绝，样品评分项按零分处理。</w:t>
      </w:r>
    </w:p>
    <w:p w14:paraId="72230D8B">
      <w:pPr>
        <w:spacing w:line="480" w:lineRule="exact"/>
        <w:ind w:firstLine="480" w:firstLineChars="200"/>
        <w:rPr>
          <w:rFonts w:ascii="宋体" w:hAnsi="宋体" w:cs="宋体"/>
          <w:sz w:val="24"/>
          <w:highlight w:val="none"/>
        </w:rPr>
      </w:pPr>
      <w:r>
        <w:rPr>
          <w:rFonts w:hint="eastAsia" w:ascii="宋体" w:hAnsi="宋体" w:cs="宋体"/>
          <w:sz w:val="24"/>
          <w:highlight w:val="none"/>
        </w:rPr>
        <w:t>③每个样品须在尾部分别标注对应序号。</w:t>
      </w:r>
    </w:p>
    <w:p w14:paraId="3EFD2B17">
      <w:pPr>
        <w:spacing w:line="480" w:lineRule="exact"/>
        <w:ind w:firstLine="480" w:firstLineChars="200"/>
        <w:rPr>
          <w:rFonts w:ascii="宋体" w:hAnsi="宋体" w:cs="宋体"/>
          <w:sz w:val="24"/>
          <w:highlight w:val="none"/>
        </w:rPr>
      </w:pPr>
      <w:r>
        <w:rPr>
          <w:rFonts w:hint="eastAsia" w:ascii="宋体" w:hAnsi="宋体" w:cs="宋体"/>
          <w:sz w:val="24"/>
          <w:highlight w:val="none"/>
        </w:rPr>
        <w:t>④样品密封要求：样品需进行密封，否则样品得分按零分处理；在密封箱中放置加盖投标单位公章的样品清单，便于区分投标单位信息及后期核对样品。</w:t>
      </w:r>
    </w:p>
    <w:p w14:paraId="616D02B3">
      <w:pPr>
        <w:spacing w:line="480" w:lineRule="exact"/>
        <w:ind w:firstLine="480" w:firstLineChars="200"/>
        <w:rPr>
          <w:rFonts w:ascii="宋体" w:hAnsi="宋体" w:cs="宋体"/>
          <w:sz w:val="24"/>
          <w:highlight w:val="none"/>
        </w:rPr>
      </w:pPr>
      <w:r>
        <w:rPr>
          <w:rFonts w:hint="eastAsia" w:ascii="宋体" w:hAnsi="宋体" w:cs="宋体"/>
          <w:sz w:val="24"/>
          <w:highlight w:val="none"/>
        </w:rPr>
        <w:t>⑤未中标的投标人样品在公示期结束后由未中标人自行取回或选择邮件退回（顺丰到付），逾期招标人将不负责保管；中标人提供的样品在公示期结束后封存在招标人处。</w:t>
      </w:r>
    </w:p>
    <w:p w14:paraId="76A4BDBE">
      <w:pPr>
        <w:spacing w:line="480" w:lineRule="exact"/>
        <w:ind w:firstLine="480" w:firstLineChars="200"/>
        <w:rPr>
          <w:rFonts w:ascii="宋体" w:hAnsi="宋体" w:cs="宋体"/>
          <w:sz w:val="24"/>
          <w:highlight w:val="none"/>
        </w:rPr>
      </w:pPr>
      <w:r>
        <w:rPr>
          <w:rFonts w:hint="eastAsia" w:ascii="宋体" w:hAnsi="宋体" w:cs="宋体"/>
          <w:sz w:val="24"/>
          <w:highlight w:val="none"/>
        </w:rPr>
        <w:t>样品清单：</w:t>
      </w:r>
    </w:p>
    <w:tbl>
      <w:tblPr>
        <w:tblStyle w:val="18"/>
        <w:tblW w:w="8022" w:type="dxa"/>
        <w:jc w:val="center"/>
        <w:tblLayout w:type="fixed"/>
        <w:tblCellMar>
          <w:top w:w="0" w:type="dxa"/>
          <w:left w:w="108" w:type="dxa"/>
          <w:bottom w:w="0" w:type="dxa"/>
          <w:right w:w="108" w:type="dxa"/>
        </w:tblCellMar>
      </w:tblPr>
      <w:tblGrid>
        <w:gridCol w:w="782"/>
        <w:gridCol w:w="4996"/>
        <w:gridCol w:w="834"/>
        <w:gridCol w:w="1410"/>
      </w:tblGrid>
      <w:tr w14:paraId="35B55B56">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410271A9">
            <w:pPr>
              <w:spacing w:line="480" w:lineRule="exact"/>
              <w:jc w:val="center"/>
              <w:rPr>
                <w:rFonts w:ascii="宋体" w:hAnsi="宋体" w:cs="宋体"/>
                <w:sz w:val="24"/>
                <w:highlight w:val="none"/>
              </w:rPr>
            </w:pPr>
            <w:r>
              <w:rPr>
                <w:rFonts w:hint="eastAsia" w:ascii="宋体" w:hAnsi="宋体" w:cs="宋体"/>
                <w:sz w:val="24"/>
                <w:highlight w:val="none"/>
              </w:rPr>
              <w:t>序号</w:t>
            </w:r>
          </w:p>
        </w:tc>
        <w:tc>
          <w:tcPr>
            <w:tcW w:w="4996" w:type="dxa"/>
            <w:tcBorders>
              <w:top w:val="single" w:color="auto" w:sz="4" w:space="0"/>
              <w:left w:val="single" w:color="auto" w:sz="4" w:space="0"/>
              <w:bottom w:val="single" w:color="auto" w:sz="4" w:space="0"/>
              <w:right w:val="single" w:color="auto" w:sz="4" w:space="0"/>
            </w:tcBorders>
            <w:noWrap/>
            <w:vAlign w:val="center"/>
          </w:tcPr>
          <w:p w14:paraId="26E7D0A7">
            <w:pPr>
              <w:spacing w:line="480" w:lineRule="exact"/>
              <w:ind w:firstLine="480" w:firstLineChars="200"/>
              <w:jc w:val="center"/>
              <w:rPr>
                <w:rFonts w:ascii="宋体" w:hAnsi="宋体" w:cs="宋体"/>
                <w:sz w:val="24"/>
                <w:highlight w:val="none"/>
              </w:rPr>
            </w:pPr>
            <w:r>
              <w:rPr>
                <w:rFonts w:hint="eastAsia" w:ascii="宋体" w:hAnsi="宋体" w:cs="宋体"/>
                <w:sz w:val="24"/>
                <w:highlight w:val="none"/>
              </w:rPr>
              <w:t>名称</w:t>
            </w:r>
          </w:p>
        </w:tc>
        <w:tc>
          <w:tcPr>
            <w:tcW w:w="834" w:type="dxa"/>
            <w:tcBorders>
              <w:top w:val="single" w:color="auto" w:sz="4" w:space="0"/>
              <w:left w:val="nil"/>
              <w:bottom w:val="single" w:color="auto" w:sz="4" w:space="0"/>
              <w:right w:val="single" w:color="auto" w:sz="4" w:space="0"/>
            </w:tcBorders>
            <w:vAlign w:val="center"/>
          </w:tcPr>
          <w:p w14:paraId="2EB6B0E6">
            <w:pPr>
              <w:spacing w:line="480" w:lineRule="exact"/>
              <w:jc w:val="center"/>
              <w:rPr>
                <w:rFonts w:ascii="宋体" w:hAnsi="宋体" w:cs="宋体"/>
                <w:sz w:val="24"/>
                <w:highlight w:val="none"/>
              </w:rPr>
            </w:pPr>
            <w:r>
              <w:rPr>
                <w:rFonts w:hint="eastAsia" w:ascii="宋体" w:hAnsi="宋体" w:cs="宋体"/>
                <w:sz w:val="24"/>
                <w:highlight w:val="none"/>
              </w:rPr>
              <w:t>单位</w:t>
            </w:r>
          </w:p>
        </w:tc>
        <w:tc>
          <w:tcPr>
            <w:tcW w:w="1410" w:type="dxa"/>
            <w:tcBorders>
              <w:top w:val="single" w:color="auto" w:sz="4" w:space="0"/>
              <w:left w:val="single" w:color="auto" w:sz="4" w:space="0"/>
              <w:bottom w:val="single" w:color="auto" w:sz="4" w:space="0"/>
              <w:right w:val="single" w:color="auto" w:sz="4" w:space="0"/>
            </w:tcBorders>
            <w:noWrap/>
            <w:vAlign w:val="center"/>
          </w:tcPr>
          <w:p w14:paraId="7AEBF014">
            <w:pPr>
              <w:spacing w:line="480" w:lineRule="exact"/>
              <w:jc w:val="center"/>
              <w:rPr>
                <w:rFonts w:ascii="宋体" w:hAnsi="宋体" w:cs="宋体"/>
                <w:sz w:val="24"/>
                <w:highlight w:val="none"/>
              </w:rPr>
            </w:pPr>
            <w:r>
              <w:rPr>
                <w:rFonts w:hint="eastAsia" w:ascii="宋体" w:hAnsi="宋体" w:cs="宋体"/>
                <w:sz w:val="24"/>
                <w:highlight w:val="none"/>
              </w:rPr>
              <w:t>数量</w:t>
            </w:r>
          </w:p>
        </w:tc>
      </w:tr>
      <w:tr w14:paraId="17458B95">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00266428">
            <w:pPr>
              <w:spacing w:line="480" w:lineRule="exact"/>
              <w:jc w:val="center"/>
              <w:rPr>
                <w:rFonts w:ascii="宋体" w:hAnsi="宋体" w:cs="宋体"/>
                <w:sz w:val="24"/>
                <w:highlight w:val="none"/>
              </w:rPr>
            </w:pPr>
            <w:r>
              <w:rPr>
                <w:rFonts w:hint="eastAsia" w:ascii="宋体" w:hAnsi="宋体" w:cs="宋体"/>
                <w:sz w:val="24"/>
                <w:highlight w:val="none"/>
              </w:rPr>
              <w:t>1</w:t>
            </w:r>
          </w:p>
        </w:tc>
        <w:tc>
          <w:tcPr>
            <w:tcW w:w="4996" w:type="dxa"/>
            <w:tcBorders>
              <w:top w:val="single" w:color="auto" w:sz="4" w:space="0"/>
              <w:left w:val="single" w:color="auto" w:sz="4" w:space="0"/>
              <w:bottom w:val="single" w:color="auto" w:sz="4" w:space="0"/>
              <w:right w:val="single" w:color="auto" w:sz="4" w:space="0"/>
            </w:tcBorders>
            <w:noWrap/>
            <w:vAlign w:val="center"/>
          </w:tcPr>
          <w:p w14:paraId="658E85EC">
            <w:pPr>
              <w:spacing w:line="480" w:lineRule="exact"/>
              <w:ind w:firstLine="480" w:firstLineChars="200"/>
              <w:jc w:val="center"/>
              <w:rPr>
                <w:rFonts w:hint="eastAsia" w:ascii="宋体" w:hAnsi="宋体" w:cs="宋体" w:eastAsiaTheme="minorEastAsia"/>
                <w:sz w:val="24"/>
                <w:highlight w:val="none"/>
                <w:lang w:eastAsia="zh-CN"/>
              </w:rPr>
            </w:pPr>
            <w:r>
              <w:rPr>
                <w:rFonts w:hint="eastAsia" w:ascii="宋体" w:hAnsi="宋体" w:cs="宋体"/>
                <w:sz w:val="24"/>
                <w:highlight w:val="none"/>
                <w:lang w:eastAsia="zh-CN"/>
              </w:rPr>
              <w:t>可移除胶贴+画面+保护膜（画面为国标当心碰头样式，尺寸大小为A4）</w:t>
            </w:r>
          </w:p>
        </w:tc>
        <w:tc>
          <w:tcPr>
            <w:tcW w:w="834" w:type="dxa"/>
            <w:tcBorders>
              <w:top w:val="single" w:color="auto" w:sz="4" w:space="0"/>
              <w:left w:val="nil"/>
              <w:bottom w:val="single" w:color="auto" w:sz="4" w:space="0"/>
              <w:right w:val="single" w:color="auto" w:sz="4" w:space="0"/>
            </w:tcBorders>
            <w:vAlign w:val="center"/>
          </w:tcPr>
          <w:p w14:paraId="168A5C95">
            <w:pPr>
              <w:spacing w:line="480" w:lineRule="exact"/>
              <w:jc w:val="center"/>
              <w:rPr>
                <w:rFonts w:ascii="宋体" w:hAnsi="宋体" w:cs="宋体"/>
                <w:sz w:val="24"/>
                <w:highlight w:val="none"/>
              </w:rPr>
            </w:pPr>
            <w:r>
              <w:rPr>
                <w:rFonts w:hint="eastAsia" w:ascii="宋体" w:hAnsi="宋体" w:cs="宋体"/>
                <w:sz w:val="24"/>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02978B5F">
            <w:pPr>
              <w:spacing w:line="480" w:lineRule="exact"/>
              <w:jc w:val="center"/>
              <w:rPr>
                <w:rFonts w:ascii="宋体" w:hAnsi="宋体" w:cs="宋体"/>
                <w:sz w:val="24"/>
                <w:highlight w:val="none"/>
              </w:rPr>
            </w:pPr>
            <w:r>
              <w:rPr>
                <w:rFonts w:hint="eastAsia" w:ascii="宋体" w:hAnsi="宋体" w:cs="宋体"/>
                <w:sz w:val="24"/>
                <w:highlight w:val="none"/>
              </w:rPr>
              <w:t>1</w:t>
            </w:r>
          </w:p>
        </w:tc>
      </w:tr>
      <w:tr w14:paraId="6FAE86A0">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3732BF18">
            <w:pPr>
              <w:spacing w:line="480" w:lineRule="exact"/>
              <w:jc w:val="center"/>
              <w:rPr>
                <w:rFonts w:ascii="宋体" w:hAnsi="宋体" w:cs="宋体"/>
                <w:sz w:val="24"/>
                <w:highlight w:val="none"/>
              </w:rPr>
            </w:pPr>
            <w:r>
              <w:rPr>
                <w:rFonts w:hint="eastAsia" w:ascii="宋体" w:hAnsi="宋体" w:cs="宋体"/>
                <w:sz w:val="24"/>
                <w:highlight w:val="none"/>
              </w:rPr>
              <w:t>2</w:t>
            </w:r>
          </w:p>
        </w:tc>
        <w:tc>
          <w:tcPr>
            <w:tcW w:w="4996" w:type="dxa"/>
            <w:tcBorders>
              <w:top w:val="single" w:color="auto" w:sz="4" w:space="0"/>
              <w:left w:val="single" w:color="auto" w:sz="4" w:space="0"/>
              <w:bottom w:val="single" w:color="auto" w:sz="4" w:space="0"/>
              <w:right w:val="single" w:color="auto" w:sz="4" w:space="0"/>
            </w:tcBorders>
            <w:noWrap/>
            <w:vAlign w:val="center"/>
          </w:tcPr>
          <w:p w14:paraId="7642E4C1">
            <w:pPr>
              <w:spacing w:line="480" w:lineRule="exact"/>
              <w:ind w:firstLine="480" w:firstLineChars="200"/>
              <w:jc w:val="center"/>
              <w:rPr>
                <w:rFonts w:ascii="宋体" w:hAnsi="宋体" w:cs="宋体"/>
                <w:sz w:val="24"/>
                <w:highlight w:val="none"/>
              </w:rPr>
            </w:pPr>
            <w:r>
              <w:rPr>
                <w:rFonts w:hint="eastAsia" w:ascii="宋体" w:hAnsi="宋体" w:cs="宋体"/>
                <w:sz w:val="24"/>
                <w:highlight w:val="none"/>
              </w:rPr>
              <w:t>2㎜铝板+工程反光膜+刻字（画面为国标禁止攀爬，尺寸大小为A4）</w:t>
            </w:r>
          </w:p>
        </w:tc>
        <w:tc>
          <w:tcPr>
            <w:tcW w:w="834" w:type="dxa"/>
            <w:tcBorders>
              <w:top w:val="single" w:color="auto" w:sz="4" w:space="0"/>
              <w:left w:val="nil"/>
              <w:bottom w:val="single" w:color="auto" w:sz="4" w:space="0"/>
              <w:right w:val="single" w:color="auto" w:sz="4" w:space="0"/>
            </w:tcBorders>
            <w:vAlign w:val="center"/>
          </w:tcPr>
          <w:p w14:paraId="020E37F2">
            <w:pPr>
              <w:spacing w:line="480" w:lineRule="exact"/>
              <w:jc w:val="center"/>
              <w:rPr>
                <w:rFonts w:ascii="宋体" w:hAnsi="宋体" w:cs="宋体"/>
                <w:sz w:val="24"/>
                <w:highlight w:val="none"/>
              </w:rPr>
            </w:pPr>
            <w:r>
              <w:rPr>
                <w:rFonts w:hint="eastAsia" w:ascii="宋体" w:hAnsi="宋体" w:cs="宋体"/>
                <w:sz w:val="24"/>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5C59286D">
            <w:pPr>
              <w:spacing w:line="480" w:lineRule="exact"/>
              <w:jc w:val="center"/>
              <w:rPr>
                <w:rFonts w:ascii="宋体" w:hAnsi="宋体" w:cs="宋体"/>
                <w:sz w:val="24"/>
                <w:highlight w:val="none"/>
              </w:rPr>
            </w:pPr>
            <w:r>
              <w:rPr>
                <w:rFonts w:hint="eastAsia" w:ascii="宋体" w:hAnsi="宋体" w:cs="宋体"/>
                <w:sz w:val="24"/>
                <w:highlight w:val="none"/>
              </w:rPr>
              <w:t>1</w:t>
            </w:r>
          </w:p>
        </w:tc>
      </w:tr>
      <w:tr w14:paraId="7F50B396">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2AD6E974">
            <w:pPr>
              <w:spacing w:line="480" w:lineRule="exact"/>
              <w:jc w:val="center"/>
              <w:rPr>
                <w:rFonts w:ascii="宋体" w:hAnsi="宋体" w:cs="宋体"/>
                <w:sz w:val="24"/>
                <w:highlight w:val="none"/>
              </w:rPr>
            </w:pPr>
            <w:r>
              <w:rPr>
                <w:rFonts w:hint="eastAsia" w:ascii="宋体" w:hAnsi="宋体" w:cs="宋体"/>
                <w:sz w:val="24"/>
                <w:highlight w:val="none"/>
              </w:rPr>
              <w:t>3</w:t>
            </w:r>
          </w:p>
        </w:tc>
        <w:tc>
          <w:tcPr>
            <w:tcW w:w="4996" w:type="dxa"/>
            <w:tcBorders>
              <w:top w:val="single" w:color="auto" w:sz="4" w:space="0"/>
              <w:left w:val="single" w:color="auto" w:sz="4" w:space="0"/>
              <w:bottom w:val="single" w:color="auto" w:sz="4" w:space="0"/>
              <w:right w:val="single" w:color="auto" w:sz="4" w:space="0"/>
            </w:tcBorders>
            <w:noWrap/>
            <w:vAlign w:val="center"/>
          </w:tcPr>
          <w:p w14:paraId="4F7191B9">
            <w:pPr>
              <w:spacing w:line="480" w:lineRule="exact"/>
              <w:ind w:firstLine="480" w:firstLineChars="200"/>
              <w:jc w:val="center"/>
              <w:rPr>
                <w:rFonts w:ascii="宋体" w:hAnsi="宋体" w:cs="宋体"/>
                <w:sz w:val="24"/>
                <w:highlight w:val="none"/>
              </w:rPr>
            </w:pPr>
            <w:r>
              <w:rPr>
                <w:rFonts w:hint="eastAsia" w:ascii="宋体" w:hAnsi="宋体" w:cs="宋体"/>
                <w:sz w:val="24"/>
                <w:highlight w:val="none"/>
              </w:rPr>
              <w:t>画面+保护膜+5㎜PVC底板+5㎜透明亚克力倒斜边（班组管理看板，画面自行设计，尺寸大小为A4）</w:t>
            </w:r>
          </w:p>
        </w:tc>
        <w:tc>
          <w:tcPr>
            <w:tcW w:w="834" w:type="dxa"/>
            <w:tcBorders>
              <w:top w:val="single" w:color="auto" w:sz="4" w:space="0"/>
              <w:left w:val="nil"/>
              <w:bottom w:val="single" w:color="auto" w:sz="4" w:space="0"/>
              <w:right w:val="single" w:color="auto" w:sz="4" w:space="0"/>
            </w:tcBorders>
            <w:vAlign w:val="center"/>
          </w:tcPr>
          <w:p w14:paraId="2074BC58">
            <w:pPr>
              <w:spacing w:line="480" w:lineRule="exact"/>
              <w:jc w:val="center"/>
              <w:rPr>
                <w:rFonts w:ascii="宋体" w:hAnsi="宋体" w:cs="宋体"/>
                <w:sz w:val="24"/>
                <w:highlight w:val="none"/>
              </w:rPr>
            </w:pPr>
            <w:r>
              <w:rPr>
                <w:rFonts w:hint="eastAsia" w:ascii="宋体" w:hAnsi="宋体" w:cs="宋体"/>
                <w:sz w:val="24"/>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0A9712DB">
            <w:pPr>
              <w:spacing w:line="480" w:lineRule="exact"/>
              <w:jc w:val="center"/>
              <w:rPr>
                <w:rFonts w:ascii="宋体" w:hAnsi="宋体" w:cs="宋体"/>
                <w:sz w:val="24"/>
                <w:highlight w:val="none"/>
              </w:rPr>
            </w:pPr>
            <w:r>
              <w:rPr>
                <w:rFonts w:hint="eastAsia" w:ascii="宋体" w:hAnsi="宋体" w:cs="宋体"/>
                <w:sz w:val="24"/>
                <w:highlight w:val="none"/>
              </w:rPr>
              <w:t>1</w:t>
            </w:r>
          </w:p>
        </w:tc>
      </w:tr>
    </w:tbl>
    <w:p w14:paraId="08BAE55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5</w:t>
      </w:r>
      <w:r>
        <w:rPr>
          <w:rFonts w:hint="eastAsia" w:ascii="宋体" w:hAnsi="宋体" w:eastAsia="宋体" w:cs="宋体"/>
          <w:bCs/>
          <w:color w:val="auto"/>
          <w:kern w:val="0"/>
          <w:sz w:val="24"/>
          <w:highlight w:val="none"/>
          <w:u w:color="000000"/>
          <w:lang w:bidi="ar"/>
        </w:rPr>
        <w:t>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滁州轨道运营标识标牌及VI制作安装项目（2025年-2026年）</w:t>
      </w:r>
      <w:r>
        <w:rPr>
          <w:rFonts w:hint="eastAsia" w:ascii="宋体" w:hAnsi="宋体" w:eastAsia="宋体" w:cs="宋体"/>
          <w:bCs/>
          <w:color w:val="auto"/>
          <w:kern w:val="0"/>
          <w:sz w:val="24"/>
          <w:highlight w:val="none"/>
          <w:u w:color="000000"/>
          <w:lang w:bidi="ar"/>
        </w:rPr>
        <w:t xml:space="preserve">”投标保证金。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widowControl/>
        <w:autoSpaceDE w:val="0"/>
        <w:spacing w:line="440" w:lineRule="exact"/>
        <w:ind w:firstLine="480" w:firstLineChars="200"/>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13C26228">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423585F">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0A32F287">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1F74C4A8">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86"/>
      <w:bookmarkStart w:id="16" w:name="_Toc28359009"/>
    </w:p>
    <w:bookmarkEnd w:id="15"/>
    <w:bookmarkEnd w:id="16"/>
    <w:p w14:paraId="75CB189C">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6000E0E7">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5155BFEB">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      话：0550-3352129、18005505728</w:t>
      </w:r>
    </w:p>
    <w:bookmarkEnd w:id="208"/>
    <w:p w14:paraId="319872B2">
      <w:pPr>
        <w:widowControl/>
        <w:autoSpaceDE w:val="0"/>
        <w:spacing w:line="440" w:lineRule="exact"/>
        <w:ind w:firstLine="480" w:firstLineChars="200"/>
        <w:jc w:val="center"/>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6EDC02FC">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18"/>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3CE3D3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6AD4289F">
            <w:pPr>
              <w:pStyle w:val="11"/>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6420ABDA">
            <w:pPr>
              <w:pStyle w:val="11"/>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A0F7886">
            <w:pPr>
              <w:pStyle w:val="11"/>
              <w:widowControl/>
              <w:spacing w:line="360" w:lineRule="exact"/>
              <w:jc w:val="center"/>
              <w:rPr>
                <w:rFonts w:hint="default"/>
                <w:b/>
                <w:highlight w:val="none"/>
              </w:rPr>
            </w:pPr>
            <w:r>
              <w:rPr>
                <w:b/>
                <w:highlight w:val="none"/>
              </w:rPr>
              <w:t>说明与要求</w:t>
            </w:r>
          </w:p>
        </w:tc>
      </w:tr>
      <w:tr w14:paraId="67714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0911AA">
            <w:pPr>
              <w:pStyle w:val="11"/>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D22FCB">
            <w:pPr>
              <w:pStyle w:val="11"/>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92AE4A">
            <w:pPr>
              <w:pStyle w:val="11"/>
              <w:widowControl/>
              <w:autoSpaceDE w:val="0"/>
              <w:spacing w:line="360" w:lineRule="exact"/>
              <w:rPr>
                <w:rFonts w:hint="eastAsia" w:eastAsia="宋体"/>
                <w:bCs/>
                <w:highlight w:val="none"/>
                <w:lang w:eastAsia="zh-CN"/>
              </w:rPr>
            </w:pPr>
            <w:r>
              <w:rPr>
                <w:rFonts w:hint="eastAsia"/>
                <w:bCs/>
                <w:highlight w:val="none"/>
                <w:lang w:eastAsia="zh-CN"/>
              </w:rPr>
              <w:t>滁州轨道运营标识标牌及VI制作安装项目（2025年-2026年）</w:t>
            </w:r>
          </w:p>
        </w:tc>
      </w:tr>
      <w:tr w14:paraId="59B2E3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E1D31A">
            <w:pPr>
              <w:pStyle w:val="11"/>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86AF56">
            <w:pPr>
              <w:pStyle w:val="11"/>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C6E2C9">
            <w:pPr>
              <w:pStyle w:val="11"/>
              <w:widowControl/>
              <w:autoSpaceDE w:val="0"/>
              <w:spacing w:line="360" w:lineRule="exact"/>
              <w:rPr>
                <w:rFonts w:hint="default"/>
                <w:bCs/>
                <w:highlight w:val="none"/>
              </w:rPr>
            </w:pPr>
            <w:r>
              <w:rPr>
                <w:rFonts w:cs="宋体"/>
                <w:color w:val="000000"/>
                <w:highlight w:val="none"/>
                <w:u w:color="000000"/>
                <w:lang w:bidi="ar"/>
              </w:rPr>
              <w:t>详见第一章</w:t>
            </w:r>
            <w:r>
              <w:rPr>
                <w:rFonts w:ascii="仿宋" w:hAnsi="仿宋" w:cs="宋体"/>
                <w:color w:val="000000"/>
                <w:highlight w:val="none"/>
                <w:u w:color="000000"/>
                <w:lang w:bidi="ar"/>
              </w:rPr>
              <w:t>“招标公告”</w:t>
            </w:r>
          </w:p>
        </w:tc>
      </w:tr>
      <w:tr w14:paraId="3644A4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9775BF">
            <w:pPr>
              <w:pStyle w:val="11"/>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D5F8D1">
            <w:pPr>
              <w:pStyle w:val="11"/>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9F24">
            <w:pPr>
              <w:pStyle w:val="11"/>
              <w:widowControl/>
              <w:autoSpaceDE w:val="0"/>
              <w:spacing w:line="360" w:lineRule="exact"/>
              <w:rPr>
                <w:rFonts w:hint="default"/>
                <w:highlight w:val="none"/>
              </w:rPr>
            </w:pPr>
            <w:r>
              <w:rPr>
                <w:rFonts w:cs="宋体"/>
                <w:highlight w:val="none"/>
              </w:rPr>
              <w:t>招标人指定地点</w:t>
            </w:r>
          </w:p>
        </w:tc>
      </w:tr>
      <w:tr w14:paraId="1DC1A2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FBF14F">
            <w:pPr>
              <w:pStyle w:val="11"/>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B93E0A">
            <w:pPr>
              <w:pStyle w:val="11"/>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AD0D2D">
            <w:pPr>
              <w:pStyle w:val="11"/>
              <w:widowControl/>
              <w:autoSpaceDE w:val="0"/>
              <w:spacing w:line="360" w:lineRule="exact"/>
              <w:rPr>
                <w:rFonts w:hint="default"/>
                <w:highlight w:val="none"/>
              </w:rPr>
            </w:pPr>
            <w:r>
              <w:rPr>
                <w:rFonts w:hint="eastAsia" w:cs="宋体"/>
                <w:highlight w:val="none"/>
                <w:lang w:eastAsia="zh-CN"/>
              </w:rPr>
              <w:t>杭祥婷</w:t>
            </w:r>
            <w:r>
              <w:rPr>
                <w:rFonts w:cs="宋体"/>
                <w:highlight w:val="none"/>
              </w:rPr>
              <w:t xml:space="preserve">  0550-3352129</w:t>
            </w:r>
          </w:p>
        </w:tc>
      </w:tr>
      <w:tr w14:paraId="525CA6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8F5590">
            <w:pPr>
              <w:pStyle w:val="11"/>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F0A943">
            <w:pPr>
              <w:pStyle w:val="11"/>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7DCE6D">
            <w:pPr>
              <w:pStyle w:val="11"/>
              <w:widowControl/>
              <w:autoSpaceDE w:val="0"/>
              <w:spacing w:line="360" w:lineRule="exact"/>
              <w:rPr>
                <w:rFonts w:hint="default"/>
                <w:highlight w:val="none"/>
              </w:rPr>
            </w:pPr>
            <w:r>
              <w:rPr>
                <w:rFonts w:cs="宋体"/>
                <w:highlight w:val="none"/>
              </w:rPr>
              <w:t>周蓓蕾  0550-3519519  18005505728</w:t>
            </w:r>
          </w:p>
        </w:tc>
      </w:tr>
      <w:tr w14:paraId="4C7BE3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C4F502">
            <w:pPr>
              <w:pStyle w:val="11"/>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F38010">
            <w:pPr>
              <w:pStyle w:val="11"/>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1636AB">
            <w:pPr>
              <w:pStyle w:val="11"/>
              <w:widowControl/>
              <w:autoSpaceDE w:val="0"/>
              <w:spacing w:line="360" w:lineRule="exact"/>
              <w:rPr>
                <w:rFonts w:hint="default"/>
                <w:highlight w:val="none"/>
              </w:rPr>
            </w:pPr>
            <w:r>
              <w:rPr>
                <w:highlight w:val="none"/>
              </w:rPr>
              <w:t>自筹资金</w:t>
            </w:r>
          </w:p>
        </w:tc>
      </w:tr>
      <w:tr w14:paraId="29BC57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36670">
            <w:pPr>
              <w:pStyle w:val="11"/>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0FC804">
            <w:pPr>
              <w:pStyle w:val="11"/>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3E84E1">
            <w:pPr>
              <w:pStyle w:val="11"/>
              <w:widowControl/>
              <w:autoSpaceDE w:val="0"/>
              <w:spacing w:line="360" w:lineRule="exact"/>
              <w:rPr>
                <w:rFonts w:hint="default"/>
                <w:bCs/>
                <w:color w:val="000000"/>
                <w:highlight w:val="none"/>
              </w:rPr>
            </w:pPr>
            <w:r>
              <w:rPr>
                <w:rFonts w:hint="eastAsia" w:cs="宋体"/>
                <w:bCs/>
                <w:color w:val="000000"/>
                <w:highlight w:val="none"/>
                <w:lang w:eastAsia="zh-CN"/>
              </w:rPr>
              <w:t>292500</w:t>
            </w:r>
            <w:r>
              <w:rPr>
                <w:rFonts w:cs="宋体"/>
                <w:bCs/>
                <w:color w:val="000000"/>
                <w:highlight w:val="none"/>
              </w:rPr>
              <w:t>元</w:t>
            </w:r>
          </w:p>
        </w:tc>
      </w:tr>
      <w:tr w14:paraId="5A7FFC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7D003">
            <w:pPr>
              <w:pStyle w:val="11"/>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E47502">
            <w:pPr>
              <w:pStyle w:val="11"/>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CDA9E1">
            <w:pPr>
              <w:pStyle w:val="11"/>
              <w:widowControl/>
              <w:autoSpaceDE w:val="0"/>
              <w:spacing w:line="360" w:lineRule="exact"/>
              <w:rPr>
                <w:rFonts w:hint="default"/>
                <w:bCs/>
                <w:color w:val="000000"/>
                <w:highlight w:val="none"/>
              </w:rPr>
            </w:pPr>
            <w:r>
              <w:rPr>
                <w:rFonts w:cs="宋体"/>
                <w:bCs/>
                <w:color w:val="000000"/>
                <w:highlight w:val="none"/>
              </w:rPr>
              <w:t>本项目最高限价为（人民币）</w:t>
            </w:r>
            <w:r>
              <w:rPr>
                <w:rFonts w:hint="eastAsia" w:cs="宋体"/>
                <w:bCs/>
                <w:color w:val="000000"/>
                <w:highlight w:val="none"/>
                <w:lang w:eastAsia="zh-CN"/>
              </w:rPr>
              <w:t>292500</w:t>
            </w:r>
            <w:r>
              <w:rPr>
                <w:rFonts w:cs="宋体"/>
                <w:bCs/>
                <w:color w:val="000000"/>
                <w:highlight w:val="none"/>
              </w:rPr>
              <w:t>元，投标报价不得超过各最高限价，否则按无效投标处理。</w:t>
            </w:r>
          </w:p>
        </w:tc>
      </w:tr>
      <w:tr w14:paraId="15ECC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25CF6C">
            <w:pPr>
              <w:pStyle w:val="11"/>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D02363">
            <w:pPr>
              <w:pStyle w:val="11"/>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2AAAF1">
            <w:pPr>
              <w:pStyle w:val="11"/>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39605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937F1F">
            <w:pPr>
              <w:pStyle w:val="11"/>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3C4929">
            <w:pPr>
              <w:pStyle w:val="11"/>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4F93D8">
            <w:pPr>
              <w:pStyle w:val="11"/>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34192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F28429">
            <w:pPr>
              <w:pStyle w:val="11"/>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7F9B6C">
            <w:pPr>
              <w:pStyle w:val="11"/>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22806F">
            <w:pPr>
              <w:pStyle w:val="11"/>
              <w:widowControl/>
              <w:autoSpaceDE w:val="0"/>
              <w:spacing w:line="360" w:lineRule="exact"/>
              <w:rPr>
                <w:rFonts w:hint="default"/>
                <w:highlight w:val="none"/>
              </w:rPr>
            </w:pPr>
            <w:r>
              <w:rPr>
                <w:rFonts w:cs="宋体"/>
                <w:highlight w:val="none"/>
              </w:rPr>
              <w:t>公开</w:t>
            </w:r>
            <w:r>
              <w:rPr>
                <w:highlight w:val="none"/>
              </w:rPr>
              <w:t>招标</w:t>
            </w:r>
          </w:p>
        </w:tc>
      </w:tr>
      <w:tr w14:paraId="713CA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AFB375">
            <w:pPr>
              <w:pStyle w:val="11"/>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74D4A8">
            <w:pPr>
              <w:pStyle w:val="11"/>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387031">
            <w:pPr>
              <w:autoSpaceDE w:val="0"/>
              <w:spacing w:line="360" w:lineRule="exact"/>
              <w:rPr>
                <w:rFonts w:ascii="仿宋" w:hAnsi="仿宋" w:eastAsia="仿宋" w:cs="仿宋"/>
                <w:highlight w:val="none"/>
              </w:rPr>
            </w:pPr>
            <w:r>
              <w:rPr>
                <w:rFonts w:hint="eastAsia" w:ascii="宋体" w:hAnsi="宋体" w:eastAsia="宋体" w:cs="宋体"/>
                <w:color w:val="000000"/>
                <w:szCs w:val="21"/>
                <w:highlight w:val="none"/>
                <w:u w:color="000000"/>
                <w:lang w:bidi="ar"/>
              </w:rPr>
              <w:t>详见第一章</w:t>
            </w:r>
            <w:r>
              <w:rPr>
                <w:rFonts w:hint="eastAsia" w:ascii="仿宋" w:hAnsi="仿宋" w:eastAsia="宋体" w:cs="宋体"/>
                <w:color w:val="000000"/>
                <w:szCs w:val="21"/>
                <w:highlight w:val="none"/>
                <w:u w:color="000000"/>
                <w:lang w:bidi="ar"/>
              </w:rPr>
              <w:t>“招标公告”</w:t>
            </w:r>
          </w:p>
        </w:tc>
      </w:tr>
      <w:tr w14:paraId="20B991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F0576C">
            <w:pPr>
              <w:pStyle w:val="11"/>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7C633E">
            <w:pPr>
              <w:pStyle w:val="11"/>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9E5C72">
            <w:pPr>
              <w:pStyle w:val="11"/>
              <w:widowControl/>
              <w:autoSpaceDE w:val="0"/>
              <w:spacing w:line="360" w:lineRule="exact"/>
              <w:rPr>
                <w:rFonts w:hint="default"/>
                <w:highlight w:val="none"/>
              </w:rPr>
            </w:pPr>
            <w:r>
              <w:rPr>
                <w:highlight w:val="none"/>
              </w:rPr>
              <w:t>不组织,投标人自行踏勘现场</w:t>
            </w:r>
          </w:p>
        </w:tc>
      </w:tr>
      <w:tr w14:paraId="24345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2B9B55">
            <w:pPr>
              <w:pStyle w:val="11"/>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83F5501">
            <w:pPr>
              <w:pStyle w:val="11"/>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098B6A">
            <w:pPr>
              <w:pStyle w:val="11"/>
              <w:widowControl/>
              <w:autoSpaceDE w:val="0"/>
              <w:spacing w:line="360" w:lineRule="exact"/>
              <w:rPr>
                <w:rFonts w:hint="default"/>
                <w:highlight w:val="none"/>
              </w:rPr>
            </w:pPr>
            <w:r>
              <w:rPr>
                <w:highlight w:val="none"/>
              </w:rPr>
              <w:t>不召开</w:t>
            </w:r>
          </w:p>
        </w:tc>
      </w:tr>
      <w:tr w14:paraId="0CB86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C4D790">
            <w:pPr>
              <w:pStyle w:val="11"/>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D211B4">
            <w:pPr>
              <w:pStyle w:val="11"/>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B34A03">
            <w:pPr>
              <w:pStyle w:val="11"/>
              <w:widowControl/>
              <w:autoSpaceDE w:val="0"/>
              <w:spacing w:line="360" w:lineRule="exact"/>
              <w:rPr>
                <w:rFonts w:hint="default"/>
                <w:highlight w:val="none"/>
              </w:rPr>
            </w:pPr>
            <w:r>
              <w:rPr>
                <w:highlight w:val="none"/>
              </w:rPr>
              <w:t>如投标人对招标文件有疑问，请于202</w:t>
            </w:r>
            <w:r>
              <w:rPr>
                <w:rFonts w:hint="eastAsia"/>
                <w:highlight w:val="none"/>
                <w:lang w:val="en-US" w:eastAsia="zh-CN"/>
              </w:rPr>
              <w:t>5</w:t>
            </w:r>
            <w:r>
              <w:rPr>
                <w:highlight w:val="none"/>
              </w:rPr>
              <w:t>年</w:t>
            </w:r>
            <w:r>
              <w:rPr>
                <w:rFonts w:hint="eastAsia"/>
                <w:highlight w:val="none"/>
                <w:lang w:val="en-US" w:eastAsia="zh-CN"/>
              </w:rPr>
              <w:t>7</w:t>
            </w:r>
            <w:r>
              <w:rPr>
                <w:highlight w:val="none"/>
              </w:rPr>
              <w:t>月</w:t>
            </w:r>
            <w:r>
              <w:rPr>
                <w:rFonts w:hint="eastAsia"/>
                <w:highlight w:val="none"/>
                <w:lang w:val="en-US" w:eastAsia="zh-CN"/>
              </w:rPr>
              <w:t xml:space="preserve"> 5</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14:paraId="3A74F8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A51ECE">
            <w:pPr>
              <w:pStyle w:val="11"/>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EC51">
            <w:pPr>
              <w:pStyle w:val="11"/>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E5FE9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5</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7</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7</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747D01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437EB">
            <w:pPr>
              <w:pStyle w:val="11"/>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9FC914">
            <w:pPr>
              <w:pStyle w:val="11"/>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8FC148">
            <w:pPr>
              <w:pStyle w:val="11"/>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769A0C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ED1AC0">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33F023">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F23836">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代理服务费金额：3000元。</w:t>
            </w:r>
          </w:p>
          <w:p w14:paraId="00A96305">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0DD14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31B7EE">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809907">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3776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2E0B7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9F73B09">
            <w:pPr>
              <w:pStyle w:val="11"/>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BAC49E">
            <w:pPr>
              <w:pStyle w:val="11"/>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0805DF">
            <w:pPr>
              <w:pStyle w:val="11"/>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1E81E0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707E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8B3A70">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A7A7F52">
            <w:pPr>
              <w:autoSpaceDE w:val="0"/>
              <w:spacing w:line="360" w:lineRule="exact"/>
              <w:jc w:val="left"/>
              <w:rPr>
                <w:rFonts w:hint="default" w:eastAsiaTheme="minorEastAsia"/>
                <w:highlight w:val="none"/>
                <w:lang w:val="en-US" w:eastAsia="zh-CN"/>
              </w:rPr>
            </w:pPr>
            <w:r>
              <w:rPr>
                <w:rFonts w:hint="eastAsia" w:ascii="宋体" w:hAnsi="宋体" w:eastAsia="宋体" w:cs="宋体"/>
                <w:color w:val="000000"/>
                <w:szCs w:val="21"/>
                <w:highlight w:val="none"/>
                <w:u w:color="000000"/>
                <w:lang w:val="en-US" w:eastAsia="zh-CN" w:bidi="ar"/>
              </w:rPr>
              <w:t>详见招标公告</w:t>
            </w:r>
          </w:p>
        </w:tc>
      </w:tr>
      <w:tr w14:paraId="69119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DE2BBB5">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D37C59">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3B27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42550E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0E46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8FAA1">
            <w:pPr>
              <w:spacing w:line="360" w:lineRule="exact"/>
              <w:jc w:val="left"/>
              <w:rPr>
                <w:rFonts w:ascii="宋体" w:hAnsi="宋体" w:eastAsia="宋体" w:cs="宋体"/>
                <w:highlight w:val="none"/>
              </w:rPr>
            </w:pPr>
            <w:r>
              <w:rPr>
                <w:rFonts w:hint="eastAsia" w:ascii="宋体"/>
                <w:szCs w:val="21"/>
                <w:highlight w:val="none"/>
              </w:rPr>
              <w:t>投标文件及样品提交截止时间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ABAC0B">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7</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231E6B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74785D">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93FE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128F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081A9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9A08F">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F77491">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9F202">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w:t>
            </w:r>
            <w:r>
              <w:rPr>
                <w:rFonts w:hint="eastAsia" w:ascii="宋体" w:hAnsi="宋体" w:eastAsia="宋体" w:cs="宋体"/>
                <w:color w:val="000000"/>
                <w:szCs w:val="21"/>
                <w:highlight w:val="none"/>
                <w:u w:color="000000"/>
                <w:lang w:val="en-US" w:eastAsia="zh-CN" w:bidi="ar"/>
              </w:rPr>
              <w:t>5</w:t>
            </w:r>
            <w:r>
              <w:rPr>
                <w:rFonts w:hint="eastAsia" w:ascii="宋体" w:hAnsi="宋体" w:eastAsia="宋体" w:cs="宋体"/>
                <w:color w:val="000000"/>
                <w:szCs w:val="21"/>
                <w:highlight w:val="none"/>
                <w:u w:color="000000"/>
                <w:lang w:bidi="ar"/>
              </w:rPr>
              <w:t>年</w:t>
            </w:r>
            <w:r>
              <w:rPr>
                <w:rFonts w:hint="eastAsia" w:ascii="宋体" w:hAnsi="宋体" w:eastAsia="宋体" w:cs="宋体"/>
                <w:color w:val="000000"/>
                <w:szCs w:val="21"/>
                <w:highlight w:val="none"/>
                <w:u w:color="000000"/>
                <w:lang w:val="en-US" w:eastAsia="zh-CN" w:bidi="ar"/>
              </w:rPr>
              <w:t>7</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15</w:t>
            </w:r>
            <w:r>
              <w:rPr>
                <w:rFonts w:hint="eastAsia" w:ascii="宋体" w:hAnsi="宋体" w:eastAsia="宋体" w:cs="宋体"/>
                <w:color w:val="000000"/>
                <w:szCs w:val="21"/>
                <w:highlight w:val="none"/>
                <w:u w:color="000000"/>
                <w:lang w:bidi="ar"/>
              </w:rPr>
              <w:t>日15时00分（北京时间）</w:t>
            </w:r>
          </w:p>
          <w:p w14:paraId="65A53D84">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w:t>
            </w:r>
            <w:r>
              <w:rPr>
                <w:rFonts w:hint="eastAsia" w:ascii="宋体" w:hAnsi="宋体" w:eastAsia="宋体" w:cs="宋体"/>
                <w:color w:val="000000"/>
                <w:szCs w:val="21"/>
                <w:highlight w:val="none"/>
                <w:u w:color="000000"/>
                <w:lang w:eastAsia="zh-CN" w:bidi="ar"/>
              </w:rPr>
              <w:t>五楼514开评标室</w:t>
            </w:r>
            <w:r>
              <w:rPr>
                <w:rFonts w:hint="eastAsia" w:ascii="宋体" w:hAnsi="宋体" w:eastAsia="宋体" w:cs="宋体"/>
                <w:color w:val="000000"/>
                <w:szCs w:val="21"/>
                <w:highlight w:val="none"/>
                <w:u w:color="000000"/>
                <w:lang w:bidi="ar"/>
              </w:rPr>
              <w:t xml:space="preserve"> (徽州路与扬子路交叉口东南侧)。</w:t>
            </w:r>
          </w:p>
        </w:tc>
      </w:tr>
      <w:tr w14:paraId="0A7F2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9AA06C">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227537">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DB418A">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1F32A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A706BB">
            <w:pPr>
              <w:pStyle w:val="11"/>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7197F">
            <w:pPr>
              <w:pStyle w:val="11"/>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039658">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5D2D9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47AF9F">
            <w:pPr>
              <w:pStyle w:val="11"/>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C3DAD9">
            <w:pPr>
              <w:pStyle w:val="11"/>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79F1B3">
            <w:pPr>
              <w:pStyle w:val="11"/>
              <w:widowControl/>
              <w:autoSpaceDE w:val="0"/>
              <w:spacing w:line="360" w:lineRule="exact"/>
              <w:rPr>
                <w:rFonts w:hint="default"/>
                <w:highlight w:val="none"/>
              </w:rPr>
            </w:pPr>
            <w:r>
              <w:rPr>
                <w:rFonts w:cs="宋体"/>
                <w:highlight w:val="none"/>
              </w:rPr>
              <w:t>是，推荐的中标候选人数3名，并标明排序。</w:t>
            </w:r>
          </w:p>
        </w:tc>
      </w:tr>
      <w:tr w14:paraId="58AE11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02A91">
            <w:pPr>
              <w:pStyle w:val="11"/>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DFC78E">
            <w:pPr>
              <w:pStyle w:val="11"/>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8371323">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070AFDDB">
            <w:pPr>
              <w:pStyle w:val="11"/>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087A8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F8BB00">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E8BC31">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DC9D41">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ACF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053907">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5A547F">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24FF5BF7">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6B7CA758">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548377A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27826DB1">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76C2B0B6">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2A8D17C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w:t>
            </w:r>
            <w:r>
              <w:rPr>
                <w:rFonts w:hint="eastAsia" w:ascii="Times New Roman" w:hAnsi="Times New Roman" w:eastAsia="宋体" w:cs="Times New Roman"/>
                <w:highlight w:val="none"/>
                <w:lang w:val="en-US" w:eastAsia="zh-CN"/>
              </w:rPr>
              <w:t>个工作日</w:t>
            </w:r>
            <w:r>
              <w:rPr>
                <w:rFonts w:hint="eastAsia" w:ascii="Times New Roman" w:hAnsi="Times New Roman" w:eastAsia="宋体" w:cs="Times New Roman"/>
                <w:highlight w:val="none"/>
              </w:rPr>
              <w:t>内完成履约保证金缴纳及合同签订。否则，取消中标资格，投标保证金不予退还。(注：投标保证金不能转为履约保证金。)</w:t>
            </w:r>
          </w:p>
          <w:p w14:paraId="678D229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6F08F53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14:paraId="1DAFE850">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2102B2DE">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2FDA5C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8AF2A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12868C">
            <w:pPr>
              <w:spacing w:line="360" w:lineRule="exact"/>
              <w:jc w:val="left"/>
              <w:rPr>
                <w:rFonts w:ascii="宋体" w:hAnsi="宋体" w:eastAsia="宋体" w:cs="宋体"/>
                <w:highlight w:val="none"/>
              </w:rPr>
            </w:pPr>
            <w:r>
              <w:rPr>
                <w:rFonts w:hint="eastAsia" w:ascii="Times New Roman" w:hAnsi="Times New Roman" w:eastAsia="宋体" w:cs="Times New Roman"/>
                <w:highlight w:val="none"/>
              </w:rPr>
              <w:t>全部标识标牌及VI需求制作安装完成并经招标人验收合格，中标人按招标人要求提交正确无误的支付请求、相应服务工作完成证明文件、相应款项的增值税专用发票等有效付款单据后，一次性付清全部服务费用。以上费用，招标人收到相应款项的增值税专用发票并经审批后于30个工作日内向中标人支付。</w:t>
            </w:r>
          </w:p>
        </w:tc>
      </w:tr>
      <w:tr w14:paraId="73F61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FABBD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ED370E2">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2BFF8BA3">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57941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C843C98">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A56CB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15C8773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01B3F87D">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4CEEE915">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67860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E96924F">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62EDA9">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525CAC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A75DADC">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BCB6390">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0BC39B4A">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584401C6">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1F1CAC9E">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27337985">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0A332A5E">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7D00F36E">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6BEE4AD1">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136B17B2">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2C934AE5">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2FCC938C">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993779">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7C028D5D">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1B7BF5F5">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43914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13A1D24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421B578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71B3A01">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727E1E4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513620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289CC7B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5F220A0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46DEF1C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124A749D">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1E4B9751">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固定单价 。  </w:t>
      </w:r>
      <w:r>
        <w:rPr>
          <w:rFonts w:hint="eastAsia" w:ascii="宋体"/>
          <w:szCs w:val="21"/>
          <w:highlight w:val="none"/>
        </w:rPr>
        <w:t>招标范围内中标综合单价一次性包死，结算时不予调整。</w:t>
      </w:r>
    </w:p>
    <w:p w14:paraId="3094F1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126F3EE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szCs w:val="21"/>
          <w:highlight w:val="none"/>
          <w:u w:val="single"/>
        </w:rPr>
        <w:t>综合评估法</w:t>
      </w:r>
      <w:r>
        <w:rPr>
          <w:rFonts w:hint="eastAsia" w:ascii="宋体" w:hAnsi="宋体" w:eastAsia="宋体" w:cs="宋体"/>
          <w:color w:val="000000"/>
          <w:kern w:val="0"/>
          <w:szCs w:val="21"/>
          <w:highlight w:val="none"/>
          <w:u w:val="single" w:color="000000"/>
          <w:lang w:bidi="ar"/>
        </w:rPr>
        <w:t xml:space="preserve"> 。</w:t>
      </w:r>
      <w:r>
        <w:rPr>
          <w:rFonts w:hint="eastAsia" w:ascii="宋体" w:hAnsi="宋体" w:eastAsia="宋体" w:cs="宋体"/>
          <w:color w:val="000000"/>
          <w:kern w:val="0"/>
          <w:szCs w:val="21"/>
          <w:highlight w:val="none"/>
          <w:u w:color="000000"/>
          <w:lang w:bidi="ar"/>
        </w:rPr>
        <w:t>（详见第三章评标办法）</w:t>
      </w:r>
    </w:p>
    <w:p w14:paraId="11B90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38C7B04E">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7EBCBE9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266E3154">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3699B2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296602429"/>
      <w:bookmarkEnd w:id="22"/>
      <w:bookmarkStart w:id="23" w:name="_Toc152042315"/>
      <w:bookmarkEnd w:id="23"/>
      <w:bookmarkStart w:id="24" w:name="_Toc247513962"/>
      <w:bookmarkEnd w:id="24"/>
      <w:bookmarkStart w:id="25" w:name="_Toc247527563"/>
      <w:bookmarkEnd w:id="25"/>
      <w:bookmarkStart w:id="26" w:name="_Toc144974507"/>
      <w:bookmarkEnd w:id="26"/>
      <w:bookmarkStart w:id="27" w:name="_Toc152045539"/>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761C228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519658F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C754E0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066FC9DD">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247148D9">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5D9B21D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1AED9306">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661843C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2CE135B3">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926EC0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7839B628">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3B19BC5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48B16F33">
      <w:pPr>
        <w:spacing w:line="360" w:lineRule="auto"/>
        <w:ind w:firstLine="420" w:firstLineChars="200"/>
        <w:rPr>
          <w:rFonts w:ascii="宋体"/>
          <w:szCs w:val="21"/>
          <w:highlight w:val="none"/>
        </w:rPr>
      </w:pPr>
      <w:bookmarkStart w:id="29" w:name="_Toc10668_WPSOffice_Level3"/>
      <w:bookmarkEnd w:id="29"/>
      <w:bookmarkStart w:id="30" w:name="_Toc24655"/>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6F2A7D5">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1C49006F">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2070B9F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21B39CEA">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660A8DF5">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06A16B5F">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D739B19">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0413D1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6F1DCA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2764D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39D5657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697A32C5">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697958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6D80B72">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926A27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1F37087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4C30D14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01F88D8B">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21A2E1C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28CD039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58C22150">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65C6B6B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5EADA4EB">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7E8AFC57">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053C35A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CBAAD3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7DF73CB1">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1B4C7AB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p>
    <w:p w14:paraId="55381670">
      <w:pPr>
        <w:spacing w:line="440" w:lineRule="exact"/>
        <w:ind w:firstLine="420" w:firstLineChars="200"/>
        <w:rPr>
          <w:rFonts w:ascii="宋体"/>
          <w:szCs w:val="21"/>
          <w:highlight w:val="none"/>
        </w:rPr>
      </w:pPr>
      <w:r>
        <w:rPr>
          <w:rFonts w:hint="eastAsia" w:ascii="宋体"/>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2CAEF69D">
      <w:pPr>
        <w:spacing w:line="440" w:lineRule="exact"/>
        <w:ind w:firstLine="420" w:firstLineChars="200"/>
        <w:rPr>
          <w:rFonts w:ascii="宋体"/>
          <w:szCs w:val="21"/>
          <w:highlight w:val="none"/>
        </w:rPr>
      </w:pPr>
      <w:r>
        <w:rPr>
          <w:rFonts w:hint="eastAsia" w:ascii="宋体"/>
          <w:szCs w:val="21"/>
          <w:highlight w:val="none"/>
        </w:rPr>
        <w:t>19.2招标文件中应明确样品送检方式、检测费用支付方法、投标人在规定时间内无法提供第三方权威检测机构检测报告的处理方式。</w:t>
      </w:r>
    </w:p>
    <w:p w14:paraId="6B7745E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008EDCF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6654642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4F2DF032">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7C5AF99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BBE3C1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6850284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C961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71BD3A8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438B068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4B19634E">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32D39B3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22.3投标报价的综合单价包括完成本项目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Cs w:val="21"/>
          <w:highlight w:val="none"/>
          <w:u w:color="000000"/>
          <w:lang w:bidi="ar"/>
        </w:rPr>
        <w:t>包括但不限于材料费、生产加工费、装卸费、运输费、管理费、其他费用（如包装费、仓储费、保管费、场地清理搬移相关费用）、安装调试费、利润、招标代理费、售后服务费、税金、政策性文件规定及合同包含的所有风险和责任等、货物送至招标人指定地点前的各项应有费用。</w:t>
      </w:r>
      <w:r>
        <w:rPr>
          <w:rFonts w:hint="eastAsia" w:ascii="宋体" w:hAnsi="宋体" w:eastAsia="宋体" w:cs="宋体"/>
          <w:bCs/>
          <w:color w:val="000000"/>
          <w:kern w:val="0"/>
          <w:szCs w:val="21"/>
          <w:highlight w:val="none"/>
          <w:u w:color="000000"/>
          <w:lang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24E7F35">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22.4投标报价的价格是完成项目全部内容（包括后期的相关服务）的价格，其单价即为履行合同的固定单价。</w:t>
      </w:r>
      <w:r>
        <w:rPr>
          <w:rFonts w:hint="eastAsia" w:ascii="宋体" w:hAnsi="宋体" w:eastAsia="宋体" w:cs="宋体"/>
          <w:bCs/>
          <w:color w:val="auto"/>
          <w:kern w:val="0"/>
          <w:szCs w:val="21"/>
          <w:highlight w:val="none"/>
          <w:u w:color="000000"/>
          <w:lang w:bidi="ar"/>
        </w:rPr>
        <w:t>在合同履行期间，如遇国家的税率调整或其他政策影响税率的，则价税合计金额做相应调整。</w:t>
      </w:r>
    </w:p>
    <w:p w14:paraId="728E79D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001D4FD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21024D6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3CBF4DE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BBEB4C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F38FD09">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6D0B81AE">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554ED86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4B4279B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5AD59A2">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（四）投标文件的递交</w:t>
      </w:r>
      <w:bookmarkEnd w:id="34"/>
    </w:p>
    <w:p w14:paraId="79B60E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490"/>
      <w:bookmarkEnd w:id="35"/>
      <w:bookmarkStart w:id="36" w:name="_Toc30407_WPSOffice_Level3"/>
      <w:bookmarkEnd w:id="36"/>
      <w:r>
        <w:rPr>
          <w:rFonts w:hint="eastAsia" w:ascii="宋体" w:hAnsi="宋体" w:eastAsia="宋体" w:cs="宋体"/>
          <w:b/>
          <w:color w:val="000000"/>
          <w:kern w:val="0"/>
          <w:szCs w:val="21"/>
          <w:highlight w:val="none"/>
          <w:u w:color="000000"/>
          <w:lang w:bidi="ar"/>
        </w:rPr>
        <w:t>25.投标文件的份数和签署</w:t>
      </w:r>
    </w:p>
    <w:p w14:paraId="5B2E1A8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4294002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780FD4C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008E791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3EA70F56">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6EE0109A">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362658F7">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67DEE22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527F0F92">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3ED4A321">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28B8EA36">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468E3B51">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57F99217">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548FE84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6259321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79A6360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（2）宣布采购人、代理机构主持人、见证人等有关人员姓名；</w:t>
      </w:r>
    </w:p>
    <w:p w14:paraId="79F2E8E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2AD35C4">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3FBC06A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1A36292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81992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0B62D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62A03C30">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0280726">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353E9666">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40663414">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6477C1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1B530CB5">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5D06CF53">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57A79D1">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50B12A0C">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55EE0902">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4FC4E8F3">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74686F45">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68F8B53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57EF5139">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0122A76A">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2690EFD2">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8FB297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069105F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0350E189">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0FD9B53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221420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1CFC55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2FDCC0E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0EED433B">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1A2F0F6A">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FC058C5">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3F2AE0B7">
      <w:pPr>
        <w:spacing w:line="420" w:lineRule="exact"/>
        <w:ind w:firstLine="420" w:firstLineChars="200"/>
        <w:jc w:val="left"/>
        <w:rPr>
          <w:rFonts w:ascii="宋体" w:hAnsi="Times New Roman" w:eastAsia="宋体" w:cs="Times New Roman"/>
          <w:szCs w:val="21"/>
          <w:highlight w:val="none"/>
        </w:rPr>
      </w:pPr>
    </w:p>
    <w:p w14:paraId="27E6A48B">
      <w:pPr>
        <w:autoSpaceDE w:val="0"/>
        <w:spacing w:line="400" w:lineRule="exact"/>
        <w:ind w:firstLine="450" w:firstLineChars="150"/>
        <w:jc w:val="left"/>
        <w:rPr>
          <w:rFonts w:ascii="黑体" w:hAnsi="宋体" w:eastAsia="黑体" w:cs="黑体"/>
          <w:sz w:val="30"/>
          <w:szCs w:val="30"/>
          <w:highlight w:val="none"/>
        </w:rPr>
      </w:pPr>
      <w:r>
        <w:rPr>
          <w:rFonts w:hint="eastAsia" w:ascii="黑体" w:hAnsi="宋体" w:eastAsia="黑体" w:cs="黑体"/>
          <w:color w:val="000000"/>
          <w:kern w:val="0"/>
          <w:sz w:val="30"/>
          <w:szCs w:val="30"/>
          <w:highlight w:val="none"/>
          <w:u w:color="000000"/>
          <w:lang w:bidi="ar"/>
        </w:rPr>
        <w:t xml:space="preserve"> </w:t>
      </w:r>
    </w:p>
    <w:p w14:paraId="38369EF2">
      <w:pPr>
        <w:rPr>
          <w:rFonts w:ascii="宋体"/>
          <w:b/>
          <w:sz w:val="32"/>
          <w:szCs w:val="32"/>
          <w:highlight w:val="none"/>
        </w:rPr>
      </w:pPr>
      <w:r>
        <w:rPr>
          <w:rFonts w:hint="eastAsia" w:ascii="宋体"/>
          <w:b/>
          <w:sz w:val="32"/>
          <w:szCs w:val="32"/>
          <w:highlight w:val="none"/>
        </w:rPr>
        <w:br w:type="page"/>
      </w:r>
    </w:p>
    <w:p w14:paraId="14CC2CDE">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18"/>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4FE89A7E">
            <w:pPr>
              <w:spacing w:line="320" w:lineRule="exact"/>
              <w:rPr>
                <w:rFonts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5990D8D8">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tcPr>
          <w:p w14:paraId="78A19AC6">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（3）诚信投标承诺书</w:t>
            </w:r>
          </w:p>
        </w:tc>
        <w:tc>
          <w:tcPr>
            <w:tcW w:w="3929" w:type="dxa"/>
          </w:tcPr>
          <w:p w14:paraId="1B6F7B2F">
            <w:pPr>
              <w:spacing w:line="360" w:lineRule="exac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adjustRightInd w:val="0"/>
        <w:snapToGrid w:val="0"/>
        <w:spacing w:line="560" w:lineRule="exact"/>
        <w:jc w:val="left"/>
        <w:rPr>
          <w:rFonts w:ascii="Times New Roman" w:hAnsi="Times New Roman" w:eastAsia="宋体" w:cs="Times New Roman"/>
          <w:color w:val="000000"/>
          <w:highlight w:val="none"/>
        </w:rPr>
      </w:pPr>
      <w:bookmarkStart w:id="45" w:name="_Toc15058909"/>
      <w:bookmarkStart w:id="46" w:name="_Toc95223395"/>
      <w:bookmarkStart w:id="47" w:name="_Toc506107320"/>
      <w:bookmarkStart w:id="48" w:name="_Toc60061492"/>
      <w:r>
        <w:rPr>
          <w:rFonts w:hint="eastAsia" w:ascii="Times New Roman" w:hAnsi="Times New Roman" w:eastAsia="宋体" w:cs="Times New Roman"/>
          <w:color w:val="000000"/>
          <w:highlight w:val="none"/>
        </w:rPr>
        <w:t>2.审查办法</w:t>
      </w:r>
      <w:bookmarkEnd w:id="45"/>
      <w:bookmarkEnd w:id="46"/>
      <w:bookmarkEnd w:id="47"/>
      <w:bookmarkEnd w:id="48"/>
    </w:p>
    <w:p w14:paraId="43494882">
      <w:pPr>
        <w:adjustRightInd w:val="0"/>
        <w:snapToGrid w:val="0"/>
        <w:spacing w:line="560" w:lineRule="exact"/>
        <w:jc w:val="left"/>
        <w:rPr>
          <w:rFonts w:ascii="Times New Roman" w:hAnsi="Times New Roman" w:eastAsia="宋体" w:cs="Times New Roman"/>
          <w:color w:val="000000"/>
          <w:highlight w:val="none"/>
        </w:rPr>
      </w:pPr>
      <w:bookmarkStart w:id="49" w:name="_Toc324404868"/>
      <w:bookmarkStart w:id="50" w:name="_Toc60061493"/>
      <w:bookmarkStart w:id="51" w:name="_Toc15058910"/>
      <w:bookmarkStart w:id="52" w:name="_Toc506107321"/>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adjustRightInd w:val="0"/>
        <w:snapToGrid w:val="0"/>
        <w:spacing w:line="560" w:lineRule="exact"/>
        <w:jc w:val="left"/>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3CCF743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adjustRightInd w:val="0"/>
        <w:snapToGrid w:val="0"/>
        <w:spacing w:line="560" w:lineRule="exact"/>
        <w:jc w:val="left"/>
        <w:rPr>
          <w:rFonts w:ascii="Times New Roman" w:hAnsi="Times New Roman" w:eastAsia="宋体" w:cs="Times New Roman"/>
          <w:color w:val="000000"/>
          <w:highlight w:val="none"/>
        </w:rPr>
      </w:pPr>
      <w:bookmarkStart w:id="54" w:name="_Toc95223397"/>
      <w:bookmarkStart w:id="55" w:name="_Toc60061494"/>
      <w:bookmarkStart w:id="56" w:name="_Toc15058911"/>
      <w:bookmarkStart w:id="57" w:name="_Toc506107322"/>
      <w:bookmarkStart w:id="58" w:name="_Toc324404869"/>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499FC75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619B76C5">
      <w:pPr>
        <w:numPr>
          <w:ilvl w:val="0"/>
          <w:numId w:val="1"/>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3CDC49C5">
      <w:pPr>
        <w:adjustRightInd w:val="0"/>
        <w:snapToGrid w:val="0"/>
        <w:spacing w:line="420" w:lineRule="exact"/>
        <w:ind w:firstLine="315" w:firstLineChars="150"/>
        <w:rPr>
          <w:rFonts w:ascii="宋体" w:hAnsi="宋体" w:cs="宋体"/>
          <w:b/>
          <w:bCs/>
          <w:color w:val="000000"/>
          <w:szCs w:val="21"/>
          <w:highlight w:val="none"/>
        </w:rPr>
      </w:pPr>
      <w:bookmarkStart w:id="59" w:name="_Toc14651"/>
      <w:bookmarkEnd w:id="59"/>
      <w:bookmarkStart w:id="60" w:name="_Toc10907_WPSOffice_Level3"/>
      <w:r>
        <w:rPr>
          <w:rFonts w:hint="eastAsia" w:ascii="宋体" w:hAnsi="宋体" w:cs="宋体"/>
          <w:b/>
          <w:bCs/>
          <w:color w:val="000000"/>
          <w:szCs w:val="21"/>
          <w:highlight w:val="none"/>
        </w:rPr>
        <w:t>1.中标候选人的确定</w:t>
      </w:r>
    </w:p>
    <w:p w14:paraId="726C6B58">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招标人随机抽取确定排名。</w:t>
      </w:r>
    </w:p>
    <w:p w14:paraId="30B89D62">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2.资信标评审（</w:t>
      </w:r>
      <w:r>
        <w:rPr>
          <w:rFonts w:hint="eastAsia" w:ascii="宋体" w:hAnsi="宋体" w:cs="宋体"/>
          <w:b/>
          <w:bCs/>
          <w:color w:val="000000"/>
          <w:szCs w:val="21"/>
          <w:highlight w:val="none"/>
          <w:lang w:val="en-US" w:eastAsia="zh-CN"/>
        </w:rPr>
        <w:t>2</w:t>
      </w:r>
      <w:r>
        <w:rPr>
          <w:rFonts w:hint="eastAsia" w:ascii="宋体" w:hAnsi="宋体" w:cs="宋体"/>
          <w:b/>
          <w:bCs/>
          <w:color w:val="000000"/>
          <w:szCs w:val="21"/>
          <w:highlight w:val="none"/>
        </w:rPr>
        <w:t>0分）</w:t>
      </w:r>
    </w:p>
    <w:tbl>
      <w:tblPr>
        <w:tblStyle w:val="18"/>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315"/>
        <w:gridCol w:w="739"/>
        <w:gridCol w:w="5615"/>
        <w:gridCol w:w="1607"/>
      </w:tblGrid>
      <w:tr w14:paraId="616C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99" w:type="dxa"/>
            <w:vAlign w:val="center"/>
          </w:tcPr>
          <w:p w14:paraId="61835E08">
            <w:pPr>
              <w:spacing w:line="300" w:lineRule="exact"/>
              <w:jc w:val="center"/>
              <w:rPr>
                <w:rFonts w:ascii="宋体" w:hAnsi="宋体" w:cs="宋体"/>
                <w:b/>
                <w:bCs/>
                <w:szCs w:val="21"/>
                <w:highlight w:val="none"/>
              </w:rPr>
            </w:pPr>
            <w:r>
              <w:rPr>
                <w:rFonts w:hint="eastAsia" w:ascii="宋体" w:hAnsi="宋体" w:cs="宋体"/>
                <w:b/>
                <w:bCs/>
                <w:szCs w:val="21"/>
                <w:highlight w:val="none"/>
              </w:rPr>
              <w:t>序号</w:t>
            </w:r>
          </w:p>
        </w:tc>
        <w:tc>
          <w:tcPr>
            <w:tcW w:w="1315" w:type="dxa"/>
            <w:vAlign w:val="center"/>
          </w:tcPr>
          <w:p w14:paraId="3EBFE96F">
            <w:pPr>
              <w:spacing w:line="300" w:lineRule="exact"/>
              <w:jc w:val="center"/>
              <w:rPr>
                <w:rFonts w:ascii="宋体" w:hAnsi="宋体" w:cs="宋体"/>
                <w:b/>
                <w:bCs/>
                <w:szCs w:val="21"/>
                <w:highlight w:val="none"/>
              </w:rPr>
            </w:pPr>
            <w:r>
              <w:rPr>
                <w:rFonts w:hint="eastAsia" w:ascii="宋体" w:hAnsi="宋体" w:cs="宋体"/>
                <w:b/>
                <w:bCs/>
                <w:szCs w:val="21"/>
                <w:highlight w:val="none"/>
              </w:rPr>
              <w:t>评分因素</w:t>
            </w:r>
          </w:p>
        </w:tc>
        <w:tc>
          <w:tcPr>
            <w:tcW w:w="739" w:type="dxa"/>
            <w:vAlign w:val="center"/>
          </w:tcPr>
          <w:p w14:paraId="372F4E85">
            <w:pPr>
              <w:spacing w:line="300" w:lineRule="exact"/>
              <w:jc w:val="center"/>
              <w:rPr>
                <w:rFonts w:ascii="宋体" w:hAnsi="宋体" w:cs="宋体"/>
                <w:b/>
                <w:bCs/>
                <w:szCs w:val="21"/>
                <w:highlight w:val="none"/>
              </w:rPr>
            </w:pPr>
            <w:r>
              <w:rPr>
                <w:rFonts w:hint="eastAsia" w:ascii="宋体" w:hAnsi="宋体" w:cs="宋体"/>
                <w:b/>
                <w:bCs/>
                <w:szCs w:val="21"/>
                <w:highlight w:val="none"/>
              </w:rPr>
              <w:t>分值</w:t>
            </w:r>
          </w:p>
        </w:tc>
        <w:tc>
          <w:tcPr>
            <w:tcW w:w="5615" w:type="dxa"/>
            <w:vAlign w:val="center"/>
          </w:tcPr>
          <w:p w14:paraId="043AC59B">
            <w:pPr>
              <w:spacing w:line="300" w:lineRule="exact"/>
              <w:jc w:val="center"/>
              <w:rPr>
                <w:rFonts w:ascii="宋体" w:hAnsi="宋体" w:cs="宋体"/>
                <w:b/>
                <w:bCs/>
                <w:szCs w:val="21"/>
                <w:highlight w:val="none"/>
              </w:rPr>
            </w:pPr>
            <w:r>
              <w:rPr>
                <w:rFonts w:hint="eastAsia" w:ascii="宋体" w:hAnsi="宋体" w:cs="宋体"/>
                <w:b/>
                <w:bCs/>
                <w:szCs w:val="21"/>
                <w:highlight w:val="none"/>
              </w:rPr>
              <w:t>评审细则</w:t>
            </w:r>
          </w:p>
        </w:tc>
        <w:tc>
          <w:tcPr>
            <w:tcW w:w="1607" w:type="dxa"/>
            <w:vAlign w:val="center"/>
          </w:tcPr>
          <w:p w14:paraId="6F9B493C">
            <w:pPr>
              <w:spacing w:line="300" w:lineRule="exact"/>
              <w:jc w:val="center"/>
              <w:rPr>
                <w:rFonts w:ascii="宋体" w:hAnsi="宋体" w:cs="宋体"/>
                <w:b/>
                <w:bCs/>
                <w:szCs w:val="21"/>
                <w:highlight w:val="none"/>
              </w:rPr>
            </w:pPr>
            <w:r>
              <w:rPr>
                <w:rFonts w:hint="eastAsia" w:ascii="宋体" w:hAnsi="宋体"/>
                <w:b/>
                <w:bCs/>
                <w:szCs w:val="21"/>
                <w:highlight w:val="none"/>
              </w:rPr>
              <w:t>须提供的证明材料</w:t>
            </w:r>
          </w:p>
        </w:tc>
      </w:tr>
      <w:tr w14:paraId="060E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0" w:hRule="atLeast"/>
          <w:jc w:val="center"/>
        </w:trPr>
        <w:tc>
          <w:tcPr>
            <w:tcW w:w="699" w:type="dxa"/>
            <w:vAlign w:val="center"/>
          </w:tcPr>
          <w:p w14:paraId="2C414D5E">
            <w:pPr>
              <w:spacing w:line="300" w:lineRule="exact"/>
              <w:ind w:firstLine="28"/>
              <w:jc w:val="center"/>
              <w:rPr>
                <w:rFonts w:ascii="宋体" w:hAnsi="宋体"/>
                <w:szCs w:val="21"/>
                <w:highlight w:val="none"/>
              </w:rPr>
            </w:pPr>
            <w:r>
              <w:rPr>
                <w:rFonts w:hint="eastAsia" w:ascii="宋体" w:hAnsi="宋体"/>
                <w:szCs w:val="21"/>
                <w:highlight w:val="none"/>
              </w:rPr>
              <w:t>1</w:t>
            </w:r>
          </w:p>
        </w:tc>
        <w:tc>
          <w:tcPr>
            <w:tcW w:w="1315" w:type="dxa"/>
            <w:vAlign w:val="center"/>
          </w:tcPr>
          <w:p w14:paraId="6B653D9B">
            <w:pPr>
              <w:spacing w:line="300" w:lineRule="exact"/>
              <w:jc w:val="center"/>
              <w:rPr>
                <w:rFonts w:ascii="宋体" w:hAnsi="宋体" w:cs="宋体"/>
                <w:szCs w:val="21"/>
                <w:highlight w:val="none"/>
              </w:rPr>
            </w:pPr>
            <w:r>
              <w:rPr>
                <w:rFonts w:hint="eastAsia" w:ascii="宋体" w:hAnsi="宋体" w:cs="宋体"/>
                <w:szCs w:val="21"/>
                <w:highlight w:val="none"/>
              </w:rPr>
              <w:t>投标人业绩</w:t>
            </w:r>
          </w:p>
        </w:tc>
        <w:tc>
          <w:tcPr>
            <w:tcW w:w="739" w:type="dxa"/>
            <w:vAlign w:val="center"/>
          </w:tcPr>
          <w:p w14:paraId="30BF6EB3">
            <w:pPr>
              <w:spacing w:line="300" w:lineRule="exact"/>
              <w:jc w:val="center"/>
              <w:rPr>
                <w:rFonts w:ascii="宋体" w:hAnsi="宋体" w:cs="宋体"/>
                <w:szCs w:val="21"/>
                <w:highlight w:val="none"/>
              </w:rPr>
            </w:pPr>
            <w:r>
              <w:rPr>
                <w:rFonts w:hint="eastAsia" w:ascii="宋体" w:hAnsi="宋体" w:cs="宋体"/>
                <w:sz w:val="21"/>
                <w:szCs w:val="21"/>
                <w:highlight w:val="none"/>
                <w:lang w:val="en-US" w:eastAsia="zh-CN"/>
              </w:rPr>
              <w:t>6</w:t>
            </w:r>
            <w:r>
              <w:rPr>
                <w:rFonts w:hint="eastAsia" w:ascii="宋体" w:hAnsi="宋体" w:cs="宋体"/>
                <w:sz w:val="21"/>
                <w:szCs w:val="21"/>
                <w:highlight w:val="none"/>
              </w:rPr>
              <w:t>分</w:t>
            </w:r>
          </w:p>
        </w:tc>
        <w:tc>
          <w:tcPr>
            <w:tcW w:w="5615" w:type="dxa"/>
            <w:vAlign w:val="center"/>
          </w:tcPr>
          <w:p w14:paraId="4EDA160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sz w:val="21"/>
                <w:szCs w:val="21"/>
                <w:highlight w:val="none"/>
                <w:lang w:val="en-US" w:eastAsia="zh-CN"/>
              </w:rPr>
              <w:t>2022</w:t>
            </w:r>
            <w:r>
              <w:rPr>
                <w:rFonts w:hint="eastAsia" w:ascii="宋体" w:hAnsi="宋体" w:eastAsia="宋体" w:cs="宋体"/>
                <w:sz w:val="21"/>
                <w:szCs w:val="21"/>
                <w:highlight w:val="none"/>
              </w:rPr>
              <w:t>年1月1</w:t>
            </w:r>
            <w:r>
              <w:rPr>
                <w:rFonts w:hint="eastAsia" w:ascii="宋体" w:hAnsi="宋体" w:eastAsia="宋体" w:cs="宋体"/>
                <w:sz w:val="21"/>
                <w:szCs w:val="21"/>
                <w:highlight w:val="none"/>
                <w:lang w:val="en-US" w:eastAsia="zh-CN"/>
              </w:rPr>
              <w:t>日至投标截止时间</w:t>
            </w:r>
            <w:r>
              <w:rPr>
                <w:rFonts w:hint="eastAsia" w:ascii="宋体" w:hAnsi="宋体" w:eastAsia="宋体" w:cs="宋体"/>
                <w:sz w:val="21"/>
                <w:szCs w:val="21"/>
                <w:highlight w:val="none"/>
              </w:rPr>
              <w:t>（以合同签订时间为准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投标人</w:t>
            </w:r>
            <w:r>
              <w:rPr>
                <w:rFonts w:hint="eastAsia" w:ascii="宋体" w:hAnsi="宋体" w:eastAsia="宋体" w:cs="宋体"/>
                <w:sz w:val="21"/>
                <w:szCs w:val="21"/>
                <w:highlight w:val="none"/>
                <w:lang w:val="en-US" w:eastAsia="zh-CN"/>
              </w:rPr>
              <w:t>每</w:t>
            </w:r>
            <w:r>
              <w:rPr>
                <w:rFonts w:hint="eastAsia" w:ascii="宋体" w:hAnsi="宋体" w:eastAsia="宋体" w:cs="宋体"/>
                <w:sz w:val="21"/>
                <w:szCs w:val="21"/>
                <w:highlight w:val="none"/>
              </w:rPr>
              <w:t>提供</w:t>
            </w:r>
            <w:r>
              <w:rPr>
                <w:rFonts w:hint="eastAsia" w:ascii="宋体" w:hAnsi="宋体" w:eastAsia="宋体" w:cs="宋体"/>
                <w:sz w:val="21"/>
                <w:szCs w:val="21"/>
                <w:highlight w:val="none"/>
                <w:lang w:val="en-US" w:eastAsia="zh-CN"/>
              </w:rPr>
              <w:t>一项</w:t>
            </w:r>
            <w:r>
              <w:rPr>
                <w:rFonts w:hint="eastAsia" w:ascii="宋体" w:hAnsi="宋体" w:eastAsia="宋体" w:cs="宋体"/>
                <w:sz w:val="21"/>
                <w:szCs w:val="21"/>
                <w:highlight w:val="none"/>
                <w:lang w:val="en-GB" w:eastAsia="zh-CN"/>
              </w:rPr>
              <w:t>导向标识及VI制作安装</w:t>
            </w:r>
            <w:r>
              <w:rPr>
                <w:rFonts w:hint="eastAsia" w:ascii="宋体" w:hAnsi="宋体" w:eastAsia="宋体" w:cs="宋体"/>
                <w:sz w:val="21"/>
                <w:szCs w:val="21"/>
                <w:highlight w:val="none"/>
              </w:rPr>
              <w:t>业绩的得</w:t>
            </w:r>
            <w:r>
              <w:rPr>
                <w:rFonts w:hint="eastAsia" w:ascii="宋体" w:hAnsi="宋体" w:eastAsia="宋体" w:cs="宋体"/>
                <w:sz w:val="21"/>
                <w:szCs w:val="21"/>
                <w:highlight w:val="none"/>
                <w:lang w:val="en-US" w:eastAsia="zh-CN"/>
              </w:rPr>
              <w:t>3分，</w:t>
            </w:r>
            <w:r>
              <w:rPr>
                <w:rFonts w:hint="eastAsia" w:ascii="宋体" w:hAnsi="宋体" w:eastAsia="宋体" w:cs="宋体"/>
                <w:color w:val="auto"/>
                <w:kern w:val="1"/>
                <w:sz w:val="21"/>
                <w:szCs w:val="21"/>
                <w:highlight w:val="none"/>
                <w:lang w:val="en-US" w:eastAsia="zh-CN"/>
              </w:rPr>
              <w:t>其他的不得分，</w:t>
            </w:r>
            <w:r>
              <w:rPr>
                <w:rFonts w:hint="eastAsia" w:ascii="宋体" w:hAnsi="宋体" w:eastAsia="宋体" w:cs="宋体"/>
                <w:sz w:val="21"/>
                <w:szCs w:val="21"/>
                <w:highlight w:val="none"/>
                <w:lang w:val="en-US" w:eastAsia="zh-CN"/>
              </w:rPr>
              <w:t>本项满分6分。</w:t>
            </w:r>
          </w:p>
          <w:p w14:paraId="73008CD6">
            <w:pPr>
              <w:keepNext w:val="0"/>
              <w:keepLines w:val="0"/>
              <w:pageBreakBefore w:val="0"/>
              <w:widowControl w:val="0"/>
              <w:kinsoku/>
              <w:wordWrap/>
              <w:overflowPunct/>
              <w:topLinePunct w:val="0"/>
              <w:autoSpaceDE/>
              <w:autoSpaceDN/>
              <w:bidi w:val="0"/>
              <w:adjustRightInd/>
              <w:snapToGrid/>
              <w:spacing w:line="240" w:lineRule="auto"/>
              <w:textAlignment w:val="auto"/>
              <w:rPr>
                <w:highlight w:val="none"/>
              </w:rPr>
            </w:pPr>
            <w:r>
              <w:rPr>
                <w:rFonts w:hint="eastAsia" w:ascii="宋体" w:hAnsi="宋体" w:eastAsia="宋体" w:cs="宋体"/>
                <w:sz w:val="21"/>
                <w:szCs w:val="21"/>
                <w:highlight w:val="none"/>
                <w:lang w:val="en-US" w:eastAsia="zh-CN"/>
              </w:rPr>
              <w:t>注</w:t>
            </w:r>
            <w:r>
              <w:rPr>
                <w:rFonts w:hint="eastAsia" w:ascii="宋体" w:hAnsi="宋体" w:eastAsia="宋体" w:cs="宋体"/>
                <w:sz w:val="21"/>
                <w:szCs w:val="21"/>
                <w:highlight w:val="none"/>
                <w:lang w:val="zh-CN" w:eastAsia="zh-CN"/>
              </w:rPr>
              <w:t>：</w:t>
            </w:r>
            <w:r>
              <w:rPr>
                <w:rFonts w:hint="eastAsia" w:ascii="宋体" w:hAnsi="宋体" w:eastAsia="宋体" w:cs="宋体"/>
                <w:sz w:val="21"/>
                <w:szCs w:val="21"/>
                <w:highlight w:val="none"/>
                <w:lang w:val="en-US" w:eastAsia="zh-CN"/>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w:t>
            </w:r>
          </w:p>
        </w:tc>
        <w:tc>
          <w:tcPr>
            <w:tcW w:w="1607" w:type="dxa"/>
            <w:vAlign w:val="center"/>
          </w:tcPr>
          <w:p w14:paraId="501A39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方正仿宋_GB2312"/>
                <w:szCs w:val="21"/>
                <w:highlight w:val="none"/>
              </w:rPr>
            </w:pPr>
            <w:r>
              <w:rPr>
                <w:rFonts w:hint="eastAsia" w:ascii="宋体" w:hAnsi="宋体" w:eastAsia="宋体" w:cs="宋体"/>
                <w:sz w:val="21"/>
                <w:szCs w:val="21"/>
                <w:highlight w:val="none"/>
              </w:rPr>
              <w:t>投标文件中须提供业绩合同扫描件，合同中必须体现出双方签章页、合同签订时间、合同</w:t>
            </w:r>
            <w:r>
              <w:rPr>
                <w:rFonts w:hint="eastAsia" w:ascii="宋体" w:hAnsi="宋体" w:eastAsia="宋体" w:cs="宋体"/>
                <w:sz w:val="21"/>
                <w:szCs w:val="21"/>
                <w:highlight w:val="none"/>
                <w:lang w:val="en-US" w:eastAsia="zh-CN"/>
              </w:rPr>
              <w:t>内容</w:t>
            </w:r>
            <w:r>
              <w:rPr>
                <w:rFonts w:hint="eastAsia" w:ascii="宋体" w:hAnsi="宋体" w:eastAsia="宋体" w:cs="宋体"/>
                <w:sz w:val="21"/>
                <w:szCs w:val="21"/>
                <w:highlight w:val="none"/>
              </w:rPr>
              <w:t>等评审因素等。</w:t>
            </w:r>
          </w:p>
        </w:tc>
      </w:tr>
      <w:tr w14:paraId="2B1D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14:paraId="67E7B0C9">
            <w:pPr>
              <w:spacing w:line="300" w:lineRule="exact"/>
              <w:ind w:firstLine="28"/>
              <w:jc w:val="center"/>
              <w:rPr>
                <w:rFonts w:ascii="宋体" w:hAnsi="宋体"/>
                <w:szCs w:val="21"/>
                <w:highlight w:val="none"/>
              </w:rPr>
            </w:pPr>
            <w:r>
              <w:rPr>
                <w:rFonts w:hint="eastAsia" w:ascii="宋体" w:hAnsi="宋体"/>
                <w:szCs w:val="21"/>
                <w:highlight w:val="none"/>
              </w:rPr>
              <w:t>2</w:t>
            </w:r>
          </w:p>
        </w:tc>
        <w:tc>
          <w:tcPr>
            <w:tcW w:w="1315" w:type="dxa"/>
            <w:vAlign w:val="center"/>
          </w:tcPr>
          <w:p w14:paraId="2C07CF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Cs w:val="21"/>
                <w:highlight w:val="none"/>
              </w:rPr>
            </w:pPr>
            <w:r>
              <w:rPr>
                <w:rFonts w:hint="eastAsia"/>
                <w:sz w:val="21"/>
                <w:szCs w:val="21"/>
                <w:highlight w:val="none"/>
              </w:rPr>
              <w:t>认证体系</w:t>
            </w:r>
          </w:p>
        </w:tc>
        <w:tc>
          <w:tcPr>
            <w:tcW w:w="739" w:type="dxa"/>
            <w:vAlign w:val="center"/>
          </w:tcPr>
          <w:p w14:paraId="05458F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Cs w:val="21"/>
                <w:highlight w:val="none"/>
              </w:rPr>
            </w:pPr>
            <w:r>
              <w:rPr>
                <w:rFonts w:hint="eastAsia" w:ascii="宋体" w:hAnsi="宋体" w:cs="宋体"/>
                <w:sz w:val="21"/>
                <w:szCs w:val="21"/>
                <w:highlight w:val="none"/>
                <w:lang w:val="en-US" w:eastAsia="zh-CN"/>
              </w:rPr>
              <w:t>3分</w:t>
            </w:r>
          </w:p>
        </w:tc>
        <w:tc>
          <w:tcPr>
            <w:tcW w:w="5615" w:type="dxa"/>
            <w:vAlign w:val="center"/>
          </w:tcPr>
          <w:p w14:paraId="180E09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投标人具有经中国国家认证认可监督管理委员会认证机构颁发的有效的下列证书：</w:t>
            </w:r>
          </w:p>
          <w:p w14:paraId="15FF95D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highlight w:val="none"/>
                <w:lang w:val="en-US" w:eastAsia="zh-CN"/>
              </w:rPr>
            </w:pPr>
            <w:r>
              <w:rPr>
                <w:rFonts w:hint="eastAsia" w:ascii="Times New Roman" w:hAnsi="Times New Roman" w:eastAsia="宋体" w:cs="Times New Roman"/>
                <w:sz w:val="21"/>
                <w:szCs w:val="21"/>
                <w:highlight w:val="none"/>
                <w:lang w:val="en-US" w:eastAsia="zh-CN"/>
              </w:rPr>
              <w:t>（1）具有有效的质量管理</w:t>
            </w:r>
            <w:r>
              <w:rPr>
                <w:rFonts w:hint="eastAsia" w:ascii="宋体" w:hAnsi="宋体" w:eastAsia="宋体" w:cs="宋体"/>
                <w:sz w:val="21"/>
                <w:szCs w:val="21"/>
                <w:highlight w:val="none"/>
                <w:lang w:val="en-US" w:eastAsia="zh-CN"/>
              </w:rPr>
              <w:t>体系认证证书；</w:t>
            </w:r>
          </w:p>
          <w:p w14:paraId="322E695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highlight w:val="none"/>
                <w:lang w:val="en-US" w:eastAsia="zh-CN"/>
              </w:rPr>
            </w:pPr>
            <w:r>
              <w:rPr>
                <w:rFonts w:hint="eastAsia" w:ascii="Times New Roman" w:hAnsi="Times New Roman" w:eastAsia="宋体" w:cs="Times New Roman"/>
                <w:sz w:val="21"/>
                <w:szCs w:val="21"/>
                <w:highlight w:val="none"/>
                <w:lang w:val="en-US" w:eastAsia="zh-CN"/>
              </w:rPr>
              <w:t>（2）</w:t>
            </w:r>
            <w:r>
              <w:rPr>
                <w:rFonts w:hint="eastAsia" w:ascii="宋体" w:hAnsi="宋体" w:eastAsia="宋体" w:cs="宋体"/>
                <w:sz w:val="21"/>
                <w:szCs w:val="21"/>
                <w:highlight w:val="none"/>
                <w:lang w:val="en-US" w:eastAsia="zh-CN"/>
              </w:rPr>
              <w:t>具有有效的环境管理体系认证证书；</w:t>
            </w:r>
          </w:p>
          <w:p w14:paraId="40A558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highlight w:val="none"/>
                <w:lang w:val="en-US" w:eastAsia="zh-CN"/>
              </w:rPr>
            </w:pPr>
            <w:r>
              <w:rPr>
                <w:rFonts w:hint="eastAsia" w:ascii="Times New Roman" w:hAnsi="Times New Roman" w:eastAsia="宋体" w:cs="Times New Roman"/>
                <w:sz w:val="21"/>
                <w:szCs w:val="21"/>
                <w:highlight w:val="none"/>
                <w:lang w:val="en-US" w:eastAsia="zh-CN"/>
              </w:rPr>
              <w:t>（3）</w:t>
            </w:r>
            <w:r>
              <w:rPr>
                <w:rFonts w:hint="eastAsia" w:ascii="宋体" w:hAnsi="宋体" w:eastAsia="宋体" w:cs="宋体"/>
                <w:sz w:val="21"/>
                <w:szCs w:val="21"/>
                <w:highlight w:val="none"/>
                <w:lang w:val="en-US" w:eastAsia="zh-CN"/>
              </w:rPr>
              <w:t>具有有效的职业健康安全管理体系认证证书；</w:t>
            </w:r>
          </w:p>
          <w:p w14:paraId="7E60F380">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szCs w:val="21"/>
                <w:highlight w:val="none"/>
              </w:rPr>
            </w:pPr>
            <w:r>
              <w:rPr>
                <w:rFonts w:hint="eastAsia" w:ascii="宋体" w:hAnsi="宋体" w:eastAsia="宋体" w:cs="宋体"/>
                <w:sz w:val="21"/>
                <w:szCs w:val="21"/>
                <w:highlight w:val="none"/>
                <w:lang w:val="en-US" w:eastAsia="zh-CN"/>
              </w:rPr>
              <w:t>每提供1个得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分，其他的不得分，本</w:t>
            </w:r>
            <w:r>
              <w:rPr>
                <w:rFonts w:hint="eastAsia" w:ascii="宋体" w:hAnsi="宋体" w:cs="宋体"/>
                <w:sz w:val="21"/>
                <w:szCs w:val="21"/>
                <w:highlight w:val="none"/>
                <w:lang w:val="en-US" w:eastAsia="zh-CN"/>
              </w:rPr>
              <w:t>项</w:t>
            </w:r>
            <w:r>
              <w:rPr>
                <w:rFonts w:hint="eastAsia" w:ascii="宋体" w:hAnsi="宋体" w:eastAsia="宋体" w:cs="宋体"/>
                <w:sz w:val="21"/>
                <w:szCs w:val="21"/>
                <w:highlight w:val="none"/>
                <w:lang w:val="en-US" w:eastAsia="zh-CN"/>
              </w:rPr>
              <w:t>满分</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分。</w:t>
            </w:r>
          </w:p>
        </w:tc>
        <w:tc>
          <w:tcPr>
            <w:tcW w:w="1607" w:type="dxa"/>
            <w:vAlign w:val="center"/>
          </w:tcPr>
          <w:p w14:paraId="45FB90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Cs w:val="21"/>
                <w:highlight w:val="none"/>
              </w:rPr>
            </w:pPr>
            <w:r>
              <w:rPr>
                <w:rFonts w:hint="eastAsia" w:ascii="Times New Roman" w:hAnsi="Times New Roman" w:eastAsia="宋体" w:cs="Times New Roman"/>
                <w:sz w:val="21"/>
                <w:szCs w:val="21"/>
                <w:highlight w:val="none"/>
                <w:lang w:val="en-US" w:eastAsia="zh-CN"/>
              </w:rPr>
              <w:t>投标文件中提供有效的证书扫描件以及全国认证认可信息公共服务平台证书信息查询截图。</w:t>
            </w:r>
          </w:p>
        </w:tc>
      </w:tr>
      <w:tr w14:paraId="4983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Align w:val="center"/>
          </w:tcPr>
          <w:p w14:paraId="4F3FD190">
            <w:pPr>
              <w:keepNext w:val="0"/>
              <w:keepLines w:val="0"/>
              <w:pageBreakBefore w:val="0"/>
              <w:widowControl w:val="0"/>
              <w:kinsoku/>
              <w:wordWrap/>
              <w:overflowPunct/>
              <w:topLinePunct w:val="0"/>
              <w:autoSpaceDE/>
              <w:autoSpaceDN/>
              <w:bidi w:val="0"/>
              <w:adjustRightInd/>
              <w:snapToGrid/>
              <w:spacing w:line="240" w:lineRule="auto"/>
              <w:ind w:firstLine="28" w:firstLineChars="0"/>
              <w:jc w:val="center"/>
              <w:textAlignment w:val="auto"/>
              <w:rPr>
                <w:rFonts w:ascii="宋体" w:hAnsi="宋体"/>
                <w:szCs w:val="21"/>
                <w:highlight w:val="none"/>
              </w:rPr>
            </w:pPr>
            <w:r>
              <w:rPr>
                <w:rFonts w:hint="eastAsia" w:ascii="宋体" w:hAnsi="宋体" w:eastAsia="宋体" w:cs="宋体"/>
                <w:sz w:val="21"/>
                <w:szCs w:val="21"/>
                <w:highlight w:val="none"/>
                <w:lang w:val="en-US" w:eastAsia="zh-CN"/>
              </w:rPr>
              <w:t>3</w:t>
            </w:r>
          </w:p>
        </w:tc>
        <w:tc>
          <w:tcPr>
            <w:tcW w:w="1315" w:type="dxa"/>
            <w:vAlign w:val="center"/>
          </w:tcPr>
          <w:p w14:paraId="2BF520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zCs w:val="21"/>
                <w:highlight w:val="none"/>
              </w:rPr>
            </w:pPr>
            <w:r>
              <w:rPr>
                <w:rFonts w:hint="eastAsia" w:ascii="宋体" w:hAnsi="宋体" w:eastAsia="宋体" w:cs="宋体"/>
                <w:sz w:val="21"/>
                <w:szCs w:val="21"/>
                <w:highlight w:val="none"/>
              </w:rPr>
              <w:t>机器设备情况</w:t>
            </w:r>
          </w:p>
        </w:tc>
        <w:tc>
          <w:tcPr>
            <w:tcW w:w="739" w:type="dxa"/>
            <w:vAlign w:val="center"/>
          </w:tcPr>
          <w:p w14:paraId="35929F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Cs w:val="21"/>
                <w:highlight w:val="none"/>
              </w:rPr>
            </w:pPr>
            <w:r>
              <w:rPr>
                <w:rFonts w:hint="eastAsia" w:ascii="宋体" w:hAnsi="宋体" w:cs="宋体"/>
                <w:sz w:val="21"/>
                <w:szCs w:val="21"/>
                <w:highlight w:val="none"/>
                <w:lang w:val="en-US" w:eastAsia="zh-CN"/>
              </w:rPr>
              <w:t>11</w:t>
            </w:r>
            <w:r>
              <w:rPr>
                <w:rFonts w:hint="eastAsia" w:ascii="宋体" w:hAnsi="宋体" w:eastAsia="宋体" w:cs="宋体"/>
                <w:sz w:val="21"/>
                <w:szCs w:val="21"/>
                <w:highlight w:val="none"/>
                <w:lang w:val="en-US" w:eastAsia="zh-CN"/>
              </w:rPr>
              <w:t>分</w:t>
            </w:r>
          </w:p>
        </w:tc>
        <w:tc>
          <w:tcPr>
            <w:tcW w:w="5615" w:type="dxa"/>
            <w:vAlign w:val="center"/>
          </w:tcPr>
          <w:p w14:paraId="0A4CEB63">
            <w:pPr>
              <w:numPr>
                <w:ilvl w:val="0"/>
                <w:numId w:val="2"/>
              </w:numPr>
              <w:spacing w:line="24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写真机得</w:t>
            </w:r>
            <w:r>
              <w:rPr>
                <w:rFonts w:hint="eastAsia" w:ascii="宋体" w:hAnsi="宋体" w:cs="宋体"/>
                <w:color w:val="000000"/>
                <w:sz w:val="21"/>
                <w:szCs w:val="21"/>
                <w:highlight w:val="none"/>
                <w:lang w:val="en-US" w:eastAsia="zh-CN"/>
              </w:rPr>
              <w:t>0.5</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p w14:paraId="31BBADCA">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雕刻机得</w:t>
            </w:r>
            <w:r>
              <w:rPr>
                <w:rFonts w:hint="eastAsia" w:ascii="宋体" w:hAnsi="宋体" w:cs="宋体"/>
                <w:color w:val="000000"/>
                <w:sz w:val="21"/>
                <w:szCs w:val="21"/>
                <w:highlight w:val="none"/>
                <w:lang w:val="en-US" w:eastAsia="zh-CN"/>
              </w:rPr>
              <w:t>0.5</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p w14:paraId="14FC8857">
            <w:pPr>
              <w:spacing w:line="240" w:lineRule="auto"/>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（3）投标人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辆</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运输车辆得</w:t>
            </w:r>
            <w:r>
              <w:rPr>
                <w:rFonts w:hint="eastAsia" w:ascii="宋体" w:hAnsi="宋体" w:cs="宋体"/>
                <w:color w:val="000000"/>
                <w:sz w:val="21"/>
                <w:szCs w:val="21"/>
                <w:highlight w:val="none"/>
                <w:lang w:val="en-US" w:eastAsia="zh-CN"/>
              </w:rPr>
              <w:t>0.5</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p w14:paraId="3CF40188">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丝网印刷设备得</w:t>
            </w:r>
            <w:r>
              <w:rPr>
                <w:rFonts w:hint="eastAsia" w:ascii="宋体" w:hAnsi="宋体" w:cs="宋体"/>
                <w:color w:val="000000"/>
                <w:sz w:val="21"/>
                <w:szCs w:val="21"/>
                <w:highlight w:val="none"/>
                <w:lang w:val="en-US" w:eastAsia="zh-CN"/>
              </w:rPr>
              <w:t>1.5</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p w14:paraId="2DE7A2C7">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切割设备得</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其他的不得分，本条满分2分</w:t>
            </w:r>
            <w:r>
              <w:rPr>
                <w:rFonts w:hint="eastAsia" w:ascii="宋体" w:hAnsi="宋体" w:eastAsia="宋体" w:cs="宋体"/>
                <w:color w:val="000000"/>
                <w:sz w:val="21"/>
                <w:szCs w:val="21"/>
                <w:highlight w:val="none"/>
              </w:rPr>
              <w:t>。</w:t>
            </w:r>
          </w:p>
          <w:p w14:paraId="38F334A6">
            <w:pPr>
              <w:spacing w:line="240" w:lineRule="auto"/>
              <w:rPr>
                <w:rFonts w:ascii="宋体" w:hAnsi="宋体" w:cs="宋体"/>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6）</w:t>
            </w: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喷绘机得</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tc>
        <w:tc>
          <w:tcPr>
            <w:tcW w:w="1607" w:type="dxa"/>
            <w:vAlign w:val="center"/>
          </w:tcPr>
          <w:p w14:paraId="36C07C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szCs w:val="21"/>
                <w:highlight w:val="none"/>
              </w:rPr>
              <w:t>投标文件中须同时提供采购合同（或者同时提供租赁合同和所租设备购置发票）扫描件。</w:t>
            </w:r>
          </w:p>
        </w:tc>
      </w:tr>
    </w:tbl>
    <w:p w14:paraId="31824203">
      <w:pPr>
        <w:adjustRightInd w:val="0"/>
        <w:snapToGrid w:val="0"/>
        <w:spacing w:line="420" w:lineRule="exact"/>
        <w:ind w:firstLine="315" w:firstLineChars="150"/>
        <w:rPr>
          <w:rFonts w:hint="eastAsia" w:ascii="宋体" w:hAnsi="宋体" w:cs="宋体"/>
          <w:b/>
          <w:bCs/>
          <w:color w:val="000000"/>
          <w:szCs w:val="21"/>
          <w:highlight w:val="none"/>
        </w:rPr>
      </w:pPr>
      <w:r>
        <w:rPr>
          <w:rFonts w:hint="eastAsia" w:ascii="宋体" w:hAnsi="宋体" w:eastAsia="宋体" w:cs="Times New Roman"/>
          <w:b/>
          <w:szCs w:val="21"/>
          <w:highlight w:val="none"/>
        </w:rPr>
        <w:t>注：各评委得分的平均值为投标人资信标得分，分值保留两位小数点。</w:t>
      </w:r>
    </w:p>
    <w:p w14:paraId="015E1590">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3.技术标评审（</w:t>
      </w:r>
      <w:r>
        <w:rPr>
          <w:rFonts w:hint="eastAsia" w:ascii="宋体" w:hAnsi="宋体" w:cs="宋体"/>
          <w:b/>
          <w:bCs/>
          <w:color w:val="000000"/>
          <w:szCs w:val="21"/>
          <w:highlight w:val="none"/>
          <w:lang w:val="en-US" w:eastAsia="zh-CN"/>
        </w:rPr>
        <w:t>2</w:t>
      </w:r>
      <w:r>
        <w:rPr>
          <w:rFonts w:hint="eastAsia" w:ascii="宋体" w:hAnsi="宋体" w:cs="宋体"/>
          <w:b/>
          <w:bCs/>
          <w:color w:val="000000"/>
          <w:szCs w:val="21"/>
          <w:highlight w:val="none"/>
        </w:rPr>
        <w:t>0分）</w:t>
      </w:r>
    </w:p>
    <w:tbl>
      <w:tblPr>
        <w:tblStyle w:val="18"/>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00"/>
        <w:gridCol w:w="754"/>
        <w:gridCol w:w="5607"/>
        <w:gridCol w:w="1591"/>
      </w:tblGrid>
      <w:tr w14:paraId="6AFB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Align w:val="center"/>
          </w:tcPr>
          <w:p w14:paraId="51624EF7">
            <w:pPr>
              <w:adjustRightInd w:val="0"/>
              <w:snapToGrid w:val="0"/>
              <w:jc w:val="center"/>
              <w:rPr>
                <w:rFonts w:ascii="宋体" w:cs="宋体"/>
                <w:b/>
                <w:bCs/>
                <w:szCs w:val="21"/>
                <w:highlight w:val="none"/>
              </w:rPr>
            </w:pPr>
            <w:r>
              <w:rPr>
                <w:rFonts w:hint="eastAsia" w:ascii="宋体" w:hAnsi="宋体" w:cs="宋体"/>
                <w:b/>
                <w:bCs/>
                <w:szCs w:val="21"/>
                <w:highlight w:val="none"/>
              </w:rPr>
              <w:t>序号</w:t>
            </w:r>
          </w:p>
        </w:tc>
        <w:tc>
          <w:tcPr>
            <w:tcW w:w="1300" w:type="dxa"/>
            <w:vAlign w:val="center"/>
          </w:tcPr>
          <w:p w14:paraId="594984F5">
            <w:pPr>
              <w:adjustRightInd w:val="0"/>
              <w:snapToGrid w:val="0"/>
              <w:jc w:val="center"/>
              <w:rPr>
                <w:rFonts w:ascii="宋体" w:cs="宋体"/>
                <w:b/>
                <w:bCs/>
                <w:sz w:val="28"/>
                <w:highlight w:val="none"/>
              </w:rPr>
            </w:pPr>
            <w:r>
              <w:rPr>
                <w:rFonts w:hint="eastAsia" w:ascii="宋体" w:hAnsi="宋体" w:cs="宋体"/>
                <w:b/>
                <w:bCs/>
                <w:szCs w:val="21"/>
                <w:highlight w:val="none"/>
              </w:rPr>
              <w:t>评分因素</w:t>
            </w:r>
          </w:p>
        </w:tc>
        <w:tc>
          <w:tcPr>
            <w:tcW w:w="754" w:type="dxa"/>
            <w:vAlign w:val="center"/>
          </w:tcPr>
          <w:p w14:paraId="36023C3B">
            <w:pPr>
              <w:adjustRightInd w:val="0"/>
              <w:snapToGrid w:val="0"/>
              <w:jc w:val="center"/>
              <w:rPr>
                <w:rFonts w:ascii="宋体" w:hAnsi="宋体" w:cs="宋体"/>
                <w:b/>
                <w:bCs/>
                <w:szCs w:val="21"/>
                <w:highlight w:val="none"/>
              </w:rPr>
            </w:pPr>
            <w:r>
              <w:rPr>
                <w:rFonts w:hint="eastAsia" w:ascii="宋体" w:hAnsi="宋体" w:cs="宋体"/>
                <w:b/>
                <w:bCs/>
                <w:szCs w:val="21"/>
                <w:highlight w:val="none"/>
              </w:rPr>
              <w:t>分值</w:t>
            </w:r>
          </w:p>
        </w:tc>
        <w:tc>
          <w:tcPr>
            <w:tcW w:w="5607" w:type="dxa"/>
            <w:vAlign w:val="center"/>
          </w:tcPr>
          <w:p w14:paraId="1B694631">
            <w:pPr>
              <w:adjustRightInd w:val="0"/>
              <w:snapToGrid w:val="0"/>
              <w:jc w:val="center"/>
              <w:rPr>
                <w:rFonts w:ascii="宋体" w:cs="宋体"/>
                <w:b/>
                <w:bCs/>
                <w:sz w:val="28"/>
                <w:highlight w:val="none"/>
              </w:rPr>
            </w:pPr>
            <w:r>
              <w:rPr>
                <w:rFonts w:hint="eastAsia" w:ascii="宋体" w:cs="宋体"/>
                <w:b/>
                <w:bCs/>
                <w:szCs w:val="21"/>
                <w:highlight w:val="none"/>
              </w:rPr>
              <w:t>评审细则</w:t>
            </w:r>
          </w:p>
        </w:tc>
        <w:tc>
          <w:tcPr>
            <w:tcW w:w="1591" w:type="dxa"/>
            <w:vAlign w:val="center"/>
          </w:tcPr>
          <w:p w14:paraId="3219A49E">
            <w:pPr>
              <w:adjustRightInd w:val="0"/>
              <w:snapToGrid w:val="0"/>
              <w:jc w:val="center"/>
              <w:rPr>
                <w:rFonts w:ascii="宋体" w:cs="宋体"/>
                <w:b/>
                <w:bCs/>
                <w:szCs w:val="21"/>
                <w:highlight w:val="none"/>
              </w:rPr>
            </w:pPr>
            <w:r>
              <w:rPr>
                <w:rFonts w:hint="eastAsia" w:ascii="宋体" w:cs="宋体"/>
                <w:b/>
                <w:bCs/>
                <w:szCs w:val="21"/>
                <w:highlight w:val="none"/>
              </w:rPr>
              <w:t>须提供的证明材料</w:t>
            </w:r>
          </w:p>
        </w:tc>
      </w:tr>
      <w:tr w14:paraId="137D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04802ED7">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1</w:t>
            </w:r>
          </w:p>
        </w:tc>
        <w:tc>
          <w:tcPr>
            <w:tcW w:w="1300" w:type="dxa"/>
            <w:vAlign w:val="center"/>
          </w:tcPr>
          <w:p w14:paraId="6FAF7044">
            <w:pPr>
              <w:widowControl/>
              <w:spacing w:line="240" w:lineRule="auto"/>
              <w:jc w:val="center"/>
              <w:rPr>
                <w:rFonts w:cs="宋体"/>
                <w:bCs/>
                <w:szCs w:val="21"/>
                <w:highlight w:val="none"/>
              </w:rPr>
            </w:pPr>
            <w:r>
              <w:rPr>
                <w:rFonts w:hint="eastAsia" w:ascii="宋体" w:hAnsi="宋体" w:eastAsia="宋体" w:cs="宋体"/>
                <w:sz w:val="21"/>
                <w:szCs w:val="21"/>
                <w:highlight w:val="none"/>
                <w:lang w:val="en-US" w:eastAsia="zh-CN"/>
              </w:rPr>
              <w:t>服务方案</w:t>
            </w:r>
          </w:p>
        </w:tc>
        <w:tc>
          <w:tcPr>
            <w:tcW w:w="754" w:type="dxa"/>
            <w:vAlign w:val="center"/>
          </w:tcPr>
          <w:p w14:paraId="183C715A">
            <w:pPr>
              <w:keepNext w:val="0"/>
              <w:keepLines w:val="0"/>
              <w:pageBreakBefore w:val="0"/>
              <w:widowControl/>
              <w:kinsoku/>
              <w:wordWrap/>
              <w:overflowPunct/>
              <w:topLinePunct w:val="0"/>
              <w:autoSpaceDE/>
              <w:autoSpaceDN/>
              <w:bidi w:val="0"/>
              <w:spacing w:line="240" w:lineRule="auto"/>
              <w:jc w:val="center"/>
              <w:textAlignment w:val="center"/>
              <w:rPr>
                <w:rFonts w:ascii="宋体" w:hAnsi="宋体"/>
                <w:highlight w:val="none"/>
              </w:rPr>
            </w:pP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lang w:val="en-US" w:eastAsia="zh-CN"/>
              </w:rPr>
              <w:t>分</w:t>
            </w:r>
          </w:p>
        </w:tc>
        <w:tc>
          <w:tcPr>
            <w:tcW w:w="5607" w:type="dxa"/>
            <w:vAlign w:val="center"/>
          </w:tcPr>
          <w:p w14:paraId="4F0E9440">
            <w:pPr>
              <w:spacing w:line="240" w:lineRule="auto"/>
              <w:rPr>
                <w:highlight w:val="none"/>
              </w:rPr>
            </w:pPr>
            <w:r>
              <w:rPr>
                <w:rFonts w:hint="eastAsia" w:ascii="宋体" w:hAnsi="宋体" w:eastAsia="宋体" w:cs="宋体"/>
                <w:sz w:val="21"/>
                <w:szCs w:val="21"/>
                <w:highlight w:val="none"/>
                <w:lang w:val="en-US" w:eastAsia="zh-CN"/>
              </w:rPr>
              <w:t>根据投标人提供的服务方案中</w:t>
            </w:r>
            <w:r>
              <w:rPr>
                <w:rFonts w:hint="eastAsia" w:ascii="宋体" w:hAnsi="宋体" w:eastAsia="宋体" w:cs="宋体"/>
                <w:color w:val="000000"/>
                <w:sz w:val="21"/>
                <w:szCs w:val="21"/>
                <w:highlight w:val="none"/>
              </w:rPr>
              <w:t>人员配备，施工方案</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联络方式安排</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响应时间</w:t>
            </w:r>
            <w:r>
              <w:rPr>
                <w:rFonts w:hint="eastAsia" w:ascii="宋体" w:hAnsi="宋体" w:eastAsia="宋体" w:cs="宋体"/>
                <w:color w:val="000000"/>
                <w:sz w:val="21"/>
                <w:szCs w:val="21"/>
                <w:highlight w:val="none"/>
                <w:lang w:val="en-US" w:eastAsia="zh-CN"/>
              </w:rPr>
              <w:t>等内容</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可执行性</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强且优于招标人</w:t>
            </w:r>
            <w:r>
              <w:rPr>
                <w:rFonts w:hint="eastAsia" w:ascii="宋体" w:hAnsi="宋体" w:eastAsia="宋体" w:cs="宋体"/>
                <w:color w:val="000000"/>
                <w:sz w:val="21"/>
                <w:szCs w:val="21"/>
                <w:highlight w:val="none"/>
              </w:rPr>
              <w:t>的设计、测量、制作、安装</w:t>
            </w:r>
            <w:r>
              <w:rPr>
                <w:rFonts w:hint="eastAsia" w:ascii="宋体" w:hAnsi="宋体" w:eastAsia="宋体" w:cs="宋体"/>
                <w:color w:val="000000"/>
                <w:sz w:val="21"/>
                <w:szCs w:val="21"/>
                <w:highlight w:val="none"/>
                <w:lang w:val="en-US" w:eastAsia="zh-CN"/>
              </w:rPr>
              <w:t>及</w:t>
            </w:r>
            <w:r>
              <w:rPr>
                <w:rFonts w:hint="eastAsia" w:ascii="宋体" w:hAnsi="宋体" w:eastAsia="宋体" w:cs="宋体"/>
                <w:color w:val="000000"/>
                <w:sz w:val="21"/>
                <w:szCs w:val="21"/>
                <w:highlight w:val="none"/>
              </w:rPr>
              <w:t>应急情况下的响应</w:t>
            </w:r>
            <w:r>
              <w:rPr>
                <w:rFonts w:hint="eastAsia" w:ascii="宋体" w:hAnsi="宋体" w:eastAsia="宋体" w:cs="宋体"/>
                <w:color w:val="000000"/>
                <w:sz w:val="21"/>
                <w:szCs w:val="21"/>
                <w:highlight w:val="none"/>
                <w:lang w:val="en-US" w:eastAsia="zh-CN"/>
              </w:rPr>
              <w:t>时间</w:t>
            </w:r>
            <w:r>
              <w:rPr>
                <w:rFonts w:hint="eastAsia" w:ascii="宋体" w:hAnsi="宋体" w:eastAsia="宋体" w:cs="宋体"/>
                <w:color w:val="000000"/>
                <w:sz w:val="21"/>
                <w:szCs w:val="21"/>
                <w:highlight w:val="none"/>
              </w:rPr>
              <w:t>要求</w:t>
            </w:r>
            <w:r>
              <w:rPr>
                <w:rFonts w:hint="eastAsia" w:ascii="宋体" w:hAnsi="宋体" w:eastAsia="宋体" w:cs="宋体"/>
                <w:color w:val="000000"/>
                <w:sz w:val="21"/>
                <w:szCs w:val="21"/>
                <w:highlight w:val="none"/>
                <w:lang w:val="en-US" w:eastAsia="zh-CN"/>
              </w:rPr>
              <w:t>的得</w:t>
            </w: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可执行性</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强且满足招标人</w:t>
            </w:r>
            <w:r>
              <w:rPr>
                <w:rFonts w:hint="eastAsia" w:ascii="宋体" w:hAnsi="宋体" w:eastAsia="宋体" w:cs="宋体"/>
                <w:color w:val="000000"/>
                <w:sz w:val="21"/>
                <w:szCs w:val="21"/>
                <w:highlight w:val="none"/>
              </w:rPr>
              <w:t>的设计、测量、制作、安装</w:t>
            </w:r>
            <w:r>
              <w:rPr>
                <w:rFonts w:hint="eastAsia" w:ascii="宋体" w:hAnsi="宋体" w:eastAsia="宋体" w:cs="宋体"/>
                <w:color w:val="000000"/>
                <w:sz w:val="21"/>
                <w:szCs w:val="21"/>
                <w:highlight w:val="none"/>
                <w:lang w:val="en-US" w:eastAsia="zh-CN"/>
              </w:rPr>
              <w:t>及</w:t>
            </w:r>
            <w:r>
              <w:rPr>
                <w:rFonts w:hint="eastAsia" w:ascii="宋体" w:hAnsi="宋体" w:eastAsia="宋体" w:cs="宋体"/>
                <w:color w:val="000000"/>
                <w:sz w:val="21"/>
                <w:szCs w:val="21"/>
                <w:highlight w:val="none"/>
              </w:rPr>
              <w:t>应急情况下的响应</w:t>
            </w:r>
            <w:r>
              <w:rPr>
                <w:rFonts w:hint="eastAsia" w:ascii="宋体" w:hAnsi="宋体" w:eastAsia="宋体" w:cs="宋体"/>
                <w:color w:val="000000"/>
                <w:sz w:val="21"/>
                <w:szCs w:val="21"/>
                <w:highlight w:val="none"/>
                <w:lang w:val="en-US" w:eastAsia="zh-CN"/>
              </w:rPr>
              <w:t>时间</w:t>
            </w:r>
            <w:r>
              <w:rPr>
                <w:rFonts w:hint="eastAsia" w:ascii="宋体" w:hAnsi="宋体" w:eastAsia="宋体" w:cs="宋体"/>
                <w:color w:val="000000"/>
                <w:sz w:val="21"/>
                <w:szCs w:val="21"/>
                <w:highlight w:val="none"/>
              </w:rPr>
              <w:t>要求</w:t>
            </w:r>
            <w:r>
              <w:rPr>
                <w:rFonts w:hint="eastAsia" w:ascii="宋体" w:hAnsi="宋体" w:eastAsia="宋体" w:cs="宋体"/>
                <w:color w:val="000000"/>
                <w:sz w:val="21"/>
                <w:szCs w:val="21"/>
                <w:highlight w:val="none"/>
                <w:lang w:val="en-US" w:eastAsia="zh-CN"/>
              </w:rPr>
              <w:t>的得7.2分；</w:t>
            </w:r>
            <w:r>
              <w:rPr>
                <w:rFonts w:hint="eastAsia" w:ascii="宋体" w:hAnsi="宋体" w:eastAsia="宋体" w:cs="宋体"/>
                <w:color w:val="000000"/>
                <w:sz w:val="21"/>
                <w:szCs w:val="21"/>
                <w:highlight w:val="none"/>
              </w:rPr>
              <w:t>可执行性</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一般且</w:t>
            </w:r>
            <w:r>
              <w:rPr>
                <w:rFonts w:hint="eastAsia" w:ascii="宋体" w:hAnsi="宋体" w:eastAsia="宋体" w:cs="宋体"/>
                <w:color w:val="000000"/>
                <w:sz w:val="21"/>
                <w:szCs w:val="21"/>
                <w:highlight w:val="none"/>
              </w:rPr>
              <w:t>满足</w:t>
            </w:r>
            <w:r>
              <w:rPr>
                <w:rFonts w:hint="eastAsia" w:ascii="宋体" w:hAnsi="宋体" w:eastAsia="宋体" w:cs="宋体"/>
                <w:color w:val="000000"/>
                <w:sz w:val="21"/>
                <w:szCs w:val="21"/>
                <w:highlight w:val="none"/>
                <w:lang w:val="en-US" w:eastAsia="zh-CN"/>
              </w:rPr>
              <w:t>招标人</w:t>
            </w:r>
            <w:r>
              <w:rPr>
                <w:rFonts w:hint="eastAsia" w:ascii="宋体" w:hAnsi="宋体" w:eastAsia="宋体" w:cs="宋体"/>
                <w:color w:val="000000"/>
                <w:sz w:val="21"/>
                <w:szCs w:val="21"/>
                <w:highlight w:val="none"/>
              </w:rPr>
              <w:t>的设计、测量、制作、安装</w:t>
            </w:r>
            <w:r>
              <w:rPr>
                <w:rFonts w:hint="eastAsia" w:ascii="宋体" w:hAnsi="宋体" w:eastAsia="宋体" w:cs="宋体"/>
                <w:color w:val="000000"/>
                <w:sz w:val="21"/>
                <w:szCs w:val="21"/>
                <w:highlight w:val="none"/>
                <w:lang w:val="en-US" w:eastAsia="zh-CN"/>
              </w:rPr>
              <w:t>及</w:t>
            </w:r>
            <w:r>
              <w:rPr>
                <w:rFonts w:hint="eastAsia" w:ascii="宋体" w:hAnsi="宋体" w:eastAsia="宋体" w:cs="宋体"/>
                <w:color w:val="000000"/>
                <w:sz w:val="21"/>
                <w:szCs w:val="21"/>
                <w:highlight w:val="none"/>
              </w:rPr>
              <w:t>应急情况下的响应</w:t>
            </w:r>
            <w:r>
              <w:rPr>
                <w:rFonts w:hint="eastAsia" w:ascii="宋体" w:hAnsi="宋体" w:eastAsia="宋体" w:cs="宋体"/>
                <w:color w:val="000000"/>
                <w:sz w:val="21"/>
                <w:szCs w:val="21"/>
                <w:highlight w:val="none"/>
                <w:lang w:val="en-US" w:eastAsia="zh-CN"/>
              </w:rPr>
              <w:t>时间</w:t>
            </w:r>
            <w:r>
              <w:rPr>
                <w:rFonts w:hint="eastAsia" w:ascii="宋体" w:hAnsi="宋体" w:eastAsia="宋体" w:cs="宋体"/>
                <w:color w:val="000000"/>
                <w:sz w:val="21"/>
                <w:szCs w:val="21"/>
                <w:highlight w:val="none"/>
              </w:rPr>
              <w:t>要求</w:t>
            </w:r>
            <w:r>
              <w:rPr>
                <w:rFonts w:hint="eastAsia" w:ascii="宋体" w:hAnsi="宋体" w:eastAsia="宋体" w:cs="宋体"/>
                <w:color w:val="000000"/>
                <w:sz w:val="21"/>
                <w:szCs w:val="21"/>
                <w:highlight w:val="none"/>
                <w:lang w:val="en-US" w:eastAsia="zh-CN"/>
              </w:rPr>
              <w:t>的得6.4分；其他的不得分，本项满分</w:t>
            </w: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lang w:val="en-US" w:eastAsia="zh-CN"/>
              </w:rPr>
              <w:t>分。</w:t>
            </w:r>
          </w:p>
        </w:tc>
        <w:tc>
          <w:tcPr>
            <w:tcW w:w="1591" w:type="dxa"/>
            <w:vAlign w:val="center"/>
          </w:tcPr>
          <w:p w14:paraId="416A00AA">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评审核验投标文件中的下述文件：</w:t>
            </w:r>
          </w:p>
          <w:p w14:paraId="2601B157">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投标文件</w:t>
            </w:r>
            <w:r>
              <w:rPr>
                <w:rFonts w:hint="eastAsia" w:ascii="宋体" w:hAnsi="宋体" w:eastAsia="宋体" w:cs="宋体"/>
                <w:sz w:val="21"/>
                <w:szCs w:val="21"/>
                <w:highlight w:val="none"/>
              </w:rPr>
              <w:t>须能充分有效反映出本评分项内容</w:t>
            </w:r>
            <w:r>
              <w:rPr>
                <w:rFonts w:hint="eastAsia" w:ascii="宋体" w:hAnsi="宋体" w:cs="宋体"/>
                <w:sz w:val="21"/>
                <w:szCs w:val="21"/>
                <w:highlight w:val="none"/>
                <w:lang w:eastAsia="zh-CN"/>
              </w:rPr>
              <w:t>。</w:t>
            </w:r>
          </w:p>
        </w:tc>
      </w:tr>
      <w:tr w14:paraId="5C89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Align w:val="center"/>
          </w:tcPr>
          <w:p w14:paraId="11E022D7">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2</w:t>
            </w:r>
          </w:p>
        </w:tc>
        <w:tc>
          <w:tcPr>
            <w:tcW w:w="1300" w:type="dxa"/>
            <w:vAlign w:val="center"/>
          </w:tcPr>
          <w:p w14:paraId="106A79EF">
            <w:pPr>
              <w:spacing w:line="240" w:lineRule="auto"/>
              <w:jc w:val="center"/>
              <w:rPr>
                <w:rFonts w:cs="宋体"/>
                <w:bCs/>
                <w:szCs w:val="21"/>
                <w:highlight w:val="none"/>
              </w:rPr>
            </w:pPr>
            <w:r>
              <w:rPr>
                <w:rFonts w:hint="eastAsia" w:ascii="宋体" w:hAnsi="宋体" w:eastAsia="宋体" w:cs="宋体"/>
                <w:sz w:val="21"/>
                <w:szCs w:val="21"/>
                <w:highlight w:val="none"/>
              </w:rPr>
              <w:t>产品质量及安全保证</w:t>
            </w:r>
            <w:r>
              <w:rPr>
                <w:rFonts w:hint="eastAsia" w:ascii="宋体" w:hAnsi="宋体" w:eastAsia="宋体" w:cs="宋体"/>
                <w:sz w:val="21"/>
                <w:szCs w:val="21"/>
                <w:highlight w:val="none"/>
                <w:lang w:val="en-US" w:eastAsia="zh-CN"/>
              </w:rPr>
              <w:t>措施</w:t>
            </w:r>
          </w:p>
        </w:tc>
        <w:tc>
          <w:tcPr>
            <w:tcW w:w="754" w:type="dxa"/>
            <w:vAlign w:val="center"/>
          </w:tcPr>
          <w:p w14:paraId="45DC1305">
            <w:pPr>
              <w:keepNext w:val="0"/>
              <w:keepLines w:val="0"/>
              <w:pageBreakBefore w:val="0"/>
              <w:widowControl/>
              <w:kinsoku/>
              <w:wordWrap/>
              <w:overflowPunct/>
              <w:topLinePunct w:val="0"/>
              <w:autoSpaceDE/>
              <w:autoSpaceDN/>
              <w:bidi w:val="0"/>
              <w:spacing w:line="240" w:lineRule="auto"/>
              <w:jc w:val="center"/>
              <w:textAlignment w:val="center"/>
              <w:rPr>
                <w:rFonts w:ascii="宋体" w:hAnsi="宋体"/>
                <w:color w:val="000000"/>
                <w:szCs w:val="21"/>
                <w:highlight w:val="none"/>
              </w:rPr>
            </w:pP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val="en-US" w:eastAsia="zh-CN"/>
              </w:rPr>
              <w:t>分</w:t>
            </w:r>
          </w:p>
        </w:tc>
        <w:tc>
          <w:tcPr>
            <w:tcW w:w="5607" w:type="dxa"/>
            <w:vAlign w:val="center"/>
          </w:tcPr>
          <w:p w14:paraId="3F615788">
            <w:pPr>
              <w:spacing w:line="240" w:lineRule="auto"/>
              <w:rPr>
                <w:highlight w:val="none"/>
              </w:rPr>
            </w:pPr>
            <w:r>
              <w:rPr>
                <w:rFonts w:hint="eastAsia" w:ascii="宋体" w:hAnsi="宋体" w:eastAsia="宋体" w:cs="宋体"/>
                <w:sz w:val="21"/>
                <w:szCs w:val="21"/>
                <w:highlight w:val="none"/>
                <w:lang w:val="en-US" w:eastAsia="zh-CN"/>
              </w:rPr>
              <w:t>根据投标人提供的</w:t>
            </w:r>
            <w:r>
              <w:rPr>
                <w:rFonts w:hint="eastAsia" w:ascii="宋体" w:hAnsi="宋体" w:eastAsia="宋体" w:cs="宋体"/>
                <w:color w:val="000000"/>
                <w:sz w:val="21"/>
                <w:szCs w:val="21"/>
                <w:highlight w:val="none"/>
              </w:rPr>
              <w:t>方案阐述采用何种措施保证项目中的产品质量，保质期内破损更换，具有安全文明施工保证体系</w:t>
            </w:r>
            <w:r>
              <w:rPr>
                <w:rFonts w:hint="eastAsia" w:ascii="宋体" w:hAnsi="宋体" w:eastAsia="宋体" w:cs="宋体"/>
                <w:color w:val="000000"/>
                <w:sz w:val="21"/>
                <w:szCs w:val="21"/>
                <w:highlight w:val="none"/>
                <w:lang w:val="en-US" w:eastAsia="zh-CN"/>
              </w:rPr>
              <w:t>等，</w:t>
            </w:r>
            <w:r>
              <w:rPr>
                <w:rFonts w:hint="eastAsia" w:ascii="宋体" w:hAnsi="宋体" w:eastAsia="宋体" w:cs="宋体"/>
                <w:color w:val="000000"/>
                <w:sz w:val="21"/>
                <w:szCs w:val="21"/>
                <w:highlight w:val="none"/>
              </w:rPr>
              <w:t>方案的可</w:t>
            </w:r>
            <w:r>
              <w:rPr>
                <w:rFonts w:hint="eastAsia" w:ascii="宋体" w:hAnsi="宋体" w:eastAsia="宋体" w:cs="宋体"/>
                <w:color w:val="000000"/>
                <w:sz w:val="21"/>
                <w:szCs w:val="21"/>
                <w:highlight w:val="none"/>
                <w:lang w:val="en-US" w:eastAsia="zh-CN"/>
              </w:rPr>
              <w:t>行</w:t>
            </w:r>
            <w:r>
              <w:rPr>
                <w:rFonts w:hint="eastAsia" w:ascii="宋体" w:hAnsi="宋体" w:eastAsia="宋体" w:cs="宋体"/>
                <w:color w:val="000000"/>
                <w:sz w:val="21"/>
                <w:szCs w:val="21"/>
                <w:highlight w:val="none"/>
              </w:rPr>
              <w:t>性</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都强的得</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方案的可</w:t>
            </w:r>
            <w:r>
              <w:rPr>
                <w:rFonts w:hint="eastAsia" w:ascii="宋体" w:hAnsi="宋体" w:eastAsia="宋体" w:cs="宋体"/>
                <w:color w:val="000000"/>
                <w:sz w:val="21"/>
                <w:szCs w:val="21"/>
                <w:highlight w:val="none"/>
                <w:lang w:val="en-US" w:eastAsia="zh-CN"/>
              </w:rPr>
              <w:t>行</w:t>
            </w:r>
            <w:r>
              <w:rPr>
                <w:rFonts w:hint="eastAsia" w:ascii="宋体" w:hAnsi="宋体" w:eastAsia="宋体" w:cs="宋体"/>
                <w:color w:val="000000"/>
                <w:sz w:val="21"/>
                <w:szCs w:val="21"/>
                <w:highlight w:val="none"/>
              </w:rPr>
              <w:t>性</w:t>
            </w:r>
            <w:r>
              <w:rPr>
                <w:rFonts w:hint="eastAsia" w:ascii="宋体" w:hAnsi="宋体" w:eastAsia="宋体" w:cs="宋体"/>
                <w:color w:val="000000"/>
                <w:sz w:val="21"/>
                <w:szCs w:val="21"/>
                <w:highlight w:val="none"/>
                <w:lang w:val="en-US" w:eastAsia="zh-CN"/>
              </w:rPr>
              <w:t>强和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一般的得3.6分；</w:t>
            </w:r>
            <w:r>
              <w:rPr>
                <w:rFonts w:hint="eastAsia" w:ascii="宋体" w:hAnsi="宋体" w:eastAsia="宋体" w:cs="宋体"/>
                <w:color w:val="000000"/>
                <w:sz w:val="21"/>
                <w:szCs w:val="21"/>
                <w:highlight w:val="none"/>
              </w:rPr>
              <w:t>方案的可</w:t>
            </w:r>
            <w:r>
              <w:rPr>
                <w:rFonts w:hint="eastAsia" w:ascii="宋体" w:hAnsi="宋体" w:eastAsia="宋体" w:cs="宋体"/>
                <w:color w:val="000000"/>
                <w:sz w:val="21"/>
                <w:szCs w:val="21"/>
                <w:highlight w:val="none"/>
                <w:lang w:val="en-US" w:eastAsia="zh-CN"/>
              </w:rPr>
              <w:t>行</w:t>
            </w:r>
            <w:r>
              <w:rPr>
                <w:rFonts w:hint="eastAsia" w:ascii="宋体" w:hAnsi="宋体" w:eastAsia="宋体" w:cs="宋体"/>
                <w:color w:val="000000"/>
                <w:sz w:val="21"/>
                <w:szCs w:val="21"/>
                <w:highlight w:val="none"/>
              </w:rPr>
              <w:t>性</w:t>
            </w:r>
            <w:r>
              <w:rPr>
                <w:rFonts w:hint="eastAsia" w:ascii="宋体" w:hAnsi="宋体" w:eastAsia="宋体" w:cs="宋体"/>
                <w:color w:val="000000"/>
                <w:sz w:val="21"/>
                <w:szCs w:val="21"/>
                <w:highlight w:val="none"/>
                <w:lang w:val="en-US" w:eastAsia="zh-CN"/>
              </w:rPr>
              <w:t>强和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都一般的得3.2分；其他的不得分，本项满分</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val="en-US" w:eastAsia="zh-CN"/>
              </w:rPr>
              <w:t>分。</w:t>
            </w:r>
          </w:p>
        </w:tc>
        <w:tc>
          <w:tcPr>
            <w:tcW w:w="1591" w:type="dxa"/>
            <w:vAlign w:val="center"/>
          </w:tcPr>
          <w:p w14:paraId="7B68EC4D">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评审核验投标文件中的下述文件：</w:t>
            </w:r>
          </w:p>
          <w:p w14:paraId="00012444">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投标文件</w:t>
            </w:r>
            <w:r>
              <w:rPr>
                <w:rFonts w:hint="eastAsia" w:ascii="宋体" w:hAnsi="宋体" w:eastAsia="宋体" w:cs="宋体"/>
                <w:sz w:val="21"/>
                <w:szCs w:val="21"/>
                <w:highlight w:val="none"/>
              </w:rPr>
              <w:t>须能充分有效反映出本评分项内容</w:t>
            </w:r>
            <w:r>
              <w:rPr>
                <w:rFonts w:hint="eastAsia" w:ascii="宋体" w:hAnsi="宋体" w:cs="宋体"/>
                <w:sz w:val="21"/>
                <w:szCs w:val="21"/>
                <w:highlight w:val="none"/>
                <w:lang w:eastAsia="zh-CN"/>
              </w:rPr>
              <w:t>。</w:t>
            </w:r>
          </w:p>
        </w:tc>
      </w:tr>
      <w:tr w14:paraId="2AF5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532DF409">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3</w:t>
            </w:r>
          </w:p>
        </w:tc>
        <w:tc>
          <w:tcPr>
            <w:tcW w:w="1300" w:type="dxa"/>
            <w:vAlign w:val="center"/>
          </w:tcPr>
          <w:p w14:paraId="16088862">
            <w:pPr>
              <w:spacing w:line="240" w:lineRule="auto"/>
              <w:jc w:val="center"/>
              <w:rPr>
                <w:rFonts w:cs="宋体"/>
                <w:bCs/>
                <w:szCs w:val="21"/>
                <w:highlight w:val="none"/>
              </w:rPr>
            </w:pPr>
            <w:r>
              <w:rPr>
                <w:rFonts w:hint="eastAsia" w:ascii="宋体" w:hAnsi="宋体" w:eastAsia="宋体" w:cs="宋体"/>
                <w:sz w:val="21"/>
                <w:szCs w:val="21"/>
                <w:highlight w:val="none"/>
                <w:lang w:val="en-US" w:eastAsia="zh-CN"/>
              </w:rPr>
              <w:t>样品</w:t>
            </w:r>
          </w:p>
        </w:tc>
        <w:tc>
          <w:tcPr>
            <w:tcW w:w="754" w:type="dxa"/>
            <w:vAlign w:val="center"/>
          </w:tcPr>
          <w:p w14:paraId="313F247D">
            <w:pPr>
              <w:keepNext w:val="0"/>
              <w:keepLines w:val="0"/>
              <w:pageBreakBefore w:val="0"/>
              <w:widowControl/>
              <w:kinsoku/>
              <w:wordWrap/>
              <w:overflowPunct/>
              <w:topLinePunct w:val="0"/>
              <w:autoSpaceDE/>
              <w:autoSpaceDN/>
              <w:bidi w:val="0"/>
              <w:spacing w:line="240" w:lineRule="auto"/>
              <w:jc w:val="center"/>
              <w:textAlignment w:val="center"/>
              <w:rPr>
                <w:rFonts w:ascii="宋体" w:hAnsi="宋体"/>
                <w:color w:val="000000"/>
                <w:szCs w:val="21"/>
                <w:highlight w:val="none"/>
              </w:rPr>
            </w:pP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lang w:val="en-US" w:eastAsia="zh-CN"/>
              </w:rPr>
              <w:t>分</w:t>
            </w:r>
          </w:p>
        </w:tc>
        <w:tc>
          <w:tcPr>
            <w:tcW w:w="5607" w:type="dxa"/>
            <w:shd w:val="clear" w:color="auto" w:fill="auto"/>
            <w:vAlign w:val="center"/>
          </w:tcPr>
          <w:p w14:paraId="1D8A81EA">
            <w:pPr>
              <w:keepNext w:val="0"/>
              <w:keepLines w:val="0"/>
              <w:pageBreakBefore w:val="0"/>
              <w:widowControl/>
              <w:numPr>
                <w:ilvl w:val="0"/>
                <w:numId w:val="0"/>
              </w:numPr>
              <w:kinsoku/>
              <w:wordWrap/>
              <w:overflowPunct/>
              <w:topLinePunct w:val="0"/>
              <w:autoSpaceDE/>
              <w:autoSpaceDN/>
              <w:bidi w:val="0"/>
              <w:spacing w:line="240" w:lineRule="auto"/>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可移除胶贴+画面+保护膜。（</w:t>
            </w:r>
            <w:r>
              <w:rPr>
                <w:rFonts w:hint="eastAsia" w:ascii="宋体" w:hAnsi="宋体" w:eastAsia="宋体" w:cs="宋体"/>
                <w:i w:val="0"/>
                <w:iCs w:val="0"/>
                <w:caps w:val="0"/>
                <w:color w:val="333333"/>
                <w:spacing w:val="0"/>
                <w:kern w:val="0"/>
                <w:sz w:val="21"/>
                <w:szCs w:val="21"/>
                <w:highlight w:val="none"/>
                <w:shd w:val="clear" w:color="auto" w:fill="FFFFFF"/>
                <w:lang w:val="en-US" w:eastAsia="zh-CN" w:bidi="ar"/>
              </w:rPr>
              <w:t>画面为国标当心碰头样式，尺寸大小为A4</w:t>
            </w:r>
            <w:r>
              <w:rPr>
                <w:rFonts w:hint="eastAsia" w:ascii="宋体" w:hAnsi="宋体" w:eastAsia="宋体" w:cs="宋体"/>
                <w:color w:val="000000"/>
                <w:sz w:val="21"/>
                <w:szCs w:val="21"/>
                <w:highlight w:val="none"/>
              </w:rPr>
              <w:t>），</w:t>
            </w:r>
            <w:r>
              <w:rPr>
                <w:rFonts w:hint="eastAsia" w:ascii="宋体" w:hAnsi="宋体" w:eastAsia="宋体" w:cs="宋体"/>
                <w:sz w:val="21"/>
                <w:szCs w:val="21"/>
                <w:highlight w:val="none"/>
              </w:rPr>
              <w:t>根据投标人提供的样品的</w:t>
            </w:r>
            <w:r>
              <w:rPr>
                <w:rFonts w:hint="eastAsia" w:ascii="宋体" w:hAnsi="宋体" w:eastAsia="宋体" w:cs="宋体"/>
                <w:sz w:val="21"/>
                <w:szCs w:val="21"/>
                <w:highlight w:val="none"/>
                <w:lang w:val="en-US" w:eastAsia="zh-CN"/>
              </w:rPr>
              <w:t>品质</w:t>
            </w:r>
            <w:r>
              <w:rPr>
                <w:rFonts w:hint="eastAsia" w:ascii="宋体" w:hAnsi="宋体" w:eastAsia="宋体" w:cs="宋体"/>
                <w:sz w:val="21"/>
                <w:szCs w:val="21"/>
                <w:highlight w:val="none"/>
              </w:rPr>
              <w:t>进行打分，由高到低分四个档次，第一档次</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分，第二档次</w:t>
            </w:r>
            <w:r>
              <w:rPr>
                <w:rFonts w:hint="eastAsia" w:ascii="宋体" w:hAnsi="宋体" w:cs="宋体"/>
                <w:sz w:val="21"/>
                <w:szCs w:val="21"/>
                <w:highlight w:val="none"/>
                <w:lang w:val="en-US" w:eastAsia="zh-CN"/>
              </w:rPr>
              <w:t>2.7</w:t>
            </w:r>
            <w:r>
              <w:rPr>
                <w:rFonts w:hint="eastAsia" w:ascii="宋体" w:hAnsi="宋体" w:eastAsia="宋体" w:cs="宋体"/>
                <w:sz w:val="21"/>
                <w:szCs w:val="21"/>
                <w:highlight w:val="none"/>
              </w:rPr>
              <w:t>分，第三档次</w:t>
            </w:r>
            <w:r>
              <w:rPr>
                <w:rFonts w:hint="eastAsia" w:ascii="宋体" w:hAnsi="宋体" w:cs="宋体"/>
                <w:sz w:val="21"/>
                <w:szCs w:val="21"/>
                <w:highlight w:val="none"/>
                <w:lang w:val="en-US" w:eastAsia="zh-CN"/>
              </w:rPr>
              <w:t>2.4</w:t>
            </w:r>
            <w:r>
              <w:rPr>
                <w:rFonts w:hint="eastAsia" w:ascii="宋体" w:hAnsi="宋体" w:eastAsia="宋体" w:cs="宋体"/>
                <w:sz w:val="21"/>
                <w:szCs w:val="21"/>
                <w:highlight w:val="none"/>
              </w:rPr>
              <w:t>分，第四档次</w:t>
            </w:r>
            <w:r>
              <w:rPr>
                <w:rFonts w:hint="eastAsia" w:ascii="宋体" w:hAnsi="宋体" w:cs="宋体"/>
                <w:sz w:val="21"/>
                <w:szCs w:val="21"/>
                <w:highlight w:val="none"/>
                <w:lang w:val="en-US" w:eastAsia="zh-CN"/>
              </w:rPr>
              <w:t>2.1</w:t>
            </w:r>
            <w:r>
              <w:rPr>
                <w:rFonts w:hint="eastAsia" w:ascii="宋体" w:hAnsi="宋体" w:eastAsia="宋体" w:cs="宋体"/>
                <w:sz w:val="21"/>
                <w:szCs w:val="21"/>
                <w:highlight w:val="none"/>
                <w:lang w:val="en-US" w:eastAsia="zh-CN"/>
              </w:rPr>
              <w:t>分。</w:t>
            </w:r>
          </w:p>
          <w:p w14:paraId="364C54B8">
            <w:pPr>
              <w:keepNext w:val="0"/>
              <w:keepLines w:val="0"/>
              <w:pageBreakBefore w:val="0"/>
              <w:widowControl/>
              <w:numPr>
                <w:ilvl w:val="0"/>
                <w:numId w:val="0"/>
              </w:numPr>
              <w:kinsoku/>
              <w:wordWrap/>
              <w:overflowPunct/>
              <w:topLinePunct w:val="0"/>
              <w:autoSpaceDE/>
              <w:autoSpaceDN/>
              <w:bidi w:val="0"/>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2㎜铝板+工程反光膜+刻字（画面为国标禁止攀爬，尺寸</w:t>
            </w:r>
            <w:r>
              <w:rPr>
                <w:rFonts w:hint="eastAsia" w:ascii="宋体" w:hAnsi="宋体" w:eastAsia="宋体" w:cs="宋体"/>
                <w:color w:val="000000"/>
                <w:sz w:val="21"/>
                <w:szCs w:val="21"/>
                <w:highlight w:val="none"/>
                <w:lang w:val="en-US" w:eastAsia="zh-CN"/>
              </w:rPr>
              <w:t>大小</w:t>
            </w:r>
            <w:r>
              <w:rPr>
                <w:rFonts w:hint="eastAsia" w:ascii="宋体" w:hAnsi="宋体" w:eastAsia="宋体" w:cs="宋体"/>
                <w:color w:val="000000"/>
                <w:sz w:val="21"/>
                <w:szCs w:val="21"/>
                <w:highlight w:val="none"/>
              </w:rPr>
              <w:t>为A4），</w:t>
            </w:r>
            <w:r>
              <w:rPr>
                <w:rFonts w:hint="eastAsia" w:ascii="宋体" w:hAnsi="宋体" w:eastAsia="宋体" w:cs="宋体"/>
                <w:sz w:val="21"/>
                <w:szCs w:val="21"/>
                <w:highlight w:val="none"/>
              </w:rPr>
              <w:t>根据投标人提供的样品的</w:t>
            </w:r>
            <w:r>
              <w:rPr>
                <w:rFonts w:hint="eastAsia" w:ascii="宋体" w:hAnsi="宋体" w:eastAsia="宋体" w:cs="宋体"/>
                <w:sz w:val="21"/>
                <w:szCs w:val="21"/>
                <w:highlight w:val="none"/>
                <w:lang w:val="en-US" w:eastAsia="zh-CN"/>
              </w:rPr>
              <w:t>品质</w:t>
            </w:r>
            <w:r>
              <w:rPr>
                <w:rFonts w:hint="eastAsia" w:ascii="宋体" w:hAnsi="宋体" w:eastAsia="宋体" w:cs="宋体"/>
                <w:sz w:val="21"/>
                <w:szCs w:val="21"/>
                <w:highlight w:val="none"/>
              </w:rPr>
              <w:t>进行打分，由高到低分四个档次，第一档次</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分，第二档次</w:t>
            </w:r>
            <w:r>
              <w:rPr>
                <w:rFonts w:hint="eastAsia" w:ascii="宋体" w:hAnsi="宋体" w:cs="宋体"/>
                <w:sz w:val="21"/>
                <w:szCs w:val="21"/>
                <w:highlight w:val="none"/>
                <w:lang w:val="en-US" w:eastAsia="zh-CN"/>
              </w:rPr>
              <w:t>2.7</w:t>
            </w:r>
            <w:r>
              <w:rPr>
                <w:rFonts w:hint="eastAsia" w:ascii="宋体" w:hAnsi="宋体" w:eastAsia="宋体" w:cs="宋体"/>
                <w:sz w:val="21"/>
                <w:szCs w:val="21"/>
                <w:highlight w:val="none"/>
              </w:rPr>
              <w:t>分，第三档次</w:t>
            </w:r>
            <w:r>
              <w:rPr>
                <w:rFonts w:hint="eastAsia" w:ascii="宋体" w:hAnsi="宋体" w:cs="宋体"/>
                <w:sz w:val="21"/>
                <w:szCs w:val="21"/>
                <w:highlight w:val="none"/>
                <w:lang w:val="en-US" w:eastAsia="zh-CN"/>
              </w:rPr>
              <w:t>2.4</w:t>
            </w:r>
            <w:r>
              <w:rPr>
                <w:rFonts w:hint="eastAsia" w:ascii="宋体" w:hAnsi="宋体" w:eastAsia="宋体" w:cs="宋体"/>
                <w:sz w:val="21"/>
                <w:szCs w:val="21"/>
                <w:highlight w:val="none"/>
              </w:rPr>
              <w:t>分，第四档次</w:t>
            </w:r>
            <w:r>
              <w:rPr>
                <w:rFonts w:hint="eastAsia" w:ascii="宋体" w:hAnsi="宋体" w:cs="宋体"/>
                <w:sz w:val="21"/>
                <w:szCs w:val="21"/>
                <w:highlight w:val="none"/>
                <w:lang w:val="en-US" w:eastAsia="zh-CN"/>
              </w:rPr>
              <w:t>2.1</w:t>
            </w:r>
            <w:r>
              <w:rPr>
                <w:rFonts w:hint="eastAsia" w:ascii="宋体" w:hAnsi="宋体" w:eastAsia="宋体" w:cs="宋体"/>
                <w:sz w:val="21"/>
                <w:szCs w:val="21"/>
                <w:highlight w:val="none"/>
                <w:lang w:val="en-US" w:eastAsia="zh-CN"/>
              </w:rPr>
              <w:t>分。</w:t>
            </w:r>
          </w:p>
          <w:p w14:paraId="1CDADAF8">
            <w:pPr>
              <w:keepNext w:val="0"/>
              <w:keepLines w:val="0"/>
              <w:pageBreakBefore w:val="0"/>
              <w:widowControl/>
              <w:numPr>
                <w:ilvl w:val="0"/>
                <w:numId w:val="0"/>
              </w:numPr>
              <w:kinsoku/>
              <w:wordWrap/>
              <w:overflowPunct/>
              <w:topLinePunct w:val="0"/>
              <w:autoSpaceDE/>
              <w:autoSpaceDN/>
              <w:bidi w:val="0"/>
              <w:spacing w:line="240" w:lineRule="auto"/>
              <w:ind w:leftChars="0"/>
              <w:jc w:val="left"/>
              <w:textAlignment w:val="center"/>
              <w:rPr>
                <w:rFonts w:hint="eastAsia"/>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画面+保护膜+5㎜PVC底板+5㎜透明亚克力倒斜边（班组管理看板，画面自行设计，尺寸</w:t>
            </w:r>
            <w:r>
              <w:rPr>
                <w:rFonts w:hint="eastAsia" w:ascii="宋体" w:hAnsi="宋体" w:eastAsia="宋体" w:cs="宋体"/>
                <w:color w:val="000000"/>
                <w:sz w:val="21"/>
                <w:szCs w:val="21"/>
                <w:highlight w:val="none"/>
                <w:lang w:val="en-US" w:eastAsia="zh-CN"/>
              </w:rPr>
              <w:t>大小</w:t>
            </w:r>
            <w:r>
              <w:rPr>
                <w:rFonts w:hint="eastAsia" w:ascii="宋体" w:hAnsi="宋体" w:eastAsia="宋体" w:cs="宋体"/>
                <w:color w:val="000000"/>
                <w:sz w:val="21"/>
                <w:szCs w:val="21"/>
                <w:highlight w:val="none"/>
              </w:rPr>
              <w:t>为A4），</w:t>
            </w:r>
            <w:r>
              <w:rPr>
                <w:rFonts w:hint="eastAsia" w:ascii="宋体" w:hAnsi="宋体" w:eastAsia="宋体" w:cs="宋体"/>
                <w:sz w:val="21"/>
                <w:szCs w:val="21"/>
                <w:highlight w:val="none"/>
              </w:rPr>
              <w:t>根据投标人提供的样品的</w:t>
            </w:r>
            <w:r>
              <w:rPr>
                <w:rFonts w:hint="eastAsia" w:ascii="宋体" w:hAnsi="宋体" w:eastAsia="宋体" w:cs="宋体"/>
                <w:sz w:val="21"/>
                <w:szCs w:val="21"/>
                <w:highlight w:val="none"/>
                <w:lang w:val="en-US" w:eastAsia="zh-CN"/>
              </w:rPr>
              <w:t>品质</w:t>
            </w:r>
            <w:r>
              <w:rPr>
                <w:rFonts w:hint="eastAsia" w:ascii="宋体" w:hAnsi="宋体" w:eastAsia="宋体" w:cs="宋体"/>
                <w:sz w:val="21"/>
                <w:szCs w:val="21"/>
                <w:highlight w:val="none"/>
              </w:rPr>
              <w:t>进行打分，由高到低分四个档次，第一档次</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分，第二档次</w:t>
            </w:r>
            <w:r>
              <w:rPr>
                <w:rFonts w:hint="eastAsia" w:ascii="宋体" w:hAnsi="宋体" w:cs="宋体"/>
                <w:sz w:val="21"/>
                <w:szCs w:val="21"/>
                <w:highlight w:val="none"/>
                <w:lang w:val="en-US" w:eastAsia="zh-CN"/>
              </w:rPr>
              <w:t>1.8</w:t>
            </w:r>
            <w:r>
              <w:rPr>
                <w:rFonts w:hint="eastAsia" w:ascii="宋体" w:hAnsi="宋体" w:eastAsia="宋体" w:cs="宋体"/>
                <w:sz w:val="21"/>
                <w:szCs w:val="21"/>
                <w:highlight w:val="none"/>
              </w:rPr>
              <w:t>分，第三档次</w:t>
            </w:r>
            <w:r>
              <w:rPr>
                <w:rFonts w:hint="eastAsia" w:ascii="宋体" w:hAnsi="宋体" w:cs="宋体"/>
                <w:sz w:val="21"/>
                <w:szCs w:val="21"/>
                <w:highlight w:val="none"/>
                <w:lang w:val="en-US" w:eastAsia="zh-CN"/>
              </w:rPr>
              <w:t>1.6</w:t>
            </w:r>
            <w:r>
              <w:rPr>
                <w:rFonts w:hint="eastAsia" w:ascii="宋体" w:hAnsi="宋体" w:eastAsia="宋体" w:cs="宋体"/>
                <w:sz w:val="21"/>
                <w:szCs w:val="21"/>
                <w:highlight w:val="none"/>
              </w:rPr>
              <w:t>分，第四档次</w:t>
            </w:r>
            <w:r>
              <w:rPr>
                <w:rFonts w:hint="eastAsia" w:ascii="宋体" w:hAnsi="宋体" w:cs="宋体"/>
                <w:sz w:val="21"/>
                <w:szCs w:val="21"/>
                <w:highlight w:val="none"/>
                <w:lang w:val="en-US" w:eastAsia="zh-CN"/>
              </w:rPr>
              <w:t>1.4</w:t>
            </w:r>
            <w:r>
              <w:rPr>
                <w:rFonts w:hint="eastAsia" w:ascii="宋体" w:hAnsi="宋体" w:eastAsia="宋体" w:cs="宋体"/>
                <w:sz w:val="21"/>
                <w:szCs w:val="21"/>
                <w:highlight w:val="none"/>
                <w:lang w:val="en-US" w:eastAsia="zh-CN"/>
              </w:rPr>
              <w:t>分。</w:t>
            </w:r>
          </w:p>
          <w:p w14:paraId="65F01981">
            <w:pPr>
              <w:spacing w:line="240" w:lineRule="auto"/>
              <w:rPr>
                <w:rFonts w:ascii="宋体" w:hAnsi="宋体"/>
                <w:highlight w:val="none"/>
              </w:rPr>
            </w:pPr>
            <w:r>
              <w:rPr>
                <w:rFonts w:hint="eastAsia" w:ascii="宋体" w:hAnsi="宋体" w:eastAsia="宋体" w:cs="宋体"/>
                <w:sz w:val="21"/>
                <w:szCs w:val="21"/>
                <w:highlight w:val="none"/>
                <w:lang w:val="en-US" w:eastAsia="zh-CN"/>
              </w:rPr>
              <w:t>注：未提供样品的不得分。</w:t>
            </w:r>
          </w:p>
        </w:tc>
        <w:tc>
          <w:tcPr>
            <w:tcW w:w="1591" w:type="dxa"/>
            <w:vAlign w:val="center"/>
          </w:tcPr>
          <w:p w14:paraId="000C1A24">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评审核验投标文件中的下述文件：</w:t>
            </w:r>
          </w:p>
          <w:p w14:paraId="2160B7A6">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样品</w:t>
            </w:r>
            <w:r>
              <w:rPr>
                <w:rFonts w:hint="eastAsia" w:ascii="宋体" w:hAnsi="宋体" w:eastAsia="宋体" w:cs="宋体"/>
                <w:sz w:val="21"/>
                <w:szCs w:val="21"/>
                <w:highlight w:val="none"/>
              </w:rPr>
              <w:t>须能充分有效反映出本评分项内容</w:t>
            </w:r>
            <w:r>
              <w:rPr>
                <w:rFonts w:hint="eastAsia" w:ascii="宋体" w:hAnsi="宋体" w:cs="宋体"/>
                <w:sz w:val="21"/>
                <w:szCs w:val="21"/>
                <w:highlight w:val="none"/>
                <w:lang w:eastAsia="zh-CN"/>
              </w:rPr>
              <w:t>。</w:t>
            </w:r>
          </w:p>
        </w:tc>
      </w:tr>
    </w:tbl>
    <w:p w14:paraId="4F3C2D6F">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注：</w:t>
      </w:r>
    </w:p>
    <w:p w14:paraId="127ADED3">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1.各投标人技术标总得分为各评委评分的平均值为最终得分。取两位小数，小数点后第三位四舍五入。</w:t>
      </w:r>
    </w:p>
    <w:p w14:paraId="0EC312E1">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2.该项目技术标为明标评审，样品递交方式：</w:t>
      </w:r>
    </w:p>
    <w:p w14:paraId="6CB80D7D">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①本项目须提供不同的3件样品（详见3.样品清单），所有样品须全部一次性递交，不接受样品的修改及补充，提供不全的样品评分项按零分处理；各投标人务必在规定的时间内递交，时间以招标人签收时间为准，逾期送达的将被拒绝，样品评分项按零分处理，请各投标人自行合理安排邮寄时间；</w:t>
      </w:r>
    </w:p>
    <w:p w14:paraId="6BEA66C0">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②样品须使用顺丰快递密封送达至规定地点。样品邮寄地址：滁州市南谯区徽州路与扬子大道交叉口控制中心大楼5层 ，收件人：</w:t>
      </w:r>
      <w:r>
        <w:rPr>
          <w:rFonts w:hint="eastAsia" w:ascii="Times New Roman" w:hAnsi="Times New Roman" w:cs="Times New Roman"/>
          <w:b/>
          <w:color w:val="000000"/>
          <w:szCs w:val="21"/>
          <w:highlight w:val="none"/>
          <w:lang w:val="en-US" w:eastAsia="zh-CN"/>
        </w:rPr>
        <w:t>杭祥婷</w:t>
      </w:r>
      <w:r>
        <w:rPr>
          <w:rFonts w:hint="eastAsia" w:ascii="Times New Roman" w:hAnsi="Times New Roman" w:eastAsia="宋体" w:cs="Times New Roman"/>
          <w:b/>
          <w:color w:val="000000"/>
          <w:szCs w:val="21"/>
          <w:highlight w:val="none"/>
          <w:lang w:val="en-US" w:eastAsia="zh-CN"/>
        </w:rPr>
        <w:t xml:space="preserve"> ，联系方式：0550-3352129；未使用顺丰快递送达的或未按要求密封的将被拒绝，样品评分项按零分处理。</w:t>
      </w:r>
    </w:p>
    <w:p w14:paraId="1A74B4C9">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③每个样品须在尾部分别标注对应序号 。</w:t>
      </w:r>
    </w:p>
    <w:p w14:paraId="0A483F31">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④样品密封要求：样品需进行密封，否则样品得分按零分处理；在密封箱中放置加盖投标单位公章的样品清单，便于区分投标单位信息及后期核对样品。</w:t>
      </w:r>
    </w:p>
    <w:p w14:paraId="10ACE8CF">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⑤未中标的投标人样品在公示期结束后由未中标人自行取回或选择邮件退回（顺丰到付），逾期招标人将不负责保管；中标人提供的样品在公示期结束后封存在招标人处。</w:t>
      </w:r>
    </w:p>
    <w:p w14:paraId="65C8646C">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3.样品清单：</w:t>
      </w:r>
    </w:p>
    <w:tbl>
      <w:tblPr>
        <w:tblStyle w:val="18"/>
        <w:tblW w:w="8022" w:type="dxa"/>
        <w:jc w:val="center"/>
        <w:tblLayout w:type="fixed"/>
        <w:tblCellMar>
          <w:top w:w="0" w:type="dxa"/>
          <w:left w:w="108" w:type="dxa"/>
          <w:bottom w:w="0" w:type="dxa"/>
          <w:right w:w="108" w:type="dxa"/>
        </w:tblCellMar>
      </w:tblPr>
      <w:tblGrid>
        <w:gridCol w:w="782"/>
        <w:gridCol w:w="4996"/>
        <w:gridCol w:w="834"/>
        <w:gridCol w:w="1410"/>
      </w:tblGrid>
      <w:tr w14:paraId="5A2A3A05">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26F2269F">
            <w:pPr>
              <w:widowControl/>
              <w:jc w:val="center"/>
              <w:rPr>
                <w:rFonts w:ascii="宋体" w:hAnsi="宋体" w:cs="宋体"/>
                <w:b/>
                <w:kern w:val="0"/>
                <w:szCs w:val="21"/>
                <w:highlight w:val="none"/>
              </w:rPr>
            </w:pPr>
            <w:r>
              <w:rPr>
                <w:rFonts w:hint="eastAsia" w:ascii="宋体" w:hAnsi="宋体" w:cs="宋体"/>
                <w:b/>
                <w:kern w:val="0"/>
                <w:szCs w:val="21"/>
                <w:highlight w:val="none"/>
              </w:rPr>
              <w:t>序号</w:t>
            </w:r>
          </w:p>
        </w:tc>
        <w:tc>
          <w:tcPr>
            <w:tcW w:w="4996" w:type="dxa"/>
            <w:tcBorders>
              <w:top w:val="single" w:color="auto" w:sz="4" w:space="0"/>
              <w:left w:val="single" w:color="auto" w:sz="4" w:space="0"/>
              <w:bottom w:val="single" w:color="auto" w:sz="4" w:space="0"/>
              <w:right w:val="single" w:color="auto" w:sz="4" w:space="0"/>
            </w:tcBorders>
            <w:noWrap/>
            <w:vAlign w:val="center"/>
          </w:tcPr>
          <w:p w14:paraId="0793B16C">
            <w:pPr>
              <w:widowControl/>
              <w:jc w:val="center"/>
              <w:rPr>
                <w:rFonts w:ascii="宋体" w:hAnsi="宋体" w:cs="宋体"/>
                <w:b/>
                <w:kern w:val="0"/>
                <w:szCs w:val="21"/>
                <w:highlight w:val="none"/>
              </w:rPr>
            </w:pPr>
            <w:r>
              <w:rPr>
                <w:rFonts w:hint="eastAsia" w:ascii="宋体" w:hAnsi="宋体" w:cs="宋体"/>
                <w:b/>
                <w:kern w:val="0"/>
                <w:szCs w:val="21"/>
                <w:highlight w:val="none"/>
              </w:rPr>
              <w:t>名称</w:t>
            </w:r>
          </w:p>
        </w:tc>
        <w:tc>
          <w:tcPr>
            <w:tcW w:w="834" w:type="dxa"/>
            <w:tcBorders>
              <w:top w:val="single" w:color="auto" w:sz="4" w:space="0"/>
              <w:left w:val="nil"/>
              <w:bottom w:val="single" w:color="auto" w:sz="4" w:space="0"/>
              <w:right w:val="single" w:color="auto" w:sz="4" w:space="0"/>
            </w:tcBorders>
            <w:vAlign w:val="center"/>
          </w:tcPr>
          <w:p w14:paraId="4F57C5FC">
            <w:pPr>
              <w:widowControl/>
              <w:jc w:val="center"/>
              <w:rPr>
                <w:rFonts w:ascii="宋体" w:hAnsi="宋体" w:cs="宋体"/>
                <w:b/>
                <w:kern w:val="0"/>
                <w:szCs w:val="21"/>
                <w:highlight w:val="none"/>
              </w:rPr>
            </w:pPr>
            <w:r>
              <w:rPr>
                <w:rFonts w:hint="eastAsia" w:ascii="宋体" w:hAnsi="宋体" w:cs="宋体"/>
                <w:b/>
                <w:kern w:val="0"/>
                <w:szCs w:val="21"/>
                <w:highlight w:val="none"/>
              </w:rPr>
              <w:t>单位</w:t>
            </w:r>
          </w:p>
        </w:tc>
        <w:tc>
          <w:tcPr>
            <w:tcW w:w="1410" w:type="dxa"/>
            <w:tcBorders>
              <w:top w:val="single" w:color="auto" w:sz="4" w:space="0"/>
              <w:left w:val="single" w:color="auto" w:sz="4" w:space="0"/>
              <w:bottom w:val="single" w:color="auto" w:sz="4" w:space="0"/>
              <w:right w:val="single" w:color="auto" w:sz="4" w:space="0"/>
            </w:tcBorders>
            <w:noWrap/>
            <w:vAlign w:val="center"/>
          </w:tcPr>
          <w:p w14:paraId="4C856DAB">
            <w:pPr>
              <w:widowControl/>
              <w:jc w:val="center"/>
              <w:rPr>
                <w:rFonts w:ascii="宋体" w:hAnsi="宋体" w:cs="宋体"/>
                <w:b/>
                <w:kern w:val="0"/>
                <w:szCs w:val="21"/>
                <w:highlight w:val="none"/>
              </w:rPr>
            </w:pPr>
            <w:r>
              <w:rPr>
                <w:rFonts w:hint="eastAsia" w:ascii="宋体" w:hAnsi="宋体" w:cs="宋体"/>
                <w:b/>
                <w:kern w:val="0"/>
                <w:szCs w:val="21"/>
                <w:highlight w:val="none"/>
              </w:rPr>
              <w:t>数量</w:t>
            </w:r>
          </w:p>
        </w:tc>
      </w:tr>
      <w:tr w14:paraId="11D71530">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64441180">
            <w:pPr>
              <w:widowControl/>
              <w:jc w:val="center"/>
              <w:rPr>
                <w:rFonts w:ascii="宋体" w:hAnsi="宋体"/>
                <w:b/>
                <w:bCs/>
                <w:color w:val="000000"/>
                <w:szCs w:val="21"/>
                <w:highlight w:val="none"/>
              </w:rPr>
            </w:pPr>
            <w:r>
              <w:rPr>
                <w:rFonts w:ascii="宋体" w:hAnsi="宋体"/>
                <w:b/>
                <w:bCs/>
                <w:color w:val="000000"/>
                <w:szCs w:val="21"/>
                <w:highlight w:val="none"/>
              </w:rPr>
              <w:t>1</w:t>
            </w:r>
          </w:p>
        </w:tc>
        <w:tc>
          <w:tcPr>
            <w:tcW w:w="4996" w:type="dxa"/>
            <w:tcBorders>
              <w:top w:val="single" w:color="auto" w:sz="4" w:space="0"/>
              <w:left w:val="single" w:color="auto" w:sz="4" w:space="0"/>
              <w:bottom w:val="single" w:color="auto" w:sz="4" w:space="0"/>
              <w:right w:val="single" w:color="auto" w:sz="4" w:space="0"/>
            </w:tcBorders>
            <w:noWrap/>
            <w:vAlign w:val="center"/>
          </w:tcPr>
          <w:p w14:paraId="0F993B20">
            <w:pPr>
              <w:widowControl/>
              <w:jc w:val="center"/>
              <w:rPr>
                <w:rFonts w:hint="eastAsia" w:ascii="宋体" w:hAnsi="宋体" w:cs="宋体" w:eastAsiaTheme="minorEastAsia"/>
                <w:color w:val="000000"/>
                <w:kern w:val="0"/>
                <w:szCs w:val="21"/>
                <w:highlight w:val="none"/>
                <w:lang w:eastAsia="zh-CN"/>
              </w:rPr>
            </w:pPr>
            <w:r>
              <w:rPr>
                <w:rFonts w:hint="eastAsia" w:ascii="宋体" w:hAnsi="宋体"/>
                <w:color w:val="000000"/>
                <w:szCs w:val="21"/>
                <w:highlight w:val="none"/>
                <w:lang w:eastAsia="zh-CN"/>
              </w:rPr>
              <w:t>可移除胶贴+画面+保护膜（画面为国标当心碰头样式，尺寸大小为A4）</w:t>
            </w:r>
          </w:p>
        </w:tc>
        <w:tc>
          <w:tcPr>
            <w:tcW w:w="834" w:type="dxa"/>
            <w:tcBorders>
              <w:top w:val="single" w:color="auto" w:sz="4" w:space="0"/>
              <w:left w:val="nil"/>
              <w:bottom w:val="single" w:color="auto" w:sz="4" w:space="0"/>
              <w:right w:val="single" w:color="auto" w:sz="4" w:space="0"/>
            </w:tcBorders>
            <w:vAlign w:val="center"/>
          </w:tcPr>
          <w:p w14:paraId="187FF8F1">
            <w:pPr>
              <w:widowControl/>
              <w:jc w:val="center"/>
              <w:rPr>
                <w:rFonts w:ascii="宋体" w:hAnsi="宋体" w:cs="宋体"/>
                <w:kern w:val="0"/>
                <w:szCs w:val="21"/>
                <w:highlight w:val="none"/>
              </w:rPr>
            </w:pPr>
            <w:r>
              <w:rPr>
                <w:rFonts w:hint="eastAsia" w:ascii="宋体" w:hAnsi="宋体" w:cs="宋体"/>
                <w:kern w:val="0"/>
                <w:szCs w:val="21"/>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66CBF846">
            <w:pPr>
              <w:widowControl/>
              <w:jc w:val="center"/>
              <w:rPr>
                <w:rFonts w:ascii="宋体" w:hAnsi="宋体" w:cs="宋体"/>
                <w:kern w:val="0"/>
                <w:szCs w:val="21"/>
                <w:highlight w:val="none"/>
              </w:rPr>
            </w:pPr>
            <w:r>
              <w:rPr>
                <w:rFonts w:hint="eastAsia" w:ascii="宋体" w:hAnsi="宋体" w:cs="宋体"/>
                <w:kern w:val="0"/>
                <w:szCs w:val="21"/>
                <w:highlight w:val="none"/>
              </w:rPr>
              <w:t>1</w:t>
            </w:r>
          </w:p>
        </w:tc>
      </w:tr>
      <w:tr w14:paraId="0A86E024">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2C3FBDBD">
            <w:pPr>
              <w:widowControl/>
              <w:jc w:val="center"/>
              <w:rPr>
                <w:rFonts w:ascii="宋体" w:hAnsi="宋体"/>
                <w:b/>
                <w:bCs/>
                <w:color w:val="000000"/>
                <w:szCs w:val="21"/>
                <w:highlight w:val="none"/>
              </w:rPr>
            </w:pPr>
            <w:r>
              <w:rPr>
                <w:rFonts w:ascii="宋体" w:hAnsi="宋体"/>
                <w:b/>
                <w:bCs/>
                <w:color w:val="000000"/>
                <w:szCs w:val="21"/>
                <w:highlight w:val="none"/>
              </w:rPr>
              <w:t>2</w:t>
            </w:r>
          </w:p>
        </w:tc>
        <w:tc>
          <w:tcPr>
            <w:tcW w:w="4996" w:type="dxa"/>
            <w:tcBorders>
              <w:top w:val="single" w:color="auto" w:sz="4" w:space="0"/>
              <w:left w:val="single" w:color="auto" w:sz="4" w:space="0"/>
              <w:bottom w:val="single" w:color="auto" w:sz="4" w:space="0"/>
              <w:right w:val="single" w:color="auto" w:sz="4" w:space="0"/>
            </w:tcBorders>
            <w:noWrap/>
            <w:vAlign w:val="center"/>
          </w:tcPr>
          <w:p w14:paraId="1BB67759">
            <w:pPr>
              <w:widowControl/>
              <w:jc w:val="center"/>
              <w:rPr>
                <w:rFonts w:ascii="宋体" w:hAnsi="宋体"/>
                <w:color w:val="000000"/>
                <w:szCs w:val="21"/>
                <w:highlight w:val="none"/>
              </w:rPr>
            </w:pPr>
            <w:r>
              <w:rPr>
                <w:rFonts w:hint="eastAsia" w:ascii="宋体" w:hAnsi="宋体"/>
                <w:color w:val="000000"/>
                <w:szCs w:val="21"/>
                <w:highlight w:val="none"/>
              </w:rPr>
              <w:t>2㎜铝板+工程反光膜+刻字（画面为国标禁止攀爬，尺寸大小为A4）</w:t>
            </w:r>
          </w:p>
        </w:tc>
        <w:tc>
          <w:tcPr>
            <w:tcW w:w="834" w:type="dxa"/>
            <w:tcBorders>
              <w:top w:val="single" w:color="auto" w:sz="4" w:space="0"/>
              <w:left w:val="nil"/>
              <w:bottom w:val="single" w:color="auto" w:sz="4" w:space="0"/>
              <w:right w:val="single" w:color="auto" w:sz="4" w:space="0"/>
            </w:tcBorders>
            <w:vAlign w:val="center"/>
          </w:tcPr>
          <w:p w14:paraId="51688D72">
            <w:pPr>
              <w:widowControl/>
              <w:jc w:val="center"/>
              <w:rPr>
                <w:rFonts w:ascii="宋体" w:hAnsi="宋体" w:cs="宋体"/>
                <w:kern w:val="0"/>
                <w:szCs w:val="21"/>
                <w:highlight w:val="none"/>
              </w:rPr>
            </w:pPr>
            <w:r>
              <w:rPr>
                <w:rFonts w:hint="eastAsia" w:ascii="宋体" w:hAnsi="宋体" w:cs="宋体"/>
                <w:kern w:val="0"/>
                <w:szCs w:val="21"/>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4A475727">
            <w:pPr>
              <w:widowControl/>
              <w:jc w:val="center"/>
              <w:rPr>
                <w:rFonts w:ascii="宋体" w:hAnsi="宋体" w:cs="宋体"/>
                <w:kern w:val="0"/>
                <w:szCs w:val="21"/>
                <w:highlight w:val="none"/>
              </w:rPr>
            </w:pPr>
            <w:r>
              <w:rPr>
                <w:rFonts w:hint="eastAsia" w:ascii="宋体" w:hAnsi="宋体" w:cs="宋体"/>
                <w:kern w:val="0"/>
                <w:szCs w:val="21"/>
                <w:highlight w:val="none"/>
              </w:rPr>
              <w:t>1</w:t>
            </w:r>
          </w:p>
        </w:tc>
      </w:tr>
      <w:tr w14:paraId="3CCA61C6">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5B97C649">
            <w:pPr>
              <w:widowControl/>
              <w:jc w:val="center"/>
              <w:rPr>
                <w:rFonts w:ascii="宋体" w:hAnsi="宋体"/>
                <w:b/>
                <w:bCs/>
                <w:color w:val="000000"/>
                <w:szCs w:val="21"/>
                <w:highlight w:val="none"/>
              </w:rPr>
            </w:pPr>
            <w:r>
              <w:rPr>
                <w:rFonts w:ascii="宋体" w:hAnsi="宋体"/>
                <w:b/>
                <w:bCs/>
                <w:color w:val="000000"/>
                <w:szCs w:val="21"/>
                <w:highlight w:val="none"/>
              </w:rPr>
              <w:t>3</w:t>
            </w:r>
          </w:p>
        </w:tc>
        <w:tc>
          <w:tcPr>
            <w:tcW w:w="4996" w:type="dxa"/>
            <w:tcBorders>
              <w:top w:val="single" w:color="auto" w:sz="4" w:space="0"/>
              <w:left w:val="single" w:color="auto" w:sz="4" w:space="0"/>
              <w:bottom w:val="single" w:color="auto" w:sz="4" w:space="0"/>
              <w:right w:val="single" w:color="auto" w:sz="4" w:space="0"/>
            </w:tcBorders>
            <w:noWrap/>
            <w:vAlign w:val="center"/>
          </w:tcPr>
          <w:p w14:paraId="266AE00F">
            <w:pPr>
              <w:widowControl/>
              <w:jc w:val="center"/>
              <w:rPr>
                <w:rFonts w:ascii="宋体" w:hAnsi="宋体" w:cs="宋体"/>
                <w:color w:val="000000"/>
                <w:kern w:val="0"/>
                <w:szCs w:val="21"/>
                <w:highlight w:val="none"/>
              </w:rPr>
            </w:pPr>
            <w:r>
              <w:rPr>
                <w:rFonts w:hint="eastAsia" w:ascii="宋体" w:hAnsi="宋体"/>
                <w:color w:val="000000"/>
                <w:szCs w:val="21"/>
                <w:highlight w:val="none"/>
              </w:rPr>
              <w:t>画面+保护膜+5㎜PVC底板+5㎜透明亚克力倒斜边（班组管理看板，画面自行设计，尺寸大小为A4）</w:t>
            </w:r>
          </w:p>
        </w:tc>
        <w:tc>
          <w:tcPr>
            <w:tcW w:w="834" w:type="dxa"/>
            <w:tcBorders>
              <w:top w:val="single" w:color="auto" w:sz="4" w:space="0"/>
              <w:left w:val="nil"/>
              <w:bottom w:val="single" w:color="auto" w:sz="4" w:space="0"/>
              <w:right w:val="single" w:color="auto" w:sz="4" w:space="0"/>
            </w:tcBorders>
            <w:vAlign w:val="center"/>
          </w:tcPr>
          <w:p w14:paraId="0E073E71">
            <w:pPr>
              <w:widowControl/>
              <w:jc w:val="center"/>
              <w:rPr>
                <w:rFonts w:ascii="宋体" w:hAnsi="宋体" w:cs="宋体"/>
                <w:kern w:val="0"/>
                <w:szCs w:val="21"/>
                <w:highlight w:val="none"/>
              </w:rPr>
            </w:pPr>
            <w:r>
              <w:rPr>
                <w:rFonts w:hint="eastAsia" w:ascii="宋体" w:hAnsi="宋体" w:cs="宋体"/>
                <w:kern w:val="0"/>
                <w:szCs w:val="21"/>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7D4188CF">
            <w:pPr>
              <w:widowControl/>
              <w:jc w:val="center"/>
              <w:rPr>
                <w:rFonts w:ascii="宋体" w:hAnsi="宋体" w:cs="宋体"/>
                <w:kern w:val="0"/>
                <w:szCs w:val="21"/>
                <w:highlight w:val="none"/>
              </w:rPr>
            </w:pPr>
            <w:r>
              <w:rPr>
                <w:rFonts w:hint="eastAsia" w:ascii="宋体" w:hAnsi="宋体" w:cs="宋体"/>
                <w:kern w:val="0"/>
                <w:szCs w:val="21"/>
                <w:highlight w:val="none"/>
              </w:rPr>
              <w:t>1</w:t>
            </w:r>
          </w:p>
        </w:tc>
      </w:tr>
    </w:tbl>
    <w:p w14:paraId="517C7347">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4.商务标评审（</w:t>
      </w:r>
      <w:r>
        <w:rPr>
          <w:rFonts w:hint="eastAsia" w:ascii="宋体" w:hAnsi="宋体" w:cs="宋体"/>
          <w:b/>
          <w:bCs/>
          <w:color w:val="000000"/>
          <w:szCs w:val="21"/>
          <w:highlight w:val="none"/>
          <w:lang w:val="en-US" w:eastAsia="zh-CN"/>
        </w:rPr>
        <w:t>6</w:t>
      </w:r>
      <w:r>
        <w:rPr>
          <w:rFonts w:hint="eastAsia" w:ascii="宋体" w:hAnsi="宋体" w:cs="宋体"/>
          <w:b/>
          <w:bCs/>
          <w:color w:val="000000"/>
          <w:szCs w:val="21"/>
          <w:highlight w:val="none"/>
        </w:rPr>
        <w:t>0分）</w:t>
      </w:r>
    </w:p>
    <w:tbl>
      <w:tblPr>
        <w:tblStyle w:val="18"/>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14:paraId="73F1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14:paraId="211E98A7">
            <w:pPr>
              <w:jc w:val="center"/>
              <w:rPr>
                <w:rFonts w:ascii="宋体" w:hAnsi="宋体" w:cs="宋体"/>
                <w:szCs w:val="21"/>
                <w:highlight w:val="none"/>
              </w:rPr>
            </w:pPr>
            <w:r>
              <w:rPr>
                <w:rFonts w:hint="eastAsia" w:ascii="宋体" w:hAnsi="宋体" w:cs="宋体"/>
                <w:szCs w:val="21"/>
                <w:highlight w:val="none"/>
              </w:rPr>
              <w:t>序号</w:t>
            </w:r>
          </w:p>
        </w:tc>
        <w:tc>
          <w:tcPr>
            <w:tcW w:w="1065" w:type="dxa"/>
            <w:vAlign w:val="center"/>
          </w:tcPr>
          <w:p w14:paraId="4E0583E3">
            <w:pPr>
              <w:jc w:val="center"/>
              <w:rPr>
                <w:rFonts w:ascii="宋体" w:hAnsi="宋体" w:cs="宋体"/>
                <w:szCs w:val="21"/>
                <w:highlight w:val="none"/>
              </w:rPr>
            </w:pPr>
            <w:r>
              <w:rPr>
                <w:rFonts w:hint="eastAsia" w:ascii="宋体" w:hAnsi="宋体" w:cs="宋体"/>
                <w:szCs w:val="21"/>
                <w:highlight w:val="none"/>
              </w:rPr>
              <w:t>评分因素</w:t>
            </w:r>
          </w:p>
        </w:tc>
        <w:tc>
          <w:tcPr>
            <w:tcW w:w="810" w:type="dxa"/>
            <w:vAlign w:val="center"/>
          </w:tcPr>
          <w:p w14:paraId="23968E93">
            <w:pPr>
              <w:jc w:val="center"/>
              <w:rPr>
                <w:rFonts w:ascii="宋体" w:hAnsi="宋体" w:cs="宋体"/>
                <w:szCs w:val="21"/>
                <w:highlight w:val="none"/>
              </w:rPr>
            </w:pPr>
            <w:r>
              <w:rPr>
                <w:rFonts w:hint="eastAsia" w:ascii="宋体" w:hAnsi="宋体" w:cs="宋体"/>
                <w:szCs w:val="21"/>
                <w:highlight w:val="none"/>
              </w:rPr>
              <w:t>分值</w:t>
            </w:r>
          </w:p>
        </w:tc>
        <w:tc>
          <w:tcPr>
            <w:tcW w:w="7181" w:type="dxa"/>
            <w:vAlign w:val="center"/>
          </w:tcPr>
          <w:p w14:paraId="604FBDE8">
            <w:pPr>
              <w:jc w:val="center"/>
              <w:rPr>
                <w:rFonts w:ascii="宋体" w:hAnsi="宋体" w:cs="宋体"/>
                <w:szCs w:val="21"/>
                <w:highlight w:val="none"/>
              </w:rPr>
            </w:pPr>
            <w:r>
              <w:rPr>
                <w:rFonts w:hint="eastAsia" w:ascii="宋体" w:hAnsi="宋体" w:cs="宋体"/>
                <w:szCs w:val="21"/>
                <w:highlight w:val="none"/>
              </w:rPr>
              <w:t>评审细则</w:t>
            </w:r>
          </w:p>
        </w:tc>
      </w:tr>
      <w:tr w14:paraId="11C1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14:paraId="3E2E7358">
            <w:pPr>
              <w:jc w:val="center"/>
              <w:rPr>
                <w:rFonts w:ascii="宋体" w:hAnsi="宋体" w:cs="宋体"/>
                <w:szCs w:val="21"/>
                <w:highlight w:val="none"/>
              </w:rPr>
            </w:pPr>
            <w:r>
              <w:rPr>
                <w:rFonts w:hint="eastAsia" w:ascii="宋体" w:hAnsi="宋体" w:cs="宋体"/>
                <w:szCs w:val="21"/>
                <w:highlight w:val="none"/>
              </w:rPr>
              <w:t>1</w:t>
            </w:r>
          </w:p>
        </w:tc>
        <w:tc>
          <w:tcPr>
            <w:tcW w:w="1065" w:type="dxa"/>
            <w:vAlign w:val="center"/>
          </w:tcPr>
          <w:p w14:paraId="07ABC253">
            <w:pPr>
              <w:spacing w:line="240" w:lineRule="auto"/>
              <w:jc w:val="center"/>
              <w:rPr>
                <w:rFonts w:ascii="宋体" w:hAnsi="宋体" w:cs="宋体"/>
                <w:szCs w:val="21"/>
                <w:highlight w:val="none"/>
              </w:rPr>
            </w:pPr>
            <w:r>
              <w:rPr>
                <w:rFonts w:hint="eastAsia" w:ascii="宋体" w:hAnsi="宋体" w:cs="宋体"/>
                <w:szCs w:val="21"/>
                <w:highlight w:val="none"/>
              </w:rPr>
              <w:t>投标报价</w:t>
            </w:r>
          </w:p>
        </w:tc>
        <w:tc>
          <w:tcPr>
            <w:tcW w:w="810" w:type="dxa"/>
            <w:vAlign w:val="center"/>
          </w:tcPr>
          <w:p w14:paraId="151F9D42">
            <w:pPr>
              <w:spacing w:line="240" w:lineRule="auto"/>
              <w:jc w:val="center"/>
              <w:rPr>
                <w:rFonts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0分</w:t>
            </w:r>
          </w:p>
        </w:tc>
        <w:tc>
          <w:tcPr>
            <w:tcW w:w="7181" w:type="dxa"/>
            <w:vAlign w:val="center"/>
          </w:tcPr>
          <w:p w14:paraId="409FA79A">
            <w:pPr>
              <w:pStyle w:val="5"/>
              <w:spacing w:after="0" w:line="240" w:lineRule="auto"/>
              <w:ind w:left="0" w:leftChars="0" w:firstLine="0" w:firstLineChars="0"/>
              <w:jc w:val="left"/>
              <w:rPr>
                <w:rFonts w:ascii="宋体" w:hAnsi="宋体" w:cs="宋体"/>
                <w:highlight w:val="none"/>
              </w:rPr>
            </w:pPr>
            <w:r>
              <w:rPr>
                <w:rFonts w:hint="eastAsia" w:ascii="宋体" w:hAnsi="宋体" w:cs="宋体"/>
                <w:highlight w:val="none"/>
              </w:rPr>
              <w:t>1.评标基准价=所有通过商务标详细评审的有效投标人的最低报价；其得分为满分；</w:t>
            </w:r>
          </w:p>
          <w:p w14:paraId="718633B4">
            <w:pPr>
              <w:pStyle w:val="5"/>
              <w:spacing w:after="0" w:line="240" w:lineRule="auto"/>
              <w:ind w:left="0" w:leftChars="0" w:firstLine="0" w:firstLineChars="0"/>
              <w:jc w:val="left"/>
              <w:rPr>
                <w:rFonts w:ascii="宋体" w:hAnsi="宋体" w:cs="宋体"/>
                <w:highlight w:val="none"/>
              </w:rPr>
            </w:pPr>
            <w:r>
              <w:rPr>
                <w:rFonts w:hint="eastAsia" w:ascii="宋体" w:hAnsi="宋体" w:cs="宋体"/>
                <w:highlight w:val="none"/>
              </w:rPr>
              <w:t>2.其它报价得分=评标基准价/投标报价*</w:t>
            </w:r>
            <w:r>
              <w:rPr>
                <w:rFonts w:hint="eastAsia" w:ascii="宋体" w:hAnsi="宋体" w:cs="宋体"/>
                <w:highlight w:val="none"/>
                <w:lang w:val="en-US" w:eastAsia="zh-CN"/>
              </w:rPr>
              <w:t>6</w:t>
            </w:r>
            <w:r>
              <w:rPr>
                <w:rFonts w:hint="eastAsia" w:ascii="宋体" w:hAnsi="宋体" w:cs="宋体"/>
                <w:highlight w:val="none"/>
              </w:rPr>
              <w:t>0分，小数点后保留二位小数，第三位四舍五入；</w:t>
            </w:r>
          </w:p>
          <w:p w14:paraId="3E1D7C5A">
            <w:pPr>
              <w:pStyle w:val="5"/>
              <w:spacing w:after="0" w:line="240" w:lineRule="auto"/>
              <w:ind w:left="0" w:leftChars="0" w:firstLine="0" w:firstLineChars="0"/>
              <w:jc w:val="left"/>
              <w:rPr>
                <w:rFonts w:ascii="宋体" w:hAnsi="宋体" w:cs="宋体"/>
                <w:highlight w:val="none"/>
              </w:rPr>
            </w:pPr>
            <w:r>
              <w:rPr>
                <w:rFonts w:hint="eastAsia" w:ascii="宋体" w:hAnsi="宋体" w:cs="宋体"/>
                <w:highlight w:val="none"/>
              </w:rPr>
              <w:t>3.本项分值由评标委员会负责组织计算。</w:t>
            </w:r>
          </w:p>
        </w:tc>
      </w:tr>
    </w:tbl>
    <w:p w14:paraId="0F45E60F">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商务标评审表注：</w:t>
      </w:r>
    </w:p>
    <w:p w14:paraId="2C3C4704">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1.本表所称投标报价是指按招标文件规定修正后的投标总报价（多算投标报价、多报费用不扣减）。</w:t>
      </w:r>
    </w:p>
    <w:p w14:paraId="1967F9E1">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2.评标办法中的评标基准价计算出来后，除数字计算错误外，其他情况均不再调整。</w:t>
      </w:r>
    </w:p>
    <w:p w14:paraId="6E8AC67C">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5.</w:t>
      </w:r>
      <w:bookmarkEnd w:id="60"/>
      <w:r>
        <w:rPr>
          <w:rFonts w:hint="eastAsia" w:ascii="宋体" w:hAnsi="宋体" w:cs="宋体"/>
          <w:b/>
          <w:bCs/>
          <w:color w:val="000000"/>
          <w:szCs w:val="21"/>
          <w:highlight w:val="none"/>
        </w:rPr>
        <w:t>评标办法</w:t>
      </w:r>
    </w:p>
    <w:p w14:paraId="0F6EB77A">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14:paraId="6D20141F">
      <w:pPr>
        <w:adjustRightInd w:val="0"/>
        <w:snapToGrid w:val="0"/>
        <w:spacing w:line="420" w:lineRule="exact"/>
        <w:ind w:firstLine="315" w:firstLineChars="150"/>
        <w:rPr>
          <w:rFonts w:ascii="宋体" w:hAnsi="宋体" w:cs="宋体"/>
          <w:b/>
          <w:bCs/>
          <w:color w:val="000000"/>
          <w:szCs w:val="21"/>
          <w:highlight w:val="none"/>
        </w:rPr>
      </w:pPr>
      <w:bookmarkStart w:id="61" w:name="_Toc449028878"/>
      <w:bookmarkStart w:id="62" w:name="_Toc362983802"/>
      <w:bookmarkStart w:id="63" w:name="_Toc58430318"/>
      <w:bookmarkStart w:id="64" w:name="_Toc267320058"/>
      <w:bookmarkStart w:id="65" w:name="_Toc363135205"/>
      <w:r>
        <w:rPr>
          <w:rFonts w:hint="eastAsia" w:ascii="宋体" w:hAnsi="宋体" w:cs="宋体"/>
          <w:b/>
          <w:bCs/>
          <w:color w:val="000000"/>
          <w:szCs w:val="21"/>
          <w:highlight w:val="none"/>
        </w:rPr>
        <w:t>6.评标委员会的职责</w:t>
      </w:r>
    </w:p>
    <w:p w14:paraId="6E6D3409">
      <w:pPr>
        <w:spacing w:line="440" w:lineRule="exact"/>
        <w:ind w:firstLine="315" w:firstLineChars="150"/>
        <w:jc w:val="left"/>
        <w:rPr>
          <w:rFonts w:ascii="宋体" w:hAnsi="宋体" w:eastAsia="宋体" w:cs="宋体"/>
          <w:color w:val="000000"/>
          <w:highlight w:val="none"/>
        </w:rPr>
      </w:pPr>
      <w:r>
        <w:rPr>
          <w:rFonts w:hint="eastAsia" w:ascii="宋体" w:hAnsi="宋体" w:eastAsia="宋体" w:cs="宋体"/>
          <w:color w:val="000000"/>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4EB42D16">
      <w:pPr>
        <w:spacing w:line="440" w:lineRule="exact"/>
        <w:ind w:firstLine="315" w:firstLineChars="150"/>
        <w:jc w:val="left"/>
        <w:rPr>
          <w:rFonts w:ascii="Times New Roman" w:hAnsi="Times New Roman" w:eastAsia="宋体" w:cs="Times New Roman"/>
          <w:color w:val="000000"/>
          <w:highlight w:val="none"/>
        </w:rPr>
      </w:pPr>
      <w:r>
        <w:rPr>
          <w:rFonts w:hint="eastAsia" w:ascii="宋体" w:hAnsi="宋体" w:eastAsia="宋体" w:cs="宋体"/>
          <w:color w:val="000000"/>
          <w:highlight w:val="none"/>
        </w:rPr>
        <w:t>6.2评标委员会应加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2DAE3023">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7.评标程序</w:t>
      </w:r>
    </w:p>
    <w:p w14:paraId="46565B7B">
      <w:pPr>
        <w:spacing w:line="440" w:lineRule="exact"/>
        <w:ind w:firstLine="315" w:firstLineChars="150"/>
        <w:jc w:val="left"/>
        <w:rPr>
          <w:rFonts w:ascii="宋体" w:hAnsi="宋体" w:eastAsia="宋体" w:cs="宋体"/>
          <w:color w:val="000000"/>
          <w:highlight w:val="none"/>
        </w:rPr>
      </w:pPr>
      <w:bookmarkStart w:id="66" w:name="_Toc95223402"/>
      <w:r>
        <w:rPr>
          <w:rFonts w:hint="eastAsia" w:ascii="宋体" w:hAnsi="宋体"/>
          <w:color w:val="000000"/>
          <w:szCs w:val="21"/>
          <w:highlight w:val="none"/>
        </w:rPr>
        <w:t>评标先做准备工作，再进行资格、技术标评审，然后进行商务标评审。</w:t>
      </w:r>
      <w:bookmarkEnd w:id="66"/>
    </w:p>
    <w:p w14:paraId="5414A587">
      <w:pPr>
        <w:spacing w:line="440" w:lineRule="exact"/>
        <w:ind w:firstLine="315" w:firstLineChars="150"/>
        <w:jc w:val="left"/>
        <w:rPr>
          <w:rFonts w:ascii="宋体" w:hAnsi="宋体" w:cs="宋体"/>
          <w:color w:val="000000"/>
          <w:highlight w:val="none"/>
        </w:rPr>
      </w:pPr>
      <w:bookmarkStart w:id="67" w:name="_Toc60061500"/>
      <w:bookmarkStart w:id="68" w:name="_Toc15058917"/>
      <w:r>
        <w:rPr>
          <w:rFonts w:hint="eastAsia" w:ascii="宋体" w:hAnsi="宋体" w:cs="宋体"/>
          <w:color w:val="000000"/>
          <w:highlight w:val="none"/>
        </w:rPr>
        <w:t>7.1评标准备工作</w:t>
      </w:r>
    </w:p>
    <w:p w14:paraId="1937BBF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评标委员会熟悉评标工作情况：</w:t>
      </w:r>
    </w:p>
    <w:p w14:paraId="593E2E8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（1）阅读由招标人或者其委</w:t>
      </w:r>
      <w:bookmarkStart w:id="69" w:name="_Toc15058916"/>
      <w:bookmarkStart w:id="70" w:name="_Toc60061499"/>
      <w:r>
        <w:rPr>
          <w:rFonts w:hint="eastAsia" w:ascii="宋体" w:hAnsi="宋体" w:cs="宋体"/>
          <w:color w:val="000000"/>
          <w:highlight w:val="none"/>
        </w:rPr>
        <w:t>托的代理机构编</w:t>
      </w:r>
      <w:bookmarkEnd w:id="69"/>
      <w:bookmarkEnd w:id="70"/>
      <w:r>
        <w:rPr>
          <w:rFonts w:hint="eastAsia" w:ascii="宋体" w:hAnsi="宋体" w:cs="宋体"/>
          <w:color w:val="000000"/>
          <w:highlight w:val="none"/>
        </w:rPr>
        <w:t>制的招标项目情况材料。</w:t>
      </w:r>
    </w:p>
    <w:p w14:paraId="55B41B7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5C21EEE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（3）熟悉招标文件规定的评标标准和评标方法及在评标过程中需要考虑的相关因素。</w:t>
      </w:r>
    </w:p>
    <w:p w14:paraId="7073E49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（4）核对评标工作用表。</w:t>
      </w:r>
    </w:p>
    <w:bookmarkEnd w:id="67"/>
    <w:bookmarkEnd w:id="68"/>
    <w:p w14:paraId="72220FB8">
      <w:pPr>
        <w:spacing w:line="440" w:lineRule="exact"/>
        <w:ind w:firstLine="315" w:firstLineChars="150"/>
        <w:jc w:val="left"/>
        <w:rPr>
          <w:rFonts w:ascii="宋体" w:hAnsi="宋体" w:cs="宋体"/>
          <w:color w:val="000000"/>
          <w:highlight w:val="none"/>
        </w:rPr>
      </w:pPr>
      <w:bookmarkStart w:id="71" w:name="_Toc95223405"/>
      <w:r>
        <w:rPr>
          <w:rFonts w:hint="eastAsia" w:ascii="宋体" w:hAnsi="宋体" w:cs="宋体"/>
          <w:color w:val="000000"/>
          <w:highlight w:val="none"/>
        </w:rPr>
        <w:t>7.2推荐中标候选人</w:t>
      </w:r>
    </w:p>
    <w:p w14:paraId="0A492A2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资信评审、技术标评审、商务标评审后，推荐中标候选人，并标明排序。</w:t>
      </w:r>
    </w:p>
    <w:p w14:paraId="104D983E">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8.评审内容</w:t>
      </w:r>
      <w:bookmarkEnd w:id="71"/>
    </w:p>
    <w:bookmarkEnd w:id="61"/>
    <w:bookmarkEnd w:id="62"/>
    <w:bookmarkEnd w:id="63"/>
    <w:bookmarkEnd w:id="64"/>
    <w:p w14:paraId="4DC63D32">
      <w:pPr>
        <w:spacing w:line="440" w:lineRule="exact"/>
        <w:ind w:firstLine="315" w:firstLineChars="150"/>
        <w:jc w:val="left"/>
        <w:rPr>
          <w:rFonts w:ascii="宋体" w:hAnsi="宋体" w:cs="宋体"/>
          <w:color w:val="000000"/>
          <w:highlight w:val="none"/>
        </w:rPr>
      </w:pPr>
      <w:bookmarkStart w:id="72" w:name="_Hlk61815781"/>
      <w:r>
        <w:rPr>
          <w:rFonts w:hint="eastAsia" w:ascii="宋体" w:hAnsi="宋体" w:cs="宋体"/>
          <w:color w:val="000000"/>
          <w:highlight w:val="none"/>
        </w:rPr>
        <w:t>8.1详细评审标准：见资信标、技术标和商务标评审表。</w:t>
      </w:r>
    </w:p>
    <w:p w14:paraId="63FE327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8.2评标委员会审查投标文件，看其是否有计算或表达上的错误，投标报价有错误的，评标委员会按以下原则对投标报价进行修正。</w:t>
      </w:r>
    </w:p>
    <w:p w14:paraId="06ED4FF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（1）投标文件中的大写金额与小写金额不一致的，以大写金额为准。</w:t>
      </w:r>
    </w:p>
    <w:p w14:paraId="4DD1415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（2）总价金额与依据单价计算出的结果不一致的，以单价金额为准修正总价，但单价金额小数点有明显错误的除外。</w:t>
      </w:r>
    </w:p>
    <w:p w14:paraId="5994C90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58B0FFC8">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9.无效投标条款</w:t>
      </w:r>
    </w:p>
    <w:p w14:paraId="785304D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9.1投标人存在下列情形的招标人将拒收投标文件：</w:t>
      </w:r>
    </w:p>
    <w:p w14:paraId="34FA5DB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 未在投标截止时间前通过电子邮箱递交有效电子投标文件的，投标将被拒绝。</w:t>
      </w:r>
    </w:p>
    <w:p w14:paraId="4E7962E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9.2其他无效投标情况：</w:t>
      </w:r>
    </w:p>
    <w:p w14:paraId="0EF5CCD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69F964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（2）调整或修正投标文件的投标报价，调整或修正的价格经投标人书面确认后具有约束力。投标人不接受修正价格的，其投标将被拒绝。</w:t>
      </w:r>
    </w:p>
    <w:p w14:paraId="3721084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（3）投标人有串通投标、视为串通投标、弄虚作假、行贿等违法行为。</w:t>
      </w:r>
    </w:p>
    <w:p w14:paraId="7E583F7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（4）投标文件没有对招标文件的实质性要求和条件作出响应。</w:t>
      </w:r>
    </w:p>
    <w:p w14:paraId="3D6A0C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（5）未按规定的格式填写导致实质性内容不全以及实质上不响应，或者关键字迹模糊、无法辨认。</w:t>
      </w:r>
    </w:p>
    <w:p w14:paraId="7C73D80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（6）同一投标人提交两个以上不同的投标文件或者投标报价，但招标文件规定提交备选投标的除外。</w:t>
      </w:r>
    </w:p>
    <w:p w14:paraId="7F3AEFD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（7）投标文件中存在招标人不能接受的其他实质性条件。</w:t>
      </w:r>
    </w:p>
    <w:p w14:paraId="345B4E4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（8）投标人拒不按照要求对投标文件进行澄清、说明、补正的，或评标委员会根据招标文件的规定对招标文件的计算错误进行修正后，投标人不接受修正的投标报价的。</w:t>
      </w:r>
    </w:p>
    <w:p w14:paraId="09A4388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（9）投标人单方面出现其他投标人材料。</w:t>
      </w:r>
    </w:p>
    <w:p w14:paraId="174FC5F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（10）法律、法规规定的其他情形。</w:t>
      </w:r>
    </w:p>
    <w:bookmarkEnd w:id="65"/>
    <w:bookmarkEnd w:id="72"/>
    <w:p w14:paraId="7ACD3E45">
      <w:pPr>
        <w:adjustRightInd w:val="0"/>
        <w:snapToGrid w:val="0"/>
        <w:spacing w:line="420" w:lineRule="exact"/>
        <w:ind w:firstLine="315" w:firstLineChars="150"/>
        <w:rPr>
          <w:rFonts w:ascii="宋体" w:hAnsi="宋体" w:cs="宋体"/>
          <w:b/>
          <w:bCs/>
          <w:color w:val="000000"/>
          <w:szCs w:val="21"/>
          <w:highlight w:val="none"/>
        </w:rPr>
      </w:pPr>
      <w:bookmarkStart w:id="73" w:name="_Toc95223439"/>
      <w:r>
        <w:rPr>
          <w:rFonts w:hint="eastAsia" w:ascii="宋体" w:hAnsi="宋体" w:cs="宋体"/>
          <w:b/>
          <w:bCs/>
          <w:color w:val="000000"/>
          <w:szCs w:val="21"/>
          <w:highlight w:val="none"/>
        </w:rPr>
        <w:t>10.投标文件的澄清和补正</w:t>
      </w:r>
      <w:bookmarkEnd w:id="73"/>
    </w:p>
    <w:p w14:paraId="43D8D9C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11C09E2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10.2澄清、说明和补正不得改变投标文件的实质性内容（算术性错误修正的除外）。投标人的书面澄清、说明和补正属于投标文件的组成部分。</w:t>
      </w:r>
    </w:p>
    <w:p w14:paraId="5B1190C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10.3评标委员会对投标人提交的澄清、说明和补正有疑问的，可以要求投标人进一步澄清、说明或补正、直至满足评标委员会的要求。</w:t>
      </w:r>
    </w:p>
    <w:p w14:paraId="4EB78D5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按照投标文件规定进行澄清、补正后的投标报价经投标人的法定代表人或其委托代理人确认后即为该投标人的最终投标报价。投标人一旦中标，此报价即为中标价。</w:t>
      </w:r>
    </w:p>
    <w:p w14:paraId="4B69D7D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10.4评委会修正错误的原则：</w:t>
      </w:r>
    </w:p>
    <w:p w14:paraId="64F5FFC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643B43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10.4.2如果单价与数量的乘积和总价不一致，以单价为准，修正总价及开标一览表；当单价小数点有明显的错位时，评委会将以总价为准，并修正其单价。</w:t>
      </w:r>
    </w:p>
    <w:p w14:paraId="3DB99479">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14:paraId="2B10987A">
      <w:pPr>
        <w:adjustRightInd w:val="0"/>
        <w:snapToGrid w:val="0"/>
        <w:spacing w:line="420" w:lineRule="exact"/>
        <w:ind w:firstLine="315" w:firstLineChars="150"/>
        <w:rPr>
          <w:rFonts w:ascii="宋体" w:hAnsi="宋体" w:cs="宋体"/>
          <w:b/>
          <w:bCs/>
          <w:color w:val="000000"/>
          <w:szCs w:val="21"/>
          <w:highlight w:val="none"/>
        </w:rPr>
      </w:pPr>
      <w:bookmarkStart w:id="74" w:name="_Toc95223441"/>
      <w:r>
        <w:rPr>
          <w:rFonts w:hint="eastAsia" w:ascii="宋体" w:hAnsi="宋体" w:cs="宋体"/>
          <w:b/>
          <w:bCs/>
          <w:color w:val="000000"/>
          <w:szCs w:val="21"/>
          <w:highlight w:val="none"/>
        </w:rPr>
        <w:t>11.评审结果</w:t>
      </w:r>
      <w:bookmarkEnd w:id="74"/>
    </w:p>
    <w:p w14:paraId="4FF25252">
      <w:pPr>
        <w:spacing w:line="440" w:lineRule="exact"/>
        <w:ind w:firstLine="315" w:firstLineChars="150"/>
        <w:jc w:val="left"/>
        <w:rPr>
          <w:rFonts w:ascii="宋体" w:hAnsi="宋体" w:cs="宋体"/>
          <w:color w:val="000000"/>
          <w:highlight w:val="none"/>
        </w:rPr>
      </w:pPr>
      <w:bookmarkStart w:id="75" w:name="_Toc95223442"/>
      <w:r>
        <w:rPr>
          <w:rFonts w:hint="eastAsia" w:ascii="宋体" w:hAnsi="宋体" w:cs="宋体"/>
          <w:color w:val="000000"/>
          <w:highlight w:val="none"/>
        </w:rPr>
        <w:t>11.1评标委员会按照总得分由高到低顺序推荐中标候选人。</w:t>
      </w:r>
    </w:p>
    <w:p w14:paraId="0546AD3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11.2评标委员会完成评标后，应当向招标人提交书面评标报告。评标报告应当如实记载以下内容：</w:t>
      </w:r>
    </w:p>
    <w:p w14:paraId="609F6D7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（1）基本情况和数据表。</w:t>
      </w:r>
    </w:p>
    <w:p w14:paraId="60E183B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（2）评标委员会成员名单。</w:t>
      </w:r>
    </w:p>
    <w:p w14:paraId="30C50F2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（3）开标记录。</w:t>
      </w:r>
    </w:p>
    <w:p w14:paraId="294E1CD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（4）符合要求的投标人一览表。</w:t>
      </w:r>
    </w:p>
    <w:p w14:paraId="40416B3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（5）否决投标情况说明。</w:t>
      </w:r>
    </w:p>
    <w:p w14:paraId="4151916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（6）评标标准、评标方法或者评标因素。</w:t>
      </w:r>
    </w:p>
    <w:p w14:paraId="1BA1EE0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（7）评标情况一览表。</w:t>
      </w:r>
    </w:p>
    <w:p w14:paraId="128E7C4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（8）经评审的投标人排序。</w:t>
      </w:r>
    </w:p>
    <w:p w14:paraId="1680345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（9）推荐的中标候选人名单与签订合同前要处理的事宜。</w:t>
      </w:r>
    </w:p>
    <w:p w14:paraId="3EB4233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（10）澄清、说明、补正事项纪要。</w:t>
      </w:r>
    </w:p>
    <w:p w14:paraId="7A72393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4D08FEF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5"/>
    <w:p w14:paraId="5B3ED370">
      <w:pPr>
        <w:snapToGrid w:val="0"/>
        <w:spacing w:line="440" w:lineRule="exact"/>
        <w:ind w:firstLine="420" w:firstLineChars="200"/>
        <w:rPr>
          <w:rFonts w:ascii="宋体"/>
          <w:b/>
          <w:bCs/>
          <w:szCs w:val="21"/>
          <w:highlight w:val="none"/>
        </w:rPr>
      </w:pPr>
      <w:r>
        <w:rPr>
          <w:rFonts w:hint="eastAsia" w:ascii="宋体"/>
          <w:b/>
          <w:bCs/>
          <w:szCs w:val="21"/>
          <w:highlight w:val="none"/>
        </w:rPr>
        <w:t>12.其他</w:t>
      </w:r>
    </w:p>
    <w:p w14:paraId="27F1A4C8">
      <w:pPr>
        <w:snapToGrid w:val="0"/>
        <w:spacing w:line="440" w:lineRule="exact"/>
        <w:ind w:firstLine="420" w:firstLineChars="200"/>
        <w:rPr>
          <w:rFonts w:ascii="宋体"/>
          <w:szCs w:val="21"/>
          <w:highlight w:val="none"/>
        </w:rPr>
      </w:pPr>
      <w:r>
        <w:rPr>
          <w:rFonts w:hint="eastAsia" w:ascii="宋体"/>
          <w:szCs w:val="21"/>
          <w:highlight w:val="none"/>
        </w:rPr>
        <w:t>投标人提供的与投标文件有关的各类证书、证明、文件、资料等的真实性、合法性由投标人负全责。</w:t>
      </w:r>
    </w:p>
    <w:p w14:paraId="033B096E">
      <w:pPr>
        <w:snapToGrid w:val="0"/>
        <w:spacing w:before="156" w:beforeLines="50" w:after="156" w:afterLines="50" w:line="360" w:lineRule="auto"/>
        <w:jc w:val="center"/>
        <w:outlineLvl w:val="0"/>
        <w:rPr>
          <w:highlight w:val="none"/>
        </w:rPr>
      </w:pPr>
      <w:r>
        <w:rPr>
          <w:rFonts w:hint="eastAsia" w:ascii="宋体" w:hAnsi="宋体" w:eastAsia="宋体" w:cs="Times New Roman"/>
          <w:b/>
          <w:bCs/>
          <w:color w:val="000000"/>
          <w:kern w:val="0"/>
          <w:sz w:val="28"/>
          <w:szCs w:val="28"/>
          <w:highlight w:val="none"/>
          <w:lang w:bidi="ar"/>
        </w:rPr>
        <w:br w:type="page"/>
      </w:r>
      <w:r>
        <w:rPr>
          <w:rFonts w:hint="eastAsia" w:ascii="宋体" w:cs="宋体"/>
          <w:b/>
          <w:bCs/>
          <w:sz w:val="28"/>
          <w:szCs w:val="28"/>
          <w:highlight w:val="none"/>
        </w:rPr>
        <w:t>第五章  用户需求书</w:t>
      </w:r>
    </w:p>
    <w:p w14:paraId="2007E782">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7CD4A59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1.本项目为滁宁城际铁路（滁州段）标识标牌及VI现场测量、设计、制作、运输、安装和维护项目，包括滁宁城际</w:t>
      </w:r>
      <w:r>
        <w:rPr>
          <w:rFonts w:hint="eastAsia" w:ascii="宋体" w:hAnsi="宋体" w:cs="宋体"/>
          <w:color w:val="000000"/>
          <w:szCs w:val="21"/>
          <w:highlight w:val="none"/>
          <w:lang w:val="en-US" w:eastAsia="zh-CN"/>
        </w:rPr>
        <w:t>铁路</w:t>
      </w:r>
      <w:r>
        <w:rPr>
          <w:rFonts w:hint="eastAsia" w:ascii="宋体" w:hAnsi="宋体" w:eastAsia="宋体" w:cs="宋体"/>
          <w:color w:val="000000"/>
          <w:szCs w:val="21"/>
          <w:highlight w:val="none"/>
          <w:lang w:val="en-US" w:eastAsia="zh-CN"/>
        </w:rPr>
        <w:t>全线、控制中心、车辆段，</w:t>
      </w:r>
      <w:r>
        <w:rPr>
          <w:rFonts w:hint="eastAsia" w:ascii="宋体" w:hAnsi="宋体" w:eastAsia="宋体" w:cs="宋体"/>
          <w:color w:val="000000"/>
          <w:szCs w:val="21"/>
          <w:highlight w:val="none"/>
        </w:rPr>
        <w:t>其中导向标识的现场测量、设计、制作、运输、安装和维护工作</w:t>
      </w:r>
      <w:r>
        <w:rPr>
          <w:rFonts w:hint="eastAsia" w:ascii="宋体" w:hAnsi="宋体" w:eastAsia="宋体" w:cs="宋体"/>
          <w:color w:val="000000"/>
          <w:szCs w:val="21"/>
          <w:highlight w:val="none"/>
          <w:lang w:val="en-US" w:eastAsia="zh-CN"/>
        </w:rPr>
        <w:t>及《运营公司VI手册》编制、更新。</w:t>
      </w:r>
    </w:p>
    <w:p w14:paraId="7BDCBAF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1.1滁宁城际铁路（滁州段）全长46.46km，设站14座，其中地下站2座，高架站12座，预留站4座，设控制中心、车辆段各一处，在相官镇、花博园附近设置牵引变电所。</w:t>
      </w:r>
    </w:p>
    <w:p w14:paraId="58394834">
      <w:pPr>
        <w:keepNext w:val="0"/>
        <w:keepLines w:val="0"/>
        <w:pageBreakBefore w:val="0"/>
        <w:kinsoku/>
        <w:wordWrap/>
        <w:overflowPunct/>
        <w:topLinePunct w:val="0"/>
        <w:autoSpaceDE/>
        <w:autoSpaceDN/>
        <w:bidi w:val="0"/>
        <w:adjustRightInd/>
        <w:snapToGrid w:val="0"/>
        <w:spacing w:line="400" w:lineRule="exact"/>
        <w:ind w:firstLine="420"/>
        <w:textAlignment w:val="auto"/>
        <w:rPr>
          <w:highlight w:val="none"/>
        </w:rPr>
      </w:pPr>
      <w:r>
        <w:rPr>
          <w:rFonts w:hint="eastAsia" w:ascii="宋体" w:hAnsi="宋体" w:eastAsia="宋体" w:cs="宋体"/>
          <w:color w:val="000000"/>
          <w:szCs w:val="21"/>
          <w:highlight w:val="none"/>
          <w:lang w:val="en-US" w:eastAsia="zh-CN"/>
        </w:rPr>
        <w:t>1.2《运营公司VI手册》更新：运营公司VI手册更新，主要包括《运营公司VI设计总体原则》《滁宁城际铁路VIS 应用识别系统》的VI文件及PDF文件更新及完善工作。</w:t>
      </w:r>
    </w:p>
    <w:p w14:paraId="7AC0E766">
      <w:pPr>
        <w:snapToGrid w:val="0"/>
        <w:spacing w:line="400" w:lineRule="exact"/>
        <w:ind w:firstLine="420" w:firstLineChars="200"/>
        <w:rPr>
          <w:highlight w:val="none"/>
        </w:rPr>
      </w:pPr>
      <w:r>
        <w:rPr>
          <w:rFonts w:hint="eastAsia" w:ascii="宋体" w:hAnsi="宋体" w:cs="宋体"/>
          <w:b/>
          <w:bCs/>
          <w:color w:val="000000"/>
          <w:szCs w:val="21"/>
          <w:highlight w:val="none"/>
        </w:rPr>
        <w:t>二、采购清单</w:t>
      </w:r>
    </w:p>
    <w:tbl>
      <w:tblPr>
        <w:tblStyle w:val="18"/>
        <w:tblW w:w="5406" w:type="pct"/>
        <w:tblInd w:w="-3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4"/>
        <w:gridCol w:w="1559"/>
        <w:gridCol w:w="2661"/>
        <w:gridCol w:w="1034"/>
        <w:gridCol w:w="1169"/>
        <w:gridCol w:w="1305"/>
        <w:gridCol w:w="1096"/>
        <w:gridCol w:w="932"/>
      </w:tblGrid>
      <w:tr w14:paraId="3263D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4"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5EBAF34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43BDE24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名称</w:t>
            </w:r>
          </w:p>
        </w:tc>
        <w:tc>
          <w:tcPr>
            <w:tcW w:w="1277"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76C6A60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材质工艺</w:t>
            </w:r>
          </w:p>
        </w:tc>
        <w:tc>
          <w:tcPr>
            <w:tcW w:w="1058" w:type="pct"/>
            <w:gridSpan w:val="2"/>
            <w:tcBorders>
              <w:top w:val="single" w:color="000000" w:sz="4" w:space="0"/>
              <w:left w:val="single" w:color="000000" w:sz="4" w:space="0"/>
              <w:bottom w:val="single" w:color="000000" w:sz="4" w:space="0"/>
              <w:right w:val="single" w:color="000000" w:sz="4" w:space="0"/>
            </w:tcBorders>
            <w:shd w:val="clear" w:color="auto" w:fill="D0CECE"/>
            <w:vAlign w:val="center"/>
          </w:tcPr>
          <w:p w14:paraId="5B5E5A5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尺寸(M)</w:t>
            </w:r>
          </w:p>
        </w:tc>
        <w:tc>
          <w:tcPr>
            <w:tcW w:w="626"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16F0AF1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面积(㎡)</w:t>
            </w:r>
          </w:p>
        </w:tc>
        <w:tc>
          <w:tcPr>
            <w:tcW w:w="526" w:type="pct"/>
            <w:vMerge w:val="restart"/>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3A0C5A83">
            <w:pPr>
              <w:keepNext w:val="0"/>
              <w:keepLines w:val="0"/>
              <w:widowControl/>
              <w:suppressLineNumbers w:val="0"/>
              <w:jc w:val="center"/>
              <w:textAlignment w:val="center"/>
              <w:rPr>
                <w:rFonts w:hint="default" w:ascii="宋体" w:hAnsi="宋体" w:eastAsia="宋体" w:cs="宋体"/>
                <w:b/>
                <w:bCs/>
                <w:i w:val="0"/>
                <w:iCs w:val="0"/>
                <w:color w:val="000000"/>
                <w:sz w:val="22"/>
                <w:szCs w:val="22"/>
                <w:highlight w:val="none"/>
                <w:u w:val="none"/>
                <w:lang w:val="en-US"/>
              </w:rPr>
            </w:pPr>
            <w:r>
              <w:rPr>
                <w:rFonts w:hint="eastAsia" w:ascii="宋体" w:hAnsi="宋体" w:cs="宋体"/>
                <w:b/>
                <w:bCs/>
                <w:i w:val="0"/>
                <w:iCs w:val="0"/>
                <w:color w:val="000000"/>
                <w:kern w:val="0"/>
                <w:sz w:val="22"/>
                <w:szCs w:val="22"/>
                <w:highlight w:val="none"/>
                <w:u w:val="none"/>
                <w:lang w:val="en-US" w:eastAsia="zh-CN" w:bidi="ar"/>
              </w:rPr>
              <w:t>数量（个）</w:t>
            </w:r>
          </w:p>
        </w:tc>
        <w:tc>
          <w:tcPr>
            <w:tcW w:w="447" w:type="pct"/>
            <w:vMerge w:val="restart"/>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68ACFC2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是否安装</w:t>
            </w:r>
          </w:p>
        </w:tc>
      </w:tr>
      <w:tr w14:paraId="4A30C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2DC40C09">
            <w:pPr>
              <w:jc w:val="center"/>
              <w:rPr>
                <w:rFonts w:hint="eastAsia" w:ascii="宋体" w:hAnsi="宋体" w:eastAsia="宋体" w:cs="宋体"/>
                <w:b/>
                <w:bCs/>
                <w:i w:val="0"/>
                <w:iCs w:val="0"/>
                <w:color w:val="000000"/>
                <w:sz w:val="22"/>
                <w:szCs w:val="22"/>
                <w:highlight w:val="none"/>
                <w:u w:val="none"/>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44FFED74">
            <w:pPr>
              <w:jc w:val="center"/>
              <w:rPr>
                <w:rFonts w:hint="eastAsia" w:ascii="宋体" w:hAnsi="宋体" w:eastAsia="宋体" w:cs="宋体"/>
                <w:b/>
                <w:bCs/>
                <w:i w:val="0"/>
                <w:iCs w:val="0"/>
                <w:color w:val="000000"/>
                <w:sz w:val="22"/>
                <w:szCs w:val="22"/>
                <w:highlight w:val="none"/>
                <w:u w:val="none"/>
              </w:rPr>
            </w:pPr>
          </w:p>
        </w:tc>
        <w:tc>
          <w:tcPr>
            <w:tcW w:w="1277"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0C76E243">
            <w:pPr>
              <w:jc w:val="center"/>
              <w:rPr>
                <w:rFonts w:hint="eastAsia" w:ascii="宋体" w:hAnsi="宋体" w:eastAsia="宋体" w:cs="宋体"/>
                <w:b/>
                <w:bCs/>
                <w:i w:val="0"/>
                <w:iCs w:val="0"/>
                <w:color w:val="000000"/>
                <w:sz w:val="22"/>
                <w:szCs w:val="22"/>
                <w:highlight w:val="none"/>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6CAB7F9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长</w:t>
            </w:r>
          </w:p>
        </w:tc>
        <w:tc>
          <w:tcPr>
            <w:tcW w:w="561"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634ED2B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宽</w:t>
            </w:r>
          </w:p>
        </w:tc>
        <w:tc>
          <w:tcPr>
            <w:tcW w:w="626"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18DE768C">
            <w:pPr>
              <w:jc w:val="center"/>
              <w:rPr>
                <w:rFonts w:hint="eastAsia" w:ascii="宋体" w:hAnsi="宋体" w:eastAsia="宋体" w:cs="宋体"/>
                <w:b/>
                <w:bCs/>
                <w:i w:val="0"/>
                <w:iCs w:val="0"/>
                <w:color w:val="000000"/>
                <w:sz w:val="22"/>
                <w:szCs w:val="22"/>
                <w:highlight w:val="none"/>
                <w:u w:val="none"/>
              </w:rPr>
            </w:pP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2A4FDB82">
            <w:pPr>
              <w:jc w:val="center"/>
              <w:rPr>
                <w:rFonts w:hint="eastAsia" w:ascii="宋体" w:hAnsi="宋体" w:eastAsia="宋体" w:cs="宋体"/>
                <w:b/>
                <w:bCs/>
                <w:i w:val="0"/>
                <w:iCs w:val="0"/>
                <w:color w:val="000000"/>
                <w:sz w:val="22"/>
                <w:szCs w:val="22"/>
                <w:highlight w:val="none"/>
                <w:u w:val="none"/>
              </w:rPr>
            </w:pPr>
          </w:p>
        </w:tc>
        <w:tc>
          <w:tcPr>
            <w:tcW w:w="447" w:type="pct"/>
            <w:vMerge w:val="continue"/>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702C5E88">
            <w:pPr>
              <w:jc w:val="center"/>
              <w:rPr>
                <w:rFonts w:hint="eastAsia" w:ascii="宋体" w:hAnsi="宋体" w:eastAsia="宋体" w:cs="宋体"/>
                <w:b/>
                <w:bCs/>
                <w:i w:val="0"/>
                <w:iCs w:val="0"/>
                <w:color w:val="000000"/>
                <w:sz w:val="22"/>
                <w:szCs w:val="22"/>
                <w:highlight w:val="none"/>
                <w:u w:val="none"/>
              </w:rPr>
            </w:pPr>
          </w:p>
        </w:tc>
      </w:tr>
      <w:tr w14:paraId="6F2FA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D6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FE3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制度框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3D5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4cm开启式铝型材+画面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F37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4B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5FF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0.7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64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2B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是</w:t>
            </w:r>
          </w:p>
        </w:tc>
      </w:tr>
      <w:tr w14:paraId="5E184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79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2B7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轨道示意图</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CB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5mm厚PVC展板+画面+1cm亚克力展板倒斜边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564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035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3FE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89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12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是</w:t>
            </w:r>
          </w:p>
        </w:tc>
      </w:tr>
      <w:tr w14:paraId="08B34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7B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4A3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工作看板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DC6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5mm</w:t>
            </w:r>
            <w:r>
              <w:rPr>
                <w:rFonts w:hint="eastAsia" w:ascii="宋体" w:hAnsi="宋体" w:eastAsia="宋体" w:cs="宋体"/>
                <w:i w:val="0"/>
                <w:iCs w:val="0"/>
                <w:color w:val="000000"/>
                <w:kern w:val="0"/>
                <w:sz w:val="22"/>
                <w:szCs w:val="22"/>
                <w:highlight w:val="none"/>
                <w:u w:val="none"/>
                <w:lang w:val="en-US" w:eastAsia="zh-CN" w:bidi="ar"/>
              </w:rPr>
              <w:t>厚</w:t>
            </w:r>
            <w:r>
              <w:rPr>
                <w:rFonts w:hint="default" w:ascii="Times New Roman" w:hAnsi="Times New Roman" w:eastAsia="宋体" w:cs="Times New Roman"/>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t>展板</w:t>
            </w:r>
            <w:r>
              <w:rPr>
                <w:rFonts w:hint="default" w:ascii="Times New Roman" w:hAnsi="Times New Roman" w:eastAsia="宋体" w:cs="Times New Roman"/>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画面</w:t>
            </w:r>
            <w:r>
              <w:rPr>
                <w:rFonts w:hint="default" w:ascii="Times New Roman" w:hAnsi="Times New Roman" w:eastAsia="宋体" w:cs="Times New Roman"/>
                <w:i w:val="0"/>
                <w:iCs w:val="0"/>
                <w:color w:val="000000"/>
                <w:kern w:val="0"/>
                <w:sz w:val="22"/>
                <w:szCs w:val="22"/>
                <w:highlight w:val="none"/>
                <w:u w:val="none"/>
                <w:lang w:val="en-US" w:eastAsia="zh-CN" w:bidi="ar"/>
              </w:rPr>
              <w:t>+1cm</w:t>
            </w:r>
            <w:r>
              <w:rPr>
                <w:rFonts w:hint="eastAsia" w:ascii="宋体" w:hAnsi="宋体" w:eastAsia="宋体" w:cs="宋体"/>
                <w:i w:val="0"/>
                <w:iCs w:val="0"/>
                <w:color w:val="000000"/>
                <w:kern w:val="0"/>
                <w:sz w:val="22"/>
                <w:szCs w:val="22"/>
                <w:highlight w:val="none"/>
                <w:u w:val="none"/>
                <w:lang w:val="en-US" w:eastAsia="zh-CN" w:bidi="ar"/>
              </w:rPr>
              <w:t>亚克力展板倒斜边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41D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928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371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85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76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是</w:t>
            </w:r>
          </w:p>
        </w:tc>
      </w:tr>
      <w:tr w14:paraId="3F3E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BF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B71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安全宣传栏</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21C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高清写真覆光膜覆5mmpvc</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6B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3E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C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2.0125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853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FC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FC69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BE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598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工作看板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D34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5mm厚PVC展板+画面+1cm亚克力展板倒斜边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B87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8A3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F27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E2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AE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1200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6B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C76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紧急停梯</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342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C64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8BC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2AA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0.008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0B8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1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7681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96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414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闲人免进</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9AE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E00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66F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B4F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0.0525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4C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57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878F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1F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A32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消火栓使用说明</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2B4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B56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12D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ACE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0.1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07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804</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1C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2DF0A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28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0B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灭火器放置点</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B89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EB7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40D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02E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1E4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96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4BF1B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4F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E5F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指示灯闪烁请勿上下车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03C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CF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0.88</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2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ADB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6C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E5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744A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C5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568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指示灯闪烁请勿上下车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5DD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38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71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075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D7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63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144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2F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F05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急停</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3F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可移亮白PVC，户外高清写真，抗UV冷裱膜，异形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1A1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0B4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FF2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B8E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415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00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D02D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AF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E0D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润滑油非危险品</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FB5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0F5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854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43E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0.032</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F1D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26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064C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C3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D12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严禁擅自进入轨行区</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236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6C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30C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53E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0.175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835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EB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2E4D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BF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24E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禁止攀爬警示标识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A0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C6E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39E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0E5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0.165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17B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72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92E2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AB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72F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温湿度标识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92F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3M可移亮白PVC+户外高清写真+抗UV冷裱膜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77C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211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0A1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0.0152</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777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FD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5F6C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BA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6E3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电缆口</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8E05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7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97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E9F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47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107</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32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1B5F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AE6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CFB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必须戴安全帽</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B21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BBA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5AC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FA9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67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05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EE8C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370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B70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必须洗手</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82D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E11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83A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26C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732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DEE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452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BD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E18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必须加锁</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B59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BC8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332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46C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A61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94A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AC09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F3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4F7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必须戴防护眼镜</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ABE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F4E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61E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701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7B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DE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4538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D4B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A7F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必须穿防护鞋</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287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224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A03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8E9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4F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B2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6DB3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223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533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必须戴防护手套</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07B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71B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027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4B6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E3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C13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EB0E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1D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BA5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必须系安全带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8A5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7DA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6A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4D3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CA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0C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BCA7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E07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39A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电扶梯十禁图</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35B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52E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0.72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4E6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B29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DBD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B2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2699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6B1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354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安全管理责任牌</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F58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5mm厚PVC展板+画面+包边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3C8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7F1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21C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0.0311</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82E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335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64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91D5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EC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519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安全警示标识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234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Style w:val="51"/>
                <w:rFonts w:hint="eastAsia" w:asciiTheme="minorEastAsia" w:hAnsiTheme="minorEastAsia" w:eastAsiaTheme="minorEastAsia" w:cstheme="minorEastAsia"/>
                <w:sz w:val="22"/>
                <w:szCs w:val="22"/>
                <w:highlight w:val="none"/>
                <w:lang w:val="en-US" w:eastAsia="zh-CN" w:bidi="ar"/>
              </w:rPr>
              <w:t>耐磨防滑</w:t>
            </w:r>
            <w:r>
              <w:rPr>
                <w:rStyle w:val="52"/>
                <w:rFonts w:hint="eastAsia" w:asciiTheme="minorEastAsia" w:hAnsiTheme="minorEastAsia" w:eastAsiaTheme="minorEastAsia" w:cstheme="minorEastAsia"/>
                <w:sz w:val="22"/>
                <w:szCs w:val="22"/>
                <w:highlight w:val="none"/>
                <w:lang w:val="en-US" w:eastAsia="zh-CN" w:bidi="ar"/>
              </w:rPr>
              <w:t>PVC</w:t>
            </w:r>
            <w:r>
              <w:rPr>
                <w:rStyle w:val="51"/>
                <w:rFonts w:hint="eastAsia" w:asciiTheme="minorEastAsia" w:hAnsiTheme="minorEastAsia" w:eastAsiaTheme="minorEastAsia" w:cstheme="minorEastAsia"/>
                <w:sz w:val="22"/>
                <w:szCs w:val="22"/>
                <w:highlight w:val="none"/>
                <w:lang w:val="en-US" w:eastAsia="zh-CN" w:bidi="ar"/>
              </w:rPr>
              <w:t>材质反光贴膜（带背胶）</w:t>
            </w:r>
            <w:r>
              <w:rPr>
                <w:rStyle w:val="52"/>
                <w:rFonts w:hint="eastAsia" w:asciiTheme="minorEastAsia" w:hAnsiTheme="minorEastAsia" w:eastAsiaTheme="minorEastAsia" w:cstheme="minorEastAsia"/>
                <w:sz w:val="22"/>
                <w:szCs w:val="22"/>
                <w:highlight w:val="none"/>
                <w:lang w:val="en-US" w:eastAsia="zh-CN" w:bidi="ar"/>
              </w:rPr>
              <w:t>(</w:t>
            </w:r>
            <w:r>
              <w:rPr>
                <w:rStyle w:val="51"/>
                <w:rFonts w:hint="eastAsia" w:asciiTheme="minorEastAsia" w:hAnsiTheme="minorEastAsia" w:eastAsiaTheme="minorEastAsia" w:cstheme="minorEastAsia"/>
                <w:sz w:val="22"/>
                <w:szCs w:val="22"/>
                <w:highlight w:val="none"/>
                <w:lang w:val="en-US" w:eastAsia="zh-CN" w:bidi="ar"/>
              </w:rPr>
              <w:t>室内</w:t>
            </w:r>
            <w:r>
              <w:rPr>
                <w:rStyle w:val="52"/>
                <w:rFonts w:hint="eastAsia" w:asciiTheme="minorEastAsia" w:hAnsiTheme="minorEastAsia" w:eastAsiaTheme="minorEastAsia" w:cstheme="minorEastAsia"/>
                <w:sz w:val="22"/>
                <w:szCs w:val="22"/>
                <w:highlight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9F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C4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020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3B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0B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AA59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D7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3F9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司机名牌</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7D6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免层压PVC卡+双面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B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6F6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998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0.0058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58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F7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9C2F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E0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31C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禁止合闸</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8F1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双面双色板、雕刻、2mmPVC、吊件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D05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CE2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732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41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6B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9C66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02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835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禁止分闸</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A91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双面双色板、雕刻、2mmPVC、吊件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06D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C4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D25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DE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0C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0EB0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D7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E3B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禁止堆放</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324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双面双色板、雕刻、2mmPVC、吊件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AD4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2A3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2CA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DC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02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B52E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31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191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母婴室</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1C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PVC硬片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A45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9A8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AA1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0.0732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18B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D3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AA5D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02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3AE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无障碍电梯</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F61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PVC硬片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0A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28C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360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0.0732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76B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1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3804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4D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0CC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无障碍卫生间或无障碍坑位</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35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PVC硬片</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7B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7A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0F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0.0405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8DE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F9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5A05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CA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ABD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垂梯标贴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F3E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车贴哑膜+5mmPVC</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36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20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AD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9C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38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BD99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48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88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垂梯标贴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A37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车贴哑膜+5mmPVC</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DB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17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A3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D7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D8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F3BC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C7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BE4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红警示胶带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C34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PVC警示胶带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FD7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745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D28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15.84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8A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264</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B0A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22BEA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07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DDF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绿警示胶带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42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PVC警示胶带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F1F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5C4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B5D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15.84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10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1337</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8D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66CEF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26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96B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黄警示胶带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9E1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PVC警示胶带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470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90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B01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15.84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FB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244</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E0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42E9E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D6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B95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黄黑警示胶带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E04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PVC警示胶带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975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218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BD0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15.84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2E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1122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ED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4FBF5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5A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41</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1191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当心碰头</w:t>
            </w:r>
          </w:p>
        </w:tc>
        <w:tc>
          <w:tcPr>
            <w:tcW w:w="12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4174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2mm透明PVC+进口油墨画面+双面胶</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ACE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E45F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71AE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0.045</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48C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7E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34D8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4B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50E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清扫工具存放点</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426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EDC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588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043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0.6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82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49</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DC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3B1B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E31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482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扶梯请勿倚靠警示标识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74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耐磨防滑PVC（黄底黑字带背胶）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912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0.7</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5FC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2AE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EEF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19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7CDD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AD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01D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消防安全重点部位</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1CC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5mm厚PVC展板+画面+包边</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3E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D1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57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BB7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58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6D00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F9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00A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特色工班打造</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8D3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5mm厚PVC展板+画面+1cm亚克力展板倒斜边</w:t>
            </w:r>
          </w:p>
        </w:tc>
        <w:tc>
          <w:tcPr>
            <w:tcW w:w="168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02F5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lang w:val="en-US"/>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尺寸需现场设计，按装饰10平米房间报价</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767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C8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FB14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77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C5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绿色地标指示贴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7F7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绿色，防水PVC材质，背面带不干胶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50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51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BF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13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4350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2B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83A9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94B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1C6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节能标贴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478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8E9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88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68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FC0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196</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EF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868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F4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DC9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桌面定位胶布</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813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防水PVC材质，背面带不干胶，1cm*130m</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40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D0F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13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3B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37</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A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13FD4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96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977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起点、终点标贴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754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A1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E3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DD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2A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59</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AA0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5FCCF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8C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40E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圆形数字贴（红色1-60，直径7cm）</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AD2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36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B0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11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6D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42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7BD30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C2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1D0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圆形数字贴（绿色1-100，直径7cm）</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976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B2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E5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E6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98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A7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21F53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AF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B64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圆形数字贴（橙色1-100，直径7cm）</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CCA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41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DF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59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CA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9E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1E310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9A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CB2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蓝色定位标识（3*1cm）</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713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防水PVC材质，背面带不干胶，磨砂蓝L型</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C13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67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5F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0.0003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8A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1240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E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41DA3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5A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D3F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清洁工具标识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77B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45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CC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6E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0.06237</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6E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0E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547D5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33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140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三爪吸盘摆放标识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915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3E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D5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E7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0.06237</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A8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44</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65B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1E82E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68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154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防鼠重点点位标识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AA8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BE9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A6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07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0.06237</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9FC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86</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58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28F82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6E5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DA6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禁止操作</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91B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双面双色板、雕刻亚克力、吊件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DC6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C72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C74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F5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90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02A7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75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D64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接地</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C74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双面双色板、雕刻、亚克力、吊件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336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96C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AEE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88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A4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70FA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6B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ECC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注意安全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C50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双面双色板、雕刻、亚克力、吊件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CD5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09B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D74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E5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FF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4DCB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38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74B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当心火灾</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ABC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双面双色板、雕刻、亚克力、吊件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369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6E0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8B9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14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2B3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0E7B5BA">
        <w:tblPrEx>
          <w:shd w:val="clear" w:color="auto" w:fill="auto"/>
          <w:tblCellMar>
            <w:top w:w="0" w:type="dxa"/>
            <w:left w:w="108" w:type="dxa"/>
            <w:bottom w:w="0" w:type="dxa"/>
            <w:right w:w="108" w:type="dxa"/>
          </w:tblCellMar>
        </w:tblPrEx>
        <w:trPr>
          <w:trHeight w:val="8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77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3B8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当心触电</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E03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双面双色板、雕刻、亚克力、吊件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C5A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AE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6F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94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432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3B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1B21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DA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42D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当心碰头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B90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双面双色板、雕刻、亚克力、吊件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D99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BA7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0DD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22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3F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C48C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F1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511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消防器材提示</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A3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540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6E7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F38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0.045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2C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04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D3F6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20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F19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消防器材禁止挪用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8DF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82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B8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1CA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0.03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440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5C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BF2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91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AE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定置线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B85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可移除胶贴+画面+地贴保护膜（要求耐磨防滑）</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832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8E4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7A3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0.05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F1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43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58055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23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A84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禁止吸烟</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41F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62C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32D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1D2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B0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F1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9F81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B5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8D0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禁止吸烟</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920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317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2EE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A98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4C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341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66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39E4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5F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68</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BD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ATO标贴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D89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59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79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8E2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0.0105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2B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81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C0F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2F7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5B5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ATP标贴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DDE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13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F4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E29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0.0054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C87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83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698C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3B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CFE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禁止攀爬</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B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95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EC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D3A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0.06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E1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71C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FC02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DA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BB8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禁止触摸</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013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995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E8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CEE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0.06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90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E90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8EEB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C6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26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禁止入内</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152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99C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EE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63C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0.06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53A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AB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FF61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9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DC6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儿童身高购票线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FDB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5E1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A8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C96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1.36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632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D0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1A3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33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3A0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票价表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8E3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C9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A9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12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0.648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BC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15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CC82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28F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DC3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严禁隔栏递物</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3CC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可移除胶贴+画面+保护膜（双面）</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0B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BC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226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0.2175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9E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24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CA20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B20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505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节能标贴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E6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CA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C8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62D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0.1749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52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BE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BACA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3B4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806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车站指示标贴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16F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DC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719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385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6D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63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A85A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B8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14E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防汛物资临时储备点</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572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25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61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217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928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DBA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450C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9B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16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设备故障</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D5D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B4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F1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CEC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0.1749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ED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C2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1A96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9F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155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进、出站指示牌</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884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D6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51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FF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0.1749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A7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5E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F65D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58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097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立岗点</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40C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可移除胶贴+画面+地贴保护膜（要求耐磨防滑）</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72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643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CA8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8F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26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B5D6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99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C49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室外消火栓警示贴纸（圆形）</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495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3CB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758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FC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918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FC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232EE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60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4AA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巡视箭头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B1B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可移除胶贴+画面+地贴保护膜（要求耐磨防滑）</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36F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D61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DE5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FFA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C7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2BA3C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262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15E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警示线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53A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可移除胶贴+画面+保护膜（要求耐磨）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A8E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497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38A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0.24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41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DC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11923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B96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367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五联禁止标识1</w:t>
            </w:r>
          </w:p>
        </w:tc>
        <w:tc>
          <w:tcPr>
            <w:tcW w:w="1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3A98">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可移除透明膜+画面+保护膜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050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0.622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D0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8CB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0.0933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41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76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35FD1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4A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28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五联禁止标识2</w:t>
            </w:r>
          </w:p>
        </w:tc>
        <w:tc>
          <w:tcPr>
            <w:tcW w:w="1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2C26">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可移除透明膜+画面+保护膜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D30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0.622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8A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4F5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0.0933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A9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13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3BD4D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5D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3BF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当心缝隙组合标识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E97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F96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E21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201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C86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C6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338E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C6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14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当心夹手组合标识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502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354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5EF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F33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A87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55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9B5A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214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FD2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制动隔离阀</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C66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9BB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4B1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6DA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9E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127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68A8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B2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965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无障碍设施</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669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A8B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131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B1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0.0168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DF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9A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5449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50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A0F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爱心专座标识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39A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27E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EF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576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B6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E2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62D4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9C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DEF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请勿遗忘物品标识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37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C15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964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EA0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B9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F02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52B6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E4A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327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废物箱标识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113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A5A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7B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0E1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0.0072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A2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4E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E733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A7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47C88">
            <w:pPr>
              <w:keepNext w:val="0"/>
              <w:keepLines w:val="0"/>
              <w:widowControl/>
              <w:suppressLineNumbers w:val="0"/>
              <w:jc w:val="left"/>
              <w:textAlignment w:val="center"/>
              <w:rPr>
                <w:rFonts w:hint="eastAsia" w:asciiTheme="minorEastAsia" w:hAnsiTheme="minorEastAsia" w:eastAsiaTheme="minorEastAsia" w:cstheme="minorEastAsia"/>
                <w:i w:val="0"/>
                <w:iCs w:val="0"/>
                <w:color w:val="231F20"/>
                <w:sz w:val="22"/>
                <w:szCs w:val="22"/>
                <w:highlight w:val="none"/>
                <w:u w:val="none"/>
              </w:rPr>
            </w:pPr>
            <w:r>
              <w:rPr>
                <w:rFonts w:hint="eastAsia" w:asciiTheme="minorEastAsia" w:hAnsiTheme="minorEastAsia" w:eastAsiaTheme="minorEastAsia" w:cstheme="minorEastAsia"/>
                <w:i w:val="0"/>
                <w:iCs w:val="0"/>
                <w:color w:val="231F20"/>
                <w:kern w:val="0"/>
                <w:sz w:val="22"/>
                <w:szCs w:val="22"/>
                <w:highlight w:val="none"/>
                <w:u w:val="none"/>
                <w:lang w:val="en-US" w:eastAsia="zh-CN" w:bidi="ar"/>
              </w:rPr>
              <w:t>高压联锁系统钥匙操作指南</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D1A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331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6D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F2E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0.06237</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E1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68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F7DF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44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E2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应急启动操作指南</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7D4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452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AAE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637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0.06237</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61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5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3890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91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03D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当心夹手警示线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1F6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286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899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09F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0.0692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90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50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920E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43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066B2">
            <w:pPr>
              <w:keepNext w:val="0"/>
              <w:keepLines w:val="0"/>
              <w:widowControl/>
              <w:suppressLineNumbers w:val="0"/>
              <w:jc w:val="left"/>
              <w:textAlignment w:val="center"/>
              <w:rPr>
                <w:rFonts w:hint="eastAsia" w:asciiTheme="minorEastAsia" w:hAnsiTheme="minorEastAsia" w:eastAsiaTheme="minorEastAsia" w:cstheme="minorEastAsia"/>
                <w:i w:val="0"/>
                <w:iCs w:val="0"/>
                <w:color w:val="231F20"/>
                <w:sz w:val="22"/>
                <w:szCs w:val="22"/>
                <w:highlight w:val="none"/>
                <w:u w:val="none"/>
              </w:rPr>
            </w:pPr>
            <w:r>
              <w:rPr>
                <w:rFonts w:hint="eastAsia" w:asciiTheme="minorEastAsia" w:hAnsiTheme="minorEastAsia" w:eastAsiaTheme="minorEastAsia" w:cstheme="minorEastAsia"/>
                <w:i w:val="0"/>
                <w:iCs w:val="0"/>
                <w:color w:val="231F20"/>
                <w:kern w:val="0"/>
                <w:sz w:val="22"/>
                <w:szCs w:val="22"/>
                <w:highlight w:val="none"/>
                <w:u w:val="none"/>
                <w:lang w:val="en-US" w:eastAsia="zh-CN" w:bidi="ar"/>
              </w:rPr>
              <w:t>轮椅固定器使用说明标识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2EA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33B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59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721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0.0268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A5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1E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5288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3A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D8D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禁止倚靠标识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A88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E73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73B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C9E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0.00516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AA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13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C551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5D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20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配电柜禁止倚靠标识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C92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26E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358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5A8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0.0064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F7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EA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366D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0E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4FA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请勿踩踏标识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732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988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0.135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3D4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889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0.00729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27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F4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358B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03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87B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座椅USB充电位置标识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F47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94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923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A86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0.00385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2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47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9566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25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D5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敲击点标识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674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67D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797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3F4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0.011</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A1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846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95E0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2A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3CE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车厢号标识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7A8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B85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E6F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983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0.0056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85A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B5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7D78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1F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60A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车厢强弱冷标识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77F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495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A00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A8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D1B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3B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DB72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003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AA0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服务热线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289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DDE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DAE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746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0.0675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65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87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0719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5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2A1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来也匆匆去也冲冲</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1AB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车贴覆亚膜背裱5mm雪弗板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FB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C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39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2C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DD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31DB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8C4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E60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上前一小步文明一大步</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1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车贴覆亚膜背裱5mm雪弗板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61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E3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A9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08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D6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F4D8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50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8C4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请保持一米距离排队</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266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车贴哑膜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8D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92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35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F7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800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CEB8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35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941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绿色通道</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0CB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车贴哑膜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A8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0.75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36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82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CE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5C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E4B2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58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8A5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消防设备严禁坐踏</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C82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车贴哑膜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A1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0.36</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32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0B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41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54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E32F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299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66D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消防专用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CA9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车贴哑膜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6D6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57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15D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B1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34E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8C73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5C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087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车门故障</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C4C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车贴覆亚膜正反面对裱+一面覆双面胶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C5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631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C1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0.1749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F2B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8F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0F71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D1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63E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安全门故障</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DB8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车贴覆亚膜正反面对裱+一面覆双面胶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27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A2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86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0.1749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738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2C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F03D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C1B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E3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无障碍渡板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66B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车贴覆亚膜背裱5mm雪弗板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E2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65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20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0.0384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42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36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8638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8C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D94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来也匆匆去也冲冲</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2F9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车贴覆亚膜背裱5mm雪弗板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6F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0A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7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C47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00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40865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09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70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上前一小步文明一大步</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541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车贴覆亚膜背裱5mm雪弗板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6B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BB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91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FC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54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66147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40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A85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服务热线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081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98B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2EF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C2B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0.0675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99C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A1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7EE7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1B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41B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请确认轿厢停靠到位后再进入电梯</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DB7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高分子聚合材料带背胶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F4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61A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FB6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0.192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E9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1A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FC0B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46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CB6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请握扶手、请勿停留</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F0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高分子聚合材料带背胶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23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84D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85D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0.32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E8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EB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9C2A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3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74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站台黄线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682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高分子聚合材料带背胶</w:t>
            </w:r>
          </w:p>
        </w:tc>
        <w:tc>
          <w:tcPr>
            <w:tcW w:w="168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643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以现场实际尺寸为准按0.3*1报价</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F7A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69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83B2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54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331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闸机警戒线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1E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高分子聚合材料带背胶</w:t>
            </w:r>
          </w:p>
        </w:tc>
        <w:tc>
          <w:tcPr>
            <w:tcW w:w="168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BF78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以现场实际尺寸为准按0.3*1报价</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D29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1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52F9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1A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438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正在检修禁止合闸</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551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2mm进口铝板、烤漆、丝网印刷、形状等离子切割、扣环吊挂、双面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1B8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0.148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3D0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097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0.0115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A9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A82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846D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1B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FE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一人操作，一人监护</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0A2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2㎜铝板+工程反光膜+刻字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B36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71D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527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65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2E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308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04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792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消防通道严禁占用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A92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2mm进口铝板、等离子切割、烤漆、反光膜刻字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94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AA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3D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EB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B19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0B5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F29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EF5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安全宣传标语</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C2A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2㎜铝板+工程反光膜+刻字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D5B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300</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D50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230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77D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D3F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69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DE47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C6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0DF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地铁设备严禁破坏</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F39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2mm进口铝板、等离子切割、烤漆、反光膜刻字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515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9B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AF3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65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29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15CA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D6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021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库房重地非请勿入</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616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2mm进口铝板、进口油墨画面、烤漆、切割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AC2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A72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04F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0.0525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C4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D7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BCC8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41E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128</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26F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机房重地非请勿入</w:t>
            </w:r>
          </w:p>
        </w:tc>
        <w:tc>
          <w:tcPr>
            <w:tcW w:w="12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8CDE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2㎜厚铝板+进口油墨画面+烤漆+切割</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5675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w:t>
            </w:r>
          </w:p>
        </w:tc>
        <w:tc>
          <w:tcPr>
            <w:tcW w:w="5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932A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6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197F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2B4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09F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D051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1DE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444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灭火器、消防栓</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4C7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2mm进口铝板、进口油墨画面、烤漆、切割、吊栏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B8A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6F9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E4D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0.072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3D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E7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1B48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79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EAF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爱心接力服务标识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5BA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2㎜厚铝板+进口油墨画面+烤漆+切割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5A4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E3C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49D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0.0732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B8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E6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0650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7F8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81C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防汛标识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E2F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2mm铝板单面烤漆</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DA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370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566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7F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DF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8115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06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1C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防冻标识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9D9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2㎜厚铝板+进口油墨画面+烤漆+切割打孔</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1B7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772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4AF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B21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00B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C97B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A2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133</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7D7D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谨防踏空</w:t>
            </w:r>
          </w:p>
        </w:tc>
        <w:tc>
          <w:tcPr>
            <w:tcW w:w="12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35D0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2mm进口铝板、等离子切割、烤漆、反光膜刻字</w:t>
            </w:r>
          </w:p>
        </w:tc>
        <w:tc>
          <w:tcPr>
            <w:tcW w:w="4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3FD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w:t>
            </w:r>
          </w:p>
        </w:tc>
        <w:tc>
          <w:tcPr>
            <w:tcW w:w="56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3DD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49A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0.24</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257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69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36ED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36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5C6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提示标识（如需帮助 请致电）</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CE1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300克铜板纸正反面印刷+覆亚膜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B38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B48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F4B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0.0126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A4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6D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F5FE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DE5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DF6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应急物资</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489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双色板雕刻、切割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FFF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CDB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840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0.0261</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87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67</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3F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6C82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62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F08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69A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双色板雕刻+切割+背胶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A6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559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FBD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A5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19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18A3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67B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DE9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防汛物资</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3FC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双色板雕刻、切割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09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DE7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D93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0.0261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34C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81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C0FB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BEF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577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防寒物资</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E82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双色板雕刻、切割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001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2B4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925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0.0261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85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B8D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717C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3E0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9AC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服务热线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EE2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白膜、户外高清写真、保护膜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61C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AB9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D41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0.0675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94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AD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55D8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91D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AB4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请随手关门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7EE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贴膜、户外高清写真、抗UV冷裱膜、可移双面胶、正反贴</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C6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E8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1B3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1D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3C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8661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20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0AC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提示标识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5CF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贴膜、户外高清写真、抗UV冷裱膜、可移双面胶、正反贴</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78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88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338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3D4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17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A682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DC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B13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基础管理类标识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6AD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覆膜、户外高清写真、抗UV冷裱膜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FA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74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CE1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0.0065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BD3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C58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B734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FC2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132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列车编号</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68A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透明膜UV</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9F5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0A8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913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0.0462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ED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D55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F198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81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B8C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车厢编号</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C24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透明膜UV</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7A3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0.224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093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25C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0.01568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90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6BC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A66EAA8">
        <w:tblPrEx>
          <w:shd w:val="clear" w:color="auto" w:fill="auto"/>
          <w:tblCellMar>
            <w:top w:w="0" w:type="dxa"/>
            <w:left w:w="108" w:type="dxa"/>
            <w:bottom w:w="0" w:type="dxa"/>
            <w:right w:w="108" w:type="dxa"/>
          </w:tblCellMar>
        </w:tblPrEx>
        <w:trPr>
          <w:trHeight w:val="34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18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6ED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USB充电标识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C1A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透明膜UV</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EC9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971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FEC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0.007504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6FB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66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BBC7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9A5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BE2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无线充电标识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D45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透明膜UV</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5F7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0.206</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A50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1B1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0.024102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47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A7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32B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67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B36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231F20"/>
                <w:sz w:val="22"/>
                <w:szCs w:val="22"/>
                <w:highlight w:val="none"/>
                <w:u w:val="none"/>
              </w:rPr>
            </w:pPr>
            <w:r>
              <w:rPr>
                <w:rFonts w:hint="eastAsia" w:asciiTheme="minorEastAsia" w:hAnsiTheme="minorEastAsia" w:eastAsiaTheme="minorEastAsia" w:cstheme="minorEastAsia"/>
                <w:i w:val="0"/>
                <w:iCs w:val="0"/>
                <w:color w:val="231F20"/>
                <w:kern w:val="0"/>
                <w:sz w:val="22"/>
                <w:szCs w:val="22"/>
                <w:highlight w:val="none"/>
                <w:u w:val="none"/>
                <w:lang w:val="en-US" w:eastAsia="zh-CN" w:bidi="ar"/>
              </w:rPr>
              <w:t>安全锤标识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8C1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F58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CB3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656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F1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93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BF72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1B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9B8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灭火器标识2</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A14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94A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16B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A11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0.0375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16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3D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C288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FA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4F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灭火器标识1</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3A7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892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EF7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9C4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0.0298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9C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914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D243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DC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B41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紧急出口标识1</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CE8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466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6DA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0.145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8E5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0.0377</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7C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9B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C2AC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7F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936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紧急出口标识2</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F18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A5A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538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5B8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0.0198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93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28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A4AF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AB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29D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紧急解锁标识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747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EC4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20A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7FF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16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A44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8819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9C3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DA7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紧急开门操作标识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FA3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2E8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1F8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AA0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B3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7C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C122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07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0A0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紧急呼叫标识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003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CC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94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3B3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FD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C6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E8DF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07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14A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安全锤使用标识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ACE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B7D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1E1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3B9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86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972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BED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AA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E90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紧急出口操作步骤</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C93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EEB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406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CA4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0.12474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79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47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EB14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DED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BF2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线路图</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E5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相纸写真哑膜、倒角</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284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0.56</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9F4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0.355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830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0.1988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F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FF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44DE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79D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158</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C67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手机存放盒</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A50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不干胶贴纸</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914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D5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718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B9F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57</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02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77EDA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545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9F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手机存放盒</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B51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5mm厚透明亚克力雕刻+内部隔层5mm透明亚克力切割+铰链+锁件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CD3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C1F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5E7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15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82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7F199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63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160</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8585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插盒</w:t>
            </w:r>
          </w:p>
        </w:tc>
        <w:tc>
          <w:tcPr>
            <w:tcW w:w="12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147A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亚克力盒子（带背胶）</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0507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0.24</w:t>
            </w:r>
          </w:p>
        </w:tc>
        <w:tc>
          <w:tcPr>
            <w:tcW w:w="5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F3A6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0.305</w:t>
            </w:r>
          </w:p>
        </w:tc>
        <w:tc>
          <w:tcPr>
            <w:tcW w:w="6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114F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0.0704 </w:t>
            </w:r>
          </w:p>
        </w:tc>
        <w:tc>
          <w:tcPr>
            <w:tcW w:w="5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6083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276</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140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6D41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D2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161</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46DF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插盒</w:t>
            </w:r>
          </w:p>
        </w:tc>
        <w:tc>
          <w:tcPr>
            <w:tcW w:w="12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FC82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亚克力盒子（带背胶）</w:t>
            </w:r>
          </w:p>
        </w:tc>
        <w:tc>
          <w:tcPr>
            <w:tcW w:w="4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55B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5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0E49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42E3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0.0165</w:t>
            </w:r>
          </w:p>
        </w:tc>
        <w:tc>
          <w:tcPr>
            <w:tcW w:w="5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0A07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CC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8344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6C4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3F2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电梯使用登记标志盒</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5FE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亚克力盒子（带背胶）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F06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C9A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675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0.0165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6D2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6C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5611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11B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86B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出入口时刻表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841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写真</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98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51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0.75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5F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0.4125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E8F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339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E6B2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6A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3CF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无障碍设施</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B54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2mmABS+双面画面UV</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A932">
            <w:pPr>
              <w:jc w:val="center"/>
              <w:rPr>
                <w:rFonts w:hint="eastAsia" w:asciiTheme="minorEastAsia" w:hAnsiTheme="minorEastAsia" w:eastAsiaTheme="minorEastAsia" w:cstheme="minorEastAsia"/>
                <w:i w:val="0"/>
                <w:iCs w:val="0"/>
                <w:color w:val="000000"/>
                <w:sz w:val="22"/>
                <w:szCs w:val="22"/>
                <w:highlight w:val="none"/>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6EBB">
            <w:pPr>
              <w:jc w:val="center"/>
              <w:rPr>
                <w:rFonts w:hint="eastAsia" w:asciiTheme="minorEastAsia" w:hAnsiTheme="minorEastAsia" w:eastAsiaTheme="minorEastAsia" w:cstheme="minorEastAsia"/>
                <w:i w:val="0"/>
                <w:iCs w:val="0"/>
                <w:color w:val="000000"/>
                <w:sz w:val="22"/>
                <w:szCs w:val="22"/>
                <w:highlight w:val="none"/>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CEF7">
            <w:pPr>
              <w:jc w:val="center"/>
              <w:rPr>
                <w:rFonts w:hint="eastAsia" w:asciiTheme="minorEastAsia" w:hAnsiTheme="minorEastAsia" w:eastAsiaTheme="minorEastAsia" w:cstheme="minorEastAsia"/>
                <w:i w:val="0"/>
                <w:iCs w:val="0"/>
                <w:color w:val="000000"/>
                <w:sz w:val="22"/>
                <w:szCs w:val="22"/>
                <w:highlight w:val="none"/>
                <w:u w:val="none"/>
              </w:rPr>
            </w:pP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55C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50F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38B3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84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3CB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禁止攀爬</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2C0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亚克力UV</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CEA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521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831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A6A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41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F5BC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14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EF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消防通道 非紧勿动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F46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透明膜彩白黑白彩</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C69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52E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01E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0.096</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0B2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68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16AE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A54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167</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7AB2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小心楼梯提示标识</w:t>
            </w:r>
          </w:p>
        </w:tc>
        <w:tc>
          <w:tcPr>
            <w:tcW w:w="12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D489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户外防水防晒贴纸</w:t>
            </w:r>
          </w:p>
        </w:tc>
        <w:tc>
          <w:tcPr>
            <w:tcW w:w="4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33C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w:t>
            </w:r>
          </w:p>
        </w:tc>
        <w:tc>
          <w:tcPr>
            <w:tcW w:w="56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486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6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D5A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29E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99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3500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5E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4B7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禁止倚靠，当心夹手</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D1E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透明膜，保护膜，户外写真，永久胶，异形，除胶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AE2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139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E97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D6B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B7A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2FEB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17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57C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禁止倚靠，当心夹手</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29F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不透明白底膜，保护膜，户外写真，永久胶，异形，除胶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146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3E1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1EC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B1B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16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094D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F7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7D1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党群活动室装饰（共产党光辉历程、党务公开栏、社会主义核心价值观、党务宣传等）</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799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亚克力</w:t>
            </w:r>
          </w:p>
        </w:tc>
        <w:tc>
          <w:tcPr>
            <w:tcW w:w="168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067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尺寸需现场设计，按装饰10平米房间报价</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85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69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520F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943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16D2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灯笼</w:t>
            </w:r>
          </w:p>
        </w:tc>
        <w:tc>
          <w:tcPr>
            <w:tcW w:w="296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77A73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150#</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377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20（对）</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D0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CBD5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3E67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44E5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中国结</w:t>
            </w:r>
          </w:p>
        </w:tc>
        <w:tc>
          <w:tcPr>
            <w:tcW w:w="296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9B0D8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1.5线14盘</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5605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53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FDC9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87C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7121F">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窗花</w:t>
            </w:r>
          </w:p>
        </w:tc>
        <w:tc>
          <w:tcPr>
            <w:tcW w:w="296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B926A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正常窗花大小</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835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30（包）</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66F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bl>
    <w:p w14:paraId="49BD4D14">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b/>
          <w:bCs/>
          <w:color w:val="000000"/>
          <w:szCs w:val="21"/>
          <w:highlight w:val="none"/>
          <w:lang w:val="en-US" w:eastAsia="zh-CN"/>
        </w:rPr>
      </w:pPr>
      <w:r>
        <w:rPr>
          <w:rFonts w:hint="eastAsia" w:ascii="宋体" w:hAnsi="宋体" w:cs="宋体"/>
          <w:b/>
          <w:bCs/>
          <w:color w:val="000000"/>
          <w:kern w:val="2"/>
          <w:sz w:val="24"/>
          <w:szCs w:val="21"/>
          <w:highlight w:val="none"/>
          <w:lang w:val="en-US" w:eastAsia="zh-CN" w:bidi="ar-SA"/>
        </w:rPr>
        <w:t>三</w:t>
      </w:r>
      <w:r>
        <w:rPr>
          <w:rFonts w:hint="eastAsia" w:ascii="宋体" w:hAnsi="宋体" w:eastAsia="宋体" w:cs="宋体"/>
          <w:b/>
          <w:bCs/>
          <w:color w:val="000000"/>
          <w:kern w:val="2"/>
          <w:sz w:val="24"/>
          <w:szCs w:val="21"/>
          <w:highlight w:val="none"/>
          <w:lang w:val="en-US" w:eastAsia="zh-CN" w:bidi="ar-SA"/>
        </w:rPr>
        <w:t>、</w:t>
      </w:r>
      <w:r>
        <w:rPr>
          <w:rFonts w:hint="eastAsia" w:ascii="宋体" w:hAnsi="宋体" w:eastAsia="宋体" w:cs="宋体"/>
          <w:b/>
          <w:bCs/>
          <w:color w:val="000000"/>
          <w:szCs w:val="21"/>
          <w:highlight w:val="none"/>
          <w:lang w:val="en-US" w:eastAsia="zh-CN"/>
        </w:rPr>
        <w:t>具体工作要求</w:t>
      </w:r>
    </w:p>
    <w:p w14:paraId="761AD0C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3.1施工工作范围为：滁宁城际铁路需求内全线路，包括各车站范围内、列车、轨行区、变电所、车辆段及城铁办公场所等，具体施工范围招标人有权根据实际情况进行调整。</w:t>
      </w:r>
    </w:p>
    <w:p w14:paraId="4399A83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3.2工作内容如下：车站各式导向标志、列车内各式导向标志、车辆段交通标志、变电所及设备房各类标贴、城铁办公区域各式标识及城铁办公所需各类宣传展板的现场尺寸测量、设计、制作、安装和维护等相关工作</w:t>
      </w:r>
      <w:r>
        <w:rPr>
          <w:rFonts w:hint="eastAsia" w:ascii="宋体" w:hAnsi="宋体" w:cs="宋体"/>
          <w:color w:val="000000"/>
          <w:szCs w:val="21"/>
          <w:highlight w:val="none"/>
          <w:lang w:val="en-US" w:eastAsia="zh-CN"/>
        </w:rPr>
        <w:t>（大部分标识已有矢量图，无需重新设计）</w:t>
      </w:r>
      <w:r>
        <w:rPr>
          <w:rFonts w:hint="eastAsia" w:ascii="宋体" w:hAnsi="宋体" w:eastAsia="宋体" w:cs="宋体"/>
          <w:color w:val="000000"/>
          <w:szCs w:val="21"/>
          <w:highlight w:val="none"/>
          <w:lang w:val="en-US" w:eastAsia="zh-CN"/>
        </w:rPr>
        <w:t>。</w:t>
      </w:r>
    </w:p>
    <w:p w14:paraId="25C34AB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3.3具体工作要求：</w:t>
      </w:r>
    </w:p>
    <w:p w14:paraId="1C4712C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投标人全面承担设计、制作、安装导向标识及VI系统的责任，负责系统各项功能的实现，对本项目实施全过程管理，全面负责整个系统的生产、供货、协调及管理、组织管理、工程管理、设计联络、进度控制、计划安排。运输、到货验收、安装、提供和质保责任期等全过程管理及全部责任。</w:t>
      </w:r>
    </w:p>
    <w:p w14:paraId="0BA1FF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投标人应确保导向标识系统的统一性和优良质量。其提供的所有服务应与工程进度的要求相一致，并服从工程进度的要求。根据导向标识及标识标贴系统的性能要求，投标人应清楚并能配合解决各种接口问题，投标人必须十分清楚标识牌接口连接的方式等内容，达到整个系统的要求。</w:t>
      </w:r>
    </w:p>
    <w:p w14:paraId="69A6548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（3）投标人根据检验的要求确保按规定时间完成测量，设计，制作，安装，投标人将制作好的内容交给招标人，等招标人最终验收。</w:t>
      </w:r>
    </w:p>
    <w:p w14:paraId="317F3D3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（4）投标人应根据招标人要求需要编制计划的内容，投标人根据具体工程量，编制整体计划。在编制计划时投标人要注意：对乘客有影响的安装工作应</w:t>
      </w:r>
      <w:r>
        <w:rPr>
          <w:rFonts w:hint="eastAsia" w:ascii="宋体" w:hAnsi="宋体" w:cs="宋体"/>
          <w:color w:val="000000"/>
          <w:szCs w:val="21"/>
          <w:highlight w:val="none"/>
          <w:lang w:val="en-US" w:eastAsia="zh-CN"/>
        </w:rPr>
        <w:t>在</w:t>
      </w:r>
      <w:r>
        <w:rPr>
          <w:rFonts w:hint="eastAsia" w:ascii="宋体" w:hAnsi="宋体" w:eastAsia="宋体" w:cs="宋体"/>
          <w:color w:val="000000"/>
          <w:szCs w:val="21"/>
          <w:highlight w:val="none"/>
          <w:lang w:val="en-US" w:eastAsia="zh-CN"/>
        </w:rPr>
        <w:t>运营结束后进行，轨行区作业应满足作业时间的要求（一般为00：10~3：30）；如果投标人制定的作业时间和运营公司其他轨行区计划有冲突，招标人和投标人双方协商，调整计划或进行顺延。根据滁宁城铁导向标识及VI设计、制作、安装特点，实际安装区域点多、面广，必须具备瞬时大工作量的制作安装能力（如：全线十个车站同时更换票价表及线路图等）。</w:t>
      </w:r>
    </w:p>
    <w:p w14:paraId="0CE2B6B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项目安装人员应相对稳定，投标人应根据安装工作量和施工计划确定安装人员，人数需满足现场需要，并编制定员分析，并设有专人（项目经理）对本项目负责，配备较强的技术力量，至少配备1名技术负责人，1名安全员，2名设计人员。</w:t>
      </w:r>
    </w:p>
    <w:p w14:paraId="1D3330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四、投标人配备的资源</w:t>
      </w:r>
    </w:p>
    <w:p w14:paraId="32302AD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4.1投标人施工人员所发生的一切交通、通信费用由投标人承担，项目所需的工器具、办公用品、管理用具、劳保用品、安全防护用具、工作服等均由投标人自行解决。</w:t>
      </w:r>
    </w:p>
    <w:p w14:paraId="1C99577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4.2为保证项目工作的顺利进行，且工作质量、安全目标都能达到预期的要求，对于所承包的项目，投标人需成立专门机构（项目部）从事该项工作，设有专人（项目经理）负责，并按招标人管理规定建立相关组织。</w:t>
      </w:r>
    </w:p>
    <w:p w14:paraId="4B86703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4.3投标人对施工（检修）必须使用合格的机具、设备、计量器具。</w:t>
      </w:r>
    </w:p>
    <w:p w14:paraId="25861E5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4.4投标人根据招标人工作要求提供必要的测量备品备件。</w:t>
      </w:r>
    </w:p>
    <w:p w14:paraId="4C4B6AE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4.5投标人必须提供其项目组织架构图及岗位职责。</w:t>
      </w:r>
    </w:p>
    <w:p w14:paraId="66C4BF1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4.6施工队伍应确保稳定，技术素质及技术人员搭配应满足生产需要及要求，因人员技术水平低，责任心差不符合招标人条件，招标人有权拒绝使用。</w:t>
      </w:r>
    </w:p>
    <w:p w14:paraId="6977535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4.7投标人施工人员按照招标人要求安排进场，开展工作并进行考核。</w:t>
      </w:r>
    </w:p>
    <w:p w14:paraId="00E2A25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4.8为了完成项目工作，投标人应具有大型写真机、雕刻机、丝网印刷设备、切割设备和大型运输设备。</w:t>
      </w:r>
    </w:p>
    <w:p w14:paraId="1FC4772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4.9投标人要求有专业的英文翻译合作机构，负责招标人翻译需求。</w:t>
      </w:r>
    </w:p>
    <w:p w14:paraId="613DB15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4.10确定为中标人后投标人需提供与翻译机构合同或协议。</w:t>
      </w:r>
    </w:p>
    <w:p w14:paraId="17DA700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4.11投标人必须提供上述各项资源配置一览表。</w:t>
      </w:r>
    </w:p>
    <w:p w14:paraId="4AE2BD5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4.12投标人必须无条件遵守招标人所有的制度及相关管理规定。所有作业时间、作业人员资质要求、作业人员进场安全培训要求均按招标人的有关规定。</w:t>
      </w:r>
    </w:p>
    <w:p w14:paraId="040205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4.13其他相关要求：投标人如需更换项目负责人需经招标人审核认可。投标人应该按照劳动法要求，和所有在本项目工作的人员签订劳动合同，支付加班费用，办理政府规定的各类保险。</w:t>
      </w:r>
    </w:p>
    <w:p w14:paraId="4621E12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五、施工要求</w:t>
      </w:r>
    </w:p>
    <w:p w14:paraId="54A2BAB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5.1请、销点制度：进入车站作业必须先到车站请点，经确认作业令后方可进行作业，作业完后工器具材料和人员必须出清，并到车站进行销点。</w:t>
      </w:r>
    </w:p>
    <w:p w14:paraId="085764C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5.2跟踪及抽检制度：施工项目实施过程中，招标人人员有权对投标人人员施工质量进行过程跟踪或抽检，发现不符合要求的地方，及时提出、整改；当施工按计划完成有困难时，投标人应及时调整人力、物力或采取相应措施，并向招标人报告，否则按不完成项目考核。</w:t>
      </w:r>
    </w:p>
    <w:p w14:paraId="665AC1D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5.3项目完工交付制度：施工项目完工后，经双方人员检查、验收确认后，才能投入试验与运行。投标人在施工项目结束后第二天，将施工项目、时间、完成情况，以书面形式交招标人审定。</w:t>
      </w:r>
    </w:p>
    <w:p w14:paraId="6F03B198">
      <w:pPr>
        <w:snapToGrid w:val="0"/>
        <w:spacing w:line="400" w:lineRule="exact"/>
        <w:ind w:firstLine="420"/>
        <w:rPr>
          <w:rFonts w:ascii="宋体" w:hAnsi="宋体" w:cs="宋体"/>
          <w:color w:val="000000"/>
          <w:szCs w:val="21"/>
          <w:highlight w:val="none"/>
        </w:rPr>
      </w:pPr>
      <w:r>
        <w:rPr>
          <w:rFonts w:hint="eastAsia" w:ascii="宋体" w:hAnsi="宋体" w:eastAsia="宋体" w:cs="宋体"/>
          <w:color w:val="000000"/>
          <w:szCs w:val="21"/>
          <w:highlight w:val="none"/>
          <w:lang w:val="en-US" w:eastAsia="zh-CN"/>
        </w:rPr>
        <w:t>5.4 投标人必须遵守除以上制度以外的招标人所有施工制度及相关管理规定。</w:t>
      </w:r>
    </w:p>
    <w:p w14:paraId="484FBD9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六、投标人保证措施</w:t>
      </w:r>
    </w:p>
    <w:p w14:paraId="7D4EC2D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6.1严格遵守和执行国家、地方、行业的相关法律、法规、规范、规程、标准及招标人的厂纪、厂规等各项管理制度及规定。</w:t>
      </w:r>
    </w:p>
    <w:p w14:paraId="3454772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6.2遵守合同协议，组织足够力量的技术人员、技术工人，完成项目。</w:t>
      </w:r>
    </w:p>
    <w:p w14:paraId="0CAAF40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6.3对项目组织机构定岗、定员。队伍人员素质、专业技术结构满足各项安装要求，并保证参加安装的人员相对稳定。</w:t>
      </w:r>
    </w:p>
    <w:p w14:paraId="6B7C6A0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6.4严格按照招标人管理模式，及招标人审定的工作计划和方案组织实施。</w:t>
      </w:r>
    </w:p>
    <w:p w14:paraId="6DDF28C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6.5按照合同协议认真执行，及时完成施工初验、问题的准确反馈以及最终验收。</w:t>
      </w:r>
    </w:p>
    <w:p w14:paraId="4549D59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6.6同招标人密切配合，有义务为招标人设备维护提出合理化建议，形成“相融、相敬、互通、互助”的局面。</w:t>
      </w:r>
    </w:p>
    <w:p w14:paraId="35578E7B">
      <w:pPr>
        <w:numPr>
          <w:ilvl w:val="0"/>
          <w:numId w:val="3"/>
        </w:numPr>
        <w:snapToGrid w:val="0"/>
        <w:spacing w:line="400" w:lineRule="exact"/>
        <w:ind w:firstLine="420"/>
        <w:rPr>
          <w:rFonts w:ascii="宋体" w:hAnsi="宋体" w:cs="宋体"/>
          <w:b/>
          <w:bCs/>
          <w:color w:val="000000"/>
          <w:szCs w:val="21"/>
          <w:highlight w:val="none"/>
        </w:rPr>
      </w:pPr>
      <w:r>
        <w:rPr>
          <w:rFonts w:hint="eastAsia" w:ascii="宋体" w:hAnsi="宋体" w:cs="宋体"/>
          <w:b/>
          <w:bCs/>
          <w:color w:val="000000"/>
          <w:szCs w:val="21"/>
          <w:highlight w:val="none"/>
        </w:rPr>
        <w:t>项目施工验收标准</w:t>
      </w:r>
    </w:p>
    <w:p w14:paraId="41CCC1A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本次项目材质编号及主要工作量材质清单参见</w:t>
      </w:r>
      <w:r>
        <w:rPr>
          <w:rFonts w:hint="eastAsia" w:ascii="宋体" w:hAnsi="宋体" w:eastAsia="宋体" w:cs="宋体"/>
          <w:color w:val="auto"/>
          <w:szCs w:val="21"/>
          <w:highlight w:val="none"/>
          <w:lang w:val="en-US" w:eastAsia="zh-CN"/>
        </w:rPr>
        <w:t>《采购清单》</w:t>
      </w:r>
      <w:r>
        <w:rPr>
          <w:rFonts w:hint="eastAsia" w:ascii="宋体" w:hAnsi="宋体" w:eastAsia="宋体" w:cs="宋体"/>
          <w:color w:val="000000"/>
          <w:szCs w:val="21"/>
          <w:highlight w:val="none"/>
          <w:lang w:val="en-US" w:eastAsia="zh-CN"/>
        </w:rPr>
        <w:t>。实际制作安装工作量以满足现场导向标识及VI规范要求为准。</w:t>
      </w:r>
    </w:p>
    <w:p w14:paraId="1B8016A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76" w:name="_Toc496538106"/>
      <w:r>
        <w:rPr>
          <w:rFonts w:hint="eastAsia" w:ascii="宋体" w:hAnsi="宋体" w:eastAsia="宋体" w:cs="宋体"/>
          <w:color w:val="000000"/>
          <w:szCs w:val="21"/>
          <w:highlight w:val="none"/>
          <w:lang w:val="en-US" w:eastAsia="zh-CN"/>
        </w:rPr>
        <w:t>7.1安全性</w:t>
      </w:r>
      <w:bookmarkEnd w:id="76"/>
    </w:p>
    <w:p w14:paraId="23F6926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77" w:name="_Toc496538107"/>
      <w:r>
        <w:rPr>
          <w:rFonts w:hint="eastAsia" w:ascii="宋体" w:hAnsi="宋体" w:eastAsia="宋体" w:cs="宋体"/>
          <w:color w:val="000000"/>
          <w:szCs w:val="21"/>
          <w:highlight w:val="none"/>
          <w:lang w:val="en-US" w:eastAsia="zh-CN"/>
        </w:rPr>
        <w:t>安全性要求主要包括：设备安全、电气安全、环境适应性、可维修性。</w:t>
      </w:r>
      <w:bookmarkEnd w:id="77"/>
    </w:p>
    <w:p w14:paraId="7A643C2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7.1.1设备安全</w:t>
      </w:r>
    </w:p>
    <w:p w14:paraId="448DB58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标识牌所用的材料应有足够的强度，能承受一定的碰撞和冲击，标识牌应满足在8级大风的情况下不发生变形、倾斜、坠落等现象；</w:t>
      </w:r>
    </w:p>
    <w:p w14:paraId="7D42F7B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标识牌、吊挂件等外部不能有尖角、锋边、毛刺等，避免对乘客及操作员的伤害；因质量问题造成人身伤害，投标人负责赔偿。</w:t>
      </w:r>
    </w:p>
    <w:p w14:paraId="703F8F9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导向标识牌吊挂结构，标识牌与顶板、标识牌与墙面、地面的连接固定，其承载力、拉力等要求应有足够的结构强度，并符合国家有关标准。</w:t>
      </w:r>
    </w:p>
    <w:p w14:paraId="29BB8B7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7.1.2电气安全</w:t>
      </w:r>
    </w:p>
    <w:p w14:paraId="2743D9B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导向标识牌的照明控制是通过导向标识系统单独配电来操作完成的。</w:t>
      </w:r>
    </w:p>
    <w:p w14:paraId="7CDB1F1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导向标识系统应有独立的电气回路和漏电保护开关，每个标识牌应有独立的电气开关。</w:t>
      </w:r>
    </w:p>
    <w:p w14:paraId="64B3837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导线质量要求：选用低烟的无卤的阻燃电线，需符合国家相关规范。</w:t>
      </w:r>
    </w:p>
    <w:p w14:paraId="246D577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导向标识牌应有良好的接地措施，内部走线合理，采用连接器连接。箱体中的导线应捆扎整齐，便于检修和维护。</w:t>
      </w:r>
    </w:p>
    <w:p w14:paraId="6D028CB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导向标识牌与外接电源的接线长度须预留1.2～2米，加装金属蛇皮管护套，该电源线从标识牌的指定位置预留孔穿出，孔边加橡胶保护套，以防电源线被割破。</w:t>
      </w:r>
    </w:p>
    <w:p w14:paraId="36A88F4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7.1.3环境适应性</w:t>
      </w:r>
    </w:p>
    <w:p w14:paraId="0DCDE35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导向标识牌所使用的各种材料应适应滁州的气候条件。</w:t>
      </w:r>
    </w:p>
    <w:p w14:paraId="6E5F1AB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导向标识牌所使用的各种材料能适应车站内灰土，高温、潮湿、震动、静电等恶劣环境要求。</w:t>
      </w:r>
    </w:p>
    <w:p w14:paraId="6919CF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导向标识牌所使用的各种材料应满足防潮和防水的要求，确保结构件和装饰件20年内不锈蚀。</w:t>
      </w:r>
    </w:p>
    <w:p w14:paraId="2A4A48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7.1.4可维修性</w:t>
      </w:r>
    </w:p>
    <w:p w14:paraId="2C3607B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投标人对标识牌应进行二次设计，应做到减少维修作业次数、简化维修操作等。</w:t>
      </w:r>
    </w:p>
    <w:p w14:paraId="42C71CF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导向标识牌出现故障或损坏时，车站维护人员应可以在最短的时间内对标识牌进行测试和维修。维修人员维修某部件时无需拆除其它部件，同时不能影响其他标识牌的工作。</w:t>
      </w:r>
    </w:p>
    <w:p w14:paraId="6748F78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标准化设计。相同安装方式应采用同一类型的紧固件，紧固件应采用标准件。</w:t>
      </w:r>
    </w:p>
    <w:p w14:paraId="05C35D9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78" w:name="_Toc496538108"/>
      <w:r>
        <w:rPr>
          <w:rFonts w:hint="eastAsia" w:ascii="宋体" w:hAnsi="宋体" w:eastAsia="宋体" w:cs="宋体"/>
          <w:color w:val="000000"/>
          <w:szCs w:val="21"/>
          <w:highlight w:val="none"/>
          <w:lang w:val="en-US" w:eastAsia="zh-CN"/>
        </w:rPr>
        <w:t>7.2标准和规范</w:t>
      </w:r>
      <w:bookmarkEnd w:id="78"/>
    </w:p>
    <w:p w14:paraId="54DD40F0">
      <w:pPr>
        <w:keepNext w:val="0"/>
        <w:keepLines w:val="0"/>
        <w:pageBreakBefore w:val="0"/>
        <w:kinsoku/>
        <w:wordWrap/>
        <w:overflowPunct/>
        <w:topLinePunct w:val="0"/>
        <w:autoSpaceDE/>
        <w:autoSpaceDN/>
        <w:bidi w:val="0"/>
        <w:adjustRightInd/>
        <w:snapToGrid w:val="0"/>
        <w:spacing w:line="400" w:lineRule="exact"/>
        <w:ind w:firstLine="420"/>
        <w:textAlignment w:val="auto"/>
        <w:rPr>
          <w:rFonts w:ascii="宋体" w:hAnsi="宋体" w:cs="宋体"/>
          <w:color w:val="000000"/>
          <w:szCs w:val="21"/>
          <w:highlight w:val="none"/>
        </w:rPr>
      </w:pPr>
      <w:r>
        <w:rPr>
          <w:rFonts w:hint="eastAsia" w:ascii="宋体" w:hAnsi="宋体" w:eastAsia="宋体" w:cs="宋体"/>
          <w:color w:val="000000"/>
          <w:szCs w:val="21"/>
          <w:highlight w:val="none"/>
          <w:lang w:val="en-US" w:eastAsia="zh-CN"/>
        </w:rPr>
        <w:t>标识系统所有使用材料的各项技术指标应符合但不只限于国家规范、标准与要求，除特别</w:t>
      </w:r>
      <w:r>
        <w:rPr>
          <w:rFonts w:hint="eastAsia" w:ascii="宋体" w:hAnsi="宋体" w:cs="宋体"/>
          <w:color w:val="000000"/>
          <w:szCs w:val="21"/>
          <w:highlight w:val="none"/>
          <w:lang w:val="en-US" w:eastAsia="zh-CN"/>
        </w:rPr>
        <w:t>注明</w:t>
      </w:r>
      <w:r>
        <w:rPr>
          <w:rFonts w:hint="eastAsia" w:ascii="宋体" w:hAnsi="宋体" w:eastAsia="宋体" w:cs="宋体"/>
          <w:color w:val="000000"/>
          <w:szCs w:val="21"/>
          <w:highlight w:val="none"/>
          <w:lang w:val="en-US" w:eastAsia="zh-CN"/>
        </w:rPr>
        <w:t>专用技术条件外，可参照本文通用技术要求。如发现专用技术条件与通用技术要求有</w:t>
      </w:r>
      <w:r>
        <w:rPr>
          <w:rFonts w:hint="eastAsia" w:ascii="宋体" w:hAnsi="宋体" w:cs="宋体"/>
          <w:color w:val="000000"/>
          <w:szCs w:val="21"/>
          <w:highlight w:val="none"/>
          <w:lang w:val="en-US" w:eastAsia="zh-CN"/>
        </w:rPr>
        <w:t>冲突</w:t>
      </w:r>
      <w:r>
        <w:rPr>
          <w:rFonts w:hint="eastAsia" w:ascii="宋体" w:hAnsi="宋体" w:eastAsia="宋体" w:cs="宋体"/>
          <w:color w:val="000000"/>
          <w:szCs w:val="21"/>
          <w:highlight w:val="none"/>
          <w:lang w:val="en-US" w:eastAsia="zh-CN"/>
        </w:rPr>
        <w:t>，则以前者为准；如发现执行标准在制作加工前有最新标准，则按新标准执行。</w:t>
      </w:r>
    </w:p>
    <w:p w14:paraId="285FAC6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7.2.1图形符号</w:t>
      </w:r>
    </w:p>
    <w:p w14:paraId="0518803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GB13495.1—2015        《消防安全标志第1部分：标志》</w:t>
      </w:r>
    </w:p>
    <w:p w14:paraId="5BD00F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 10001.2系列       《公共信息标志用图形符号》</w:t>
      </w:r>
    </w:p>
    <w:p w14:paraId="70358F3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GB/T15608-2006</w:t>
      </w:r>
      <w:r>
        <w:rPr>
          <w:rFonts w:hint="eastAsia" w:ascii="宋体" w:hAnsi="宋体" w:eastAsia="宋体" w:cs="宋体"/>
          <w:color w:val="000000"/>
          <w:szCs w:val="21"/>
          <w:highlight w:val="none"/>
          <w:lang w:val="en-US" w:eastAsia="zh-CN"/>
        </w:rPr>
        <w:tab/>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lang w:val="en-US" w:eastAsia="zh-CN"/>
        </w:rPr>
        <w:tab/>
      </w:r>
      <w:r>
        <w:rPr>
          <w:rFonts w:hint="eastAsia" w:ascii="宋体" w:hAnsi="宋体" w:eastAsia="宋体" w:cs="宋体"/>
          <w:color w:val="000000"/>
          <w:szCs w:val="21"/>
          <w:highlight w:val="none"/>
          <w:lang w:val="en-US" w:eastAsia="zh-CN"/>
        </w:rPr>
        <w:t xml:space="preserve">   《中国颜色体系》</w:t>
      </w:r>
    </w:p>
    <w:p w14:paraId="75AF367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 18574-2008        《地铁客运服务标志》</w:t>
      </w:r>
    </w:p>
    <w:p w14:paraId="3A742FA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GB/T10001.1—2012      《标志用公共信息图形符号　第1部分：通用符号》</w:t>
      </w:r>
    </w:p>
    <w:p w14:paraId="6B2E4CB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GB/T10001.3—2011      《标志用公共信息图形符号　第3部分：客运与货运》</w:t>
      </w:r>
    </w:p>
    <w:p w14:paraId="734C8BC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GB/T10001.9—2008      《标志用公共信息图形符号　第9部分：无障碍设施符号》</w:t>
      </w:r>
    </w:p>
    <w:p w14:paraId="656CE03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GB/T10001.10—2014     《标志用公共信息图形符号　第10部分：铁路客运符号》</w:t>
      </w:r>
    </w:p>
    <w:p w14:paraId="729763A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5768.1—2016        《道路交通标志和标线　第１部分：总则》</w:t>
      </w:r>
    </w:p>
    <w:p w14:paraId="494285F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5768.2—2016        《道路交通标志和标线　第2部分：道路交通标志》</w:t>
      </w:r>
    </w:p>
    <w:p w14:paraId="2A3E3D7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5768.3—2016        《道路交通标志和标线　第3部分：道路交通标线》</w:t>
      </w:r>
    </w:p>
    <w:p w14:paraId="18D3C00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GB/65271-1986          《安全色卡》</w:t>
      </w:r>
    </w:p>
    <w:p w14:paraId="3DF2285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GB/T14543-1993         《标志用图形符号的视觉设计原则》</w:t>
      </w:r>
    </w:p>
    <w:p w14:paraId="6CDAE8C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7.2.2 照明标准</w:t>
      </w:r>
    </w:p>
    <w:p w14:paraId="66391D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 16275-2008                《城市轨道交通照明》</w:t>
      </w:r>
    </w:p>
    <w:p w14:paraId="723BCA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50054-2011                  《低压配电设计规范》</w:t>
      </w:r>
    </w:p>
    <w:p w14:paraId="13BBD94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50055-2011                  《通用用电设备配电设计规范》</w:t>
      </w:r>
    </w:p>
    <w:p w14:paraId="19BC574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GB50763-2012                   《无障碍设计规范》</w:t>
      </w:r>
    </w:p>
    <w:p w14:paraId="2F736E5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7.2.3金属材料 </w:t>
      </w:r>
    </w:p>
    <w:p w14:paraId="6CF676C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金属材料GB/T5237 –2017  《铝合金建筑型材》</w:t>
      </w:r>
    </w:p>
    <w:p w14:paraId="2F37EFC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金属材料GB/T 3280-2015   《不锈钢冷轧钢板和钢带》</w:t>
      </w:r>
    </w:p>
    <w:p w14:paraId="002B3BE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7.2.4聚碳酸酯板及增光膜</w:t>
      </w:r>
    </w:p>
    <w:p w14:paraId="47A5541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GB8624－2012      《建筑材料燃烧性能分级方法》</w:t>
      </w:r>
    </w:p>
    <w:p w14:paraId="6569942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7.2.5  安全</w:t>
      </w:r>
    </w:p>
    <w:p w14:paraId="7E88D6B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GA54-93           《公共安全行业标准》</w:t>
      </w:r>
    </w:p>
    <w:p w14:paraId="2E284A1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GB2894-2017       《安全标志及其使用导则》</w:t>
      </w:r>
    </w:p>
    <w:p w14:paraId="110440D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7.2.6其他相关文件</w:t>
      </w:r>
    </w:p>
    <w:p w14:paraId="122863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运营公司的文件要求：包括《委外工作管理办法》《专业检修规程》《施工管理制度》</w:t>
      </w:r>
    </w:p>
    <w:p w14:paraId="45B7027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79" w:name="_Toc496538109"/>
      <w:r>
        <w:rPr>
          <w:rFonts w:hint="eastAsia" w:ascii="宋体" w:hAnsi="宋体" w:eastAsia="宋体" w:cs="宋体"/>
          <w:color w:val="000000"/>
          <w:szCs w:val="21"/>
          <w:highlight w:val="none"/>
          <w:lang w:val="en-US" w:eastAsia="zh-CN"/>
        </w:rPr>
        <w:t>7.3技术要求</w:t>
      </w:r>
      <w:bookmarkEnd w:id="79"/>
    </w:p>
    <w:p w14:paraId="1BD35D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7.3.1整体要求</w:t>
      </w:r>
    </w:p>
    <w:p w14:paraId="313F530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标牌的周边应平直，不应有明显的毛刺和齿形及波形，正面应平整光洁，外框线</w:t>
      </w:r>
      <w:r>
        <w:rPr>
          <w:rFonts w:hint="eastAsia" w:ascii="宋体" w:hAnsi="宋体" w:cs="宋体"/>
          <w:color w:val="000000"/>
          <w:szCs w:val="21"/>
          <w:highlight w:val="none"/>
          <w:lang w:val="en-US" w:eastAsia="zh-CN"/>
        </w:rPr>
        <w:t>应</w:t>
      </w:r>
      <w:r>
        <w:rPr>
          <w:rFonts w:hint="eastAsia" w:ascii="宋体" w:hAnsi="宋体" w:eastAsia="宋体" w:cs="宋体"/>
          <w:color w:val="000000"/>
          <w:szCs w:val="21"/>
          <w:highlight w:val="none"/>
          <w:lang w:val="en-US" w:eastAsia="zh-CN"/>
        </w:rPr>
        <w:t>均匀、平直，不应弯曲断缺；字体、符号</w:t>
      </w:r>
      <w:r>
        <w:rPr>
          <w:rFonts w:hint="eastAsia" w:ascii="宋体" w:hAnsi="宋体" w:cs="宋体"/>
          <w:color w:val="000000"/>
          <w:szCs w:val="21"/>
          <w:highlight w:val="none"/>
          <w:lang w:val="en-US" w:eastAsia="zh-CN"/>
        </w:rPr>
        <w:t>应</w:t>
      </w:r>
      <w:r>
        <w:rPr>
          <w:rFonts w:hint="eastAsia" w:ascii="宋体" w:hAnsi="宋体" w:eastAsia="宋体" w:cs="宋体"/>
          <w:color w:val="000000"/>
          <w:szCs w:val="21"/>
          <w:highlight w:val="none"/>
          <w:lang w:val="en-US" w:eastAsia="zh-CN"/>
        </w:rPr>
        <w:t>整齐醒目，排列均匀，不应糊不清；表面不应有裂纹和明显的擦伤丝纹以及有影响其清晰的锈迹、斑点、暗影；涂镀层不应有气孔、气泡、雾状、污迹、皱纹、剥落迹象和明显的颗粒杂质；粘贴标牌不应出现折痕、皱纹、自卷、撕裂和粘结剂渗出现象；标牌的颜色应清晰醒目、色泽均匀，不应有泛色；两种及两种以上颜色套印的标牌，色彩间边缘应整齐、清晰，两色相接处不应有间隙；产品制作时需要根据需求对表面进行消光处理，形成无光或哑光；所有金属构、配件，均应在安装前后严格按照有关规定进行防锈、防腐处理。</w:t>
      </w:r>
    </w:p>
    <w:tbl>
      <w:tblPr>
        <w:tblStyle w:val="1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43"/>
        <w:gridCol w:w="7200"/>
      </w:tblGrid>
      <w:tr w14:paraId="197E9B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blHeader/>
        </w:trPr>
        <w:tc>
          <w:tcPr>
            <w:tcW w:w="2243" w:type="dxa"/>
            <w:noWrap w:val="0"/>
            <w:vAlign w:val="center"/>
          </w:tcPr>
          <w:p w14:paraId="1337AD9A">
            <w:pPr>
              <w:keepNext w:val="0"/>
              <w:keepLines w:val="0"/>
              <w:pageBreakBefore w:val="0"/>
              <w:kinsoku/>
              <w:wordWrap/>
              <w:overflowPunct/>
              <w:topLinePunct w:val="0"/>
              <w:autoSpaceDE/>
              <w:autoSpaceDN/>
              <w:bidi w:val="0"/>
              <w:adjustRightInd/>
              <w:snapToGrid w:val="0"/>
              <w:spacing w:line="400" w:lineRule="exact"/>
              <w:ind w:firstLine="42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名称</w:t>
            </w:r>
          </w:p>
        </w:tc>
        <w:tc>
          <w:tcPr>
            <w:tcW w:w="7200" w:type="dxa"/>
            <w:noWrap w:val="0"/>
            <w:vAlign w:val="center"/>
          </w:tcPr>
          <w:p w14:paraId="5FDA9522">
            <w:pPr>
              <w:keepNext w:val="0"/>
              <w:keepLines w:val="0"/>
              <w:pageBreakBefore w:val="0"/>
              <w:kinsoku/>
              <w:wordWrap/>
              <w:overflowPunct/>
              <w:topLinePunct w:val="0"/>
              <w:autoSpaceDE/>
              <w:autoSpaceDN/>
              <w:bidi w:val="0"/>
              <w:adjustRightInd/>
              <w:snapToGrid w:val="0"/>
              <w:spacing w:line="400" w:lineRule="exact"/>
              <w:ind w:firstLine="42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要求</w:t>
            </w:r>
          </w:p>
        </w:tc>
      </w:tr>
      <w:tr w14:paraId="2EC55D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45" w:hRule="atLeast"/>
        </w:trPr>
        <w:tc>
          <w:tcPr>
            <w:tcW w:w="2243" w:type="dxa"/>
            <w:noWrap w:val="0"/>
            <w:vAlign w:val="center"/>
          </w:tcPr>
          <w:p w14:paraId="147D5071">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牌体尺寸公差</w:t>
            </w:r>
          </w:p>
        </w:tc>
        <w:tc>
          <w:tcPr>
            <w:tcW w:w="7200" w:type="dxa"/>
            <w:noWrap w:val="0"/>
            <w:vAlign w:val="center"/>
          </w:tcPr>
          <w:p w14:paraId="67E87EB4">
            <w:pPr>
              <w:keepNext w:val="0"/>
              <w:keepLines w:val="0"/>
              <w:pageBreakBefore w:val="0"/>
              <w:widowControl w:val="0"/>
              <w:kinsoku/>
              <w:wordWrap/>
              <w:overflowPunct/>
              <w:topLinePunct w:val="0"/>
              <w:autoSpaceDE/>
              <w:autoSpaceDN/>
              <w:bidi w:val="0"/>
              <w:adjustRightInd/>
              <w:snapToGrid w:val="0"/>
              <w:spacing w:line="400" w:lineRule="exact"/>
              <w:ind w:firstLine="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边长偏差：≤2mm；</w:t>
            </w:r>
          </w:p>
          <w:p w14:paraId="19B96AD3">
            <w:pPr>
              <w:keepNext w:val="0"/>
              <w:keepLines w:val="0"/>
              <w:pageBreakBefore w:val="0"/>
              <w:widowControl w:val="0"/>
              <w:kinsoku/>
              <w:wordWrap/>
              <w:overflowPunct/>
              <w:topLinePunct w:val="0"/>
              <w:autoSpaceDE/>
              <w:autoSpaceDN/>
              <w:bidi w:val="0"/>
              <w:adjustRightInd/>
              <w:snapToGrid w:val="0"/>
              <w:spacing w:line="400" w:lineRule="exact"/>
              <w:ind w:firstLine="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平行度偏差：≤2mm；</w:t>
            </w:r>
          </w:p>
          <w:p w14:paraId="3C91A4C7">
            <w:pPr>
              <w:keepNext w:val="0"/>
              <w:keepLines w:val="0"/>
              <w:pageBreakBefore w:val="0"/>
              <w:widowControl w:val="0"/>
              <w:kinsoku/>
              <w:wordWrap/>
              <w:overflowPunct/>
              <w:topLinePunct w:val="0"/>
              <w:autoSpaceDE/>
              <w:autoSpaceDN/>
              <w:bidi w:val="0"/>
              <w:adjustRightInd/>
              <w:snapToGrid w:val="0"/>
              <w:spacing w:line="400" w:lineRule="exact"/>
              <w:ind w:firstLine="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面板平整度：≤1mm；</w:t>
            </w:r>
          </w:p>
          <w:p w14:paraId="63011C68">
            <w:pPr>
              <w:keepNext w:val="0"/>
              <w:keepLines w:val="0"/>
              <w:pageBreakBefore w:val="0"/>
              <w:widowControl w:val="0"/>
              <w:kinsoku/>
              <w:wordWrap/>
              <w:overflowPunct/>
              <w:topLinePunct w:val="0"/>
              <w:autoSpaceDE/>
              <w:autoSpaceDN/>
              <w:bidi w:val="0"/>
              <w:adjustRightInd/>
              <w:snapToGrid w:val="0"/>
              <w:spacing w:line="400" w:lineRule="exact"/>
              <w:ind w:firstLine="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外框角度方正：≤1%；</w:t>
            </w:r>
          </w:p>
        </w:tc>
      </w:tr>
      <w:tr w14:paraId="5A1731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2243" w:type="dxa"/>
            <w:noWrap w:val="0"/>
            <w:vAlign w:val="center"/>
          </w:tcPr>
          <w:p w14:paraId="1EE908BA">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表面照明均匀度</w:t>
            </w:r>
          </w:p>
        </w:tc>
        <w:tc>
          <w:tcPr>
            <w:tcW w:w="7200" w:type="dxa"/>
            <w:noWrap w:val="0"/>
            <w:vAlign w:val="center"/>
          </w:tcPr>
          <w:p w14:paraId="683CE593">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最亮点与最暗点照度差≤25%；</w:t>
            </w:r>
          </w:p>
        </w:tc>
      </w:tr>
      <w:tr w14:paraId="7801B4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59" w:hRule="atLeast"/>
        </w:trPr>
        <w:tc>
          <w:tcPr>
            <w:tcW w:w="2243" w:type="dxa"/>
            <w:noWrap w:val="0"/>
            <w:vAlign w:val="center"/>
          </w:tcPr>
          <w:p w14:paraId="48465E41">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外观要求</w:t>
            </w:r>
          </w:p>
        </w:tc>
        <w:tc>
          <w:tcPr>
            <w:tcW w:w="7200" w:type="dxa"/>
            <w:noWrap w:val="0"/>
            <w:vAlign w:val="center"/>
          </w:tcPr>
          <w:p w14:paraId="08B52FC1">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外形要平整、棱角清晰，切口无毛刺和变形，可见部分不允许有螺钉出现；</w:t>
            </w:r>
          </w:p>
        </w:tc>
      </w:tr>
      <w:tr w14:paraId="739848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02" w:hRule="atLeast"/>
        </w:trPr>
        <w:tc>
          <w:tcPr>
            <w:tcW w:w="2243" w:type="dxa"/>
            <w:noWrap w:val="0"/>
            <w:vAlign w:val="center"/>
          </w:tcPr>
          <w:p w14:paraId="4E137060">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写真</w:t>
            </w:r>
          </w:p>
        </w:tc>
        <w:tc>
          <w:tcPr>
            <w:tcW w:w="7200" w:type="dxa"/>
            <w:noWrap w:val="0"/>
            <w:vAlign w:val="center"/>
          </w:tcPr>
          <w:p w14:paraId="3CCA2AF3">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油墨具有耐久性及耐化学品性色彩鲜艳准确，附着力强，涂层厚度均匀，图案线边无毛刺，缺口，凸轮。写真必须达到抗紫外线2年以上及不反光性，需满足日常维修和清理。</w:t>
            </w:r>
          </w:p>
        </w:tc>
      </w:tr>
      <w:tr w14:paraId="2DE7AE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1" w:hRule="atLeast"/>
        </w:trPr>
        <w:tc>
          <w:tcPr>
            <w:tcW w:w="2243" w:type="dxa"/>
            <w:noWrap w:val="0"/>
            <w:vAlign w:val="center"/>
          </w:tcPr>
          <w:p w14:paraId="4A05622E">
            <w:pPr>
              <w:keepNext w:val="0"/>
              <w:keepLines w:val="0"/>
              <w:pageBreakBefore w:val="0"/>
              <w:kinsoku/>
              <w:wordWrap/>
              <w:overflowPunct/>
              <w:topLinePunct w:val="0"/>
              <w:autoSpaceDE/>
              <w:autoSpaceDN/>
              <w:bidi w:val="0"/>
              <w:adjustRightInd/>
              <w:snapToGrid w:val="0"/>
              <w:spacing w:line="400" w:lineRule="exact"/>
              <w:ind w:firstLine="210" w:firstLineChars="10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自粘型乙烯薄膜</w:t>
            </w:r>
          </w:p>
        </w:tc>
        <w:tc>
          <w:tcPr>
            <w:tcW w:w="7200" w:type="dxa"/>
            <w:noWrap w:val="0"/>
            <w:vAlign w:val="center"/>
          </w:tcPr>
          <w:p w14:paraId="5BB21AC8">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必须达到2年以上，需满足日维修和清理。</w:t>
            </w:r>
          </w:p>
        </w:tc>
      </w:tr>
      <w:tr w14:paraId="24D14C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57" w:hRule="atLeast"/>
        </w:trPr>
        <w:tc>
          <w:tcPr>
            <w:tcW w:w="2243" w:type="dxa"/>
            <w:noWrap w:val="0"/>
            <w:vAlign w:val="center"/>
          </w:tcPr>
          <w:p w14:paraId="4DE2E228">
            <w:pPr>
              <w:keepNext w:val="0"/>
              <w:keepLines w:val="0"/>
              <w:pageBreakBefore w:val="0"/>
              <w:kinsoku/>
              <w:wordWrap/>
              <w:overflowPunct/>
              <w:topLinePunct w:val="0"/>
              <w:autoSpaceDE/>
              <w:autoSpaceDN/>
              <w:bidi w:val="0"/>
              <w:adjustRightInd/>
              <w:snapToGrid w:val="0"/>
              <w:spacing w:line="400" w:lineRule="exact"/>
              <w:ind w:firstLine="210" w:firstLineChars="10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划线外观要求</w:t>
            </w:r>
          </w:p>
        </w:tc>
        <w:tc>
          <w:tcPr>
            <w:tcW w:w="7200" w:type="dxa"/>
            <w:noWrap w:val="0"/>
            <w:vAlign w:val="center"/>
          </w:tcPr>
          <w:p w14:paraId="26AE6BF9">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外形要平整、棱角清晰。油漆喷涂要保持2年以上。</w:t>
            </w:r>
          </w:p>
        </w:tc>
      </w:tr>
    </w:tbl>
    <w:p w14:paraId="743DDB7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7.3.2材料要求</w:t>
      </w:r>
    </w:p>
    <w:p w14:paraId="4DB0664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投标人须承诺，制作中采用的各种材料满足以下要求：</w:t>
      </w:r>
    </w:p>
    <w:p w14:paraId="3019184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符合国际标准、国家标准和技术规格书的要求，主要材料均要取得以上级别的认证产品。</w:t>
      </w:r>
    </w:p>
    <w:p w14:paraId="0DE8157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所有材料符合环保要求，严禁使用环保不达</w:t>
      </w:r>
      <w:r>
        <w:rPr>
          <w:rFonts w:hint="eastAsia" w:ascii="宋体" w:hAnsi="宋体" w:cs="宋体"/>
          <w:color w:val="000000"/>
          <w:szCs w:val="21"/>
          <w:highlight w:val="none"/>
          <w:lang w:val="en-US" w:eastAsia="zh-CN"/>
        </w:rPr>
        <w:t>标</w:t>
      </w:r>
      <w:r>
        <w:rPr>
          <w:rFonts w:hint="eastAsia" w:ascii="宋体" w:hAnsi="宋体" w:eastAsia="宋体" w:cs="宋体"/>
          <w:color w:val="000000"/>
          <w:szCs w:val="21"/>
          <w:highlight w:val="none"/>
          <w:lang w:val="en-US" w:eastAsia="zh-CN"/>
        </w:rPr>
        <w:t>的产品，标识牌应达到：无毒、无害、无放射性、无气味。</w:t>
      </w:r>
    </w:p>
    <w:p w14:paraId="49FF65A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所有使用的材料为全新产品，严禁残次品进入标识的结构。</w:t>
      </w:r>
    </w:p>
    <w:p w14:paraId="37C1C0A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所有的电器材料、电器均为国标阻燃材料。</w:t>
      </w:r>
    </w:p>
    <w:p w14:paraId="1960F87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粘贴牌应选用在不采用活化或加热的条件下能将标牌牢固地粘贴在平整、光洁、无油污的金属或非金属表面上的</w:t>
      </w:r>
      <w:r>
        <w:rPr>
          <w:rFonts w:hint="eastAsia" w:ascii="宋体" w:hAnsi="宋体" w:cs="宋体"/>
          <w:color w:val="000000"/>
          <w:szCs w:val="21"/>
          <w:highlight w:val="none"/>
          <w:lang w:val="en-US" w:eastAsia="zh-CN"/>
        </w:rPr>
        <w:t>黏结</w:t>
      </w:r>
      <w:r>
        <w:rPr>
          <w:rFonts w:hint="eastAsia" w:ascii="宋体" w:hAnsi="宋体" w:eastAsia="宋体" w:cs="宋体"/>
          <w:color w:val="000000"/>
          <w:szCs w:val="21"/>
          <w:highlight w:val="none"/>
          <w:lang w:val="en-US" w:eastAsia="zh-CN"/>
        </w:rPr>
        <w:t>材料。</w:t>
      </w:r>
    </w:p>
    <w:p w14:paraId="09275DD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所有金属构、配件，均应在安装前后严格按照有关规定进行防锈、防腐处理。</w:t>
      </w:r>
    </w:p>
    <w:p w14:paraId="302CF576">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材料具体性能要求</w:t>
      </w:r>
    </w:p>
    <w:tbl>
      <w:tblPr>
        <w:tblStyle w:val="18"/>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4961"/>
        <w:gridCol w:w="3119"/>
      </w:tblGrid>
      <w:tr w14:paraId="557E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6810F4C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项   目</w:t>
            </w:r>
          </w:p>
        </w:tc>
        <w:tc>
          <w:tcPr>
            <w:tcW w:w="4961" w:type="dxa"/>
            <w:noWrap w:val="0"/>
            <w:vAlign w:val="center"/>
          </w:tcPr>
          <w:p w14:paraId="168CE4A8">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要   求</w:t>
            </w:r>
          </w:p>
        </w:tc>
        <w:tc>
          <w:tcPr>
            <w:tcW w:w="3119" w:type="dxa"/>
            <w:noWrap w:val="0"/>
            <w:vAlign w:val="center"/>
          </w:tcPr>
          <w:p w14:paraId="103FFB43">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备   注</w:t>
            </w:r>
          </w:p>
        </w:tc>
      </w:tr>
      <w:tr w14:paraId="3E12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Borders>
              <w:right w:val="nil"/>
            </w:tcBorders>
            <w:noWrap w:val="0"/>
            <w:vAlign w:val="center"/>
          </w:tcPr>
          <w:p w14:paraId="1D0740B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材料部分</w:t>
            </w:r>
          </w:p>
        </w:tc>
        <w:tc>
          <w:tcPr>
            <w:tcW w:w="8080" w:type="dxa"/>
            <w:gridSpan w:val="2"/>
            <w:tcBorders>
              <w:left w:val="nil"/>
            </w:tcBorders>
            <w:noWrap w:val="0"/>
            <w:vAlign w:val="center"/>
          </w:tcPr>
          <w:p w14:paraId="37C8D63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327A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600DD195">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铝型材</w:t>
            </w:r>
          </w:p>
        </w:tc>
        <w:tc>
          <w:tcPr>
            <w:tcW w:w="4961" w:type="dxa"/>
            <w:noWrap w:val="0"/>
            <w:vAlign w:val="center"/>
          </w:tcPr>
          <w:p w14:paraId="1BC5F074">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面板厚度：≥2mm</w:t>
            </w:r>
          </w:p>
        </w:tc>
        <w:tc>
          <w:tcPr>
            <w:tcW w:w="3119" w:type="dxa"/>
            <w:noWrap w:val="0"/>
            <w:vAlign w:val="center"/>
          </w:tcPr>
          <w:p w14:paraId="7477170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良好的抗腐蚀性，韧性，易于抛光，丝印；</w:t>
            </w:r>
          </w:p>
        </w:tc>
      </w:tr>
      <w:tr w14:paraId="0C69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14363990">
            <w:pPr>
              <w:keepNext w:val="0"/>
              <w:keepLines w:val="0"/>
              <w:pageBreakBefore w:val="0"/>
              <w:kinsoku/>
              <w:wordWrap/>
              <w:overflowPunct/>
              <w:topLinePunct w:val="0"/>
              <w:autoSpaceDE/>
              <w:autoSpaceDN/>
              <w:bidi w:val="0"/>
              <w:adjustRightInd/>
              <w:snapToGrid w:val="0"/>
              <w:spacing w:line="400" w:lineRule="exact"/>
              <w:ind w:firstLine="420"/>
              <w:jc w:val="center"/>
              <w:textAlignment w:val="auto"/>
              <w:rPr>
                <w:rFonts w:hint="eastAsia" w:ascii="宋体" w:hAnsi="宋体" w:eastAsia="宋体" w:cs="宋体"/>
                <w:color w:val="000000"/>
                <w:szCs w:val="21"/>
                <w:highlight w:val="none"/>
                <w:lang w:val="en-US" w:eastAsia="zh-CN"/>
              </w:rPr>
            </w:pPr>
          </w:p>
          <w:p w14:paraId="074D2CEC">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亚克力</w:t>
            </w:r>
          </w:p>
        </w:tc>
        <w:tc>
          <w:tcPr>
            <w:tcW w:w="4961" w:type="dxa"/>
            <w:noWrap w:val="0"/>
            <w:vAlign w:val="center"/>
          </w:tcPr>
          <w:p w14:paraId="1613E043">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阻燃亚克力</w:t>
            </w:r>
          </w:p>
          <w:p w14:paraId="6584CF2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透光率不低于88％</w:t>
            </w:r>
          </w:p>
          <w:p w14:paraId="361FB4E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3年内透明度、颜色不改变</w:t>
            </w:r>
          </w:p>
          <w:p w14:paraId="4D2C304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达B1级防火等级。</w:t>
            </w:r>
          </w:p>
        </w:tc>
        <w:tc>
          <w:tcPr>
            <w:tcW w:w="3119" w:type="dxa"/>
            <w:noWrap w:val="0"/>
            <w:vAlign w:val="center"/>
          </w:tcPr>
          <w:p w14:paraId="36B4097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易加工；透光性极佳、光线柔和；</w:t>
            </w:r>
          </w:p>
          <w:p w14:paraId="59CFF54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耐候性强，能经受住高温度、紫外光、强太阳光照射；耐溶剂和常用化学品；不自燃并具自熄性；没有断裂的危险；</w:t>
            </w:r>
          </w:p>
        </w:tc>
      </w:tr>
      <w:tr w14:paraId="0648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5F7EE12E">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膜材料</w:t>
            </w:r>
          </w:p>
        </w:tc>
        <w:tc>
          <w:tcPr>
            <w:tcW w:w="4961" w:type="dxa"/>
            <w:noWrap w:val="0"/>
            <w:vAlign w:val="center"/>
          </w:tcPr>
          <w:p w14:paraId="7FD7E96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所有原材料等元件均为全新（未曾作任何用途的），颜色保持至少2年</w:t>
            </w:r>
          </w:p>
          <w:p w14:paraId="36C1DC6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材料表面必须含有UV涂层面（防老化、变黄）。</w:t>
            </w:r>
          </w:p>
          <w:p w14:paraId="3E40C77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透明膜透光度：达到70%——95%</w:t>
            </w:r>
          </w:p>
          <w:p w14:paraId="37062EB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添加防质剂；防止透明膜收缩、变形。</w:t>
            </w:r>
          </w:p>
          <w:p w14:paraId="46D0DD8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低温凝固；保证透明膜厚度的均匀</w:t>
            </w:r>
          </w:p>
        </w:tc>
        <w:tc>
          <w:tcPr>
            <w:tcW w:w="3119" w:type="dxa"/>
            <w:noWrap w:val="0"/>
            <w:vAlign w:val="center"/>
          </w:tcPr>
          <w:p w14:paraId="44660850">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清澈透明，具有优良抗老化，抗冲击，抗剥落、抗紫外线和耐热性能而且不起泡、不隆起、不起皱。</w:t>
            </w:r>
          </w:p>
        </w:tc>
      </w:tr>
      <w:tr w14:paraId="2E82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2E32983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标识牌吊杆</w:t>
            </w:r>
          </w:p>
        </w:tc>
        <w:tc>
          <w:tcPr>
            <w:tcW w:w="4961" w:type="dxa"/>
            <w:noWrap w:val="0"/>
            <w:vAlign w:val="center"/>
          </w:tcPr>
          <w:p w14:paraId="61005AF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不锈钢吊杆，壁厚3mm，烤漆处理。</w:t>
            </w:r>
          </w:p>
        </w:tc>
        <w:tc>
          <w:tcPr>
            <w:tcW w:w="3119" w:type="dxa"/>
            <w:noWrap w:val="0"/>
            <w:vAlign w:val="center"/>
          </w:tcPr>
          <w:p w14:paraId="3ACA65C9">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涂层均匀，内外表面光滑，防腐锈性能好，耐腐蚀性能好。</w:t>
            </w:r>
          </w:p>
        </w:tc>
      </w:tr>
      <w:tr w14:paraId="64AD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2F2CB32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外露连结件、固定件</w:t>
            </w:r>
          </w:p>
        </w:tc>
        <w:tc>
          <w:tcPr>
            <w:tcW w:w="4961" w:type="dxa"/>
            <w:noWrap w:val="0"/>
            <w:vAlign w:val="center"/>
          </w:tcPr>
          <w:p w14:paraId="65B62B0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所有金属零配件满足强度要求，没有妨碍组装的缺陷，外漏的零配件没有容易造成手部受伤的毛口、毛刺、尖角存在。</w:t>
            </w:r>
          </w:p>
        </w:tc>
        <w:tc>
          <w:tcPr>
            <w:tcW w:w="3119" w:type="dxa"/>
            <w:noWrap w:val="0"/>
            <w:vAlign w:val="center"/>
          </w:tcPr>
          <w:p w14:paraId="52673CF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具有良好的耐蚀性、耐热性、低温强度和机械性能，冲压弯曲等热加工性好，无热处理硬化现象，无磁性。</w:t>
            </w:r>
          </w:p>
        </w:tc>
      </w:tr>
      <w:tr w14:paraId="2291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1276" w:type="dxa"/>
            <w:noWrap w:val="0"/>
            <w:vAlign w:val="center"/>
          </w:tcPr>
          <w:p w14:paraId="59811A2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箱体内骨架、连接及固定件</w:t>
            </w:r>
          </w:p>
        </w:tc>
        <w:tc>
          <w:tcPr>
            <w:tcW w:w="4961" w:type="dxa"/>
            <w:noWrap w:val="0"/>
            <w:vAlign w:val="center"/>
          </w:tcPr>
          <w:p w14:paraId="20247FE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镀锌钢、符合设计要求和国家相关材料检测标准。</w:t>
            </w:r>
          </w:p>
        </w:tc>
        <w:tc>
          <w:tcPr>
            <w:tcW w:w="3119" w:type="dxa"/>
            <w:noWrap w:val="0"/>
            <w:vAlign w:val="center"/>
          </w:tcPr>
          <w:p w14:paraId="60BF988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性能： 耐酸、耐碱、耐高温、拉力和耐磨性强</w:t>
            </w:r>
          </w:p>
        </w:tc>
      </w:tr>
      <w:tr w14:paraId="34B0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276" w:type="dxa"/>
            <w:noWrap w:val="0"/>
            <w:vAlign w:val="center"/>
          </w:tcPr>
          <w:p w14:paraId="1584F35D">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电线</w:t>
            </w:r>
          </w:p>
        </w:tc>
        <w:tc>
          <w:tcPr>
            <w:tcW w:w="4961" w:type="dxa"/>
            <w:noWrap w:val="0"/>
            <w:vAlign w:val="center"/>
          </w:tcPr>
          <w:p w14:paraId="499AC79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低烟、无卤、阻燃，符合国家规范和设计要求。</w:t>
            </w:r>
          </w:p>
        </w:tc>
        <w:tc>
          <w:tcPr>
            <w:tcW w:w="3119" w:type="dxa"/>
            <w:noWrap w:val="0"/>
            <w:vAlign w:val="center"/>
          </w:tcPr>
          <w:p w14:paraId="10B5420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低烟、无卤、B级阻燃，需符合国家规范</w:t>
            </w:r>
          </w:p>
        </w:tc>
      </w:tr>
      <w:tr w14:paraId="6EE5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4EA8570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绝缘材料及外包材料</w:t>
            </w:r>
          </w:p>
        </w:tc>
        <w:tc>
          <w:tcPr>
            <w:tcW w:w="4961" w:type="dxa"/>
            <w:noWrap w:val="0"/>
            <w:vAlign w:val="center"/>
          </w:tcPr>
          <w:p w14:paraId="351560D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采用国家优质绝缘材料。</w:t>
            </w:r>
          </w:p>
        </w:tc>
        <w:tc>
          <w:tcPr>
            <w:tcW w:w="3119" w:type="dxa"/>
            <w:noWrap w:val="0"/>
            <w:vAlign w:val="center"/>
          </w:tcPr>
          <w:p w14:paraId="64D2D808">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低烟、低毒、防火花、阻燃</w:t>
            </w:r>
          </w:p>
        </w:tc>
      </w:tr>
      <w:tr w14:paraId="4C2D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330096E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环保结构胶</w:t>
            </w:r>
          </w:p>
        </w:tc>
        <w:tc>
          <w:tcPr>
            <w:tcW w:w="4961" w:type="dxa"/>
            <w:noWrap w:val="0"/>
            <w:vAlign w:val="center"/>
          </w:tcPr>
          <w:p w14:paraId="62002AE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1）室温固化的建筑结构粘合剂，在室温下快速固化；</w:t>
            </w:r>
          </w:p>
          <w:p w14:paraId="2D9AAEA4">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2）具对建筑结构承载快，黏结力强，抗拔拉力大的优良性能；</w:t>
            </w:r>
          </w:p>
          <w:p w14:paraId="2E3897B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3）耐水、耐介质，耐老化性能优良，密封、防潮性好；</w:t>
            </w:r>
          </w:p>
          <w:p w14:paraId="7FD8CC5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4）粘接对象广泛，可粘接各种石材、大理石砼、金属等</w:t>
            </w:r>
          </w:p>
          <w:p w14:paraId="3B4C7F34">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5）抗老化，人工加速老化5000小时，无变化。</w:t>
            </w:r>
          </w:p>
        </w:tc>
        <w:tc>
          <w:tcPr>
            <w:tcW w:w="3119" w:type="dxa"/>
            <w:noWrap w:val="0"/>
            <w:vAlign w:val="center"/>
          </w:tcPr>
          <w:p w14:paraId="1C3427A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表面信息内容粘贴需牢固，无翘边、翘角等现象。</w:t>
            </w:r>
          </w:p>
        </w:tc>
      </w:tr>
      <w:tr w14:paraId="437D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3"/>
            <w:shd w:val="pct30" w:color="auto" w:fill="auto"/>
            <w:noWrap w:val="0"/>
            <w:vAlign w:val="center"/>
          </w:tcPr>
          <w:p w14:paraId="5099E52B">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工艺列表</w:t>
            </w:r>
          </w:p>
        </w:tc>
      </w:tr>
      <w:tr w14:paraId="2649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6B077D5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标识牌面板</w:t>
            </w:r>
          </w:p>
        </w:tc>
        <w:tc>
          <w:tcPr>
            <w:tcW w:w="4961" w:type="dxa"/>
            <w:noWrap w:val="0"/>
            <w:vAlign w:val="center"/>
          </w:tcPr>
          <w:p w14:paraId="4B33DA30">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采用彩色丝网印刷部分时，必须使用合适的丝印机，以保证漆膜质量。</w:t>
            </w:r>
          </w:p>
        </w:tc>
        <w:tc>
          <w:tcPr>
            <w:tcW w:w="3119" w:type="dxa"/>
            <w:noWrap w:val="0"/>
            <w:vAlign w:val="center"/>
          </w:tcPr>
          <w:p w14:paraId="4CBD440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0BB6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44785600">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标识系统配件要求</w:t>
            </w:r>
          </w:p>
        </w:tc>
        <w:tc>
          <w:tcPr>
            <w:tcW w:w="4961" w:type="dxa"/>
            <w:noWrap w:val="0"/>
            <w:vAlign w:val="center"/>
          </w:tcPr>
          <w:p w14:paraId="7AC65C5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吊挂件外形要平整、棱角清晰，切口无毛刺和变形。</w:t>
            </w:r>
          </w:p>
          <w:p w14:paraId="1E3A9431">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镀锌层</w:t>
            </w:r>
            <w:r>
              <w:rPr>
                <w:rFonts w:hint="eastAsia" w:ascii="宋体" w:hAnsi="宋体" w:cs="宋体"/>
                <w:color w:val="000000"/>
                <w:szCs w:val="21"/>
                <w:highlight w:val="none"/>
                <w:lang w:val="en-US" w:eastAsia="zh-CN"/>
              </w:rPr>
              <w:t>无</w:t>
            </w:r>
            <w:r>
              <w:rPr>
                <w:rFonts w:hint="eastAsia" w:ascii="宋体" w:hAnsi="宋体" w:eastAsia="宋体" w:cs="宋体"/>
                <w:color w:val="000000"/>
                <w:szCs w:val="21"/>
                <w:highlight w:val="none"/>
                <w:lang w:val="en-US" w:eastAsia="zh-CN"/>
              </w:rPr>
              <w:t>起皮、起瘤、脱落、腐蚀、损伤黑斑、麻点等缺陷。</w:t>
            </w:r>
          </w:p>
        </w:tc>
        <w:tc>
          <w:tcPr>
            <w:tcW w:w="3119" w:type="dxa"/>
            <w:noWrap w:val="0"/>
            <w:vAlign w:val="center"/>
          </w:tcPr>
          <w:p w14:paraId="158FABD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3294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624F6BB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灯具和配线保护</w:t>
            </w:r>
          </w:p>
        </w:tc>
        <w:tc>
          <w:tcPr>
            <w:tcW w:w="4961" w:type="dxa"/>
            <w:noWrap w:val="0"/>
            <w:vAlign w:val="center"/>
          </w:tcPr>
          <w:p w14:paraId="319AE87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喷非硬化保护漆；</w:t>
            </w:r>
          </w:p>
          <w:p w14:paraId="2A2AD2C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内部采用低烟、无卤、B级阻燃电线并牢固固定；</w:t>
            </w:r>
          </w:p>
          <w:p w14:paraId="0F3AD7C5">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采用纤维保护套管；</w:t>
            </w:r>
          </w:p>
          <w:p w14:paraId="1062E0B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内部布线采取暗装形式，电线敷设在箱体内金属套管或走线槽内，出口处有保护套；与外接电源的接线长度须预留3m以上，加装金属蛇皮管护套，该电源线从标识牌的左上角预留孔穿出，孔边加胶塞等保护套。</w:t>
            </w:r>
          </w:p>
        </w:tc>
        <w:tc>
          <w:tcPr>
            <w:tcW w:w="3119" w:type="dxa"/>
            <w:noWrap w:val="0"/>
            <w:vAlign w:val="center"/>
          </w:tcPr>
          <w:p w14:paraId="5F066AC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3776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756DA33B">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标识牌内部</w:t>
            </w:r>
          </w:p>
        </w:tc>
        <w:tc>
          <w:tcPr>
            <w:tcW w:w="4961" w:type="dxa"/>
            <w:noWrap w:val="0"/>
            <w:vAlign w:val="center"/>
          </w:tcPr>
          <w:p w14:paraId="4FBEBD5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根据需要设置增光膜、反光膜、匀光膜。</w:t>
            </w:r>
          </w:p>
        </w:tc>
        <w:tc>
          <w:tcPr>
            <w:tcW w:w="3119" w:type="dxa"/>
            <w:noWrap w:val="0"/>
            <w:vAlign w:val="center"/>
          </w:tcPr>
          <w:p w14:paraId="3856E95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7CDF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39FF512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膜材料</w:t>
            </w:r>
          </w:p>
        </w:tc>
        <w:tc>
          <w:tcPr>
            <w:tcW w:w="4961" w:type="dxa"/>
            <w:noWrap w:val="0"/>
            <w:vAlign w:val="center"/>
          </w:tcPr>
          <w:p w14:paraId="46A0208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从物体表面去除时不应有粘胶难以撕除等现象。</w:t>
            </w:r>
          </w:p>
          <w:p w14:paraId="3056ADF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阻光膜处镂空的图案和透光处图案须完全贴合。</w:t>
            </w:r>
          </w:p>
        </w:tc>
        <w:tc>
          <w:tcPr>
            <w:tcW w:w="3119" w:type="dxa"/>
            <w:noWrap w:val="0"/>
            <w:vAlign w:val="center"/>
          </w:tcPr>
          <w:p w14:paraId="37D8C5F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0B85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Borders>
              <w:bottom w:val="single" w:color="auto" w:sz="4" w:space="0"/>
            </w:tcBorders>
            <w:noWrap w:val="0"/>
            <w:vAlign w:val="center"/>
          </w:tcPr>
          <w:p w14:paraId="38E64553">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喷涂</w:t>
            </w:r>
          </w:p>
        </w:tc>
        <w:tc>
          <w:tcPr>
            <w:tcW w:w="4961" w:type="dxa"/>
            <w:tcBorders>
              <w:bottom w:val="single" w:color="auto" w:sz="4" w:space="0"/>
            </w:tcBorders>
            <w:noWrap w:val="0"/>
            <w:vAlign w:val="center"/>
          </w:tcPr>
          <w:p w14:paraId="3C01963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喷涂前必须仔细清除物件所有灰尘、污物、染渍、油渍、风化物等。所有面漆及底料必须为优质产品。</w:t>
            </w:r>
          </w:p>
        </w:tc>
        <w:tc>
          <w:tcPr>
            <w:tcW w:w="3119" w:type="dxa"/>
            <w:tcBorders>
              <w:bottom w:val="single" w:color="auto" w:sz="4" w:space="0"/>
            </w:tcBorders>
            <w:noWrap w:val="0"/>
            <w:vAlign w:val="center"/>
          </w:tcPr>
          <w:p w14:paraId="0D0CB8C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0CDA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Borders>
              <w:bottom w:val="single" w:color="auto" w:sz="4" w:space="0"/>
            </w:tcBorders>
            <w:noWrap w:val="0"/>
            <w:vAlign w:val="center"/>
          </w:tcPr>
          <w:p w14:paraId="491E597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蚀刻</w:t>
            </w:r>
          </w:p>
        </w:tc>
        <w:tc>
          <w:tcPr>
            <w:tcW w:w="4961" w:type="dxa"/>
            <w:tcBorders>
              <w:bottom w:val="single" w:color="auto" w:sz="4" w:space="0"/>
            </w:tcBorders>
            <w:noWrap w:val="0"/>
            <w:vAlign w:val="center"/>
          </w:tcPr>
          <w:p w14:paraId="3B5211F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所有蚀刻必须采用相片感光制版工艺，蚀刻图像或文字深度需0.05毫米以上，边缘需清晰且锐利。</w:t>
            </w:r>
          </w:p>
        </w:tc>
        <w:tc>
          <w:tcPr>
            <w:tcW w:w="3119" w:type="dxa"/>
            <w:tcBorders>
              <w:bottom w:val="single" w:color="auto" w:sz="4" w:space="0"/>
            </w:tcBorders>
            <w:noWrap w:val="0"/>
            <w:vAlign w:val="center"/>
          </w:tcPr>
          <w:p w14:paraId="3C33D6F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6E8C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232C370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彩色丝印</w:t>
            </w:r>
          </w:p>
        </w:tc>
        <w:tc>
          <w:tcPr>
            <w:tcW w:w="4961" w:type="dxa"/>
            <w:noWrap w:val="0"/>
            <w:vAlign w:val="center"/>
          </w:tcPr>
          <w:p w14:paraId="749A81D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油墨具有耐久性及耐化学品性；色彩鲜艳准确，附</w:t>
            </w:r>
            <w:r>
              <w:rPr>
                <w:rFonts w:hint="eastAsia" w:ascii="宋体" w:hAnsi="宋体" w:cs="宋体"/>
                <w:color w:val="000000"/>
                <w:szCs w:val="21"/>
                <w:highlight w:val="none"/>
                <w:lang w:val="en-US" w:eastAsia="zh-CN"/>
              </w:rPr>
              <w:t>着力</w:t>
            </w:r>
            <w:r>
              <w:rPr>
                <w:rFonts w:hint="eastAsia" w:ascii="宋体" w:hAnsi="宋体" w:eastAsia="宋体" w:cs="宋体"/>
                <w:color w:val="000000"/>
                <w:szCs w:val="21"/>
                <w:highlight w:val="none"/>
                <w:lang w:val="en-US" w:eastAsia="zh-CN"/>
              </w:rPr>
              <w:t>强；</w:t>
            </w:r>
          </w:p>
          <w:p w14:paraId="4956FEF1">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涂层厚度均匀，无缺陷。</w:t>
            </w:r>
          </w:p>
        </w:tc>
        <w:tc>
          <w:tcPr>
            <w:tcW w:w="3119" w:type="dxa"/>
            <w:noWrap w:val="0"/>
            <w:vAlign w:val="center"/>
          </w:tcPr>
          <w:p w14:paraId="1026995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6686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276" w:type="dxa"/>
            <w:noWrap w:val="0"/>
            <w:vAlign w:val="center"/>
          </w:tcPr>
          <w:p w14:paraId="6BDDF0A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切割</w:t>
            </w:r>
          </w:p>
        </w:tc>
        <w:tc>
          <w:tcPr>
            <w:tcW w:w="4961" w:type="dxa"/>
            <w:noWrap w:val="0"/>
            <w:vAlign w:val="center"/>
          </w:tcPr>
          <w:p w14:paraId="0CCF42B9">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所有材质的团级文字二维，三维切割必须为电脑数控加工，表面及切割面应光滑无毛刺。</w:t>
            </w:r>
          </w:p>
        </w:tc>
        <w:tc>
          <w:tcPr>
            <w:tcW w:w="3119" w:type="dxa"/>
            <w:noWrap w:val="0"/>
            <w:vAlign w:val="center"/>
          </w:tcPr>
          <w:p w14:paraId="76AB9E3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442C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276" w:type="dxa"/>
            <w:tcBorders>
              <w:bottom w:val="single" w:color="auto" w:sz="4" w:space="0"/>
            </w:tcBorders>
            <w:noWrap w:val="0"/>
            <w:vAlign w:val="center"/>
          </w:tcPr>
          <w:p w14:paraId="412B1568">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贴膜</w:t>
            </w:r>
          </w:p>
        </w:tc>
        <w:tc>
          <w:tcPr>
            <w:tcW w:w="4961" w:type="dxa"/>
            <w:tcBorders>
              <w:bottom w:val="single" w:color="auto" w:sz="4" w:space="0"/>
            </w:tcBorders>
            <w:noWrap w:val="0"/>
            <w:vAlign w:val="center"/>
          </w:tcPr>
          <w:p w14:paraId="65D95B3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所有贴膜为无尘施工，完成成品应为无水印，无气泡，无伤痕。</w:t>
            </w:r>
          </w:p>
        </w:tc>
        <w:tc>
          <w:tcPr>
            <w:tcW w:w="3119" w:type="dxa"/>
            <w:tcBorders>
              <w:bottom w:val="single" w:color="auto" w:sz="4" w:space="0"/>
            </w:tcBorders>
            <w:noWrap w:val="0"/>
            <w:vAlign w:val="center"/>
          </w:tcPr>
          <w:p w14:paraId="3DAA7B5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bl>
    <w:p w14:paraId="072442E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7.3.3制作工艺</w:t>
      </w:r>
    </w:p>
    <w:p w14:paraId="771DDAF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使用的铝型材制作，开槽、折弯、焊接成型后表面应无加工痕迹，其光洁度达到原材料相同水平；表面采用氟碳喷涂；</w:t>
      </w:r>
    </w:p>
    <w:p w14:paraId="49CD2C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标识牌尺寸精度应符合图纸要求，和国家相关规范要求。</w:t>
      </w:r>
    </w:p>
    <w:p w14:paraId="60F4F44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标识牌安全性、可靠性应达到本技术规格书要求。</w:t>
      </w:r>
    </w:p>
    <w:p w14:paraId="22318E6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所有标识牌零部件尺寸精度应符合标识牌总装要求，达到标准化，以便维修、更换。</w:t>
      </w:r>
    </w:p>
    <w:p w14:paraId="1207C0B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标识牌外观应美观大方，符合人体工程学和视觉审美要求，符合设计图纸的要求。</w:t>
      </w:r>
    </w:p>
    <w:p w14:paraId="4B0BB15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招标人有权对投标人制作工艺和方法提出异议，并要求投标人修改，直至符合工程需要和本技术规格书要求。</w:t>
      </w:r>
      <w:bookmarkStart w:id="80" w:name="_Toc340586561"/>
      <w:bookmarkStart w:id="81" w:name="_Toc340586919"/>
      <w:bookmarkStart w:id="82" w:name="_Toc340586385"/>
    </w:p>
    <w:bookmarkEnd w:id="80"/>
    <w:bookmarkEnd w:id="81"/>
    <w:bookmarkEnd w:id="82"/>
    <w:p w14:paraId="0E7DEDB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83" w:name="_Toc340586921"/>
      <w:bookmarkStart w:id="84" w:name="_Toc340586563"/>
      <w:bookmarkStart w:id="85" w:name="_Toc496538110"/>
      <w:bookmarkStart w:id="86" w:name="_Toc340586387"/>
      <w:r>
        <w:rPr>
          <w:rFonts w:hint="eastAsia" w:ascii="宋体" w:hAnsi="宋体" w:eastAsia="宋体" w:cs="宋体"/>
          <w:color w:val="000000"/>
          <w:szCs w:val="21"/>
          <w:highlight w:val="none"/>
          <w:lang w:val="en-US" w:eastAsia="zh-CN"/>
        </w:rPr>
        <w:t>7.4设备监造</w:t>
      </w:r>
      <w:bookmarkEnd w:id="83"/>
      <w:bookmarkEnd w:id="84"/>
      <w:bookmarkEnd w:id="85"/>
      <w:bookmarkEnd w:id="86"/>
    </w:p>
    <w:p w14:paraId="7FCAE91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投标人应对生产全过程进行控制和负责。</w:t>
      </w:r>
    </w:p>
    <w:p w14:paraId="636E7C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投标人必须向招标人提供外加工或外采购的配件明细、厂名、国别、地址、资质证明、业绩证明、相关证明材料。且在合同执行过程中不可更换配件商。</w:t>
      </w:r>
    </w:p>
    <w:p w14:paraId="1DD76B7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投标人负责采购关于导向系统的所有配件，并负责测试和验收，保证出厂的所有标识牌均为合格。</w:t>
      </w:r>
      <w:bookmarkStart w:id="87" w:name="_Toc340586922"/>
      <w:bookmarkStart w:id="88" w:name="_Toc340586564"/>
      <w:bookmarkStart w:id="89" w:name="_Toc340586388"/>
    </w:p>
    <w:p w14:paraId="4918CA0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90" w:name="_Toc496538111"/>
      <w:r>
        <w:rPr>
          <w:rFonts w:hint="eastAsia" w:ascii="宋体" w:hAnsi="宋体" w:eastAsia="宋体" w:cs="宋体"/>
          <w:color w:val="000000"/>
          <w:szCs w:val="21"/>
          <w:highlight w:val="none"/>
          <w:lang w:val="en-US" w:eastAsia="zh-CN"/>
        </w:rPr>
        <w:t>7.5 设计图样</w:t>
      </w:r>
      <w:bookmarkEnd w:id="90"/>
    </w:p>
    <w:p w14:paraId="5F76765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投标人按照招标人要求进行最终稿的设计后，需提供相应设计矢量图样给招标人，具体图样格式以招标人要求为准。</w:t>
      </w:r>
    </w:p>
    <w:p w14:paraId="231BD8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91" w:name="_Toc496538112"/>
      <w:r>
        <w:rPr>
          <w:rFonts w:hint="eastAsia" w:ascii="宋体" w:hAnsi="宋体" w:eastAsia="宋体" w:cs="宋体"/>
          <w:color w:val="000000"/>
          <w:szCs w:val="21"/>
          <w:highlight w:val="none"/>
          <w:lang w:val="en-US" w:eastAsia="zh-CN"/>
        </w:rPr>
        <w:t>7.6制作</w:t>
      </w:r>
      <w:bookmarkEnd w:id="91"/>
    </w:p>
    <w:p w14:paraId="4166198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投标人应在接到招标人需求后，安排专业人员至现场实地勘察测量，并将各种制作工艺效果图提供招标人；经招标人进行比选后，投标人按照效果图进行制作。 </w:t>
      </w:r>
    </w:p>
    <w:p w14:paraId="19CCA88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对各部件尺寸的准确性负责，并要负责提供所有与此有关的必要的仪器、设备和人手。对于工程中任何部件的任何尺寸或校准方面出现或发生的误差，投标人必须自己承担费用对误差进行纠正，直到达到招标人的要求为止。</w:t>
      </w:r>
    </w:p>
    <w:p w14:paraId="3437BCB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标识牌配件或部件应该标准化生产。</w:t>
      </w:r>
    </w:p>
    <w:p w14:paraId="318D7D1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对背板表面施用薄膜之前，必须先对背板进行适当清洁。</w:t>
      </w:r>
    </w:p>
    <w:p w14:paraId="728FAD0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92" w:name="_Toc496538113"/>
      <w:r>
        <w:rPr>
          <w:rFonts w:hint="eastAsia" w:ascii="宋体" w:hAnsi="宋体" w:eastAsia="宋体" w:cs="宋体"/>
          <w:color w:val="000000"/>
          <w:szCs w:val="21"/>
          <w:highlight w:val="none"/>
          <w:lang w:val="en-US" w:eastAsia="zh-CN"/>
        </w:rPr>
        <w:t>7.7包装、发运</w:t>
      </w:r>
      <w:bookmarkEnd w:id="92"/>
    </w:p>
    <w:p w14:paraId="363226E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制作完毕和表面处理完毕的暴露表面，在装运、搬动和安装过程中，必须用平头胶膜加以保护。</w:t>
      </w:r>
    </w:p>
    <w:p w14:paraId="4062CDA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仓储与搬动过程中，必须按照原材料制造商的指引对材料加以保护，以防止标识牌因受到潮湿、污染、温度变化、阳光直射、作业行为以及其他原因而受到破坏。</w:t>
      </w:r>
    </w:p>
    <w:p w14:paraId="555F0F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根据招标人的要求对设备进行包装并按计划准时发运每批货物至招标人指定地点。</w:t>
      </w:r>
    </w:p>
    <w:p w14:paraId="50F0F26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93" w:name="_Toc496538114"/>
      <w:r>
        <w:rPr>
          <w:rFonts w:hint="eastAsia" w:ascii="宋体" w:hAnsi="宋体" w:eastAsia="宋体" w:cs="宋体"/>
          <w:color w:val="000000"/>
          <w:szCs w:val="21"/>
          <w:highlight w:val="none"/>
          <w:lang w:val="en-US" w:eastAsia="zh-CN"/>
        </w:rPr>
        <w:t>7.8保护与清洁</w:t>
      </w:r>
      <w:bookmarkEnd w:id="93"/>
    </w:p>
    <w:p w14:paraId="1EE522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产品在送运之前，必须按照原材料制造商对各元件/材料的建议对产品进行清洁，在清洁时不可以对暴露部分的表面处理造成损毁。</w:t>
      </w:r>
    </w:p>
    <w:p w14:paraId="1826132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所有产品必须得到充分保护以防在搬动中受损。</w:t>
      </w:r>
    </w:p>
    <w:p w14:paraId="58C2D04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所有产品安装完成后必须将现场清洁完成后，才能离开。</w:t>
      </w:r>
      <w:bookmarkEnd w:id="87"/>
      <w:bookmarkEnd w:id="88"/>
      <w:bookmarkEnd w:id="89"/>
    </w:p>
    <w:p w14:paraId="6227AEF3">
      <w:pPr>
        <w:keepNext w:val="0"/>
        <w:keepLines w:val="0"/>
        <w:pageBreakBefore w:val="0"/>
        <w:numPr>
          <w:ilvl w:val="0"/>
          <w:numId w:val="3"/>
        </w:numPr>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bookmarkStart w:id="94" w:name="_Toc496538115"/>
      <w:bookmarkStart w:id="95" w:name="_Toc208481058"/>
      <w:bookmarkStart w:id="96" w:name="_Toc172623579"/>
      <w:bookmarkStart w:id="97" w:name="_Toc294082658"/>
      <w:r>
        <w:rPr>
          <w:rFonts w:hint="eastAsia" w:ascii="宋体" w:hAnsi="宋体" w:eastAsia="宋体" w:cs="宋体"/>
          <w:b/>
          <w:bCs/>
          <w:color w:val="000000"/>
          <w:szCs w:val="21"/>
          <w:highlight w:val="none"/>
          <w:lang w:val="en-US" w:eastAsia="zh-CN"/>
        </w:rPr>
        <w:t>投标人的质量管理</w:t>
      </w:r>
      <w:bookmarkEnd w:id="94"/>
      <w:bookmarkEnd w:id="95"/>
      <w:bookmarkEnd w:id="96"/>
      <w:bookmarkEnd w:id="97"/>
    </w:p>
    <w:p w14:paraId="5074F7A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8.1投标人必须有明确的项目质量方针、质量目标并按此进行质量管理。</w:t>
      </w:r>
    </w:p>
    <w:p w14:paraId="27A6AF4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8.2投标人必须认真贯彻执行GB/T19001-ISO9001质量保证标准。以完整的质量管理体系对待每一项工作，从项目准备到交工的各个环节都要做到精心组织，科学管理，对施工质量严格要求。</w:t>
      </w:r>
    </w:p>
    <w:p w14:paraId="40B5E49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8.3质量保证</w:t>
      </w:r>
    </w:p>
    <w:p w14:paraId="774969C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8.3.1认真贯彻执行国家、地方、行业及招标人有关部门对设备质量的有关规范、规定和《质量管理和质量保证》体系等有关规定。</w:t>
      </w:r>
    </w:p>
    <w:p w14:paraId="709E602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8.3.2坚持把“质量第一，用户至上”作为质量控制的基本原则。</w:t>
      </w:r>
    </w:p>
    <w:p w14:paraId="0A3D3F3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8.3.3针对质量目标编制质量检验与管理体制实施细则，编制工作关键项目的施工（检修）作业技术措施或作业指导书，并严格执行，做好预防措施、控制质量通病。</w:t>
      </w:r>
    </w:p>
    <w:p w14:paraId="2F3597D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8.3.4选派作业水平较高且有丰富经验的专业人员上岗，并组织学习滁宁城际铁路设备特性和技术标准以及要求，努力提高人员的业务素质，避免人为失误。以人的工作质量保证工序质量、促工程质量，确保作业质量。</w:t>
      </w:r>
    </w:p>
    <w:p w14:paraId="786BE8B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8.3.5“以人为核心”，加强对员工的质量意识教育，充分调动所有施工人员的积极性，增强人的责任感，抓好施工过程中的质量控制，加大质量管理和质量检验力度，虚心接受招标人意见，请招标人质检人员实施监督。</w:t>
      </w:r>
    </w:p>
    <w:p w14:paraId="7C72ACF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8.3.6施工项目保证资料真实、完整、规范、及时、满足要求。</w:t>
      </w:r>
    </w:p>
    <w:p w14:paraId="5FF08B4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8.3.7项目管理标准化，施工操作规范化。</w:t>
      </w:r>
    </w:p>
    <w:p w14:paraId="2385EF7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8.3.8强化项目全过程的质量管理，在项目工作准备阶段主动与招标人取得联系，确保施工质量和项目工期。</w:t>
      </w:r>
    </w:p>
    <w:p w14:paraId="71CD36C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8.3.9加强隐蔽工程的质量管理，隐蔽工程施工（检修）必须经招标人现场质检代表检查，并办好签字手续后方可隐蔽。</w:t>
      </w:r>
    </w:p>
    <w:p w14:paraId="070BA4B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8.3.10 坚持预防为主，确保项目工程的内在质量和外观质量均符合要求。</w:t>
      </w:r>
    </w:p>
    <w:p w14:paraId="2EC28B2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8.3.11对施工（检修）用机具、设备、计量器具严格管理。对施工（检修）用检验、测量和试验设备分类按期进行校验、校准，使用前进行仔细检查，保证使用合格的计量器具。</w:t>
      </w:r>
    </w:p>
    <w:p w14:paraId="44C9EC7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8.3.12认真填写项目记录，做到不合格工序不转序，不合格项目不移交。尤其是对关键工序和特殊过程严加控制，确保工序质量。</w:t>
      </w:r>
    </w:p>
    <w:p w14:paraId="236FF7C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8.3.13认真做好每次开工作业前的准备，工作结束的质量总结。</w:t>
      </w:r>
    </w:p>
    <w:p w14:paraId="17573C6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8.3.14施工过程中发生的质量问题或质量事故要及时报告招标人和投标人的有关部门，投标人必须及时制定处理方案，经招标人和有关部门审批后</w:t>
      </w:r>
      <w:r>
        <w:rPr>
          <w:rFonts w:hint="eastAsia" w:ascii="宋体" w:hAnsi="宋体" w:cs="宋体"/>
          <w:color w:val="000000"/>
          <w:szCs w:val="21"/>
          <w:highlight w:val="none"/>
          <w:lang w:val="en-US" w:eastAsia="zh-CN"/>
        </w:rPr>
        <w:t>实施</w:t>
      </w:r>
      <w:r>
        <w:rPr>
          <w:rFonts w:hint="eastAsia" w:ascii="宋体" w:hAnsi="宋体" w:eastAsia="宋体" w:cs="宋体"/>
          <w:color w:val="000000"/>
          <w:szCs w:val="21"/>
          <w:highlight w:val="none"/>
          <w:lang w:val="en-US" w:eastAsia="zh-CN"/>
        </w:rPr>
        <w:t>。</w:t>
      </w:r>
    </w:p>
    <w:p w14:paraId="3552F5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8.3.15检测班组应对工作内容认真自检，确认合格后，再报招标人确认。</w:t>
      </w:r>
    </w:p>
    <w:p w14:paraId="04B9245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8.3.16 管理人员必须对施工现场跟踪检查，发现问题及时组织处理。</w:t>
      </w:r>
    </w:p>
    <w:p w14:paraId="621CACA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8.3.17项目工作完成后，及时整理完工资料，并交付招标人有关部门审核、确认。</w:t>
      </w:r>
    </w:p>
    <w:p w14:paraId="1F29624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8.4 质量管理组织机构及主要职责</w:t>
      </w:r>
    </w:p>
    <w:p w14:paraId="10F61C0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投标人必须提供该项目的质量管理组织架构图及各岗位的主要职责。</w:t>
      </w:r>
    </w:p>
    <w:p w14:paraId="23F97B5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8.5投标人必须有明确的安全质量检验标准及技术规范并参照执行。</w:t>
      </w:r>
    </w:p>
    <w:p w14:paraId="5444CEE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8.6 除非另有规定，本项目应按中国技术规范和标准设计及施工（检修）作业。如遇遗漏所需项目实施的作业规范，应征得招标人同意，补充规范以满足合同要求。原则上没有国家标准、规范的，适用行业标准、规范；没有国家和行业标准、规范的，适用工程所在地地方标准、规范；国内没有相应标准、规范的，由招标人向投标人提出施工（检修）作业技术要求，投标人提出施工（检修）工艺，经招标人批准后执行。</w:t>
      </w:r>
    </w:p>
    <w:p w14:paraId="59C6919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8.7文件资料控制</w:t>
      </w:r>
    </w:p>
    <w:p w14:paraId="1B8044F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8.7.1所有与项目相关文件和记录应分别进行编号、分类、登记、发放、传递、保管和回收，必须与招标人管理同步。</w:t>
      </w:r>
    </w:p>
    <w:p w14:paraId="56EDD1A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8.7.2施工图纸及施工计划、任务单、各类施工会议纪要（记录）按程序文件的要求统一编号、分类、登记、标识、存档，按招标人批准的范围发放、传递。</w:t>
      </w:r>
    </w:p>
    <w:p w14:paraId="5E1E292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8.7.3如施工项目修改原设计，投标人必须征得招标人同意并在施工资料相应位置明确标识，并将修改存档，同时将修改指令复印件附在检修图中。对作废图纸应及时回收，交招标人统一处理。</w:t>
      </w:r>
    </w:p>
    <w:p w14:paraId="6A5394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8.7.4有一整套施工规范、标准等文件，对于标准的更新及规程、规范的变化应及时报告招标人，并在相应部位做代替说明，待业方批准后执行。</w:t>
      </w:r>
    </w:p>
    <w:p w14:paraId="01F4D5D9">
      <w:pPr>
        <w:keepNext w:val="0"/>
        <w:keepLines w:val="0"/>
        <w:pageBreakBefore w:val="0"/>
        <w:numPr>
          <w:ilvl w:val="0"/>
          <w:numId w:val="3"/>
        </w:numPr>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bookmarkStart w:id="98" w:name="_Toc496538116"/>
      <w:bookmarkStart w:id="99" w:name="_Toc172623580"/>
      <w:bookmarkStart w:id="100" w:name="_Toc208481059"/>
      <w:bookmarkStart w:id="101" w:name="_Toc294082659"/>
      <w:r>
        <w:rPr>
          <w:rFonts w:hint="eastAsia" w:ascii="宋体" w:hAnsi="宋体" w:eastAsia="宋体" w:cs="宋体"/>
          <w:b/>
          <w:bCs/>
          <w:color w:val="000000"/>
          <w:szCs w:val="21"/>
          <w:highlight w:val="none"/>
          <w:lang w:val="en-US" w:eastAsia="zh-CN"/>
        </w:rPr>
        <w:t>投标人的安全管理</w:t>
      </w:r>
      <w:bookmarkEnd w:id="98"/>
      <w:bookmarkEnd w:id="99"/>
      <w:bookmarkEnd w:id="100"/>
      <w:bookmarkEnd w:id="101"/>
    </w:p>
    <w:p w14:paraId="413FD68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9.1 投标人必须有明确的该项目的安全目标、安全指标并进行安全管理。</w:t>
      </w:r>
    </w:p>
    <w:p w14:paraId="4321465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9.2 投标人必须提供该项目的安全控制组织架构及主要岗位职责。</w:t>
      </w:r>
    </w:p>
    <w:p w14:paraId="0696A11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9.3安全控制管理制度</w:t>
      </w:r>
    </w:p>
    <w:p w14:paraId="66008E8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9.3.1在作业过程中，首先牢固树立“安全</w:t>
      </w:r>
      <w:r>
        <w:rPr>
          <w:rFonts w:hint="eastAsia" w:ascii="宋体" w:hAnsi="宋体" w:cs="宋体"/>
          <w:color w:val="000000"/>
          <w:szCs w:val="21"/>
          <w:highlight w:val="none"/>
          <w:lang w:val="en-US" w:eastAsia="zh-CN"/>
        </w:rPr>
        <w:t>第一，</w:t>
      </w:r>
      <w:r>
        <w:rPr>
          <w:rFonts w:hint="eastAsia" w:ascii="宋体" w:hAnsi="宋体" w:eastAsia="宋体" w:cs="宋体"/>
          <w:color w:val="000000"/>
          <w:szCs w:val="21"/>
          <w:highlight w:val="none"/>
          <w:lang w:val="en-US" w:eastAsia="zh-CN"/>
        </w:rPr>
        <w:t>预防为主”的思想。</w:t>
      </w:r>
    </w:p>
    <w:p w14:paraId="30548C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9.3.2全面执行投标人发布的安全管理制度：</w:t>
      </w:r>
    </w:p>
    <w:p w14:paraId="3B45AC3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9.3.3全面执行招标人发布的安全管理制度。</w:t>
      </w:r>
    </w:p>
    <w:p w14:paraId="17DB4CE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9.4安全组织、技术措施</w:t>
      </w:r>
    </w:p>
    <w:p w14:paraId="7BAA67B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遵照现行国家及有关部门的安全法规、规范、规定对本项目进行安全管理、健康管理、环境管理，确保安全施工，杜绝一切人身伤亡事故。要有完整的安全管理组织体制，有专兼职安全干部，安全员负责设备检测和日常的安全、防火工作等。</w:t>
      </w:r>
    </w:p>
    <w:p w14:paraId="7C4845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实行“三级”安全管理，坚持“管理施工的同时必须抓安全”，“行政负责人是第一安全责任人”的原则，开展好正常的安全活动。投标人对本合同工作范围内的安全、消防等负责，对本单位进场人员安全工作负责。</w:t>
      </w:r>
    </w:p>
    <w:p w14:paraId="5FD410B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9.4.3强化各级安全监察网络，一级抓一级，层层落实安全生产责任制，抓好安全基础工作，重点放在预防上，有针对性地开展好作业前的安全预想预防工作，在布置工作的同时也要布置安全，认真做好内部的各种</w:t>
      </w:r>
      <w:r>
        <w:rPr>
          <w:rFonts w:hint="eastAsia" w:ascii="宋体" w:hAnsi="宋体" w:cs="宋体"/>
          <w:color w:val="000000"/>
          <w:szCs w:val="21"/>
          <w:highlight w:val="none"/>
          <w:lang w:val="en-US" w:eastAsia="zh-CN"/>
        </w:rPr>
        <w:t>安全管理台账</w:t>
      </w:r>
      <w:r>
        <w:rPr>
          <w:rFonts w:hint="eastAsia" w:ascii="宋体" w:hAnsi="宋体" w:eastAsia="宋体" w:cs="宋体"/>
          <w:color w:val="000000"/>
          <w:szCs w:val="21"/>
          <w:highlight w:val="none"/>
          <w:lang w:val="en-US" w:eastAsia="zh-CN"/>
        </w:rPr>
        <w:t>。</w:t>
      </w:r>
    </w:p>
    <w:p w14:paraId="32FD941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9.4.4制定或执行招标人制定的安全管理制度、安全操作规程及安全奖惩办法等规章制度，强化安全管理。</w:t>
      </w:r>
    </w:p>
    <w:p w14:paraId="38CE353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9.4.5推行安全风险责任制，与招标人签订《安全协议》，缴纳安全保证金。执行《“安全风险抵押金”制度》，从维保负责人到施工人员，逐级签订安全风险责任书。</w:t>
      </w:r>
    </w:p>
    <w:p w14:paraId="1076442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9.4.6专、兼职安全员固定在作业现场，掌握安全动态，加强安全监督管理，抓好安全措施的落实，及时向维保负责人提供安全信息，协助抓好整个项目的安全工作。</w:t>
      </w:r>
    </w:p>
    <w:p w14:paraId="184FF62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9.4.7施工班长、安全员都有责任搞好本单位的施工安全。凡发现有违反安全操作规程者，有权令其停止工作。</w:t>
      </w:r>
    </w:p>
    <w:p w14:paraId="1C0C542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9.4.8加强对职工的安全教育，定期组织安全学习，施工中严格执行安全措施和安全规程，狠抓安全措施的落实，防患于未然。</w:t>
      </w:r>
    </w:p>
    <w:p w14:paraId="7DC0D50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9.4.9在危险作业区域和交叉作业区域，增加临时性安全监察岗，加强预控和监督。</w:t>
      </w:r>
    </w:p>
    <w:p w14:paraId="5168C00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9.4.10各级领导和业务部门定期深入作业现场，进行安全大检查，查思想、查管理、查落实，查隐患，对安全上的薄弱环节绝不放过。</w:t>
      </w:r>
    </w:p>
    <w:p w14:paraId="35F1B0E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9.4.11坚持文明施工，保证施工机械、设备完好和清洁，安全操作规程齐全，持证上岗，施工现场的安全管理、安全设施、安全工器具要符合规定。</w:t>
      </w:r>
    </w:p>
    <w:p w14:paraId="5236017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9.4.12搞好季节施工，针对节假日的职工安全意识松散心理，做好预防措施，合理安排作业，保证作业安全。</w:t>
      </w:r>
    </w:p>
    <w:p w14:paraId="1944176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9.4.13作业现场设置安全标志，安全员上岗监督，作业人员一律戴安全帽，闲杂人员不得进入作业现场；登高时必须佩戴好安全带及安全绳后才能进行高空作业，严禁高空落物。</w:t>
      </w:r>
    </w:p>
    <w:p w14:paraId="3D270BC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9.4.14施工中严格按照安规办事，施工现场坚持特殊工种80%持有效证件上岗作业的准则；所有检测人员应办理招标人场地出入证，进入招标人场地必须执行招标人有关安全、消防和治安管理制度。所有检测人员均要有操作证及经过安全培训，并向招标人提供详细的操作技术等级证书和操作证的复印件供招标人备案。</w:t>
      </w:r>
    </w:p>
    <w:p w14:paraId="2FE136B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9.4.15各分项作业都制定明确的安全保证措施，贯彻执行于作业的全过程。</w:t>
      </w:r>
    </w:p>
    <w:p w14:paraId="3A79BDC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9.4.16加强对机具设备的维护管理，操作前检查；操作人员必须经考试合格，才能上岗，其他人员不能顶岗操作。</w:t>
      </w:r>
    </w:p>
    <w:p w14:paraId="69939F8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9.4.17加强对车辆使用的管理，加强车辆保养和司机安全意识教育；加强所有作业人员在隧道中行走的安全教育，防止行车伤害，杜绝交通事故发生。</w:t>
      </w:r>
    </w:p>
    <w:p w14:paraId="35CE05A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9.4.18作业用临时电源箱，下班后应将闸刀拉开上锁，所有机电设备都应设接地接零等保护装置，严禁乱拉、乱接电源线。</w:t>
      </w:r>
    </w:p>
    <w:p w14:paraId="04EC8F5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9.4.19夏季施工应做好防暑降温工作。</w:t>
      </w:r>
    </w:p>
    <w:p w14:paraId="71C22A4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9.4.20工作负责人必须办理许可手续后方可带领工作人员进入工作现场。</w:t>
      </w:r>
    </w:p>
    <w:p w14:paraId="08DE149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9.4.21在危险区域动火必须到招标人安保部办理动火证。并派专人监护，方可实施。</w:t>
      </w:r>
    </w:p>
    <w:p w14:paraId="6C313B5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9.4.22对设备缺陷的处理工作，必须在工作前将缺陷发生的原因、处理的方法以及处理工作时对现场条件的要求、工作中的安全注意事项等核查清楚。</w:t>
      </w:r>
    </w:p>
    <w:p w14:paraId="73C953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9.4.23对大型作业等较为复杂的施工作业项目，有关人员必须在施工前</w:t>
      </w:r>
      <w:r>
        <w:rPr>
          <w:rFonts w:hint="eastAsia" w:ascii="宋体" w:hAnsi="宋体" w:cs="宋体"/>
          <w:color w:val="000000"/>
          <w:szCs w:val="21"/>
          <w:highlight w:val="none"/>
          <w:lang w:val="en-US" w:eastAsia="zh-CN"/>
        </w:rPr>
        <w:t>深入</w:t>
      </w:r>
      <w:r>
        <w:rPr>
          <w:rFonts w:hint="eastAsia" w:ascii="宋体" w:hAnsi="宋体" w:eastAsia="宋体" w:cs="宋体"/>
          <w:color w:val="000000"/>
          <w:szCs w:val="21"/>
          <w:highlight w:val="none"/>
          <w:lang w:val="en-US" w:eastAsia="zh-CN"/>
        </w:rPr>
        <w:t>现场，对大型施工机械的行走路线和工作位置以及对施工构成障碍的物体等核查清楚，以确定可行的施工方案和作业中的不安全因素，制定可靠的安全防范措施。</w:t>
      </w:r>
    </w:p>
    <w:p w14:paraId="19C7D05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9.4.24保证作业区内的清洁卫生。</w:t>
      </w:r>
    </w:p>
    <w:p w14:paraId="10767EF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9.4.25爱护招标人的现场设施。</w:t>
      </w:r>
    </w:p>
    <w:p w14:paraId="62A34EA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9.4.26投标人人员必须严格遵守招标人及投标人规定的劳动纪律，投标人规定的劳动纪律及各类规章制度、规程不得与招标人的规章制度、规程相违背。</w:t>
      </w:r>
    </w:p>
    <w:p w14:paraId="7C386610">
      <w:pPr>
        <w:keepNext w:val="0"/>
        <w:keepLines w:val="0"/>
        <w:pageBreakBefore w:val="0"/>
        <w:numPr>
          <w:ilvl w:val="0"/>
          <w:numId w:val="3"/>
        </w:numPr>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bookmarkStart w:id="102" w:name="_Toc208481060"/>
      <w:bookmarkStart w:id="103" w:name="_Toc172623581"/>
      <w:bookmarkStart w:id="104" w:name="_Toc496538117"/>
      <w:bookmarkStart w:id="105" w:name="_Toc294082660"/>
      <w:r>
        <w:rPr>
          <w:rFonts w:hint="eastAsia" w:ascii="宋体" w:hAnsi="宋体" w:eastAsia="宋体" w:cs="宋体"/>
          <w:b/>
          <w:bCs/>
          <w:color w:val="000000"/>
          <w:szCs w:val="21"/>
          <w:highlight w:val="none"/>
          <w:lang w:val="en-US" w:eastAsia="zh-CN"/>
        </w:rPr>
        <w:t>投标人的文明施工管理</w:t>
      </w:r>
      <w:bookmarkEnd w:id="102"/>
      <w:bookmarkEnd w:id="103"/>
      <w:bookmarkEnd w:id="104"/>
      <w:bookmarkEnd w:id="105"/>
    </w:p>
    <w:p w14:paraId="1A84597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10.1施工过程中，严格按照“规范化管理、标准化作业”规定要求，实施文明施工管理。</w:t>
      </w:r>
    </w:p>
    <w:p w14:paraId="5C240F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10.2作业过程中，投标人应合理地保持作业现场中不出现不必要的障碍，处置好作业设备及多余材料，保持现场整洁和道路畅通。</w:t>
      </w:r>
    </w:p>
    <w:p w14:paraId="34D8F2F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10.3保护施工区域内各种管线、输电及通信线路、控制开关、生产通道、测量标点等，不得随意破坏、操作、占用。如与其他施工平面发生矛盾，应事先通报招标人，在得到招标人同意后方可按要求执行。如发现未经请示同意而擅自行事，将视其具体情况给予罚款处理。</w:t>
      </w:r>
    </w:p>
    <w:p w14:paraId="77E287C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10.4必须负责施工现场日常卫生清理工作，保证公共环境整洁。</w:t>
      </w:r>
    </w:p>
    <w:p w14:paraId="14E730E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10.5运至施工现场的备品备件，剩余部分由投标人及时回收，并放到招标人指定的地点。</w:t>
      </w:r>
    </w:p>
    <w:p w14:paraId="7C9DE8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10.6施工现场讲文明、讲礼貌，遇事商量解决，严禁打架、斗殴。</w:t>
      </w:r>
    </w:p>
    <w:p w14:paraId="0BF057C0">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br w:type="page"/>
      </w:r>
    </w:p>
    <w:p w14:paraId="2C878109">
      <w:pPr>
        <w:snapToGrid w:val="0"/>
        <w:spacing w:line="400" w:lineRule="exact"/>
        <w:ind w:firstLine="420"/>
        <w:jc w:val="center"/>
        <w:rPr>
          <w:rFonts w:ascii="宋体" w:hAnsi="Times New Roman" w:eastAsia="宋体" w:cs="Times New Roman"/>
          <w:b/>
          <w:sz w:val="32"/>
          <w:szCs w:val="32"/>
          <w:highlight w:val="none"/>
        </w:rPr>
      </w:pPr>
      <w:bookmarkStart w:id="106" w:name="_Toc21484"/>
      <w:r>
        <w:rPr>
          <w:rFonts w:hint="eastAsia" w:ascii="宋体" w:hAnsi="Times New Roman" w:eastAsia="宋体" w:cs="Times New Roman"/>
          <w:b/>
          <w:sz w:val="32"/>
          <w:szCs w:val="32"/>
          <w:highlight w:val="none"/>
        </w:rPr>
        <w:t>第六章  合同条款及格式</w:t>
      </w:r>
      <w:bookmarkEnd w:id="106"/>
    </w:p>
    <w:p w14:paraId="5F2BD116">
      <w:pPr>
        <w:spacing w:line="360" w:lineRule="auto"/>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甲方（委托方）：</w:t>
      </w:r>
      <w:r>
        <w:rPr>
          <w:rFonts w:hint="eastAsia" w:ascii="宋体" w:hAnsi="宋体" w:eastAsia="宋体" w:cs="宋体"/>
          <w:sz w:val="21"/>
          <w:szCs w:val="21"/>
          <w:highlight w:val="none"/>
          <w:u w:val="single"/>
          <w:lang w:eastAsia="zh-CN"/>
        </w:rPr>
        <w:t>滁州市轨道交通运营有限公司</w:t>
      </w:r>
    </w:p>
    <w:p w14:paraId="185E595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乙方（受托方）:  ________________________     </w:t>
      </w:r>
    </w:p>
    <w:p w14:paraId="27FE5A97">
      <w:pPr>
        <w:pStyle w:val="5"/>
        <w:ind w:left="0" w:leftChars="0" w:firstLine="0" w:firstLineChars="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根据《中华人民共和国民法典》等法律法规的相关规定，本着自愿、平等、诚信的原则，经双方协商一致，就甲方委托乙方提供【</w:t>
      </w:r>
      <w:r>
        <w:rPr>
          <w:rFonts w:hint="eastAsia" w:ascii="宋体" w:hAnsi="宋体" w:eastAsia="宋体" w:cs="宋体"/>
          <w:color w:val="auto"/>
          <w:kern w:val="2"/>
          <w:sz w:val="21"/>
          <w:szCs w:val="21"/>
          <w:highlight w:val="none"/>
          <w:lang w:val="en-US" w:eastAsia="zh-CN" w:bidi="ar-SA"/>
        </w:rPr>
        <w:t>滁州轨道运营标识标牌及VI制作安装项目（2025年-2026年）</w:t>
      </w:r>
      <w:r>
        <w:rPr>
          <w:rFonts w:hint="eastAsia" w:ascii="宋体" w:hAnsi="宋体" w:eastAsia="宋体" w:cs="宋体"/>
          <w:sz w:val="21"/>
          <w:szCs w:val="21"/>
          <w:highlight w:val="none"/>
          <w:lang w:eastAsia="zh-CN"/>
        </w:rPr>
        <w:t>】服务相关事宜，签订本合同，以资共同遵守。</w:t>
      </w:r>
    </w:p>
    <w:p w14:paraId="49895610">
      <w:pPr>
        <w:spacing w:line="360" w:lineRule="auto"/>
        <w:ind w:firstLine="420" w:firstLineChars="200"/>
        <w:rPr>
          <w:rFonts w:hint="eastAsia" w:ascii="宋体" w:hAnsi="宋体" w:eastAsia="宋体" w:cs="宋体"/>
          <w:sz w:val="21"/>
          <w:szCs w:val="21"/>
          <w:highlight w:val="none"/>
          <w:lang w:eastAsia="zh-CN"/>
        </w:rPr>
      </w:pPr>
    </w:p>
    <w:p w14:paraId="06CACEDF">
      <w:pPr>
        <w:spacing w:line="360" w:lineRule="auto"/>
        <w:rPr>
          <w:rFonts w:ascii="宋体" w:hAnsi="宋体" w:eastAsia="宋体" w:cs="宋体"/>
          <w:b/>
          <w:sz w:val="21"/>
          <w:szCs w:val="21"/>
          <w:highlight w:val="none"/>
          <w:lang w:eastAsia="zh-CN"/>
        </w:rPr>
      </w:pPr>
      <w:bookmarkStart w:id="107" w:name="_Toc376824508"/>
      <w:bookmarkStart w:id="108" w:name="_Toc152571734"/>
      <w:bookmarkStart w:id="109" w:name="_Toc376824481"/>
      <w:bookmarkStart w:id="110" w:name="_Toc376824381"/>
      <w:r>
        <w:rPr>
          <w:rFonts w:hint="eastAsia" w:ascii="宋体" w:hAnsi="宋体" w:eastAsia="宋体" w:cs="宋体"/>
          <w:b/>
          <w:sz w:val="21"/>
          <w:szCs w:val="21"/>
          <w:highlight w:val="none"/>
          <w:lang w:eastAsia="zh-CN"/>
        </w:rPr>
        <w:t>第一条  服务事项</w:t>
      </w:r>
    </w:p>
    <w:p w14:paraId="3A4997AB">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1.1 服务内容</w:t>
      </w:r>
    </w:p>
    <w:p w14:paraId="5B274310">
      <w:pPr>
        <w:spacing w:line="360" w:lineRule="auto"/>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1.在甲方要求的时间内，乙方向甲方提供【</w:t>
      </w:r>
      <w:r>
        <w:rPr>
          <w:rFonts w:hint="eastAsia" w:ascii="宋体" w:hAnsi="宋体" w:eastAsia="宋体" w:cs="宋体"/>
          <w:sz w:val="21"/>
          <w:szCs w:val="21"/>
          <w:highlight w:val="none"/>
          <w:u w:val="single"/>
          <w:lang w:eastAsia="zh-CN"/>
        </w:rPr>
        <w:t xml:space="preserve">            的技术服务，包括         等，以满足甲方              需求。】</w:t>
      </w:r>
    </w:p>
    <w:p w14:paraId="6FEC11F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2.乙方应当按照甲方指定的项目、服务内容和服务进度安排提供相应技术服务，</w:t>
      </w:r>
      <w:r>
        <w:rPr>
          <w:rFonts w:hint="eastAsia" w:ascii="宋体" w:hAnsi="宋体" w:eastAsia="宋体" w:cs="宋体"/>
          <w:sz w:val="21"/>
          <w:szCs w:val="21"/>
          <w:highlight w:val="none"/>
          <w:lang w:eastAsia="zh-CN"/>
        </w:rPr>
        <w:t>具体服务事项以合同附件一用户需求书或甲方的书面要求为准。</w:t>
      </w:r>
    </w:p>
    <w:p w14:paraId="609D4402">
      <w:pPr>
        <w:spacing w:line="360" w:lineRule="auto"/>
        <w:rPr>
          <w:rFonts w:ascii="宋体" w:hAnsi="宋体" w:eastAsia="宋体" w:cs="宋体"/>
          <w:sz w:val="21"/>
          <w:szCs w:val="21"/>
          <w:highlight w:val="none"/>
          <w:lang w:eastAsia="zh-CN"/>
        </w:rPr>
      </w:pPr>
      <w:r>
        <w:rPr>
          <w:rFonts w:hint="eastAsia" w:ascii="宋体" w:hAnsi="宋体" w:eastAsia="宋体" w:cs="宋体"/>
          <w:b/>
          <w:bCs/>
          <w:sz w:val="21"/>
          <w:szCs w:val="21"/>
          <w:highlight w:val="none"/>
          <w:lang w:eastAsia="zh-CN"/>
        </w:rPr>
        <w:t>1.2 服务期限</w:t>
      </w:r>
    </w:p>
    <w:p w14:paraId="0FE0E9D3">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除非根据本合同条款延期或提前终止，本合同项下服务期限自____年__月__日起</w:t>
      </w:r>
      <w:r>
        <w:rPr>
          <w:rFonts w:hint="eastAsia" w:ascii="宋体" w:hAnsi="宋体" w:eastAsia="宋体" w:cs="宋体"/>
          <w:color w:val="C00000"/>
          <w:sz w:val="21"/>
          <w:szCs w:val="21"/>
          <w:highlight w:val="none"/>
          <w:lang w:eastAsia="zh-CN"/>
        </w:rPr>
        <w:t>至____年__月__日。</w:t>
      </w:r>
    </w:p>
    <w:p w14:paraId="7BC0D33C">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1.3 服务验收标准</w:t>
      </w:r>
    </w:p>
    <w:p w14:paraId="0FABA1A8">
      <w:pPr>
        <w:spacing w:line="360" w:lineRule="auto"/>
        <w:ind w:firstLine="536"/>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p>
    <w:p w14:paraId="5C641AD3">
      <w:pPr>
        <w:spacing w:line="360" w:lineRule="auto"/>
        <w:rPr>
          <w:rFonts w:hint="eastAsia" w:ascii="宋体" w:hAnsi="宋体" w:eastAsia="宋体" w:cs="宋体"/>
          <w:b/>
          <w:sz w:val="21"/>
          <w:szCs w:val="21"/>
          <w:highlight w:val="none"/>
          <w:lang w:eastAsia="zh-CN"/>
        </w:rPr>
      </w:pPr>
      <w:bookmarkStart w:id="111" w:name="_Toc298258571"/>
      <w:bookmarkStart w:id="112" w:name="_Toc424651533"/>
      <w:bookmarkStart w:id="113" w:name="_Toc297806527"/>
      <w:bookmarkStart w:id="114" w:name="_Toc297806550"/>
      <w:bookmarkStart w:id="115" w:name="_Toc221503541"/>
    </w:p>
    <w:p w14:paraId="06F0F746">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第二条  承诺及保证</w:t>
      </w:r>
      <w:bookmarkEnd w:id="111"/>
      <w:bookmarkEnd w:id="112"/>
      <w:bookmarkEnd w:id="113"/>
      <w:bookmarkEnd w:id="114"/>
      <w:bookmarkEnd w:id="115"/>
    </w:p>
    <w:p w14:paraId="48DAF73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2.1 双方承诺及保证</w:t>
      </w:r>
    </w:p>
    <w:p w14:paraId="0AD8830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1.双方均系依照中国法律设立并合法、有效存续的公司或组织，完全有权签订本合同，并且有能力履行本合同项下义务；</w:t>
      </w:r>
    </w:p>
    <w:p w14:paraId="65B35729">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0C028126">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15A10A59">
      <w:pPr>
        <w:spacing w:line="360" w:lineRule="auto"/>
        <w:rPr>
          <w:rFonts w:hint="eastAsia" w:ascii="宋体" w:hAnsi="宋体" w:eastAsia="宋体" w:cs="宋体"/>
          <w:b/>
          <w:sz w:val="21"/>
          <w:szCs w:val="21"/>
          <w:highlight w:val="none"/>
          <w:lang w:eastAsia="zh-CN"/>
        </w:rPr>
      </w:pPr>
      <w:bookmarkStart w:id="116" w:name="_Toc297806528"/>
      <w:bookmarkStart w:id="117" w:name="_Toc297806551"/>
      <w:r>
        <w:rPr>
          <w:rFonts w:hint="eastAsia" w:ascii="宋体" w:hAnsi="宋体" w:eastAsia="宋体" w:cs="宋体"/>
          <w:b/>
          <w:sz w:val="21"/>
          <w:szCs w:val="21"/>
          <w:highlight w:val="none"/>
          <w:lang w:eastAsia="zh-CN"/>
        </w:rPr>
        <w:t>2.2 乙方承诺及保证</w:t>
      </w:r>
      <w:bookmarkEnd w:id="116"/>
      <w:bookmarkEnd w:id="117"/>
    </w:p>
    <w:p w14:paraId="5F7142A4">
      <w:pPr>
        <w:spacing w:line="360" w:lineRule="auto"/>
        <w:rPr>
          <w:rFonts w:hint="eastAsia" w:ascii="宋体" w:hAnsi="宋体" w:eastAsia="宋体" w:cs="宋体"/>
          <w:sz w:val="21"/>
          <w:szCs w:val="21"/>
          <w:highlight w:val="none"/>
          <w:lang w:eastAsia="zh-CN"/>
        </w:rPr>
      </w:pPr>
      <w:r>
        <w:rPr>
          <w:rFonts w:hint="eastAsia" w:ascii="宋体" w:hAnsi="宋体" w:eastAsia="宋体" w:cs="宋体"/>
          <w:b/>
          <w:sz w:val="21"/>
          <w:szCs w:val="21"/>
          <w:highlight w:val="none"/>
          <w:lang w:eastAsia="zh-CN"/>
        </w:rPr>
        <w:t xml:space="preserve">    </w:t>
      </w:r>
      <w:r>
        <w:rPr>
          <w:rFonts w:hint="eastAsia" w:ascii="宋体" w:hAnsi="宋体" w:eastAsia="宋体" w:cs="宋体"/>
          <w:sz w:val="21"/>
          <w:szCs w:val="21"/>
          <w:highlight w:val="none"/>
          <w:lang w:eastAsia="zh-CN"/>
        </w:rPr>
        <w:t>1.乙方保证其具有向甲方提供本合同约定的技术服务的相关资质；</w:t>
      </w:r>
    </w:p>
    <w:p w14:paraId="23B4B10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    2.乙方提供的服务和提交的工作成果将符合所有适用的专业标准与规定，不会侵犯任何第三方所拥有的知识产权；</w:t>
      </w:r>
    </w:p>
    <w:p w14:paraId="2DFE553C">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3.乙方保证向甲方提供的与服务事项及服务人员相关的全部资料均真实、全面；</w:t>
      </w:r>
    </w:p>
    <w:p w14:paraId="12F8D828">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056BC625">
      <w:pPr>
        <w:spacing w:line="360" w:lineRule="auto"/>
        <w:ind w:firstLine="420" w:firstLineChars="200"/>
        <w:rPr>
          <w:rFonts w:hint="eastAsia" w:ascii="宋体" w:hAnsi="宋体" w:eastAsia="宋体" w:cs="宋体"/>
          <w:b/>
          <w:sz w:val="21"/>
          <w:szCs w:val="21"/>
          <w:highlight w:val="none"/>
          <w:lang w:eastAsia="zh-CN"/>
        </w:rPr>
      </w:pPr>
      <w:r>
        <w:rPr>
          <w:rFonts w:hint="eastAsia" w:ascii="宋体" w:hAnsi="宋体" w:eastAsia="宋体" w:cs="宋体"/>
          <w:sz w:val="21"/>
          <w:szCs w:val="21"/>
          <w:highlight w:val="none"/>
          <w:lang w:eastAsia="zh-CN"/>
        </w:rPr>
        <w:t>5.其他承诺与保证：__________。</w:t>
      </w:r>
      <w:r>
        <w:rPr>
          <w:rFonts w:hint="eastAsia" w:ascii="宋体" w:hAnsi="宋体" w:eastAsia="宋体" w:cs="宋体"/>
          <w:color w:val="auto"/>
          <w:sz w:val="21"/>
          <w:szCs w:val="21"/>
          <w:highlight w:val="none"/>
          <w:lang w:eastAsia="zh-CN"/>
        </w:rPr>
        <w:t>(请根据项目实际情况，在该横线处增加其他信息。)</w:t>
      </w:r>
      <w:bookmarkStart w:id="118" w:name="_Toc297806552"/>
      <w:bookmarkStart w:id="119" w:name="_Toc221503542"/>
      <w:bookmarkStart w:id="120" w:name="_Toc298258572"/>
      <w:bookmarkStart w:id="121" w:name="_Toc424651534"/>
      <w:bookmarkStart w:id="122" w:name="_Toc297806529"/>
    </w:p>
    <w:p w14:paraId="4AAD3F3F">
      <w:pPr>
        <w:spacing w:line="360" w:lineRule="auto"/>
        <w:rPr>
          <w:rFonts w:hint="eastAsia" w:ascii="宋体" w:hAnsi="宋体" w:eastAsia="宋体" w:cs="宋体"/>
          <w:b/>
          <w:sz w:val="21"/>
          <w:szCs w:val="21"/>
          <w:highlight w:val="none"/>
          <w:lang w:eastAsia="zh-CN"/>
        </w:rPr>
      </w:pPr>
    </w:p>
    <w:p w14:paraId="2649F2A0">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第三条  乙方的服务团队</w:t>
      </w:r>
      <w:bookmarkEnd w:id="118"/>
      <w:bookmarkEnd w:id="119"/>
      <w:bookmarkEnd w:id="120"/>
      <w:bookmarkEnd w:id="121"/>
      <w:bookmarkEnd w:id="122"/>
    </w:p>
    <w:p w14:paraId="2C05CDF4">
      <w:pPr>
        <w:spacing w:line="360" w:lineRule="auto"/>
        <w:rPr>
          <w:rFonts w:hint="eastAsia" w:ascii="宋体" w:hAnsi="宋体" w:eastAsia="宋体" w:cs="宋体"/>
          <w:sz w:val="21"/>
          <w:szCs w:val="21"/>
          <w:highlight w:val="none"/>
          <w:lang w:eastAsia="zh-CN"/>
        </w:rPr>
      </w:pPr>
      <w:bookmarkStart w:id="123" w:name="_Toc297806530"/>
      <w:bookmarkStart w:id="124" w:name="_Toc297806553"/>
      <w:r>
        <w:rPr>
          <w:rFonts w:hint="eastAsia" w:ascii="宋体" w:hAnsi="宋体" w:eastAsia="宋体" w:cs="宋体"/>
          <w:sz w:val="21"/>
          <w:szCs w:val="21"/>
          <w:highlight w:val="none"/>
          <w:lang w:eastAsia="zh-CN"/>
        </w:rPr>
        <w:t>3.1 乙方项目组的核心成员为：项目负责人_____；其他项目组成员、团队结构及资历介绍见</w:t>
      </w:r>
      <w:r>
        <w:rPr>
          <w:rFonts w:hint="eastAsia" w:ascii="宋体" w:hAnsi="宋体" w:eastAsia="宋体" w:cs="宋体"/>
          <w:sz w:val="21"/>
          <w:szCs w:val="21"/>
          <w:highlight w:val="none"/>
          <w:lang w:eastAsia="zh-CN"/>
        </w:rPr>
        <w:t>本合同附件三：项目组成员</w:t>
      </w:r>
      <w:r>
        <w:rPr>
          <w:rFonts w:hint="eastAsia" w:ascii="宋体" w:hAnsi="宋体" w:eastAsia="宋体" w:cs="宋体"/>
          <w:sz w:val="21"/>
          <w:szCs w:val="21"/>
          <w:highlight w:val="none"/>
          <w:lang w:eastAsia="zh-CN"/>
        </w:rPr>
        <w:t>。未经甲方事先书面同意，乙方不得更换、减少项目组核心成员</w:t>
      </w:r>
      <w:bookmarkEnd w:id="123"/>
      <w:bookmarkEnd w:id="124"/>
      <w:r>
        <w:rPr>
          <w:rFonts w:hint="eastAsia" w:ascii="宋体" w:hAnsi="宋体" w:eastAsia="宋体" w:cs="宋体"/>
          <w:sz w:val="21"/>
          <w:szCs w:val="21"/>
          <w:highlight w:val="none"/>
          <w:lang w:eastAsia="zh-CN"/>
        </w:rPr>
        <w:t>。</w:t>
      </w:r>
    </w:p>
    <w:p w14:paraId="02DF717B">
      <w:pPr>
        <w:spacing w:line="360" w:lineRule="auto"/>
        <w:rPr>
          <w:rFonts w:hint="eastAsia" w:ascii="宋体" w:hAnsi="宋体" w:eastAsia="宋体" w:cs="宋体"/>
          <w:sz w:val="21"/>
          <w:szCs w:val="21"/>
          <w:highlight w:val="none"/>
          <w:lang w:eastAsia="zh-CN"/>
        </w:rPr>
      </w:pPr>
      <w:bookmarkStart w:id="125" w:name="_Toc297806554"/>
      <w:bookmarkStart w:id="126" w:name="_Toc297806531"/>
      <w:r>
        <w:rPr>
          <w:rFonts w:hint="eastAsia" w:ascii="宋体" w:hAnsi="宋体" w:eastAsia="宋体" w:cs="宋体"/>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125"/>
      <w:bookmarkEnd w:id="126"/>
    </w:p>
    <w:p w14:paraId="380F023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3.3 乙方应根据甲方要求及时无条件地更换不合格的项目组成员。</w:t>
      </w:r>
    </w:p>
    <w:p w14:paraId="1A0C7F92">
      <w:pPr>
        <w:spacing w:line="360" w:lineRule="auto"/>
        <w:rPr>
          <w:rFonts w:hint="eastAsia" w:ascii="宋体" w:hAnsi="宋体" w:eastAsia="宋体" w:cs="宋体"/>
          <w:sz w:val="21"/>
          <w:szCs w:val="21"/>
          <w:highlight w:val="none"/>
          <w:lang w:eastAsia="zh-CN"/>
        </w:rPr>
      </w:pPr>
    </w:p>
    <w:p w14:paraId="79F1319E">
      <w:pPr>
        <w:spacing w:line="360" w:lineRule="auto"/>
        <w:rPr>
          <w:rFonts w:ascii="宋体" w:hAnsi="宋体" w:eastAsia="宋体" w:cs="宋体"/>
          <w:b/>
          <w:sz w:val="21"/>
          <w:szCs w:val="21"/>
          <w:highlight w:val="none"/>
          <w:lang w:eastAsia="zh-CN"/>
        </w:rPr>
      </w:pPr>
      <w:bookmarkStart w:id="127" w:name="_Toc298258573"/>
      <w:bookmarkStart w:id="128" w:name="_Toc297806557"/>
      <w:bookmarkStart w:id="129" w:name="_Toc221503543"/>
      <w:bookmarkStart w:id="130" w:name="_Toc297806534"/>
      <w:bookmarkStart w:id="131" w:name="_Toc424651535"/>
      <w:r>
        <w:rPr>
          <w:rFonts w:hint="eastAsia" w:ascii="宋体" w:hAnsi="宋体" w:eastAsia="宋体" w:cs="宋体"/>
          <w:b/>
          <w:sz w:val="21"/>
          <w:szCs w:val="21"/>
          <w:highlight w:val="none"/>
          <w:lang w:eastAsia="zh-CN"/>
        </w:rPr>
        <w:t>第四条  服务费用</w:t>
      </w:r>
      <w:bookmarkEnd w:id="127"/>
      <w:bookmarkEnd w:id="128"/>
      <w:bookmarkEnd w:id="129"/>
      <w:bookmarkEnd w:id="130"/>
      <w:bookmarkEnd w:id="131"/>
      <w:r>
        <w:rPr>
          <w:rFonts w:hint="eastAsia" w:ascii="宋体" w:hAnsi="宋体" w:eastAsia="宋体" w:cs="宋体"/>
          <w:b/>
          <w:sz w:val="21"/>
          <w:szCs w:val="21"/>
          <w:highlight w:val="none"/>
          <w:lang w:eastAsia="zh-CN"/>
        </w:rPr>
        <w:t>及支付方式</w:t>
      </w:r>
    </w:p>
    <w:p w14:paraId="393A2BE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4.1 </w:t>
      </w:r>
      <w:r>
        <w:rPr>
          <w:rFonts w:hint="eastAsia" w:ascii="宋体" w:hAnsi="宋体" w:eastAsia="宋体" w:cs="宋体"/>
          <w:color w:val="auto"/>
          <w:sz w:val="21"/>
          <w:szCs w:val="21"/>
          <w:highlight w:val="none"/>
          <w:lang w:eastAsia="zh-CN"/>
        </w:rPr>
        <w:t>本项目</w:t>
      </w:r>
      <w:r>
        <w:rPr>
          <w:rFonts w:hint="eastAsia" w:ascii="宋体" w:hAnsi="宋体" w:eastAsia="宋体" w:cs="宋体"/>
          <w:color w:val="auto"/>
          <w:sz w:val="21"/>
          <w:szCs w:val="21"/>
          <w:highlight w:val="none"/>
        </w:rPr>
        <w:t>按实际发生支付，</w:t>
      </w:r>
      <w:r>
        <w:rPr>
          <w:rFonts w:hint="eastAsia" w:ascii="宋体" w:hAnsi="宋体" w:eastAsia="宋体" w:cs="宋体"/>
          <w:color w:val="auto"/>
          <w:sz w:val="21"/>
          <w:szCs w:val="21"/>
          <w:highlight w:val="none"/>
          <w:lang w:eastAsia="zh-CN"/>
        </w:rPr>
        <w:t>具体</w:t>
      </w:r>
      <w:r>
        <w:rPr>
          <w:rFonts w:hint="eastAsia" w:ascii="宋体" w:hAnsi="宋体" w:cs="宋体"/>
          <w:color w:val="auto"/>
          <w:sz w:val="21"/>
          <w:szCs w:val="21"/>
          <w:highlight w:val="none"/>
          <w:lang w:eastAsia="zh-CN"/>
        </w:rPr>
        <w:t>费用</w:t>
      </w:r>
      <w:r>
        <w:rPr>
          <w:rFonts w:hint="eastAsia" w:ascii="宋体" w:hAnsi="宋体" w:eastAsia="宋体" w:cs="宋体"/>
          <w:color w:val="auto"/>
          <w:sz w:val="21"/>
          <w:szCs w:val="21"/>
          <w:highlight w:val="none"/>
          <w:lang w:eastAsia="zh-CN"/>
        </w:rPr>
        <w:t>详见第四章合同价款明细。</w:t>
      </w:r>
      <w:r>
        <w:rPr>
          <w:rFonts w:hint="eastAsia" w:ascii="宋体" w:hAnsi="宋体" w:eastAsia="宋体" w:cs="宋体"/>
          <w:color w:val="auto"/>
          <w:sz w:val="21"/>
          <w:szCs w:val="21"/>
          <w:highlight w:val="none"/>
        </w:rPr>
        <w:t>本项目</w:t>
      </w:r>
      <w:r>
        <w:rPr>
          <w:rFonts w:hint="eastAsia" w:ascii="宋体" w:hAnsi="宋体" w:eastAsia="宋体" w:cs="宋体"/>
          <w:color w:val="auto"/>
          <w:kern w:val="0"/>
          <w:sz w:val="21"/>
          <w:szCs w:val="21"/>
          <w:highlight w:val="none"/>
        </w:rPr>
        <w:t>税率为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sz w:val="21"/>
          <w:szCs w:val="21"/>
          <w:highlight w:val="none"/>
          <w:lang w:eastAsia="zh-CN"/>
        </w:rPr>
        <w:t>（以下简称“服务费用”）。</w:t>
      </w:r>
      <w:r>
        <w:rPr>
          <w:rFonts w:hint="eastAsia" w:ascii="宋体" w:hAnsi="宋体" w:eastAsia="宋体" w:cs="宋体"/>
          <w:sz w:val="21"/>
          <w:szCs w:val="21"/>
          <w:highlight w:val="none"/>
          <w:lang w:eastAsia="zh-CN"/>
        </w:rPr>
        <w:t xml:space="preserve"> </w:t>
      </w:r>
    </w:p>
    <w:p w14:paraId="3616D6E6">
      <w:pPr>
        <w:spacing w:line="360" w:lineRule="auto"/>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4.2 支付方式</w:t>
      </w:r>
    </w:p>
    <w:p w14:paraId="41E24624">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甲方应按下列第_</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_种方式向乙方支付服务费用：</w:t>
      </w:r>
    </w:p>
    <w:p w14:paraId="0E276ADE">
      <w:pPr>
        <w:spacing w:line="360" w:lineRule="auto"/>
        <w:ind w:firstLine="420" w:firstLineChars="200"/>
        <w:rPr>
          <w:rFonts w:hint="default" w:ascii="Therese" w:hAnsi="Therese" w:eastAsia="方正公文小标宋" w:cs="Therese"/>
          <w:sz w:val="21"/>
          <w:szCs w:val="21"/>
          <w:highlight w:val="none"/>
          <w:lang w:eastAsia="zh-CN"/>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lang w:val="en-US" w:eastAsia="zh-CN"/>
        </w:rPr>
        <w:t>一次性支付</w:t>
      </w:r>
      <w:r>
        <w:rPr>
          <w:rFonts w:hint="eastAsia" w:ascii="宋体" w:hAnsi="宋体" w:eastAsia="宋体" w:cs="宋体"/>
          <w:sz w:val="21"/>
          <w:szCs w:val="21"/>
          <w:highlight w:val="none"/>
          <w:lang w:eastAsia="zh-CN"/>
        </w:rPr>
        <w:t>：</w:t>
      </w:r>
      <w:r>
        <w:rPr>
          <w:rFonts w:hint="eastAsia" w:ascii="Times New Roman" w:hAnsi="Times New Roman" w:eastAsia="宋体" w:cs="Times New Roman"/>
          <w:highlight w:val="none"/>
        </w:rPr>
        <w:t>全部标识标牌及VI需求制作安装完成并经招标人验收合格，中标人按招标人要求提交正确无误的支付请求、相应服务工作完成证明文件、相应款项的增值税专用发票等有效付款单据后，一次性付清全部服务费用。以上费用，招标人收到相应款项的增值税专用发票并经审批后于30个工作日内向中标人支付</w:t>
      </w:r>
      <w:r>
        <w:rPr>
          <w:rFonts w:hint="eastAsia" w:ascii="宋体" w:hAnsi="宋体" w:eastAsia="宋体" w:cs="宋体"/>
          <w:sz w:val="21"/>
          <w:szCs w:val="21"/>
          <w:highlight w:val="none"/>
          <w:lang w:eastAsia="zh-CN"/>
        </w:rPr>
        <w:t>。</w:t>
      </w:r>
    </w:p>
    <w:p w14:paraId="29927D5E">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2.分期付款：</w:t>
      </w:r>
    </w:p>
    <w:p w14:paraId="21C496B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首期付款：【付款条件】，【付款时间】，【付款比例】%，即人民币（大写）_____元(￥_____元)；</w:t>
      </w:r>
    </w:p>
    <w:p w14:paraId="1249214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第二期付款：【付款条件】，【付款时间】，【付款比例】%，即人民币（大写）_____元(￥_____元)；</w:t>
      </w:r>
    </w:p>
    <w:p w14:paraId="2276F47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第三期付款：【付款条件】，【付款时间】，【付款比例】%，即人民币（大写）_____元(￥_____元)；</w:t>
      </w:r>
    </w:p>
    <w:p w14:paraId="77ECBBF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p>
    <w:p w14:paraId="2A58634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末期付款：乙方服务结束且甲方验收通过其提交的所有服务成果，且甲方收到乙方提供的符合要求的增值税发票之后_____日之内，甲方向乙方支付剩余的服务费用人民币（大写）_____元(￥_____元)。</w:t>
      </w:r>
    </w:p>
    <w:p w14:paraId="051FEC46">
      <w:pPr>
        <w:spacing w:line="360" w:lineRule="auto"/>
        <w:ind w:firstLine="420" w:firstLineChars="200"/>
        <w:rPr>
          <w:rFonts w:hint="eastAsia" w:ascii="宋体" w:hAnsi="宋体" w:eastAsia="宋体" w:cs="宋体"/>
          <w:sz w:val="21"/>
          <w:szCs w:val="21"/>
          <w:highlight w:val="none"/>
          <w:lang w:eastAsia="zh-CN"/>
        </w:rPr>
      </w:pPr>
      <w:bookmarkStart w:id="132" w:name="_Toc297808107"/>
      <w:bookmarkEnd w:id="132"/>
      <w:bookmarkStart w:id="133" w:name="_Toc297808108"/>
      <w:bookmarkEnd w:id="133"/>
      <w:bookmarkStart w:id="134" w:name="_Toc297808105"/>
      <w:bookmarkEnd w:id="134"/>
      <w:r>
        <w:rPr>
          <w:rFonts w:hint="eastAsia" w:ascii="宋体" w:hAnsi="宋体" w:eastAsia="宋体" w:cs="宋体"/>
          <w:sz w:val="21"/>
          <w:szCs w:val="21"/>
          <w:highlight w:val="none"/>
          <w:lang w:eastAsia="zh-CN"/>
        </w:rPr>
        <w:t xml:space="preserve">3.合同价款以 </w:t>
      </w:r>
      <w:r>
        <w:rPr>
          <w:rFonts w:hint="eastAsia" w:ascii="宋体" w:hAnsi="宋体" w:eastAsia="宋体" w:cs="宋体"/>
          <w:sz w:val="21"/>
          <w:szCs w:val="21"/>
          <w:highlight w:val="none"/>
          <w:u w:val="single"/>
          <w:lang w:eastAsia="zh-CN"/>
        </w:rPr>
        <w:t xml:space="preserve">  银行转账  </w:t>
      </w:r>
      <w:r>
        <w:rPr>
          <w:rFonts w:hint="eastAsia" w:ascii="宋体" w:hAnsi="宋体" w:eastAsia="宋体" w:cs="宋体"/>
          <w:sz w:val="21"/>
          <w:szCs w:val="21"/>
          <w:highlight w:val="none"/>
          <w:lang w:eastAsia="zh-CN"/>
        </w:rPr>
        <w:t>的方式支付。乙方银行账户信息确认如下：</w:t>
      </w:r>
    </w:p>
    <w:p w14:paraId="51113693">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账户名：</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3D8114A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开户行：</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5AAAD6EC">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账号：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3BBE66A0">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甲方开票信息确认如下：</w:t>
      </w:r>
    </w:p>
    <w:p w14:paraId="381BD8E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单位名称：</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5E35546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纳税人识别号：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F66A702">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地址、电话：</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DB172D2">
      <w:pPr>
        <w:spacing w:line="360" w:lineRule="auto"/>
        <w:ind w:firstLine="420" w:firstLineChars="200"/>
        <w:rPr>
          <w:sz w:val="21"/>
          <w:szCs w:val="21"/>
          <w:highlight w:val="none"/>
          <w:lang w:eastAsia="zh-CN"/>
        </w:rPr>
      </w:pPr>
      <w:r>
        <w:rPr>
          <w:rFonts w:hint="eastAsia" w:ascii="宋体" w:hAnsi="宋体" w:eastAsia="宋体" w:cs="宋体"/>
          <w:sz w:val="21"/>
          <w:szCs w:val="21"/>
          <w:highlight w:val="none"/>
          <w:lang w:eastAsia="zh-CN"/>
        </w:rPr>
        <w:t>开户行、账号：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3E0653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4.3 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以及___等费用）。除另有约定外，甲方无需向乙方另行支付其他任何费用。</w:t>
      </w:r>
      <w:bookmarkStart w:id="135" w:name="_Toc297806535"/>
      <w:bookmarkStart w:id="136" w:name="_Toc297806558"/>
      <w:bookmarkStart w:id="137" w:name="_Toc298258574"/>
      <w:bookmarkStart w:id="138" w:name="_Toc424651536"/>
      <w:bookmarkStart w:id="139" w:name="_Toc221503544"/>
    </w:p>
    <w:p w14:paraId="17F3722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4.4</w:t>
      </w:r>
      <w:r>
        <w:rPr>
          <w:rFonts w:hint="eastAsia" w:ascii="宋体" w:hAnsi="宋体" w:eastAsia="宋体" w:cs="宋体"/>
          <w:sz w:val="21"/>
          <w:szCs w:val="21"/>
          <w:highlight w:val="none"/>
          <w:lang w:eastAsia="zh-CN"/>
        </w:rPr>
        <w:t xml:space="preserve"> 本合同约定的不含税费用，不因国家税率变化而变化。在合同履行期间，如遇国家的税率调整或其他政策影响税率的，则价税合计金额做相应调整。</w:t>
      </w:r>
    </w:p>
    <w:p w14:paraId="41DDBA8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DCA4E74">
      <w:pPr>
        <w:spacing w:line="360" w:lineRule="auto"/>
        <w:ind w:firstLine="210" w:firstLineChars="100"/>
        <w:rPr>
          <w:rFonts w:hint="eastAsia" w:ascii="宋体" w:hAnsi="宋体" w:eastAsia="宋体" w:cs="宋体"/>
          <w:sz w:val="21"/>
          <w:szCs w:val="21"/>
          <w:highlight w:val="none"/>
          <w:lang w:eastAsia="zh-CN"/>
        </w:rPr>
      </w:pPr>
    </w:p>
    <w:p w14:paraId="2ABDABB8">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第五条  履约担保</w:t>
      </w:r>
    </w:p>
    <w:p w14:paraId="360B811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1DB3DDF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5.2 履约保证金由甲方持有，甲方有权在该保证金内扣除任何乙方应付而未付之任何款项</w:t>
      </w:r>
      <w:bookmarkStart w:id="140" w:name="_Hlk18247249"/>
      <w:r>
        <w:rPr>
          <w:rFonts w:hint="eastAsia" w:ascii="宋体" w:hAnsi="宋体" w:eastAsia="宋体" w:cs="宋体"/>
          <w:sz w:val="21"/>
          <w:szCs w:val="21"/>
          <w:highlight w:val="none"/>
          <w:lang w:eastAsia="zh-CN"/>
        </w:rPr>
        <w:t>（包括但不限于合同约定的乙方应支付款项、甲方垫付的其他费用等），</w:t>
      </w:r>
      <w:bookmarkStart w:id="141" w:name="_Hlk17966884"/>
      <w:r>
        <w:rPr>
          <w:rFonts w:hint="eastAsia" w:ascii="宋体" w:hAnsi="宋体" w:eastAsia="宋体" w:cs="宋体"/>
          <w:sz w:val="21"/>
          <w:szCs w:val="21"/>
          <w:highlight w:val="none"/>
          <w:lang w:eastAsia="zh-CN"/>
        </w:rPr>
        <w:t>及任何因乙方在不遵守或不履行本协议条款之任何部分而导致的任何费用支出、违约金、损失或损害赔偿金。</w:t>
      </w:r>
      <w:bookmarkEnd w:id="140"/>
      <w:bookmarkEnd w:id="141"/>
      <w:r>
        <w:rPr>
          <w:rFonts w:hint="eastAsia" w:ascii="宋体" w:hAnsi="宋体" w:eastAsia="宋体" w:cs="宋体"/>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6287FFB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5.3 乙方完成合同约定全部内容，</w:t>
      </w:r>
      <w:r>
        <w:rPr>
          <w:rFonts w:hint="eastAsia" w:ascii="宋体" w:hAnsi="宋体" w:eastAsia="宋体" w:cs="宋体"/>
          <w:sz w:val="21"/>
          <w:szCs w:val="21"/>
          <w:highlight w:val="none"/>
          <w:lang w:eastAsia="zh-CN"/>
        </w:rPr>
        <w:t>并收到甲方最后一笔付款后30天内，甲方将履约保证金无息退还给乙方。</w:t>
      </w:r>
    </w:p>
    <w:p w14:paraId="23860BE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（采用履约保证金的方式时选用）</w:t>
      </w:r>
    </w:p>
    <w:p w14:paraId="3124F67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 xml:space="preserve">或 </w:t>
      </w:r>
    </w:p>
    <w:p w14:paraId="67E6264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5.1 在本合同签订时，乙方应提交经甲方认可的银行履约保函，保函金额为合同总价款</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33BA4F2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元整，以保证合同履行期间履约保函的完整。如履约保函金额全部提取尚不能弥补甲方的损失，甲方有权另行向乙方主张赔偿。</w:t>
      </w:r>
    </w:p>
    <w:p w14:paraId="2614ABFA">
      <w:pPr>
        <w:spacing w:line="360" w:lineRule="auto"/>
        <w:ind w:firstLine="105" w:firstLineChars="5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（采用履约保函的方式时选用）</w:t>
      </w:r>
    </w:p>
    <w:p w14:paraId="4FB3A85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5.3 履约担保的有效期 （采用履约保函的方式时选用）</w:t>
      </w:r>
    </w:p>
    <w:p w14:paraId="484BF474">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20CABAF9">
      <w:pPr>
        <w:spacing w:line="360" w:lineRule="auto"/>
        <w:rPr>
          <w:rFonts w:hint="eastAsia" w:ascii="宋体" w:hAnsi="宋体" w:eastAsia="宋体" w:cs="宋体"/>
          <w:b/>
          <w:sz w:val="21"/>
          <w:szCs w:val="21"/>
          <w:highlight w:val="none"/>
          <w:lang w:eastAsia="zh-CN"/>
        </w:rPr>
      </w:pPr>
    </w:p>
    <w:p w14:paraId="4BF4AE08">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第六条  甲方权利与义务</w:t>
      </w:r>
      <w:bookmarkEnd w:id="135"/>
      <w:bookmarkEnd w:id="136"/>
      <w:bookmarkEnd w:id="137"/>
      <w:bookmarkEnd w:id="138"/>
      <w:bookmarkEnd w:id="139"/>
    </w:p>
    <w:p w14:paraId="2024677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6.1 要求乙方按本合同及其附件的规定提供技术服务及履行其他合同义务，并对乙方所提供的服务进行评价。</w:t>
      </w:r>
    </w:p>
    <w:p w14:paraId="585E7FCC">
      <w:pPr>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sz w:val="21"/>
          <w:szCs w:val="21"/>
          <w:highlight w:val="none"/>
          <w:lang w:eastAsia="zh-CN"/>
        </w:rPr>
        <w:t>6.2 向乙方提供与本项目服务事项有关的文件、信息等必要资料，</w:t>
      </w:r>
      <w:r>
        <w:rPr>
          <w:rFonts w:hint="eastAsia" w:ascii="宋体" w:hAnsi="宋体" w:eastAsia="宋体" w:cs="宋体"/>
          <w:color w:val="000000"/>
          <w:sz w:val="21"/>
          <w:szCs w:val="21"/>
          <w:highlight w:val="none"/>
          <w:lang w:eastAsia="zh-CN"/>
        </w:rPr>
        <w:t xml:space="preserve">为本项目各项工作的开展提供必要的便利条件，履行协助义务。 </w:t>
      </w:r>
    </w:p>
    <w:p w14:paraId="0E76B72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6.3 按照本合同及其附件的规定向乙方支付服务费用。</w:t>
      </w:r>
    </w:p>
    <w:p w14:paraId="0E5D260E">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eastAsia="zh-CN"/>
        </w:rPr>
        <w:t>6.4 其他：______________________</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p>
    <w:p w14:paraId="644007C1">
      <w:pPr>
        <w:spacing w:line="360" w:lineRule="auto"/>
        <w:rPr>
          <w:rFonts w:hint="eastAsia" w:ascii="宋体" w:hAnsi="宋体" w:eastAsia="宋体" w:cs="宋体"/>
          <w:color w:val="auto"/>
          <w:sz w:val="21"/>
          <w:szCs w:val="21"/>
          <w:highlight w:val="none"/>
          <w:lang w:val="en-US" w:eastAsia="zh-CN"/>
        </w:rPr>
      </w:pPr>
    </w:p>
    <w:p w14:paraId="3402F3BD">
      <w:pPr>
        <w:spacing w:line="360" w:lineRule="auto"/>
        <w:rPr>
          <w:rFonts w:hint="eastAsia" w:ascii="宋体" w:hAnsi="宋体" w:eastAsia="宋体" w:cs="宋体"/>
          <w:b/>
          <w:sz w:val="21"/>
          <w:szCs w:val="21"/>
          <w:highlight w:val="none"/>
          <w:lang w:eastAsia="zh-CN"/>
        </w:rPr>
      </w:pPr>
      <w:bookmarkStart w:id="142" w:name="_Toc298258575"/>
      <w:bookmarkEnd w:id="142"/>
      <w:bookmarkStart w:id="143" w:name="_Toc298258576"/>
      <w:bookmarkStart w:id="144" w:name="_Toc424651537"/>
      <w:bookmarkStart w:id="145" w:name="_Toc297806559"/>
      <w:bookmarkStart w:id="146" w:name="_Toc297806536"/>
      <w:bookmarkStart w:id="147" w:name="_Toc221503545"/>
      <w:r>
        <w:rPr>
          <w:rFonts w:hint="eastAsia" w:ascii="宋体" w:hAnsi="宋体" w:eastAsia="宋体" w:cs="宋体"/>
          <w:b/>
          <w:sz w:val="21"/>
          <w:szCs w:val="21"/>
          <w:highlight w:val="none"/>
          <w:lang w:eastAsia="zh-CN"/>
        </w:rPr>
        <w:t>第七条  乙方权利与义务</w:t>
      </w:r>
      <w:bookmarkEnd w:id="143"/>
      <w:bookmarkEnd w:id="144"/>
      <w:bookmarkEnd w:id="145"/>
      <w:bookmarkEnd w:id="146"/>
      <w:bookmarkEnd w:id="147"/>
    </w:p>
    <w:p w14:paraId="1929C48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 要求甲方提供开展本项目服务必要的资料和协助。</w:t>
      </w:r>
    </w:p>
    <w:p w14:paraId="1EC4CDE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7.2 在交付符合本合同要求的工作成果后获得服务费用。</w:t>
      </w:r>
    </w:p>
    <w:p w14:paraId="739BAE1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7.3 对本项目服务的工作量、正确性、完整性、准确性、有效性、合法性和及时性负责，保证按照本合同及附件的约定，及时、正确、完整地完成全部约定义务及工作。</w:t>
      </w:r>
    </w:p>
    <w:p w14:paraId="3FDDEF7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7.4 应合理配备项目组成员，合理计划和实施本项目，熟悉与本项目有关的甲方内部规章制度。</w:t>
      </w:r>
    </w:p>
    <w:p w14:paraId="39ED5ECC">
      <w:pPr>
        <w:spacing w:line="360" w:lineRule="auto"/>
        <w:rPr>
          <w:rFonts w:hint="eastAsia" w:ascii="宋体" w:hAnsi="宋体" w:eastAsia="宋体" w:cs="宋体"/>
          <w:sz w:val="21"/>
          <w:szCs w:val="21"/>
          <w:highlight w:val="none"/>
          <w:lang w:eastAsia="zh-CN"/>
        </w:rPr>
      </w:pPr>
      <w:bookmarkStart w:id="148" w:name="_Toc297808125"/>
      <w:bookmarkEnd w:id="148"/>
      <w:r>
        <w:rPr>
          <w:rFonts w:hint="eastAsia" w:ascii="宋体" w:hAnsi="宋体" w:eastAsia="宋体" w:cs="宋体"/>
          <w:sz w:val="21"/>
          <w:szCs w:val="21"/>
          <w:highlight w:val="none"/>
          <w:lang w:eastAsia="zh-CN"/>
        </w:rPr>
        <w:t>7.5 若本项目涉及其他利害关系方，未经甲方事先同意，乙方不得和其私自接触，以保证服务结果的客观性、正确性，维护甲方正当利益。</w:t>
      </w:r>
    </w:p>
    <w:p w14:paraId="59766BC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7.6 乙方不得拒绝甲方与本项目有关的咨询，对甲方的相关咨询必须给予及时、明确的书面或其他双方认可的方式答复。</w:t>
      </w:r>
    </w:p>
    <w:p w14:paraId="4C94792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7.7 乙方应当对甲方提供的资料进行核查，发现甲方提供的资料不符合本合同约定时，有权在接到上述资料或开始工作的___日内，书面通知甲方。</w:t>
      </w:r>
    </w:p>
    <w:p w14:paraId="51A1808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7.8 在未得到甲方事先书面同意的情况下，乙方不得向任何第三方分包或转包本项目。</w:t>
      </w:r>
    </w:p>
    <w:p w14:paraId="1AA47F3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7.9 本项目结束后___个月内，乙方应当为甲方就有关技术服务事项的理解和实施过程中遇到的问题提供免费后续服务。</w:t>
      </w:r>
    </w:p>
    <w:p w14:paraId="0C061BF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后续服务内容包括：____________________。</w:t>
      </w:r>
    </w:p>
    <w:p w14:paraId="3FE15E2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后续服务方式、标准：___________________</w:t>
      </w:r>
    </w:p>
    <w:p w14:paraId="64D0224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0DB67AB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14:paraId="1F386AA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7.12 </w:t>
      </w:r>
      <w:bookmarkStart w:id="149" w:name="_Toc298258577"/>
      <w:bookmarkStart w:id="150" w:name="_Toc297806560"/>
      <w:bookmarkStart w:id="151" w:name="_Toc297806537"/>
      <w:bookmarkStart w:id="152" w:name="_Toc424651538"/>
      <w:bookmarkStart w:id="153" w:name="_Toc221503546"/>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lang w:eastAsia="zh-Hans"/>
        </w:rPr>
        <w:t>如</w:t>
      </w:r>
      <w:r>
        <w:rPr>
          <w:rFonts w:hint="eastAsia" w:ascii="宋体" w:hAnsi="宋体" w:eastAsia="宋体" w:cs="宋体"/>
          <w:sz w:val="21"/>
          <w:szCs w:val="21"/>
          <w:highlight w:val="none"/>
          <w:lang w:eastAsia="zh-CN"/>
        </w:rPr>
        <w:t>在中标后</w:t>
      </w:r>
      <w:r>
        <w:rPr>
          <w:rFonts w:hint="eastAsia" w:ascii="宋体" w:hAnsi="宋体" w:eastAsia="宋体" w:cs="宋体"/>
          <w:sz w:val="21"/>
          <w:szCs w:val="21"/>
          <w:highlight w:val="none"/>
          <w:lang w:eastAsia="zh-Hans"/>
        </w:rPr>
        <w:t>或者合同履行期间发生</w:t>
      </w:r>
      <w:r>
        <w:rPr>
          <w:rFonts w:hint="eastAsia" w:ascii="宋体" w:hAnsi="宋体" w:eastAsia="宋体" w:cs="宋体"/>
          <w:sz w:val="21"/>
          <w:szCs w:val="21"/>
          <w:highlight w:val="none"/>
          <w:lang w:eastAsia="zh-CN"/>
        </w:rPr>
        <w:t>被人民法院列为失信被执行人、影响合同履约能力的重大行政处罚等情形，应及时向</w:t>
      </w:r>
      <w:r>
        <w:rPr>
          <w:rFonts w:hint="eastAsia" w:ascii="宋体" w:hAnsi="宋体" w:eastAsia="宋体" w:cs="宋体"/>
          <w:sz w:val="21"/>
          <w:szCs w:val="21"/>
          <w:highlight w:val="none"/>
          <w:lang w:eastAsia="zh-Hans"/>
        </w:rPr>
        <w:t>甲方的</w:t>
      </w:r>
      <w:r>
        <w:rPr>
          <w:rFonts w:hint="eastAsia" w:ascii="宋体" w:hAnsi="宋体" w:eastAsia="宋体" w:cs="宋体"/>
          <w:sz w:val="21"/>
          <w:szCs w:val="21"/>
          <w:highlight w:val="none"/>
          <w:lang w:eastAsia="zh-CN"/>
        </w:rPr>
        <w:t>履约管理单位</w:t>
      </w:r>
      <w:r>
        <w:rPr>
          <w:rFonts w:hint="eastAsia" w:ascii="宋体" w:hAnsi="宋体" w:eastAsia="宋体" w:cs="宋体"/>
          <w:sz w:val="21"/>
          <w:szCs w:val="21"/>
          <w:highlight w:val="none"/>
          <w:lang w:eastAsia="zh-Hans"/>
        </w:rPr>
        <w:t>、</w:t>
      </w:r>
      <w:r>
        <w:rPr>
          <w:rFonts w:hint="eastAsia" w:ascii="宋体" w:hAnsi="宋体" w:eastAsia="宋体" w:cs="宋体"/>
          <w:sz w:val="21"/>
          <w:szCs w:val="21"/>
          <w:highlight w:val="none"/>
          <w:lang w:eastAsia="zh-CN"/>
        </w:rPr>
        <w:t>物资部报备。</w:t>
      </w:r>
    </w:p>
    <w:p w14:paraId="748F794D">
      <w:pPr>
        <w:spacing w:line="360" w:lineRule="auto"/>
        <w:rPr>
          <w:rFonts w:hint="eastAsia" w:ascii="宋体" w:hAnsi="宋体" w:eastAsia="宋体" w:cs="宋体"/>
          <w:sz w:val="21"/>
          <w:szCs w:val="21"/>
          <w:highlight w:val="none"/>
          <w:lang w:eastAsia="zh-CN"/>
        </w:rPr>
      </w:pPr>
    </w:p>
    <w:p w14:paraId="6C5516F5">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第八条  工作成果验收</w:t>
      </w:r>
      <w:bookmarkEnd w:id="149"/>
      <w:bookmarkEnd w:id="150"/>
      <w:bookmarkEnd w:id="151"/>
      <w:bookmarkEnd w:id="152"/>
      <w:bookmarkEnd w:id="153"/>
    </w:p>
    <w:p w14:paraId="544CA6E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14:paraId="3D62759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8.2 任一服务事项连续___次验收不合格的，则视为乙方没有完成该项服务。乙方应根据合同约定承担相应违约责任。</w:t>
      </w:r>
    </w:p>
    <w:p w14:paraId="0284F99D">
      <w:pPr>
        <w:spacing w:line="360" w:lineRule="auto"/>
        <w:rPr>
          <w:rFonts w:hint="eastAsia" w:ascii="宋体" w:hAnsi="宋体" w:eastAsia="宋体" w:cs="宋体"/>
          <w:b/>
          <w:sz w:val="21"/>
          <w:szCs w:val="21"/>
          <w:highlight w:val="none"/>
          <w:lang w:eastAsia="zh-CN"/>
        </w:rPr>
      </w:pPr>
      <w:bookmarkStart w:id="154" w:name="_Toc297806538"/>
      <w:bookmarkStart w:id="155" w:name="_Toc298258578"/>
      <w:bookmarkStart w:id="156" w:name="_Toc221503547"/>
      <w:bookmarkStart w:id="157" w:name="_Toc297806561"/>
      <w:bookmarkStart w:id="158" w:name="_Toc424651539"/>
    </w:p>
    <w:p w14:paraId="720BAC30">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第九条  知识产权</w:t>
      </w:r>
      <w:bookmarkEnd w:id="154"/>
      <w:bookmarkEnd w:id="155"/>
      <w:bookmarkEnd w:id="156"/>
      <w:bookmarkEnd w:id="157"/>
      <w:bookmarkEnd w:id="158"/>
    </w:p>
    <w:p w14:paraId="3746C1EB">
      <w:pPr>
        <w:spacing w:line="360" w:lineRule="auto"/>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17A0D97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9.2 甲方提供给乙方的企业标识、图片、文字等任何资料、文件的知识产权归属于甲方，乙方仅能在本项目范围内使用。</w:t>
      </w:r>
    </w:p>
    <w:p w14:paraId="24F9C54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1CC391A">
      <w:pPr>
        <w:spacing w:line="360" w:lineRule="auto"/>
        <w:ind w:firstLine="210" w:firstLineChars="100"/>
        <w:rPr>
          <w:rFonts w:hint="eastAsia" w:ascii="宋体" w:hAnsi="宋体" w:eastAsia="宋体" w:cs="宋体"/>
          <w:sz w:val="21"/>
          <w:szCs w:val="21"/>
          <w:highlight w:val="none"/>
          <w:lang w:eastAsia="zh-CN"/>
        </w:rPr>
      </w:pPr>
    </w:p>
    <w:p w14:paraId="6A742101">
      <w:pPr>
        <w:spacing w:line="360" w:lineRule="auto"/>
        <w:rPr>
          <w:rFonts w:hint="eastAsia" w:ascii="宋体" w:hAnsi="宋体" w:eastAsia="宋体" w:cs="宋体"/>
          <w:b/>
          <w:sz w:val="21"/>
          <w:szCs w:val="21"/>
          <w:highlight w:val="none"/>
          <w:lang w:eastAsia="zh-CN"/>
        </w:rPr>
      </w:pPr>
      <w:bookmarkStart w:id="159" w:name="_Toc424648874"/>
      <w:bookmarkStart w:id="160" w:name="_Toc424651541"/>
      <w:r>
        <w:rPr>
          <w:rFonts w:hint="eastAsia" w:ascii="宋体" w:hAnsi="宋体" w:eastAsia="宋体" w:cs="宋体"/>
          <w:b/>
          <w:sz w:val="21"/>
          <w:szCs w:val="21"/>
          <w:highlight w:val="none"/>
          <w:lang w:eastAsia="zh-CN"/>
        </w:rPr>
        <w:t>第十条  保密</w:t>
      </w:r>
      <w:bookmarkEnd w:id="159"/>
      <w:bookmarkEnd w:id="160"/>
    </w:p>
    <w:p w14:paraId="2148E7FC">
      <w:pPr>
        <w:spacing w:line="360" w:lineRule="auto"/>
        <w:rPr>
          <w:rFonts w:hint="eastAsia" w:ascii="宋体" w:hAnsi="宋体" w:eastAsia="宋体" w:cs="宋体"/>
          <w:sz w:val="21"/>
          <w:szCs w:val="21"/>
          <w:highlight w:val="none"/>
          <w:lang w:eastAsia="zh-CN"/>
        </w:rPr>
      </w:pPr>
      <w:bookmarkStart w:id="161" w:name="_Toc424651542"/>
      <w:bookmarkStart w:id="162" w:name="_Toc424648875"/>
      <w:r>
        <w:rPr>
          <w:rFonts w:hint="eastAsia" w:ascii="宋体" w:hAnsi="宋体" w:eastAsia="宋体" w:cs="宋体"/>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61"/>
      <w:bookmarkEnd w:id="162"/>
    </w:p>
    <w:p w14:paraId="0111079E">
      <w:pPr>
        <w:spacing w:line="360" w:lineRule="auto"/>
        <w:rPr>
          <w:rFonts w:hint="eastAsia" w:ascii="宋体" w:hAnsi="宋体" w:eastAsia="宋体" w:cs="宋体"/>
          <w:sz w:val="21"/>
          <w:szCs w:val="21"/>
          <w:highlight w:val="none"/>
          <w:lang w:eastAsia="zh-CN"/>
        </w:rPr>
      </w:pPr>
      <w:bookmarkStart w:id="163" w:name="_Toc424651543"/>
      <w:bookmarkStart w:id="164" w:name="_Toc424648876"/>
      <w:r>
        <w:rPr>
          <w:rFonts w:hint="eastAsia" w:ascii="宋体" w:hAnsi="宋体" w:eastAsia="宋体" w:cs="宋体"/>
          <w:sz w:val="21"/>
          <w:szCs w:val="21"/>
          <w:highlight w:val="none"/>
          <w:lang w:eastAsia="zh-CN"/>
        </w:rPr>
        <w:t>10.2 本合同规定的保密信息不包括以下信息：</w:t>
      </w:r>
      <w:bookmarkEnd w:id="163"/>
      <w:bookmarkEnd w:id="164"/>
    </w:p>
    <w:p w14:paraId="48FA153B">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1.在从甲方处获得前，已经为乙方掌握的且甲方不反对使用或披露的信息；</w:t>
      </w:r>
    </w:p>
    <w:p w14:paraId="5B909CDF">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2.已经为公众所知的信息，除非该等信息为公众所知是由于乙方违反本合同；</w:t>
      </w:r>
    </w:p>
    <w:p w14:paraId="1E45330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3.乙方按照有管辖权的法院或其他有权机关的合法要求而披露的信息；</w:t>
      </w:r>
    </w:p>
    <w:p w14:paraId="6A366CE5">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4.依甲方的书面授权而向第三方所披露的信息。</w:t>
      </w:r>
    </w:p>
    <w:p w14:paraId="4F6F7FB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10.3 乙方只能为本合同的目的使用保密信息，且只能在乙方服务项目组成员的范围内披露或使用保密信息，但必须要求获得保密信息的相关人员</w:t>
      </w:r>
      <w:bookmarkStart w:id="165" w:name="_DV_C27"/>
      <w:r>
        <w:rPr>
          <w:rFonts w:hint="eastAsia" w:ascii="宋体" w:hAnsi="宋体" w:eastAsia="宋体" w:cs="宋体"/>
          <w:sz w:val="21"/>
          <w:szCs w:val="21"/>
          <w:highlight w:val="none"/>
          <w:lang w:eastAsia="zh-CN"/>
        </w:rPr>
        <w:t>对</w:t>
      </w:r>
      <w:bookmarkEnd w:id="165"/>
      <w:bookmarkStart w:id="166" w:name="_DV_M38"/>
      <w:bookmarkEnd w:id="166"/>
      <w:r>
        <w:rPr>
          <w:rFonts w:hint="eastAsia" w:ascii="宋体" w:hAnsi="宋体" w:eastAsia="宋体" w:cs="宋体"/>
          <w:sz w:val="21"/>
          <w:szCs w:val="21"/>
          <w:highlight w:val="none"/>
          <w:lang w:eastAsia="zh-CN"/>
        </w:rPr>
        <w:t>保密</w:t>
      </w:r>
      <w:bookmarkStart w:id="167" w:name="_DV_C29"/>
      <w:r>
        <w:rPr>
          <w:rFonts w:hint="eastAsia" w:ascii="宋体" w:hAnsi="宋体" w:eastAsia="宋体" w:cs="宋体"/>
          <w:sz w:val="21"/>
          <w:szCs w:val="21"/>
          <w:highlight w:val="none"/>
          <w:lang w:eastAsia="zh-CN"/>
        </w:rPr>
        <w:t>信息保密</w:t>
      </w:r>
      <w:bookmarkEnd w:id="167"/>
      <w:bookmarkStart w:id="168" w:name="_DV_M39"/>
      <w:bookmarkEnd w:id="168"/>
      <w:r>
        <w:rPr>
          <w:rFonts w:hint="eastAsia" w:ascii="宋体" w:hAnsi="宋体" w:eastAsia="宋体" w:cs="宋体"/>
          <w:sz w:val="21"/>
          <w:szCs w:val="21"/>
          <w:highlight w:val="none"/>
          <w:lang w:eastAsia="zh-CN"/>
        </w:rPr>
        <w:t>；除此之外，未经甲方书面同意，乙方不得向任何第三方提供或透露部分或全部保密信息。</w:t>
      </w:r>
    </w:p>
    <w:p w14:paraId="26BB8DD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40649FE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0DDE1E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10.6 若乙方或其有关人员违反本合同规定的保密义务，乙方应赔偿由此给甲方造成的全部损失，并负责消除影响。</w:t>
      </w:r>
    </w:p>
    <w:p w14:paraId="6267A94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10.7 乙方对所获的甲方的保密信息负有保密义务的期限为</w:t>
      </w:r>
      <w:r>
        <w:rPr>
          <w:rFonts w:hint="eastAsia" w:ascii="宋体" w:hAnsi="宋体" w:eastAsia="宋体" w:cs="宋体"/>
          <w:sz w:val="21"/>
          <w:szCs w:val="21"/>
          <w:highlight w:val="none"/>
          <w:u w:val="single"/>
          <w:lang w:eastAsia="zh-CN"/>
        </w:rPr>
        <w:t xml:space="preserve"> 永久 </w:t>
      </w:r>
      <w:r>
        <w:rPr>
          <w:rFonts w:hint="eastAsia" w:ascii="宋体" w:hAnsi="宋体" w:eastAsia="宋体" w:cs="宋体"/>
          <w:sz w:val="21"/>
          <w:szCs w:val="21"/>
          <w:highlight w:val="none"/>
          <w:lang w:eastAsia="zh-CN"/>
        </w:rPr>
        <w:t>，直至保密信息已进入公共渠道或甲方以书面形式明确表示乙方无须再负保密义务为止。</w:t>
      </w:r>
    </w:p>
    <w:p w14:paraId="71D06E9A">
      <w:pPr>
        <w:spacing w:line="360" w:lineRule="auto"/>
        <w:rPr>
          <w:rFonts w:hint="eastAsia" w:ascii="宋体" w:hAnsi="宋体" w:eastAsia="宋体" w:cs="宋体"/>
          <w:b/>
          <w:sz w:val="21"/>
          <w:szCs w:val="21"/>
          <w:highlight w:val="none"/>
          <w:lang w:eastAsia="zh-CN"/>
        </w:rPr>
      </w:pPr>
      <w:bookmarkStart w:id="169" w:name="_Toc298258579"/>
      <w:bookmarkStart w:id="170" w:name="_Toc424651540"/>
      <w:bookmarkStart w:id="171" w:name="_Toc297806539"/>
      <w:bookmarkStart w:id="172" w:name="_Toc297806562"/>
      <w:r>
        <w:rPr>
          <w:rFonts w:hint="eastAsia" w:ascii="宋体" w:hAnsi="宋体" w:eastAsia="宋体" w:cs="宋体"/>
          <w:b/>
          <w:sz w:val="21"/>
          <w:szCs w:val="21"/>
          <w:highlight w:val="none"/>
          <w:lang w:eastAsia="zh-CN"/>
        </w:rPr>
        <w:t>第十一条  合同的变更和终止</w:t>
      </w:r>
      <w:bookmarkEnd w:id="169"/>
      <w:bookmarkEnd w:id="170"/>
      <w:bookmarkEnd w:id="171"/>
      <w:bookmarkEnd w:id="172"/>
    </w:p>
    <w:p w14:paraId="4323B91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11.1 发生以下情形，本合同可以终止：</w:t>
      </w:r>
    </w:p>
    <w:p w14:paraId="388171D3">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1.甲方书面通知终止本合同；</w:t>
      </w:r>
    </w:p>
    <w:p w14:paraId="0191787F">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2.双方协商一致决定终止合同的；</w:t>
      </w:r>
    </w:p>
    <w:p w14:paraId="36406004">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3.由于不可抗力致使本合同的全部义务不能履行的；</w:t>
      </w:r>
    </w:p>
    <w:p w14:paraId="51CEBC5D">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4.法律规定及本合同约定的其他情形。</w:t>
      </w:r>
    </w:p>
    <w:p w14:paraId="5A4E1A6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11.2 甲方单方终止本合同的，甲方应支付乙方实际完成工作对应的服务费用，甲方单方终止合同自书面通知送达乙方时生效。</w:t>
      </w:r>
    </w:p>
    <w:p w14:paraId="37E59DF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11.3 本合同及其附件仅能由双方通过签署书面文件的方式予以修改、补充、变更、放弃、终止或解除。</w:t>
      </w:r>
    </w:p>
    <w:p w14:paraId="29D4790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1919FBFE">
      <w:pPr>
        <w:spacing w:line="360" w:lineRule="auto"/>
        <w:rPr>
          <w:rFonts w:hint="eastAsia" w:ascii="宋体" w:hAnsi="宋体" w:eastAsia="宋体" w:cs="宋体"/>
          <w:sz w:val="21"/>
          <w:szCs w:val="21"/>
          <w:highlight w:val="none"/>
          <w:lang w:eastAsia="zh-CN"/>
        </w:rPr>
      </w:pPr>
    </w:p>
    <w:p w14:paraId="74CFA807">
      <w:pPr>
        <w:spacing w:line="360" w:lineRule="auto"/>
        <w:rPr>
          <w:rFonts w:hint="eastAsia" w:ascii="宋体" w:hAnsi="宋体" w:eastAsia="宋体" w:cs="宋体"/>
          <w:b/>
          <w:sz w:val="21"/>
          <w:szCs w:val="21"/>
          <w:highlight w:val="none"/>
          <w:lang w:eastAsia="zh-CN"/>
        </w:rPr>
      </w:pPr>
      <w:bookmarkStart w:id="173" w:name="_Toc297806563"/>
      <w:bookmarkStart w:id="174" w:name="_Toc424651544"/>
      <w:bookmarkStart w:id="175" w:name="_Toc297806540"/>
      <w:bookmarkStart w:id="176" w:name="_Toc298258580"/>
      <w:r>
        <w:rPr>
          <w:rFonts w:hint="eastAsia" w:ascii="宋体" w:hAnsi="宋体" w:eastAsia="宋体" w:cs="宋体"/>
          <w:b/>
          <w:sz w:val="21"/>
          <w:szCs w:val="21"/>
          <w:highlight w:val="none"/>
          <w:lang w:eastAsia="zh-CN"/>
        </w:rPr>
        <w:t>第十二条  违约责任</w:t>
      </w:r>
      <w:bookmarkEnd w:id="173"/>
      <w:bookmarkEnd w:id="174"/>
      <w:bookmarkEnd w:id="175"/>
      <w:bookmarkEnd w:id="176"/>
    </w:p>
    <w:p w14:paraId="57BC036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12.1 甲方未按本合同规定支付服务费用，经乙方书面催告后_</w:t>
      </w:r>
      <w:r>
        <w:rPr>
          <w:rFonts w:hint="eastAsia" w:ascii="宋体" w:hAnsi="宋体" w:eastAsia="宋体" w:cs="宋体"/>
          <w:sz w:val="21"/>
          <w:szCs w:val="21"/>
          <w:highlight w:val="none"/>
          <w:u w:val="single"/>
          <w:lang w:eastAsia="zh-CN"/>
        </w:rPr>
        <w:t>十_</w:t>
      </w:r>
      <w:r>
        <w:rPr>
          <w:rFonts w:hint="eastAsia" w:ascii="宋体" w:hAnsi="宋体" w:eastAsia="宋体" w:cs="宋体"/>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z w:val="21"/>
          <w:szCs w:val="21"/>
          <w:highlight w:val="none"/>
          <w:u w:val="single"/>
          <w:lang w:eastAsia="zh-CN"/>
        </w:rPr>
        <w:t>三十</w:t>
      </w:r>
      <w:r>
        <w:rPr>
          <w:rFonts w:hint="eastAsia" w:ascii="宋体" w:hAnsi="宋体" w:eastAsia="宋体" w:cs="宋体"/>
          <w:sz w:val="21"/>
          <w:szCs w:val="21"/>
          <w:highlight w:val="none"/>
          <w:lang w:eastAsia="zh-CN"/>
        </w:rPr>
        <w:t>个工作日仍未支付的，乙方有权单方解除本合同。</w:t>
      </w:r>
    </w:p>
    <w:p w14:paraId="2ABECE1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12.2 甲方未按约定履行提供资料等义务，造成乙方无法按期提交工作成果的，甲方应顺延乙方的服务期限，乙方不承担违约责任。</w:t>
      </w:r>
    </w:p>
    <w:p w14:paraId="03277A5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1"/>
          <w:szCs w:val="21"/>
          <w:highlight w:val="none"/>
          <w:u w:val="single"/>
          <w:lang w:eastAsia="zh-CN"/>
        </w:rPr>
        <w:t>千分之五</w:t>
      </w:r>
      <w:r>
        <w:rPr>
          <w:rFonts w:hint="eastAsia" w:ascii="宋体" w:hAnsi="宋体" w:eastAsia="宋体" w:cs="宋体"/>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支付违约金，并不予退还履约保证金。</w:t>
      </w:r>
    </w:p>
    <w:p w14:paraId="52BC400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12.4 因乙方侵犯第三方的专利权、版权等知识产权而引起的任何责任，应由乙方承担，并使甲方免责。</w:t>
      </w:r>
    </w:p>
    <w:p w14:paraId="2B84C51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12.5 乙方违反保密义务的，应当对甲方因此所遭受的所有损失承担赔偿责任。</w:t>
      </w:r>
    </w:p>
    <w:p w14:paraId="7854C99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12.6 如乙方擅自变更或减少本合同所确定的项目组核心人员，乙方应向甲方支付人</w:t>
      </w:r>
      <w:r>
        <w:rPr>
          <w:rFonts w:hint="eastAsia" w:ascii="宋体" w:hAnsi="宋体" w:eastAsia="宋体" w:cs="宋体"/>
          <w:sz w:val="21"/>
          <w:szCs w:val="21"/>
          <w:highlight w:val="none"/>
          <w:lang w:eastAsia="zh-CN"/>
        </w:rPr>
        <w:t>民币____</w:t>
      </w:r>
      <w:r>
        <w:rPr>
          <w:rFonts w:hint="eastAsia" w:ascii="宋体" w:hAnsi="宋体" w:eastAsia="宋体" w:cs="宋体"/>
          <w:sz w:val="21"/>
          <w:szCs w:val="21"/>
          <w:highlight w:val="none"/>
          <w:lang w:eastAsia="zh-CN"/>
        </w:rPr>
        <w:t>元/每人/每次的违约金，甲方可在应付服务费中扣除该违约金；同时乙方应根据甲方要求及时调整工作人员。</w:t>
      </w:r>
    </w:p>
    <w:p w14:paraId="29294EC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12.7 乙方擅自转包或分包本项目的，甲方有权解除本合同，要求乙方按服务费用的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支付违约金，并不予退还履约保证金。如前述款项不足以弥补甲方损失的，乙方应赔偿甲方因此遭受的全部损失。</w:t>
      </w:r>
    </w:p>
    <w:p w14:paraId="7735215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支付违约金，履约保证金不予退还。上述款项不足以弥补甲方损失的，乙方应赔偿甲方因此遭受的全部损失。</w:t>
      </w:r>
    </w:p>
    <w:p w14:paraId="6129FAD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12.9 任何一方违反其本合同项下的其他义务、保证或承诺，并给守约方造成实际损失的，应赔偿守约方实际遭受的损失。</w:t>
      </w:r>
    </w:p>
    <w:p w14:paraId="6DBE479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12.10 任何一方发生向对方支付违约金或赔偿金情形的，应当在索赔方发出索赔通知后</w:t>
      </w:r>
      <w:r>
        <w:rPr>
          <w:rFonts w:hint="eastAsia" w:ascii="宋体" w:hAnsi="宋体" w:eastAsia="宋体" w:cs="宋体"/>
          <w:sz w:val="21"/>
          <w:szCs w:val="21"/>
          <w:highlight w:val="none"/>
          <w:u w:val="single"/>
          <w:lang w:eastAsia="zh-CN"/>
        </w:rPr>
        <w:t xml:space="preserve"> 7 </w:t>
      </w:r>
      <w:r>
        <w:rPr>
          <w:rFonts w:hint="eastAsia" w:ascii="宋体" w:hAnsi="宋体" w:eastAsia="宋体" w:cs="宋体"/>
          <w:sz w:val="21"/>
          <w:szCs w:val="21"/>
          <w:highlight w:val="none"/>
          <w:lang w:eastAsia="zh-CN"/>
        </w:rPr>
        <w:t>日之内予以支付。索赔方尚有未向偿付方支付的款项的，偿付方同意索赔方从未支付款项中抵扣相应数额的款项。</w:t>
      </w:r>
    </w:p>
    <w:p w14:paraId="1BA25435">
      <w:pPr>
        <w:spacing w:line="360" w:lineRule="auto"/>
        <w:rPr>
          <w:rFonts w:hint="eastAsia" w:ascii="宋体" w:hAnsi="宋体" w:eastAsia="宋体" w:cs="宋体"/>
          <w:sz w:val="21"/>
          <w:szCs w:val="21"/>
          <w:highlight w:val="none"/>
          <w:lang w:eastAsia="zh-CN"/>
        </w:rPr>
      </w:pPr>
    </w:p>
    <w:p w14:paraId="009E65C6">
      <w:pPr>
        <w:spacing w:line="360" w:lineRule="auto"/>
        <w:rPr>
          <w:rFonts w:hint="eastAsia" w:ascii="宋体" w:hAnsi="宋体" w:eastAsia="宋体" w:cs="宋体"/>
          <w:b/>
          <w:sz w:val="21"/>
          <w:szCs w:val="21"/>
          <w:highlight w:val="none"/>
          <w:lang w:eastAsia="zh-CN"/>
        </w:rPr>
      </w:pPr>
      <w:bookmarkStart w:id="177" w:name="_Toc297806541"/>
      <w:bookmarkStart w:id="178" w:name="_Toc298258581"/>
      <w:bookmarkStart w:id="179" w:name="_Toc297806564"/>
      <w:bookmarkStart w:id="180" w:name="_Toc424651545"/>
      <w:r>
        <w:rPr>
          <w:rFonts w:hint="eastAsia" w:ascii="宋体" w:hAnsi="宋体" w:eastAsia="宋体" w:cs="宋体"/>
          <w:b/>
          <w:sz w:val="21"/>
          <w:szCs w:val="21"/>
          <w:highlight w:val="none"/>
          <w:lang w:eastAsia="zh-CN"/>
        </w:rPr>
        <w:t>第十三条  不可抗力</w:t>
      </w:r>
      <w:bookmarkEnd w:id="177"/>
      <w:bookmarkEnd w:id="178"/>
      <w:bookmarkEnd w:id="179"/>
      <w:bookmarkEnd w:id="180"/>
    </w:p>
    <w:p w14:paraId="555DA1CE">
      <w:pPr>
        <w:spacing w:line="360" w:lineRule="auto"/>
        <w:rPr>
          <w:rFonts w:hint="eastAsia" w:ascii="宋体" w:hAnsi="宋体" w:eastAsia="宋体" w:cs="宋体"/>
          <w:sz w:val="21"/>
          <w:szCs w:val="21"/>
          <w:highlight w:val="none"/>
          <w:lang w:eastAsia="zh-CN"/>
        </w:rPr>
      </w:pPr>
      <w:bookmarkStart w:id="181" w:name="_Toc169968033"/>
      <w:r>
        <w:rPr>
          <w:rFonts w:hint="eastAsia" w:ascii="宋体" w:hAnsi="宋体" w:eastAsia="宋体" w:cs="宋体"/>
          <w:sz w:val="21"/>
          <w:szCs w:val="21"/>
          <w:highlight w:val="none"/>
          <w:lang w:eastAsia="zh-CN"/>
        </w:rPr>
        <w:t>13.1</w:t>
      </w:r>
      <w:bookmarkEnd w:id="181"/>
      <w:r>
        <w:rPr>
          <w:rFonts w:hint="eastAsia" w:ascii="宋体" w:hAnsi="宋体" w:eastAsia="宋体" w:cs="宋体"/>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1F3468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1"/>
          <w:szCs w:val="21"/>
          <w:highlight w:val="none"/>
          <w:u w:val="single"/>
          <w:lang w:eastAsia="zh-CN"/>
        </w:rPr>
        <w:t xml:space="preserve"> 二十四（24）</w:t>
      </w:r>
      <w:r>
        <w:rPr>
          <w:rFonts w:hint="eastAsia" w:ascii="宋体" w:hAnsi="宋体" w:eastAsia="宋体" w:cs="宋体"/>
          <w:sz w:val="21"/>
          <w:szCs w:val="21"/>
          <w:highlight w:val="none"/>
          <w:lang w:eastAsia="zh-CN"/>
        </w:rPr>
        <w:t>小时内以书面形式通知对方， 在其后</w:t>
      </w:r>
      <w:r>
        <w:rPr>
          <w:rFonts w:hint="eastAsia" w:ascii="宋体" w:hAnsi="宋体" w:eastAsia="宋体" w:cs="宋体"/>
          <w:sz w:val="21"/>
          <w:szCs w:val="21"/>
          <w:highlight w:val="none"/>
          <w:u w:val="single"/>
          <w:lang w:eastAsia="zh-CN"/>
        </w:rPr>
        <w:t>十（10）</w:t>
      </w:r>
      <w:r>
        <w:rPr>
          <w:rFonts w:hint="eastAsia" w:ascii="宋体" w:hAnsi="宋体" w:eastAsia="宋体" w:cs="宋体"/>
          <w:sz w:val="21"/>
          <w:szCs w:val="21"/>
          <w:highlight w:val="none"/>
          <w:lang w:eastAsia="zh-CN"/>
        </w:rPr>
        <w:t>日内向对方提供有效证明文件。</w:t>
      </w:r>
    </w:p>
    <w:p w14:paraId="563028F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3B0905EF">
      <w:pPr>
        <w:spacing w:line="360" w:lineRule="auto"/>
        <w:rPr>
          <w:rFonts w:hint="eastAsia" w:ascii="宋体" w:hAnsi="宋体" w:eastAsia="宋体" w:cs="宋体"/>
          <w:b/>
          <w:bCs/>
          <w:sz w:val="21"/>
          <w:szCs w:val="21"/>
          <w:highlight w:val="none"/>
          <w:lang w:eastAsia="zh-CN"/>
        </w:rPr>
      </w:pPr>
    </w:p>
    <w:p w14:paraId="3247E1B6">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第十四条  廉洁规范条款</w:t>
      </w:r>
    </w:p>
    <w:p w14:paraId="02CD35A0">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7E250760">
      <w:pPr>
        <w:spacing w:line="360" w:lineRule="auto"/>
        <w:rPr>
          <w:rFonts w:hint="eastAsia" w:ascii="宋体" w:hAnsi="宋体" w:eastAsia="宋体" w:cs="宋体"/>
          <w:b/>
          <w:sz w:val="21"/>
          <w:szCs w:val="21"/>
          <w:highlight w:val="none"/>
          <w:lang w:eastAsia="zh-CN"/>
        </w:rPr>
      </w:pPr>
      <w:bookmarkStart w:id="182" w:name="_Toc297806565"/>
      <w:bookmarkStart w:id="183" w:name="_Toc297806542"/>
      <w:bookmarkStart w:id="184" w:name="_Toc424651546"/>
      <w:bookmarkStart w:id="185" w:name="_Toc298258582"/>
    </w:p>
    <w:p w14:paraId="5D7A330E">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第十五条  争议解决</w:t>
      </w:r>
      <w:bookmarkEnd w:id="182"/>
      <w:bookmarkEnd w:id="183"/>
      <w:bookmarkEnd w:id="184"/>
      <w:bookmarkEnd w:id="185"/>
    </w:p>
    <w:p w14:paraId="238E0332">
      <w:pPr>
        <w:spacing w:line="360" w:lineRule="auto"/>
        <w:rPr>
          <w:rFonts w:hint="eastAsia" w:ascii="宋体" w:hAnsi="宋体" w:eastAsia="宋体" w:cs="宋体"/>
          <w:sz w:val="21"/>
          <w:szCs w:val="21"/>
          <w:highlight w:val="none"/>
          <w:lang w:eastAsia="zh-CN"/>
        </w:rPr>
      </w:pPr>
      <w:bookmarkStart w:id="186" w:name="_Toc424651547"/>
      <w:r>
        <w:rPr>
          <w:rFonts w:hint="eastAsia" w:ascii="宋体" w:hAnsi="宋体" w:eastAsia="宋体" w:cs="宋体"/>
          <w:sz w:val="21"/>
          <w:szCs w:val="21"/>
          <w:highlight w:val="none"/>
          <w:lang w:eastAsia="zh-CN"/>
        </w:rPr>
        <w:t>15.1 凡因执行本合同发生的与本合同有关的一切争议，双方应首先尽最大努力友好协商解决。</w:t>
      </w:r>
      <w:bookmarkEnd w:id="186"/>
    </w:p>
    <w:p w14:paraId="5407D16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15.2 争议发生后，如果无法通过协商或调解解决争议，则应将争议诉至</w:t>
      </w:r>
      <w:r>
        <w:rPr>
          <w:rFonts w:hint="eastAsia" w:ascii="宋体" w:hAnsi="宋体" w:eastAsia="宋体" w:cs="宋体"/>
          <w:sz w:val="21"/>
          <w:szCs w:val="21"/>
          <w:highlight w:val="none"/>
          <w:u w:val="single"/>
          <w:lang w:eastAsia="zh-CN"/>
        </w:rPr>
        <w:t>甲方所在地</w:t>
      </w:r>
      <w:r>
        <w:rPr>
          <w:rFonts w:hint="eastAsia" w:ascii="宋体" w:hAnsi="宋体" w:eastAsia="宋体" w:cs="宋体"/>
          <w:sz w:val="21"/>
          <w:szCs w:val="21"/>
          <w:highlight w:val="none"/>
          <w:lang w:eastAsia="zh-CN"/>
        </w:rPr>
        <w:t>人民法院通过诉讼方式解决。</w:t>
      </w:r>
    </w:p>
    <w:p w14:paraId="2BCE17FC">
      <w:pPr>
        <w:spacing w:line="360" w:lineRule="auto"/>
        <w:rPr>
          <w:rFonts w:hint="eastAsia" w:ascii="宋体" w:hAnsi="宋体" w:eastAsia="宋体" w:cs="宋体"/>
          <w:sz w:val="21"/>
          <w:szCs w:val="21"/>
          <w:highlight w:val="none"/>
          <w:lang w:eastAsia="zh-CN"/>
        </w:rPr>
      </w:pPr>
    </w:p>
    <w:p w14:paraId="2C75765D">
      <w:pPr>
        <w:spacing w:line="360" w:lineRule="auto"/>
        <w:rPr>
          <w:rFonts w:hint="eastAsia" w:ascii="宋体" w:hAnsi="宋体" w:eastAsia="宋体" w:cs="宋体"/>
          <w:b/>
          <w:sz w:val="21"/>
          <w:szCs w:val="21"/>
          <w:highlight w:val="none"/>
          <w:lang w:eastAsia="zh-CN"/>
        </w:rPr>
      </w:pPr>
      <w:bookmarkStart w:id="187" w:name="_Toc298258585"/>
      <w:bookmarkEnd w:id="187"/>
      <w:bookmarkStart w:id="188" w:name="_Toc298258584"/>
      <w:bookmarkEnd w:id="188"/>
      <w:bookmarkStart w:id="189" w:name="_Toc298258586"/>
      <w:bookmarkEnd w:id="189"/>
      <w:bookmarkStart w:id="190" w:name="_Toc298258583"/>
      <w:bookmarkEnd w:id="190"/>
      <w:bookmarkStart w:id="191" w:name="_Toc424651548"/>
      <w:bookmarkStart w:id="192" w:name="_Toc297806546"/>
      <w:bookmarkStart w:id="193" w:name="_Toc298258587"/>
      <w:bookmarkStart w:id="194" w:name="_Toc297806569"/>
      <w:r>
        <w:rPr>
          <w:rFonts w:hint="eastAsia" w:ascii="宋体" w:hAnsi="宋体" w:eastAsia="宋体" w:cs="宋体"/>
          <w:b/>
          <w:sz w:val="21"/>
          <w:szCs w:val="21"/>
          <w:highlight w:val="none"/>
          <w:lang w:eastAsia="zh-CN"/>
        </w:rPr>
        <w:t>第十六条  通知</w:t>
      </w:r>
      <w:bookmarkEnd w:id="191"/>
    </w:p>
    <w:p w14:paraId="36853E2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6ABEFE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各方的联络及通讯方法以各方的下列信息为准：</w:t>
      </w:r>
    </w:p>
    <w:p w14:paraId="29D0879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甲方： </w:t>
      </w:r>
    </w:p>
    <w:p w14:paraId="3569548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地址：_____________________</w:t>
      </w:r>
    </w:p>
    <w:p w14:paraId="3BD39F0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电话：_____________________</w:t>
      </w:r>
    </w:p>
    <w:p w14:paraId="6B63F63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收件人：_____________________</w:t>
      </w:r>
    </w:p>
    <w:p w14:paraId="02A3903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联系人：_____________________</w:t>
      </w:r>
    </w:p>
    <w:p w14:paraId="22BBB4CE">
      <w:pPr>
        <w:spacing w:line="360" w:lineRule="auto"/>
        <w:rPr>
          <w:rFonts w:hint="eastAsia" w:ascii="宋体" w:hAnsi="宋体" w:eastAsia="宋体" w:cs="宋体"/>
          <w:sz w:val="21"/>
          <w:szCs w:val="21"/>
          <w:highlight w:val="none"/>
          <w:lang w:eastAsia="zh-CN"/>
        </w:rPr>
      </w:pPr>
    </w:p>
    <w:p w14:paraId="6669EF74">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乙方：</w:t>
      </w:r>
    </w:p>
    <w:p w14:paraId="15928E6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地址：_____________________</w:t>
      </w:r>
    </w:p>
    <w:p w14:paraId="1C20358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电话：_____________________</w:t>
      </w:r>
    </w:p>
    <w:p w14:paraId="4C21801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收件人：____________________</w:t>
      </w:r>
    </w:p>
    <w:p w14:paraId="7B3336D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联系人：__________________</w:t>
      </w:r>
    </w:p>
    <w:p w14:paraId="7F64386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6055D7D1">
      <w:pPr>
        <w:spacing w:line="360" w:lineRule="auto"/>
        <w:rPr>
          <w:rFonts w:hint="eastAsia" w:ascii="宋体" w:hAnsi="宋体" w:eastAsia="宋体" w:cs="宋体"/>
          <w:b/>
          <w:sz w:val="21"/>
          <w:szCs w:val="21"/>
          <w:highlight w:val="none"/>
          <w:lang w:eastAsia="zh-CN"/>
        </w:rPr>
      </w:pPr>
      <w:r>
        <w:rPr>
          <w:rFonts w:hint="eastAsia" w:ascii="宋体" w:hAnsi="宋体" w:eastAsia="宋体" w:cs="宋体"/>
          <w:sz w:val="21"/>
          <w:szCs w:val="21"/>
          <w:highlight w:val="none"/>
          <w:lang w:eastAsia="zh-CN"/>
        </w:rPr>
        <w:t>16.3 本条款为独立条款，不受协议整体或其他条款的效力的影响，始终有效。</w:t>
      </w:r>
      <w:bookmarkStart w:id="195" w:name="_Toc424651549"/>
    </w:p>
    <w:p w14:paraId="1C8A4B73">
      <w:pPr>
        <w:spacing w:line="360" w:lineRule="auto"/>
        <w:rPr>
          <w:rFonts w:hint="eastAsia" w:ascii="宋体" w:hAnsi="宋体" w:eastAsia="宋体" w:cs="宋体"/>
          <w:b/>
          <w:sz w:val="21"/>
          <w:szCs w:val="21"/>
          <w:highlight w:val="none"/>
          <w:lang w:eastAsia="zh-CN"/>
        </w:rPr>
      </w:pPr>
    </w:p>
    <w:p w14:paraId="2EB3DDC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第十七条  其他约定</w:t>
      </w:r>
      <w:bookmarkEnd w:id="192"/>
      <w:bookmarkEnd w:id="193"/>
      <w:bookmarkEnd w:id="194"/>
      <w:bookmarkEnd w:id="195"/>
    </w:p>
    <w:p w14:paraId="036919C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17.1 本合同自甲乙双方法定代表人或授权代表签</w:t>
      </w:r>
      <w:r>
        <w:rPr>
          <w:rFonts w:hint="eastAsia" w:ascii="宋体" w:hAnsi="宋体" w:eastAsia="宋体" w:cs="宋体"/>
          <w:sz w:val="21"/>
          <w:szCs w:val="21"/>
          <w:highlight w:val="none"/>
          <w:lang w:eastAsia="zh-CN"/>
        </w:rPr>
        <w:t>名（如为授权代表签名，乙方需提交法定代表人授权委托书）并加盖单位公章或者合同专用章之日起生效</w:t>
      </w:r>
      <w:r>
        <w:rPr>
          <w:rFonts w:hint="eastAsia" w:ascii="宋体" w:hAnsi="宋体" w:eastAsia="宋体" w:cs="宋体"/>
          <w:sz w:val="21"/>
          <w:szCs w:val="21"/>
          <w:highlight w:val="none"/>
          <w:lang w:eastAsia="zh-CN"/>
        </w:rPr>
        <w:t>。</w:t>
      </w:r>
    </w:p>
    <w:p w14:paraId="65D20F8E">
      <w:pPr>
        <w:pStyle w:val="23"/>
        <w:snapToGrid w:val="0"/>
        <w:spacing w:line="360" w:lineRule="auto"/>
        <w:rPr>
          <w:rFonts w:hint="eastAsia" w:hAnsi="宋体"/>
          <w:b/>
          <w:color w:val="auto"/>
          <w:sz w:val="21"/>
          <w:szCs w:val="21"/>
          <w:highlight w:val="none"/>
        </w:rPr>
      </w:pPr>
      <w:r>
        <w:rPr>
          <w:rFonts w:hint="eastAsia" w:hAnsi="宋体"/>
          <w:sz w:val="21"/>
          <w:szCs w:val="21"/>
          <w:highlight w:val="none"/>
        </w:rPr>
        <w:t>17.2 本合同的附件内容作为合同的组成部分，与本合同具有同等法律效力。未尽事宜由甲、乙双方另行协商并签订补充合同。</w:t>
      </w:r>
    </w:p>
    <w:p w14:paraId="7100C4E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17.3 本合同一式</w:t>
      </w:r>
      <w:r>
        <w:rPr>
          <w:rFonts w:hint="eastAsia" w:ascii="宋体" w:hAnsi="宋体" w:eastAsia="宋体" w:cs="宋体"/>
          <w:sz w:val="21"/>
          <w:szCs w:val="21"/>
          <w:highlight w:val="none"/>
          <w:u w:val="single"/>
          <w:lang w:eastAsia="zh-CN"/>
        </w:rPr>
        <w:t>9</w:t>
      </w:r>
      <w:r>
        <w:rPr>
          <w:rFonts w:hint="eastAsia" w:ascii="宋体" w:hAnsi="宋体" w:eastAsia="宋体" w:cs="宋体"/>
          <w:sz w:val="21"/>
          <w:szCs w:val="21"/>
          <w:highlight w:val="none"/>
          <w:lang w:eastAsia="zh-CN"/>
        </w:rPr>
        <w:t>份，其中正本</w:t>
      </w:r>
      <w:r>
        <w:rPr>
          <w:rFonts w:hint="eastAsia" w:ascii="宋体" w:hAnsi="宋体" w:eastAsia="宋体" w:cs="宋体"/>
          <w:sz w:val="21"/>
          <w:szCs w:val="21"/>
          <w:highlight w:val="none"/>
          <w:u w:val="single"/>
          <w:lang w:eastAsia="zh-CN"/>
        </w:rPr>
        <w:t>3</w:t>
      </w:r>
      <w:r>
        <w:rPr>
          <w:rFonts w:hint="eastAsia" w:ascii="宋体" w:hAnsi="宋体" w:eastAsia="宋体" w:cs="宋体"/>
          <w:sz w:val="21"/>
          <w:szCs w:val="21"/>
          <w:highlight w:val="none"/>
          <w:lang w:eastAsia="zh-CN"/>
        </w:rPr>
        <w:t>份，副本</w:t>
      </w:r>
      <w:r>
        <w:rPr>
          <w:rFonts w:hint="eastAsia" w:ascii="宋体" w:hAnsi="宋体" w:eastAsia="宋体" w:cs="宋体"/>
          <w:sz w:val="21"/>
          <w:szCs w:val="21"/>
          <w:highlight w:val="none"/>
          <w:u w:val="single"/>
          <w:lang w:eastAsia="zh-CN"/>
        </w:rPr>
        <w:t>6</w:t>
      </w:r>
      <w:r>
        <w:rPr>
          <w:rFonts w:hint="eastAsia" w:ascii="宋体" w:hAnsi="宋体" w:eastAsia="宋体" w:cs="宋体"/>
          <w:sz w:val="21"/>
          <w:szCs w:val="21"/>
          <w:highlight w:val="none"/>
          <w:lang w:eastAsia="zh-CN"/>
        </w:rPr>
        <w:t>份，甲方执</w:t>
      </w:r>
      <w:r>
        <w:rPr>
          <w:rFonts w:hint="eastAsia" w:ascii="宋体" w:hAnsi="宋体" w:eastAsia="宋体" w:cs="宋体"/>
          <w:sz w:val="21"/>
          <w:szCs w:val="21"/>
          <w:highlight w:val="none"/>
          <w:u w:val="single"/>
          <w:lang w:eastAsia="zh-CN"/>
        </w:rPr>
        <w:t>6</w:t>
      </w:r>
      <w:r>
        <w:rPr>
          <w:rFonts w:hint="eastAsia" w:ascii="宋体" w:hAnsi="宋体" w:eastAsia="宋体" w:cs="宋体"/>
          <w:sz w:val="21"/>
          <w:szCs w:val="21"/>
          <w:highlight w:val="none"/>
          <w:lang w:eastAsia="zh-CN"/>
        </w:rPr>
        <w:t>份，乙方执</w:t>
      </w:r>
      <w:r>
        <w:rPr>
          <w:rFonts w:hint="eastAsia" w:ascii="宋体" w:hAnsi="宋体" w:eastAsia="宋体" w:cs="宋体"/>
          <w:sz w:val="21"/>
          <w:szCs w:val="21"/>
          <w:highlight w:val="none"/>
          <w:u w:val="single"/>
          <w:lang w:eastAsia="zh-CN"/>
        </w:rPr>
        <w:t>3</w:t>
      </w:r>
      <w:r>
        <w:rPr>
          <w:rFonts w:hint="eastAsia" w:ascii="宋体" w:hAnsi="宋体" w:eastAsia="宋体" w:cs="宋体"/>
          <w:sz w:val="21"/>
          <w:szCs w:val="21"/>
          <w:highlight w:val="none"/>
          <w:lang w:eastAsia="zh-CN"/>
        </w:rPr>
        <w:t>份。正副本具有同等法律效力，如有冲突，以正本为准。</w:t>
      </w:r>
      <w:bookmarkEnd w:id="107"/>
      <w:bookmarkEnd w:id="108"/>
      <w:bookmarkEnd w:id="109"/>
      <w:bookmarkEnd w:id="110"/>
    </w:p>
    <w:p w14:paraId="633CD831">
      <w:pPr>
        <w:spacing w:line="360" w:lineRule="auto"/>
        <w:rPr>
          <w:rFonts w:hint="eastAsia" w:ascii="宋体" w:hAnsi="宋体" w:eastAsia="宋体" w:cs="宋体"/>
          <w:b/>
          <w:bCs/>
          <w:sz w:val="21"/>
          <w:szCs w:val="21"/>
          <w:highlight w:val="none"/>
          <w:lang w:eastAsia="zh-CN"/>
        </w:rPr>
      </w:pPr>
      <w:bookmarkStart w:id="196" w:name="_Hlk18249179"/>
    </w:p>
    <w:p w14:paraId="52ACD8FE">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 xml:space="preserve">第十八条  合同附件 </w:t>
      </w:r>
    </w:p>
    <w:bookmarkEnd w:id="196"/>
    <w:p w14:paraId="67F50B4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附件一：用户需求书</w:t>
      </w:r>
    </w:p>
    <w:p w14:paraId="50659B30">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61E0A5A7">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3CC8B51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4F56C01E">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104FC05">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510CEA6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31A7EAC8">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2ABD566A">
      <w:pPr>
        <w:rPr>
          <w:sz w:val="24"/>
          <w:highlight w:val="none"/>
        </w:rPr>
      </w:pPr>
      <w:r>
        <w:rPr>
          <w:sz w:val="24"/>
          <w:highlight w:val="none"/>
        </w:rPr>
        <w:br w:type="page"/>
      </w:r>
    </w:p>
    <w:p w14:paraId="0E0C4808">
      <w:pPr>
        <w:pStyle w:val="11"/>
        <w:spacing w:line="360" w:lineRule="exact"/>
        <w:jc w:val="center"/>
        <w:rPr>
          <w:rFonts w:hAnsi="宋体"/>
          <w:b/>
          <w:szCs w:val="24"/>
          <w:highlight w:val="none"/>
          <w:lang w:eastAsia="zh-CN"/>
        </w:rPr>
      </w:pPr>
      <w:r>
        <w:rPr>
          <w:rFonts w:hint="eastAsia" w:hAnsi="宋体"/>
          <w:b/>
          <w:szCs w:val="24"/>
          <w:highlight w:val="none"/>
          <w:lang w:eastAsia="zh-CN"/>
        </w:rPr>
        <w:t>（此页无正文，为合同签署页）</w:t>
      </w:r>
    </w:p>
    <w:p w14:paraId="6EA1655A">
      <w:pPr>
        <w:pStyle w:val="11"/>
        <w:rPr>
          <w:rFonts w:hAnsi="宋体"/>
          <w:b/>
          <w:szCs w:val="24"/>
          <w:highlight w:val="none"/>
          <w:lang w:eastAsia="zh-CN"/>
        </w:rPr>
      </w:pPr>
    </w:p>
    <w:p w14:paraId="6BE37A86">
      <w:pPr>
        <w:pStyle w:val="11"/>
        <w:rPr>
          <w:rFonts w:hAnsi="宋体"/>
          <w:b/>
          <w:szCs w:val="24"/>
          <w:highlight w:val="none"/>
          <w:lang w:eastAsia="zh-CN"/>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10"/>
                              <w:tabs>
                                <w:tab w:val="left" w:pos="180"/>
                              </w:tabs>
                              <w:rPr>
                                <w:rFonts w:hAnsi="宋体"/>
                                <w:b/>
                                <w:kern w:val="2"/>
                                <w:szCs w:val="24"/>
                                <w:lang w:eastAsia="zh-CN"/>
                              </w:rPr>
                            </w:pPr>
                          </w:p>
                          <w:p w14:paraId="6F45B431">
                            <w:pPr>
                              <w:pStyle w:val="10"/>
                              <w:tabs>
                                <w:tab w:val="left" w:pos="180"/>
                              </w:tabs>
                              <w:rPr>
                                <w:rFonts w:hAnsi="宋体"/>
                                <w:b/>
                                <w:kern w:val="2"/>
                                <w:szCs w:val="24"/>
                                <w:lang w:eastAsia="zh-CN"/>
                              </w:rPr>
                            </w:pPr>
                          </w:p>
                          <w:p w14:paraId="1CAC7F3D">
                            <w:pPr>
                              <w:pStyle w:val="10"/>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3FAD4C7D">
                            <w:pPr>
                              <w:pStyle w:val="10"/>
                              <w:tabs>
                                <w:tab w:val="left" w:pos="180"/>
                              </w:tabs>
                              <w:rPr>
                                <w:rFonts w:ascii="宋体" w:hAnsi="宋体" w:eastAsiaTheme="minorEastAsia" w:cstheme="minorBidi"/>
                                <w:b/>
                                <w:kern w:val="2"/>
                                <w:sz w:val="21"/>
                                <w:szCs w:val="24"/>
                                <w:lang w:val="en-US" w:eastAsia="zh-CN" w:bidi="ar-SA"/>
                              </w:rPr>
                            </w:pPr>
                          </w:p>
                          <w:p w14:paraId="4E09B6BE">
                            <w:pPr>
                              <w:pStyle w:val="10"/>
                              <w:tabs>
                                <w:tab w:val="left" w:pos="180"/>
                              </w:tabs>
                              <w:rPr>
                                <w:rFonts w:hint="eastAsia" w:ascii="宋体" w:hAnsi="宋体" w:eastAsiaTheme="minorEastAsia" w:cstheme="minorBidi"/>
                                <w:b/>
                                <w:kern w:val="2"/>
                                <w:sz w:val="21"/>
                                <w:szCs w:val="24"/>
                                <w:lang w:val="en-US" w:eastAsia="zh-CN" w:bidi="ar-SA"/>
                              </w:rPr>
                            </w:pPr>
                          </w:p>
                          <w:p w14:paraId="337758B7">
                            <w:pPr>
                              <w:pStyle w:val="10"/>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2DA1286D">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10"/>
                        <w:tabs>
                          <w:tab w:val="left" w:pos="180"/>
                        </w:tabs>
                        <w:rPr>
                          <w:rFonts w:hAnsi="宋体"/>
                          <w:b/>
                          <w:kern w:val="2"/>
                          <w:szCs w:val="24"/>
                          <w:lang w:eastAsia="zh-CN"/>
                        </w:rPr>
                      </w:pPr>
                    </w:p>
                    <w:p w14:paraId="6F45B431">
                      <w:pPr>
                        <w:pStyle w:val="10"/>
                        <w:tabs>
                          <w:tab w:val="left" w:pos="180"/>
                        </w:tabs>
                        <w:rPr>
                          <w:rFonts w:hAnsi="宋体"/>
                          <w:b/>
                          <w:kern w:val="2"/>
                          <w:szCs w:val="24"/>
                          <w:lang w:eastAsia="zh-CN"/>
                        </w:rPr>
                      </w:pPr>
                    </w:p>
                    <w:p w14:paraId="1CAC7F3D">
                      <w:pPr>
                        <w:pStyle w:val="10"/>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3FAD4C7D">
                      <w:pPr>
                        <w:pStyle w:val="10"/>
                        <w:tabs>
                          <w:tab w:val="left" w:pos="180"/>
                        </w:tabs>
                        <w:rPr>
                          <w:rFonts w:ascii="宋体" w:hAnsi="宋体" w:eastAsiaTheme="minorEastAsia" w:cstheme="minorBidi"/>
                          <w:b/>
                          <w:kern w:val="2"/>
                          <w:sz w:val="21"/>
                          <w:szCs w:val="24"/>
                          <w:lang w:val="en-US" w:eastAsia="zh-CN" w:bidi="ar-SA"/>
                        </w:rPr>
                      </w:pPr>
                    </w:p>
                    <w:p w14:paraId="4E09B6BE">
                      <w:pPr>
                        <w:pStyle w:val="10"/>
                        <w:tabs>
                          <w:tab w:val="left" w:pos="180"/>
                        </w:tabs>
                        <w:rPr>
                          <w:rFonts w:hint="eastAsia" w:ascii="宋体" w:hAnsi="宋体" w:eastAsiaTheme="minorEastAsia" w:cstheme="minorBidi"/>
                          <w:b/>
                          <w:kern w:val="2"/>
                          <w:sz w:val="21"/>
                          <w:szCs w:val="24"/>
                          <w:lang w:val="en-US" w:eastAsia="zh-CN" w:bidi="ar-SA"/>
                        </w:rPr>
                      </w:pPr>
                    </w:p>
                    <w:p w14:paraId="337758B7">
                      <w:pPr>
                        <w:pStyle w:val="10"/>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2DA1286D">
                      <w:r>
                        <w:rPr>
                          <w:rFonts w:hint="eastAsia" w:ascii="宋体" w:hAnsi="宋体"/>
                          <w:b/>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00F084E"/>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400F084E"/>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3816BBB8">
      <w:pPr>
        <w:pStyle w:val="11"/>
        <w:rPr>
          <w:rFonts w:hAnsi="宋体"/>
          <w:b/>
          <w:szCs w:val="24"/>
          <w:highlight w:val="none"/>
          <w:lang w:eastAsia="zh-CN"/>
        </w:rPr>
      </w:pPr>
    </w:p>
    <w:p w14:paraId="7B60F7EF">
      <w:pPr>
        <w:pStyle w:val="11"/>
        <w:rPr>
          <w:rFonts w:hAnsi="宋体"/>
          <w:b/>
          <w:szCs w:val="24"/>
          <w:highlight w:val="none"/>
          <w:lang w:eastAsia="zh-CN"/>
        </w:rPr>
      </w:pPr>
    </w:p>
    <w:p w14:paraId="1D7CF7F1">
      <w:pPr>
        <w:pStyle w:val="11"/>
        <w:spacing w:line="360" w:lineRule="auto"/>
        <w:rPr>
          <w:rFonts w:hAnsi="宋体"/>
          <w:b/>
          <w:szCs w:val="24"/>
          <w:highlight w:val="none"/>
          <w:lang w:eastAsia="zh-CN"/>
        </w:rPr>
      </w:pPr>
    </w:p>
    <w:p w14:paraId="4329168C">
      <w:pPr>
        <w:pStyle w:val="11"/>
        <w:spacing w:line="360" w:lineRule="auto"/>
        <w:rPr>
          <w:rFonts w:hAnsi="宋体"/>
          <w:b/>
          <w:szCs w:val="24"/>
          <w:highlight w:val="none"/>
          <w:lang w:eastAsia="zh-CN"/>
        </w:rPr>
      </w:pPr>
    </w:p>
    <w:p w14:paraId="71C359CB">
      <w:pPr>
        <w:pStyle w:val="11"/>
        <w:spacing w:line="360" w:lineRule="auto"/>
        <w:rPr>
          <w:rFonts w:hAnsi="宋体" w:cs="Arial"/>
          <w:highlight w:val="none"/>
          <w:lang w:eastAsia="zh-CN"/>
        </w:rPr>
      </w:pPr>
    </w:p>
    <w:p w14:paraId="400FF58D">
      <w:pPr>
        <w:pStyle w:val="11"/>
        <w:spacing w:line="360" w:lineRule="auto"/>
        <w:rPr>
          <w:highlight w:val="none"/>
          <w:lang w:eastAsia="zh-CN"/>
        </w:rPr>
        <w:sectPr>
          <w:footerReference r:id="rId4" w:type="default"/>
          <w:pgSz w:w="11906" w:h="16838"/>
          <w:pgMar w:top="1440" w:right="1247" w:bottom="1440" w:left="1247" w:header="851" w:footer="992" w:gutter="0"/>
          <w:pgNumType w:fmt="decimal" w:start="1"/>
          <w:cols w:space="720" w:num="1"/>
          <w:docGrid w:type="linesAndChars" w:linePitch="312" w:charSpace="0"/>
        </w:sectPr>
      </w:pPr>
    </w:p>
    <w:p w14:paraId="0EF1F925">
      <w:pPr>
        <w:pStyle w:val="2"/>
        <w:rPr>
          <w:highlight w:val="none"/>
        </w:rPr>
      </w:pPr>
    </w:p>
    <w:p w14:paraId="780D526D">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FC0A7">
      <w:pPr>
        <w:widowControl/>
        <w:spacing w:line="357" w:lineRule="atLeast"/>
        <w:jc w:val="center"/>
        <w:rPr>
          <w:rFonts w:ascii="宋体" w:hAnsi="Times New Roman" w:eastAsia="宋体" w:cs="宋体"/>
          <w:b/>
          <w:bCs/>
          <w:sz w:val="28"/>
          <w:szCs w:val="28"/>
          <w:highlight w:val="none"/>
        </w:rPr>
      </w:pPr>
    </w:p>
    <w:p w14:paraId="3362ECDC">
      <w:pPr>
        <w:widowControl/>
        <w:spacing w:line="357" w:lineRule="atLeast"/>
        <w:jc w:val="center"/>
        <w:outlineLvl w:val="1"/>
        <w:rPr>
          <w:rFonts w:ascii="宋体" w:hAnsi="宋体" w:eastAsia="宋体" w:cs="宋体"/>
          <w:b/>
          <w:sz w:val="44"/>
          <w:szCs w:val="44"/>
          <w:highlight w:val="none"/>
        </w:rPr>
      </w:pPr>
      <w:bookmarkStart w:id="197" w:name="_Toc14710_WPSOffice_Level1"/>
      <w:bookmarkEnd w:id="197"/>
      <w:bookmarkStart w:id="198" w:name="_Toc128_WPSOffice_Level1"/>
      <w:r>
        <w:rPr>
          <w:rFonts w:hint="eastAsia" w:ascii="宋体" w:hAnsi="宋体" w:eastAsia="宋体" w:cs="宋体"/>
          <w:b/>
          <w:color w:val="000000"/>
          <w:kern w:val="0"/>
          <w:sz w:val="44"/>
          <w:szCs w:val="44"/>
          <w:highlight w:val="none"/>
          <w:u w:color="000000"/>
          <w:lang w:bidi="ar"/>
        </w:rPr>
        <w:t>资格证明文件</w:t>
      </w:r>
      <w:bookmarkEnd w:id="198"/>
    </w:p>
    <w:p w14:paraId="23025DC1">
      <w:pPr>
        <w:widowControl/>
        <w:spacing w:line="357" w:lineRule="atLeast"/>
        <w:jc w:val="center"/>
        <w:rPr>
          <w:rFonts w:ascii="宋体" w:hAnsi="宋体" w:eastAsia="宋体" w:cs="宋体"/>
          <w:sz w:val="32"/>
          <w:szCs w:val="32"/>
          <w:highlight w:val="none"/>
        </w:rPr>
      </w:pPr>
      <w:bookmarkStart w:id="199" w:name="_Toc19336_WPSOffice_Level2"/>
      <w:bookmarkEnd w:id="199"/>
      <w:r>
        <w:rPr>
          <w:rFonts w:hint="eastAsia" w:ascii="宋体" w:hAnsi="宋体" w:eastAsia="宋体" w:cs="宋体"/>
          <w:color w:val="000000"/>
          <w:kern w:val="0"/>
          <w:sz w:val="32"/>
          <w:szCs w:val="32"/>
          <w:highlight w:val="none"/>
          <w:u w:color="000000"/>
          <w:lang w:bidi="ar"/>
        </w:rPr>
        <w:t>（投标文件一）</w:t>
      </w:r>
    </w:p>
    <w:p w14:paraId="514F4AF6">
      <w:pPr>
        <w:widowControl/>
        <w:spacing w:line="357" w:lineRule="atLeast"/>
        <w:jc w:val="center"/>
        <w:rPr>
          <w:rFonts w:ascii="黑体" w:hAnsi="宋体" w:eastAsia="黑体" w:cs="黑体"/>
          <w:sz w:val="44"/>
          <w:szCs w:val="44"/>
          <w:highlight w:val="none"/>
        </w:rPr>
      </w:pPr>
      <w:r>
        <w:rPr>
          <w:rFonts w:hint="eastAsia" w:ascii="黑体" w:hAnsi="宋体" w:eastAsia="黑体" w:cs="黑体"/>
          <w:color w:val="000000"/>
          <w:kern w:val="0"/>
          <w:sz w:val="44"/>
          <w:szCs w:val="44"/>
          <w:highlight w:val="none"/>
          <w:u w:color="000000"/>
          <w:lang w:bidi="ar"/>
        </w:rPr>
        <w:t xml:space="preserve"> </w:t>
      </w:r>
    </w:p>
    <w:p w14:paraId="5A53760E">
      <w:pPr>
        <w:widowControl/>
        <w:spacing w:line="357" w:lineRule="atLeast"/>
        <w:ind w:firstLine="3000" w:firstLineChars="1000"/>
        <w:rPr>
          <w:rFonts w:ascii="宋体" w:hAnsi="宋体" w:eastAsia="宋体" w:cs="宋体"/>
          <w:sz w:val="30"/>
          <w:szCs w:val="30"/>
          <w:highlight w:val="none"/>
        </w:rPr>
      </w:pPr>
      <w:bookmarkStart w:id="200" w:name="_Toc7180_WPSOffice_Level3"/>
      <w:bookmarkEnd w:id="200"/>
      <w:r>
        <w:rPr>
          <w:rFonts w:hint="eastAsia" w:ascii="宋体" w:hAnsi="宋体" w:eastAsia="宋体" w:cs="宋体"/>
          <w:color w:val="000000"/>
          <w:kern w:val="0"/>
          <w:sz w:val="30"/>
          <w:szCs w:val="30"/>
          <w:highlight w:val="none"/>
          <w:u w:color="000000"/>
          <w:lang w:bidi="ar"/>
        </w:rPr>
        <w:t>项目名称：</w:t>
      </w:r>
    </w:p>
    <w:p w14:paraId="78363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164682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F41B6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81D22AF">
      <w:pPr>
        <w:pStyle w:val="5"/>
        <w:ind w:firstLine="560"/>
        <w:rPr>
          <w:sz w:val="28"/>
          <w:szCs w:val="28"/>
          <w:highlight w:val="none"/>
        </w:rPr>
      </w:pPr>
      <w:r>
        <w:rPr>
          <w:sz w:val="28"/>
          <w:szCs w:val="28"/>
          <w:highlight w:val="none"/>
        </w:rPr>
        <w:t xml:space="preserve"> </w:t>
      </w:r>
    </w:p>
    <w:p w14:paraId="533D2B4C">
      <w:pPr>
        <w:pStyle w:val="15"/>
        <w:widowControl/>
        <w:rPr>
          <w:highlight w:val="none"/>
        </w:rPr>
      </w:pPr>
      <w:r>
        <w:rPr>
          <w:highlight w:val="none"/>
        </w:rPr>
        <w:t xml:space="preserve"> </w:t>
      </w:r>
    </w:p>
    <w:p w14:paraId="2B0F8FA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E9E4A0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9E79CD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803BD89">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D79029E">
      <w:pPr>
        <w:widowControl/>
        <w:spacing w:line="357" w:lineRule="atLeast"/>
        <w:jc w:val="center"/>
        <w:rPr>
          <w:rFonts w:ascii="宋体" w:hAnsi="宋体" w:eastAsia="宋体" w:cs="宋体"/>
          <w:color w:val="000000"/>
          <w:kern w:val="0"/>
          <w:sz w:val="32"/>
          <w:szCs w:val="32"/>
          <w:highlight w:val="none"/>
          <w:u w:color="000000"/>
          <w:lang w:bidi="ar"/>
        </w:rPr>
      </w:pPr>
    </w:p>
    <w:p w14:paraId="75BFCF8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856CD84">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1E899981">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1A1C28D3">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0C8A82CA">
      <w:pPr>
        <w:widowControl/>
        <w:spacing w:line="400" w:lineRule="exact"/>
        <w:ind w:firstLine="562" w:firstLineChars="200"/>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7608C17C">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14:paraId="786D1D7C">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（2）投标人有效的营业执照、税务登记证、组织机构代码证（或三合一证书）；</w:t>
      </w:r>
    </w:p>
    <w:p w14:paraId="41ED2415">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（3）诚信投标承诺书（格式见附件）；</w:t>
      </w:r>
    </w:p>
    <w:p w14:paraId="4708386A">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（4）服务承诺：是否响应招标文件要求的书面说明和服务承诺书（格式见附件）；</w:t>
      </w:r>
    </w:p>
    <w:p w14:paraId="33C0526C">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（5）招标文件中要求的资信评审（评分）的支持资料；</w:t>
      </w:r>
    </w:p>
    <w:p w14:paraId="1733C2FD">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（6）投标人认为需要提供的其他资信证明材料。</w:t>
      </w:r>
    </w:p>
    <w:p w14:paraId="35569F26">
      <w:pPr>
        <w:widowControl/>
        <w:autoSpaceDE w:val="0"/>
        <w:spacing w:line="480" w:lineRule="auto"/>
        <w:ind w:left="720"/>
        <w:jc w:val="center"/>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44346D12">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3BE0D43">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59F98429">
      <w:pPr>
        <w:pStyle w:val="31"/>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0BE9283">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255531D">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3EA70D3">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5F98A808">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77539D3B">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48A14116">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32C68984">
      <w:pPr>
        <w:spacing w:line="400" w:lineRule="exact"/>
        <w:rPr>
          <w:rFonts w:ascii="宋体"/>
          <w:sz w:val="24"/>
          <w:highlight w:val="none"/>
        </w:rPr>
      </w:pPr>
      <w:r>
        <w:rPr>
          <w:rFonts w:hint="eastAsia" w:ascii="宋体"/>
          <w:sz w:val="24"/>
          <w:highlight w:val="none"/>
        </w:rPr>
        <w:t>特此证明。</w:t>
      </w:r>
    </w:p>
    <w:p w14:paraId="196B15C2">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6460504B">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BC126D2">
      <w:pPr>
        <w:spacing w:before="312" w:beforeLines="100" w:after="312" w:afterLines="100" w:line="400" w:lineRule="exact"/>
        <w:ind w:firstLine="3654" w:firstLineChars="1305"/>
        <w:rPr>
          <w:rFonts w:ascii="宋体"/>
          <w:sz w:val="28"/>
          <w:szCs w:val="28"/>
          <w:highlight w:val="none"/>
        </w:rPr>
      </w:pPr>
      <w:r>
        <w:rPr>
          <w:rFonts w:hint="eastAsia" w:ascii="宋体"/>
          <w:sz w:val="28"/>
          <w:szCs w:val="28"/>
          <w:highlight w:val="none"/>
        </w:rPr>
        <w:t>2.授权委托书</w:t>
      </w:r>
    </w:p>
    <w:p w14:paraId="1FEEEF31">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A0E7CC5">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C0C5FA2">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58133868">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319037C9">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670E8ED">
      <w:pPr>
        <w:widowControl/>
        <w:spacing w:line="360" w:lineRule="auto"/>
        <w:rPr>
          <w:rFonts w:ascii="宋体" w:hAnsi="宋体" w:eastAsia="宋体" w:cs="宋体"/>
          <w:b/>
          <w:sz w:val="24"/>
          <w:highlight w:val="none"/>
        </w:rPr>
      </w:pPr>
    </w:p>
    <w:p w14:paraId="66C8AE8D">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2D6C5E2C">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31675DA8">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67D7152F">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C9BBBE3">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3363A55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03DFC0D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576DBEFD">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73DB21F">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1659810C">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DB7A2BA">
      <w:pPr>
        <w:adjustRightInd w:val="0"/>
        <w:snapToGrid w:val="0"/>
        <w:spacing w:line="400" w:lineRule="exact"/>
        <w:ind w:firstLine="420" w:firstLineChars="200"/>
        <w:rPr>
          <w:rFonts w:ascii="宋体" w:hAnsi="宋体"/>
          <w:color w:val="000000"/>
          <w:szCs w:val="21"/>
          <w:highlight w:val="none"/>
        </w:rPr>
      </w:pPr>
      <w:bookmarkStart w:id="201" w:name="_Toc451384148"/>
      <w:bookmarkStart w:id="202" w:name="_Toc425084385"/>
      <w:r>
        <w:rPr>
          <w:rFonts w:hint="eastAsia" w:ascii="宋体" w:hAnsi="宋体"/>
          <w:color w:val="000000"/>
          <w:szCs w:val="21"/>
          <w:highlight w:val="none"/>
        </w:rPr>
        <w:t>一、将遵循公</w:t>
      </w:r>
      <w:bookmarkStart w:id="203" w:name="_Toc506107356"/>
      <w:bookmarkStart w:id="204" w:name="_Toc503196197"/>
      <w:bookmarkStart w:id="205" w:name="_Toc26598"/>
      <w:r>
        <w:rPr>
          <w:rFonts w:hint="eastAsia" w:ascii="宋体" w:hAnsi="宋体"/>
          <w:color w:val="000000"/>
          <w:szCs w:val="21"/>
          <w:highlight w:val="none"/>
        </w:rPr>
        <w:t>开、公正和诚实信用</w:t>
      </w:r>
      <w:bookmarkEnd w:id="203"/>
      <w:bookmarkEnd w:id="204"/>
      <w:r>
        <w:rPr>
          <w:rFonts w:hint="eastAsia" w:ascii="宋体" w:hAnsi="宋体"/>
          <w:color w:val="000000"/>
          <w:szCs w:val="21"/>
          <w:highlight w:val="none"/>
        </w:rPr>
        <w:t>的</w:t>
      </w:r>
      <w:bookmarkEnd w:id="205"/>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18BCA622">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7147071D">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027E59A0">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28468C1F">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7F3B779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40F1B3F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7AD828B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32466E1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04696FA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C4B3C9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7DD8CF7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2BC8A26">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E7EB1C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64F7BC4">
      <w:pPr>
        <w:spacing w:line="400" w:lineRule="exact"/>
        <w:ind w:firstLine="420" w:firstLineChars="200"/>
        <w:rPr>
          <w:rFonts w:ascii="宋体" w:hAnsi="宋体"/>
          <w:szCs w:val="21"/>
          <w:highlight w:val="none"/>
        </w:rPr>
      </w:pPr>
    </w:p>
    <w:p w14:paraId="7204B2DB">
      <w:pPr>
        <w:spacing w:line="400" w:lineRule="exact"/>
        <w:jc w:val="right"/>
        <w:rPr>
          <w:rFonts w:ascii="方正仿宋_GB2312" w:eastAsia="方正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4562DEC5">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013085BE">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66624AC3">
      <w:pPr>
        <w:keepNext/>
        <w:keepLines/>
        <w:spacing w:line="300" w:lineRule="exact"/>
        <w:jc w:val="center"/>
        <w:outlineLvl w:val="2"/>
        <w:rPr>
          <w:b/>
          <w:bCs/>
          <w:sz w:val="28"/>
          <w:szCs w:val="28"/>
          <w:highlight w:val="none"/>
        </w:rPr>
      </w:pPr>
    </w:p>
    <w:p w14:paraId="118BB3EC">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75232A6">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3D6512DA">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10F364A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9047FAB">
      <w:pPr>
        <w:spacing w:line="360" w:lineRule="auto"/>
        <w:rPr>
          <w:rFonts w:ascii="宋体" w:hAnsi="宋体"/>
          <w:color w:val="000000"/>
          <w:sz w:val="24"/>
          <w:highlight w:val="none"/>
        </w:rPr>
      </w:pPr>
      <w:r>
        <w:rPr>
          <w:rFonts w:hint="eastAsia" w:ascii="宋体" w:hAnsi="宋体"/>
          <w:color w:val="000000"/>
          <w:sz w:val="24"/>
          <w:highlight w:val="none"/>
        </w:rPr>
        <w:t> </w:t>
      </w:r>
    </w:p>
    <w:p w14:paraId="27058FCA">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14C9E81D">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066E1B9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4B7AA1A0">
      <w:pPr>
        <w:spacing w:line="360" w:lineRule="auto"/>
        <w:ind w:firstLine="4320" w:firstLineChars="1800"/>
        <w:jc w:val="left"/>
        <w:rPr>
          <w:rFonts w:ascii="宋体" w:hAnsi="宋体"/>
          <w:color w:val="000000"/>
          <w:sz w:val="24"/>
          <w:highlight w:val="none"/>
        </w:rPr>
      </w:pPr>
    </w:p>
    <w:p w14:paraId="2FFFC9B2">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1BEB30D">
      <w:pPr>
        <w:spacing w:line="400" w:lineRule="exact"/>
        <w:ind w:firstLine="482" w:firstLineChars="200"/>
        <w:rPr>
          <w:rFonts w:ascii="宋体" w:hAnsi="宋体"/>
          <w:b/>
          <w:color w:val="000000"/>
          <w:sz w:val="24"/>
          <w:highlight w:val="none"/>
        </w:rPr>
      </w:pPr>
    </w:p>
    <w:bookmarkEnd w:id="201"/>
    <w:bookmarkEnd w:id="202"/>
    <w:p w14:paraId="3B3955DB">
      <w:pPr>
        <w:jc w:val="center"/>
        <w:rPr>
          <w:rFonts w:ascii="宋体" w:hAnsi="宋体"/>
          <w:b/>
          <w:sz w:val="30"/>
          <w:szCs w:val="30"/>
          <w:highlight w:val="none"/>
        </w:rPr>
      </w:pPr>
      <w:r>
        <w:rPr>
          <w:rFonts w:hint="eastAsia" w:ascii="宋体" w:hAnsi="宋体"/>
          <w:b/>
          <w:sz w:val="30"/>
          <w:szCs w:val="30"/>
          <w:highlight w:val="none"/>
        </w:rPr>
        <w:br w:type="page"/>
      </w:r>
    </w:p>
    <w:p w14:paraId="4F7A827C">
      <w:pPr>
        <w:widowControl/>
        <w:spacing w:line="357" w:lineRule="atLeast"/>
        <w:jc w:val="center"/>
        <w:outlineLvl w:val="1"/>
        <w:rPr>
          <w:rFonts w:ascii="宋体" w:hAnsi="宋体" w:eastAsia="宋体" w:cs="宋体"/>
          <w:b/>
          <w:color w:val="000000"/>
          <w:kern w:val="0"/>
          <w:sz w:val="44"/>
          <w:szCs w:val="44"/>
          <w:highlight w:val="none"/>
          <w:u w:color="000000"/>
          <w:lang w:bidi="ar"/>
        </w:rPr>
      </w:pPr>
    </w:p>
    <w:p w14:paraId="3E8334B3">
      <w:pPr>
        <w:widowControl/>
        <w:spacing w:line="357" w:lineRule="atLeast"/>
        <w:jc w:val="center"/>
        <w:outlineLvl w:val="1"/>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技术标</w:t>
      </w:r>
    </w:p>
    <w:p w14:paraId="1190D64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（投标文件二）</w:t>
      </w:r>
    </w:p>
    <w:p w14:paraId="158D3FEF">
      <w:pPr>
        <w:widowControl/>
        <w:spacing w:line="357" w:lineRule="atLeast"/>
        <w:jc w:val="center"/>
        <w:rPr>
          <w:rFonts w:ascii="黑体" w:hAnsi="宋体" w:eastAsia="黑体" w:cs="黑体"/>
          <w:sz w:val="44"/>
          <w:szCs w:val="44"/>
          <w:highlight w:val="none"/>
        </w:rPr>
      </w:pPr>
      <w:r>
        <w:rPr>
          <w:rFonts w:hint="eastAsia" w:ascii="黑体" w:hAnsi="宋体" w:eastAsia="黑体" w:cs="黑体"/>
          <w:color w:val="000000"/>
          <w:kern w:val="0"/>
          <w:sz w:val="44"/>
          <w:szCs w:val="44"/>
          <w:highlight w:val="none"/>
          <w:u w:color="000000"/>
          <w:lang w:bidi="ar"/>
        </w:rPr>
        <w:t xml:space="preserve"> </w:t>
      </w:r>
    </w:p>
    <w:p w14:paraId="16E27D88">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6DA2AF5F">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3ACFF3">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FA6A60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0A247288">
      <w:pPr>
        <w:pStyle w:val="5"/>
        <w:ind w:firstLine="560"/>
        <w:rPr>
          <w:sz w:val="28"/>
          <w:szCs w:val="28"/>
          <w:highlight w:val="none"/>
        </w:rPr>
      </w:pPr>
      <w:r>
        <w:rPr>
          <w:sz w:val="28"/>
          <w:szCs w:val="28"/>
          <w:highlight w:val="none"/>
        </w:rPr>
        <w:t xml:space="preserve"> </w:t>
      </w:r>
    </w:p>
    <w:p w14:paraId="084706D9">
      <w:pPr>
        <w:pStyle w:val="15"/>
        <w:widowControl/>
        <w:rPr>
          <w:highlight w:val="none"/>
        </w:rPr>
      </w:pPr>
      <w:r>
        <w:rPr>
          <w:highlight w:val="none"/>
        </w:rPr>
        <w:t xml:space="preserve"> </w:t>
      </w:r>
    </w:p>
    <w:p w14:paraId="5831FA3A">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7EE01DF1">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5FF1CC2B">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62AF7B81">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767B45F8">
      <w:pPr>
        <w:widowControl/>
        <w:spacing w:line="357" w:lineRule="atLeast"/>
        <w:jc w:val="center"/>
        <w:rPr>
          <w:rFonts w:ascii="宋体" w:hAnsi="宋体" w:eastAsia="宋体" w:cs="宋体"/>
          <w:color w:val="000000"/>
          <w:kern w:val="0"/>
          <w:sz w:val="32"/>
          <w:szCs w:val="32"/>
          <w:highlight w:val="none"/>
          <w:u w:color="000000"/>
          <w:lang w:bidi="ar"/>
        </w:rPr>
      </w:pPr>
    </w:p>
    <w:p w14:paraId="5C71DEE4">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2E66F1C6">
      <w:pPr>
        <w:rPr>
          <w:rFonts w:ascii="宋体" w:hAnsi="宋体"/>
          <w:b/>
          <w:sz w:val="30"/>
          <w:szCs w:val="30"/>
          <w:highlight w:val="none"/>
        </w:rPr>
      </w:pPr>
      <w:r>
        <w:rPr>
          <w:rFonts w:hint="eastAsia" w:ascii="宋体" w:hAnsi="宋体"/>
          <w:b/>
          <w:sz w:val="30"/>
          <w:szCs w:val="30"/>
          <w:highlight w:val="none"/>
        </w:rPr>
        <w:br w:type="page"/>
      </w:r>
    </w:p>
    <w:p w14:paraId="5B10A485">
      <w:pPr>
        <w:widowControl/>
        <w:spacing w:line="720" w:lineRule="auto"/>
        <w:jc w:val="center"/>
        <w:rPr>
          <w:highlight w:val="none"/>
        </w:rPr>
      </w:pPr>
      <w:r>
        <w:rPr>
          <w:highlight w:val="none"/>
        </w:rPr>
        <w:t xml:space="preserve"> </w:t>
      </w:r>
    </w:p>
    <w:p w14:paraId="798CC367">
      <w:pPr>
        <w:widowControl/>
        <w:spacing w:line="720" w:lineRule="auto"/>
        <w:jc w:val="center"/>
        <w:rPr>
          <w:rFonts w:ascii="宋体" w:hAnsi="宋体" w:eastAsia="宋体" w:cs="宋体"/>
          <w:b/>
          <w:sz w:val="36"/>
          <w:szCs w:val="36"/>
          <w:highlight w:val="none"/>
        </w:rPr>
      </w:pP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14:paraId="0EC16C8D">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379F5F50">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（1）服务方案；</w:t>
      </w:r>
    </w:p>
    <w:p w14:paraId="231AA701">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（2）产品质量及安全保证措施；</w:t>
      </w:r>
    </w:p>
    <w:p w14:paraId="70D8BFA1">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（3）样品；</w:t>
      </w:r>
    </w:p>
    <w:p w14:paraId="2F10C00E">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（4）投标人认为需要提供的其他资信证明材料。</w:t>
      </w:r>
    </w:p>
    <w:p w14:paraId="149C9519">
      <w:pPr>
        <w:rPr>
          <w:rFonts w:ascii="宋体" w:hAnsi="宋体" w:eastAsia="宋体" w:cs="宋体"/>
          <w:b/>
          <w:color w:val="000000"/>
          <w:kern w:val="0"/>
          <w:sz w:val="28"/>
          <w:szCs w:val="28"/>
          <w:highlight w:val="none"/>
          <w:u w:color="000000"/>
          <w:lang w:bidi="ar"/>
        </w:rPr>
      </w:pPr>
    </w:p>
    <w:p w14:paraId="746BEC8F">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14:paraId="15B3C5DE">
      <w:pPr>
        <w:widowControl/>
        <w:spacing w:line="357" w:lineRule="atLeast"/>
        <w:jc w:val="center"/>
        <w:outlineLvl w:val="1"/>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商务标</w:t>
      </w:r>
    </w:p>
    <w:p w14:paraId="657C7263">
      <w:pPr>
        <w:widowControl/>
        <w:spacing w:line="357" w:lineRule="atLeast"/>
        <w:jc w:val="center"/>
        <w:rPr>
          <w:rFonts w:ascii="宋体" w:hAnsi="宋体" w:eastAsia="宋体" w:cs="宋体"/>
          <w:sz w:val="36"/>
          <w:szCs w:val="36"/>
          <w:highlight w:val="none"/>
        </w:rPr>
      </w:pPr>
      <w:bookmarkStart w:id="206" w:name="_Toc27638_WPSOffice_Level2"/>
      <w:bookmarkEnd w:id="206"/>
      <w:r>
        <w:rPr>
          <w:rFonts w:hint="eastAsia" w:ascii="宋体" w:hAnsi="宋体" w:eastAsia="宋体" w:cs="宋体"/>
          <w:color w:val="000000"/>
          <w:kern w:val="0"/>
          <w:sz w:val="44"/>
          <w:szCs w:val="44"/>
          <w:highlight w:val="none"/>
          <w:u w:color="000000"/>
          <w:lang w:bidi="ar"/>
        </w:rPr>
        <w:t>（</w:t>
      </w:r>
      <w:r>
        <w:rPr>
          <w:rFonts w:hint="eastAsia" w:ascii="宋体" w:hAnsi="宋体" w:eastAsia="宋体" w:cs="宋体"/>
          <w:color w:val="000000"/>
          <w:kern w:val="0"/>
          <w:sz w:val="36"/>
          <w:szCs w:val="36"/>
          <w:highlight w:val="none"/>
          <w:u w:color="000000"/>
          <w:lang w:bidi="ar"/>
        </w:rPr>
        <w:t>投标文件三）</w:t>
      </w:r>
    </w:p>
    <w:p w14:paraId="2CDAE7B3">
      <w:pPr>
        <w:widowControl/>
        <w:spacing w:line="357" w:lineRule="atLeast"/>
        <w:jc w:val="center"/>
        <w:rPr>
          <w:rFonts w:ascii="宋体" w:hAnsi="宋体" w:eastAsia="宋体" w:cs="宋体"/>
          <w:sz w:val="36"/>
          <w:szCs w:val="36"/>
          <w:highlight w:val="none"/>
        </w:rPr>
      </w:pPr>
      <w:r>
        <w:rPr>
          <w:rFonts w:hint="eastAsia" w:ascii="宋体" w:hAnsi="宋体" w:eastAsia="宋体" w:cs="宋体"/>
          <w:color w:val="000000"/>
          <w:kern w:val="0"/>
          <w:sz w:val="36"/>
          <w:szCs w:val="36"/>
          <w:highlight w:val="none"/>
          <w:u w:color="000000"/>
          <w:lang w:bidi="ar"/>
        </w:rPr>
        <w:t xml:space="preserve"> </w:t>
      </w:r>
    </w:p>
    <w:p w14:paraId="3E2D8016">
      <w:pPr>
        <w:widowControl/>
        <w:spacing w:line="357" w:lineRule="atLeast"/>
        <w:ind w:firstLine="2520" w:firstLineChars="900"/>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项目名称：</w:t>
      </w:r>
      <w:r>
        <w:rPr>
          <w:rFonts w:hint="eastAsia" w:ascii="宋体" w:hAnsi="宋体" w:eastAsia="宋体" w:cs="宋体"/>
          <w:color w:val="000000"/>
          <w:kern w:val="0"/>
          <w:sz w:val="28"/>
          <w:szCs w:val="28"/>
          <w:highlight w:val="none"/>
          <w:u w:val="single" w:color="000000"/>
          <w:lang w:bidi="ar"/>
        </w:rPr>
        <w:t xml:space="preserve">           </w:t>
      </w:r>
    </w:p>
    <w:p w14:paraId="4D594FDB">
      <w:pPr>
        <w:pStyle w:val="15"/>
        <w:widowControl/>
        <w:jc w:val="center"/>
        <w:rPr>
          <w:rFonts w:ascii="宋体" w:hAnsi="宋体" w:eastAsia="宋体" w:cs="宋体"/>
          <w:sz w:val="44"/>
          <w:szCs w:val="44"/>
          <w:highlight w:val="none"/>
        </w:rPr>
      </w:pPr>
      <w:r>
        <w:rPr>
          <w:rFonts w:hint="eastAsia" w:ascii="宋体" w:hAnsi="宋体" w:eastAsia="宋体" w:cs="宋体"/>
          <w:color w:val="000000"/>
          <w:kern w:val="0"/>
          <w:sz w:val="44"/>
          <w:szCs w:val="44"/>
          <w:highlight w:val="none"/>
          <w:u w:color="000000"/>
          <w:lang w:bidi="ar"/>
        </w:rPr>
        <w:t xml:space="preserve"> </w:t>
      </w:r>
    </w:p>
    <w:p w14:paraId="7D55378D">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C649356">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191FBA8">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EF7A75F">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BB9F5AF">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D9EC990">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6F1BE1E">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7D9385C9">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2175014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97EDAF1">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9C10A12">
      <w:pPr>
        <w:widowControl/>
        <w:spacing w:line="357" w:lineRule="atLeast"/>
        <w:rPr>
          <w:rFonts w:ascii="宋体" w:hAnsi="宋体" w:eastAsia="宋体" w:cs="宋体"/>
          <w:sz w:val="32"/>
          <w:szCs w:val="32"/>
          <w:highlight w:val="none"/>
          <w:u w:val="single"/>
        </w:rPr>
      </w:pPr>
    </w:p>
    <w:p w14:paraId="4183B012">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42062ECE">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3BA5FF6D">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0094A2DF">
      <w:pPr>
        <w:rPr>
          <w:highlight w:val="none"/>
        </w:rPr>
      </w:pPr>
      <w:r>
        <w:rPr>
          <w:highlight w:val="none"/>
        </w:rPr>
        <w:br w:type="page"/>
      </w:r>
    </w:p>
    <w:p w14:paraId="52E53B6D">
      <w:pPr>
        <w:widowControl/>
        <w:spacing w:line="720" w:lineRule="auto"/>
        <w:jc w:val="center"/>
        <w:rPr>
          <w:rFonts w:ascii="宋体" w:hAnsi="宋体" w:eastAsia="宋体" w:cs="宋体"/>
          <w:b/>
          <w:sz w:val="36"/>
          <w:szCs w:val="36"/>
          <w:highlight w:val="none"/>
        </w:rPr>
      </w:pPr>
      <w:r>
        <w:rPr>
          <w:highlight w:val="none"/>
        </w:rPr>
        <w:t xml:space="preserve"> </w:t>
      </w: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14:paraId="7C8A1B31">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6880A098">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1）开标一览表（格式见附件）；</w:t>
      </w:r>
    </w:p>
    <w:p w14:paraId="3C379E37">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2）投标函（格式见附件）；</w:t>
      </w:r>
    </w:p>
    <w:p w14:paraId="043E3852">
      <w:pPr>
        <w:widowControl/>
        <w:autoSpaceDE w:val="0"/>
        <w:spacing w:line="480" w:lineRule="auto"/>
        <w:ind w:firstLine="420" w:firstLineChars="200"/>
        <w:rPr>
          <w:rFonts w:ascii="宋体" w:hAnsi="Calibri"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3）</w:t>
      </w:r>
      <w:r>
        <w:rPr>
          <w:rFonts w:hint="eastAsia" w:ascii="宋体" w:hAnsi="Times New Roman" w:eastAsia="宋体" w:cs="Times New Roman"/>
          <w:szCs w:val="21"/>
          <w:highlight w:val="none"/>
        </w:rPr>
        <w:t>投标报价清单（</w:t>
      </w:r>
      <w:r>
        <w:rPr>
          <w:rFonts w:hint="eastAsia" w:ascii="宋体" w:hAnsi="Calibri" w:eastAsia="宋体" w:cs="宋体"/>
          <w:color w:val="000000"/>
          <w:kern w:val="0"/>
          <w:szCs w:val="21"/>
          <w:highlight w:val="none"/>
          <w:u w:color="000000"/>
          <w:lang w:bidi="ar"/>
        </w:rPr>
        <w:t>格式见附件</w:t>
      </w:r>
      <w:r>
        <w:rPr>
          <w:rFonts w:hint="eastAsia" w:ascii="宋体" w:hAnsi="Times New Roman" w:eastAsia="宋体" w:cs="Times New Roman"/>
          <w:szCs w:val="21"/>
          <w:highlight w:val="none"/>
        </w:rPr>
        <w:t>）</w:t>
      </w:r>
      <w:r>
        <w:rPr>
          <w:rFonts w:hint="eastAsia" w:ascii="宋体" w:hAnsi="Calibri" w:eastAsia="宋体" w:cs="宋体"/>
          <w:color w:val="000000"/>
          <w:kern w:val="0"/>
          <w:szCs w:val="21"/>
          <w:highlight w:val="none"/>
          <w:u w:color="000000"/>
          <w:lang w:bidi="ar"/>
        </w:rPr>
        <w:t>；</w:t>
      </w:r>
    </w:p>
    <w:p w14:paraId="743BCF8D">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（4）投标人认为需要提供的其他材料（如有）。</w:t>
      </w:r>
    </w:p>
    <w:p w14:paraId="7C2954D5">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14:paraId="0D792F4A">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附件1</w:t>
      </w:r>
    </w:p>
    <w:p w14:paraId="413BE42C">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2C09FC75">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7F35B794">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1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61F22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2DF3BAC">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777A79FF">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57B9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3DCCBD2">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4F9C4C16">
            <w:pPr>
              <w:pStyle w:val="12"/>
              <w:widowControl/>
              <w:spacing w:line="460" w:lineRule="exact"/>
              <w:ind w:left="86" w:leftChars="41"/>
              <w:rPr>
                <w:rFonts w:ascii="宋体" w:eastAsia="宋体" w:cs="宋体"/>
                <w:sz w:val="24"/>
                <w:szCs w:val="24"/>
                <w:highlight w:val="none"/>
              </w:rPr>
            </w:pPr>
          </w:p>
        </w:tc>
      </w:tr>
      <w:tr w14:paraId="41DCF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1861555">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7A7CA9C0">
            <w:pPr>
              <w:widowControl/>
              <w:spacing w:line="360" w:lineRule="auto"/>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总投标价（大写）：</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42155D58">
            <w:pPr>
              <w:widowControl/>
              <w:spacing w:line="360" w:lineRule="auto"/>
              <w:ind w:firstLine="960" w:firstLineChars="400"/>
              <w:rPr>
                <w:rFonts w:ascii="宋体" w:hAnsi="宋体" w:eastAsia="宋体" w:cs="宋体"/>
                <w:sz w:val="24"/>
                <w:highlight w:val="none"/>
              </w:rPr>
            </w:pPr>
            <w:r>
              <w:rPr>
                <w:rFonts w:hint="eastAsia" w:ascii="宋体" w:hAnsi="宋体" w:eastAsia="宋体" w:cs="宋体"/>
                <w:color w:val="000000"/>
                <w:sz w:val="24"/>
                <w:highlight w:val="none"/>
                <w:u w:color="000000"/>
                <w:lang w:bidi="ar"/>
              </w:rPr>
              <w:t>(小写) ：</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70D32AD5">
            <w:pPr>
              <w:widowControl/>
              <w:spacing w:line="360" w:lineRule="auto"/>
              <w:rPr>
                <w:rFonts w:ascii="宋体" w:hAnsi="宋体" w:eastAsia="宋体" w:cs="宋体"/>
                <w:color w:val="000000"/>
                <w:sz w:val="24"/>
                <w:highlight w:val="none"/>
                <w:u w:color="000000"/>
                <w:lang w:bidi="ar"/>
              </w:rPr>
            </w:pPr>
          </w:p>
          <w:p w14:paraId="3E9369B3">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6B93922C">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7A860A25">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44C25836">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5233E03">
      <w:pPr>
        <w:spacing w:line="360" w:lineRule="auto"/>
        <w:rPr>
          <w:rFonts w:ascii="宋体" w:hAnsi="宋体" w:eastAsia="宋体" w:cs="宋体"/>
          <w:b/>
          <w:color w:val="000000"/>
          <w:kern w:val="0"/>
          <w:sz w:val="30"/>
          <w:szCs w:val="30"/>
          <w:highlight w:val="none"/>
          <w:lang w:bidi="ar"/>
        </w:rPr>
        <w:sectPr>
          <w:footerReference r:id="rId5" w:type="default"/>
          <w:pgSz w:w="11906" w:h="16838"/>
          <w:pgMar w:top="1440" w:right="1800" w:bottom="1440" w:left="1800" w:header="851" w:footer="992" w:gutter="0"/>
          <w:pgNumType w:fmt="decimal"/>
          <w:cols w:space="425" w:num="1"/>
          <w:docGrid w:type="lines" w:linePitch="312" w:charSpace="0"/>
        </w:sectPr>
      </w:pPr>
    </w:p>
    <w:p w14:paraId="48652093">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附件2</w:t>
      </w:r>
    </w:p>
    <w:p w14:paraId="3F5ADC26">
      <w:pPr>
        <w:widowControl/>
        <w:spacing w:line="480" w:lineRule="auto"/>
        <w:ind w:firstLine="531" w:firstLineChars="147"/>
        <w:jc w:val="center"/>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1B393A27">
      <w:pPr>
        <w:widowControl/>
        <w:spacing w:line="48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spacing w:line="480" w:lineRule="auto"/>
        <w:ind w:firstLine="480" w:firstLineChars="200"/>
        <w:jc w:val="left"/>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的投标总报价承包上述项目，并承担任何质量缺陷保修责任。</w:t>
      </w:r>
    </w:p>
    <w:p w14:paraId="3D884E81">
      <w:pPr>
        <w:tabs>
          <w:tab w:val="left" w:pos="840"/>
        </w:tabs>
        <w:adjustRightInd w:val="0"/>
        <w:snapToGrid w:val="0"/>
        <w:spacing w:line="48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162FE9F7">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4、如果我方中标我方将按照招标文件的规定提交履约担保。服务期满且服务质量合格后，方可退还。</w:t>
      </w:r>
    </w:p>
    <w:p w14:paraId="1F5EDE8F">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5、我方承诺在招标文件规定的投标有效期内不撤销投标文件。</w:t>
      </w:r>
    </w:p>
    <w:p w14:paraId="03644199">
      <w:pPr>
        <w:spacing w:line="480" w:lineRule="auto"/>
        <w:ind w:firstLine="480" w:firstLineChars="200"/>
        <w:jc w:val="left"/>
        <w:rPr>
          <w:rFonts w:ascii="宋体" w:hAnsi="宋体" w:eastAsia="宋体" w:cs="宋体"/>
          <w:sz w:val="24"/>
          <w:highlight w:val="none"/>
        </w:rPr>
      </w:pPr>
      <w:r>
        <w:rPr>
          <w:rFonts w:hint="eastAsia" w:ascii="宋体" w:hAnsi="宋体" w:eastAsia="宋体" w:cs="宋体"/>
          <w:color w:val="000000"/>
          <w:sz w:val="24"/>
          <w:highlight w:val="none"/>
        </w:rPr>
        <w:t>6、我单位提供如下通讯地址：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CCAE099">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7015A0B7">
      <w:pPr>
        <w:widowControl/>
        <w:spacing w:line="360" w:lineRule="exact"/>
        <w:ind w:firstLine="413" w:firstLineChars="147"/>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28"/>
          <w:szCs w:val="28"/>
          <w:highlight w:val="none"/>
          <w:u w:color="000000"/>
          <w:lang w:bidi="ar"/>
        </w:rPr>
        <w:t xml:space="preserve"> </w:t>
      </w:r>
      <w:r>
        <w:rPr>
          <w:rFonts w:hint="eastAsia" w:ascii="宋体" w:hAnsi="宋体" w:eastAsia="宋体" w:cs="宋体"/>
          <w:b/>
          <w:color w:val="000000"/>
          <w:kern w:val="0"/>
          <w:sz w:val="30"/>
          <w:szCs w:val="30"/>
          <w:highlight w:val="none"/>
          <w:u w:color="000000"/>
          <w:lang w:bidi="ar"/>
        </w:rPr>
        <w:t>附件3</w:t>
      </w:r>
    </w:p>
    <w:p w14:paraId="174BC0EE">
      <w:pPr>
        <w:jc w:val="center"/>
        <w:rPr>
          <w:rFonts w:ascii="宋体" w:hAnsi="宋体"/>
          <w:b/>
          <w:color w:val="000000"/>
          <w:sz w:val="36"/>
          <w:szCs w:val="36"/>
          <w:highlight w:val="none"/>
        </w:rPr>
      </w:pPr>
      <w:r>
        <w:rPr>
          <w:rFonts w:hint="eastAsia"/>
          <w:b/>
          <w:color w:val="000000"/>
          <w:sz w:val="28"/>
          <w:szCs w:val="28"/>
          <w:highlight w:val="none"/>
        </w:rPr>
        <w:t>分项报价清单</w:t>
      </w:r>
    </w:p>
    <w:tbl>
      <w:tblPr>
        <w:tblStyle w:val="18"/>
        <w:tblW w:w="5371" w:type="pct"/>
        <w:tblInd w:w="-3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70"/>
        <w:gridCol w:w="1964"/>
        <w:gridCol w:w="750"/>
        <w:gridCol w:w="765"/>
        <w:gridCol w:w="1005"/>
        <w:gridCol w:w="945"/>
        <w:gridCol w:w="480"/>
        <w:gridCol w:w="721"/>
        <w:gridCol w:w="750"/>
      </w:tblGrid>
      <w:tr w14:paraId="51630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30"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0A841C7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638"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777AD5A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名称</w:t>
            </w:r>
          </w:p>
        </w:tc>
        <w:tc>
          <w:tcPr>
            <w:tcW w:w="1072"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2A33CC9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材质工艺</w:t>
            </w:r>
          </w:p>
        </w:tc>
        <w:tc>
          <w:tcPr>
            <w:tcW w:w="827" w:type="pct"/>
            <w:gridSpan w:val="2"/>
            <w:tcBorders>
              <w:top w:val="single" w:color="000000" w:sz="4" w:space="0"/>
              <w:left w:val="single" w:color="000000" w:sz="4" w:space="0"/>
              <w:bottom w:val="single" w:color="000000" w:sz="4" w:space="0"/>
              <w:right w:val="single" w:color="000000" w:sz="4" w:space="0"/>
            </w:tcBorders>
            <w:shd w:val="clear" w:color="auto" w:fill="D0CECE"/>
            <w:vAlign w:val="center"/>
          </w:tcPr>
          <w:p w14:paraId="1F26824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尺寸(M)</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660AF4D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面积(㎡)</w:t>
            </w:r>
          </w:p>
        </w:tc>
        <w:tc>
          <w:tcPr>
            <w:tcW w:w="516" w:type="pct"/>
            <w:vMerge w:val="restart"/>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4CEDF1C9">
            <w:pPr>
              <w:keepNext w:val="0"/>
              <w:keepLines w:val="0"/>
              <w:widowControl/>
              <w:suppressLineNumbers w:val="0"/>
              <w:jc w:val="center"/>
              <w:textAlignment w:val="center"/>
              <w:rPr>
                <w:rFonts w:hint="default" w:ascii="宋体" w:hAnsi="宋体" w:eastAsia="宋体" w:cs="宋体"/>
                <w:b/>
                <w:bCs/>
                <w:i w:val="0"/>
                <w:iCs w:val="0"/>
                <w:color w:val="000000"/>
                <w:sz w:val="21"/>
                <w:szCs w:val="21"/>
                <w:highlight w:val="none"/>
                <w:u w:val="none"/>
                <w:lang w:val="en-US"/>
              </w:rPr>
            </w:pPr>
            <w:r>
              <w:rPr>
                <w:rFonts w:hint="eastAsia" w:ascii="宋体" w:hAnsi="宋体" w:cs="宋体"/>
                <w:b/>
                <w:bCs/>
                <w:i w:val="0"/>
                <w:iCs w:val="0"/>
                <w:color w:val="000000"/>
                <w:kern w:val="0"/>
                <w:sz w:val="21"/>
                <w:szCs w:val="21"/>
                <w:highlight w:val="none"/>
                <w:u w:val="none"/>
                <w:lang w:val="en-US" w:eastAsia="zh-CN" w:bidi="ar"/>
              </w:rPr>
              <w:t>数量（个）</w:t>
            </w:r>
          </w:p>
        </w:tc>
        <w:tc>
          <w:tcPr>
            <w:tcW w:w="262" w:type="pct"/>
            <w:vMerge w:val="restart"/>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1AA63E7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是否安装</w:t>
            </w:r>
          </w:p>
        </w:tc>
        <w:tc>
          <w:tcPr>
            <w:tcW w:w="393" w:type="pct"/>
            <w:vMerge w:val="restart"/>
            <w:tcBorders>
              <w:top w:val="single" w:color="000000" w:sz="4" w:space="0"/>
              <w:left w:val="single" w:color="000000" w:sz="4" w:space="0"/>
              <w:right w:val="single" w:color="000000" w:sz="4" w:space="0"/>
            </w:tcBorders>
            <w:shd w:val="clear" w:color="auto" w:fill="D0CECE"/>
            <w:noWrap/>
            <w:vAlign w:val="center"/>
          </w:tcPr>
          <w:p w14:paraId="28FA6AD9">
            <w:pPr>
              <w:widowControl/>
              <w:spacing w:line="440" w:lineRule="exact"/>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color w:val="000000"/>
                <w:kern w:val="0"/>
                <w:szCs w:val="21"/>
                <w:highlight w:val="none"/>
                <w:lang w:bidi="ar"/>
              </w:rPr>
              <w:t>综合单价（元/个）</w:t>
            </w:r>
          </w:p>
        </w:tc>
        <w:tc>
          <w:tcPr>
            <w:tcW w:w="409" w:type="pct"/>
            <w:vMerge w:val="restart"/>
            <w:tcBorders>
              <w:top w:val="single" w:color="000000" w:sz="4" w:space="0"/>
              <w:left w:val="single" w:color="000000" w:sz="4" w:space="0"/>
              <w:right w:val="single" w:color="000000" w:sz="4" w:space="0"/>
            </w:tcBorders>
            <w:shd w:val="clear" w:color="auto" w:fill="D0CECE"/>
            <w:noWrap/>
            <w:vAlign w:val="center"/>
          </w:tcPr>
          <w:p w14:paraId="5079A0B6">
            <w:pPr>
              <w:widowControl/>
              <w:spacing w:line="440" w:lineRule="exact"/>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color w:val="000000"/>
                <w:kern w:val="0"/>
                <w:szCs w:val="21"/>
                <w:highlight w:val="none"/>
                <w:lang w:bidi="ar"/>
              </w:rPr>
              <w:t>合价（元）</w:t>
            </w:r>
          </w:p>
        </w:tc>
      </w:tr>
      <w:tr w14:paraId="5F0B1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30"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420BA678">
            <w:pPr>
              <w:jc w:val="center"/>
              <w:rPr>
                <w:rFonts w:hint="eastAsia" w:ascii="宋体" w:hAnsi="宋体" w:eastAsia="宋体" w:cs="宋体"/>
                <w:b/>
                <w:bCs/>
                <w:i w:val="0"/>
                <w:iCs w:val="0"/>
                <w:color w:val="000000"/>
                <w:sz w:val="21"/>
                <w:szCs w:val="21"/>
                <w:highlight w:val="none"/>
                <w:u w:val="none"/>
              </w:rPr>
            </w:pPr>
          </w:p>
        </w:tc>
        <w:tc>
          <w:tcPr>
            <w:tcW w:w="638"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044AF2D2">
            <w:pPr>
              <w:jc w:val="center"/>
              <w:rPr>
                <w:rFonts w:hint="eastAsia" w:ascii="宋体" w:hAnsi="宋体" w:eastAsia="宋体" w:cs="宋体"/>
                <w:b/>
                <w:bCs/>
                <w:i w:val="0"/>
                <w:iCs w:val="0"/>
                <w:color w:val="000000"/>
                <w:sz w:val="21"/>
                <w:szCs w:val="21"/>
                <w:highlight w:val="none"/>
                <w:u w:val="none"/>
              </w:rPr>
            </w:pPr>
          </w:p>
        </w:tc>
        <w:tc>
          <w:tcPr>
            <w:tcW w:w="1072"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08163928">
            <w:pPr>
              <w:jc w:val="center"/>
              <w:rPr>
                <w:rFonts w:hint="eastAsia" w:ascii="宋体" w:hAnsi="宋体" w:eastAsia="宋体" w:cs="宋体"/>
                <w:b/>
                <w:bCs/>
                <w:i w:val="0"/>
                <w:iCs w:val="0"/>
                <w:color w:val="000000"/>
                <w:sz w:val="21"/>
                <w:szCs w:val="21"/>
                <w:highlight w:val="none"/>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16CB48C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长</w:t>
            </w:r>
          </w:p>
        </w:tc>
        <w:tc>
          <w:tcPr>
            <w:tcW w:w="417"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4900781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宽</w:t>
            </w: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388B057C">
            <w:pPr>
              <w:jc w:val="center"/>
              <w:rPr>
                <w:rFonts w:hint="eastAsia" w:ascii="宋体" w:hAnsi="宋体" w:eastAsia="宋体" w:cs="宋体"/>
                <w:b/>
                <w:bCs/>
                <w:i w:val="0"/>
                <w:iCs w:val="0"/>
                <w:color w:val="000000"/>
                <w:sz w:val="21"/>
                <w:szCs w:val="21"/>
                <w:highlight w:val="none"/>
                <w:u w:val="none"/>
              </w:rPr>
            </w:pPr>
          </w:p>
        </w:tc>
        <w:tc>
          <w:tcPr>
            <w:tcW w:w="516" w:type="pct"/>
            <w:vMerge w:val="continue"/>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134A1B6C">
            <w:pPr>
              <w:jc w:val="center"/>
              <w:rPr>
                <w:rFonts w:hint="eastAsia" w:ascii="宋体" w:hAnsi="宋体" w:eastAsia="宋体" w:cs="宋体"/>
                <w:b/>
                <w:bCs/>
                <w:i w:val="0"/>
                <w:iCs w:val="0"/>
                <w:color w:val="000000"/>
                <w:sz w:val="21"/>
                <w:szCs w:val="21"/>
                <w:highlight w:val="none"/>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1AD777B2">
            <w:pPr>
              <w:jc w:val="center"/>
              <w:rPr>
                <w:rFonts w:hint="eastAsia" w:ascii="宋体" w:hAnsi="宋体" w:eastAsia="宋体" w:cs="宋体"/>
                <w:b/>
                <w:bCs/>
                <w:i w:val="0"/>
                <w:iCs w:val="0"/>
                <w:color w:val="000000"/>
                <w:sz w:val="21"/>
                <w:szCs w:val="21"/>
                <w:highlight w:val="none"/>
                <w:u w:val="none"/>
              </w:rPr>
            </w:pPr>
          </w:p>
        </w:tc>
        <w:tc>
          <w:tcPr>
            <w:tcW w:w="393" w:type="pct"/>
            <w:vMerge w:val="continue"/>
            <w:tcBorders>
              <w:left w:val="single" w:color="000000" w:sz="4" w:space="0"/>
              <w:bottom w:val="single" w:color="000000" w:sz="4" w:space="0"/>
              <w:right w:val="single" w:color="000000" w:sz="4" w:space="0"/>
            </w:tcBorders>
            <w:shd w:val="clear" w:color="auto" w:fill="D0CECE"/>
            <w:noWrap/>
            <w:vAlign w:val="center"/>
          </w:tcPr>
          <w:p w14:paraId="3D3832AC">
            <w:pPr>
              <w:jc w:val="center"/>
              <w:rPr>
                <w:rFonts w:hint="eastAsia" w:ascii="宋体" w:hAnsi="宋体" w:eastAsia="宋体" w:cs="宋体"/>
                <w:b/>
                <w:bCs/>
                <w:i w:val="0"/>
                <w:iCs w:val="0"/>
                <w:color w:val="000000"/>
                <w:sz w:val="21"/>
                <w:szCs w:val="21"/>
                <w:highlight w:val="none"/>
                <w:u w:val="none"/>
              </w:rPr>
            </w:pPr>
          </w:p>
        </w:tc>
        <w:tc>
          <w:tcPr>
            <w:tcW w:w="409" w:type="pct"/>
            <w:vMerge w:val="continue"/>
            <w:tcBorders>
              <w:left w:val="single" w:color="000000" w:sz="4" w:space="0"/>
              <w:bottom w:val="single" w:color="000000" w:sz="4" w:space="0"/>
              <w:right w:val="single" w:color="000000" w:sz="4" w:space="0"/>
            </w:tcBorders>
            <w:shd w:val="clear" w:color="auto" w:fill="D0CECE"/>
            <w:noWrap/>
            <w:vAlign w:val="center"/>
          </w:tcPr>
          <w:p w14:paraId="7E8887A3">
            <w:pPr>
              <w:jc w:val="center"/>
              <w:rPr>
                <w:rFonts w:hint="eastAsia" w:ascii="宋体" w:hAnsi="宋体" w:eastAsia="宋体" w:cs="宋体"/>
                <w:b/>
                <w:bCs/>
                <w:i w:val="0"/>
                <w:iCs w:val="0"/>
                <w:color w:val="000000"/>
                <w:sz w:val="21"/>
                <w:szCs w:val="21"/>
                <w:highlight w:val="none"/>
                <w:u w:val="none"/>
              </w:rPr>
            </w:pPr>
          </w:p>
        </w:tc>
      </w:tr>
      <w:tr w14:paraId="70F50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1D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B6C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制度框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D20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4cm开启式铝型材+画面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C38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FB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152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0.7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20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49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4D4C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2BB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9048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96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46B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轨道示意图</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951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5mm厚PVC展板+画面+1cm亚克力展板倒斜边</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D6A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B34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2A2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651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E9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C9C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CC5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0383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866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22F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工作看板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F8B1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5mm</w:t>
            </w:r>
            <w:r>
              <w:rPr>
                <w:rFonts w:hint="eastAsia" w:ascii="宋体" w:hAnsi="宋体" w:eastAsia="宋体" w:cs="宋体"/>
                <w:i w:val="0"/>
                <w:iCs w:val="0"/>
                <w:color w:val="000000"/>
                <w:kern w:val="0"/>
                <w:sz w:val="21"/>
                <w:szCs w:val="21"/>
                <w:highlight w:val="none"/>
                <w:u w:val="none"/>
                <w:lang w:val="en-US" w:eastAsia="zh-CN" w:bidi="ar"/>
              </w:rPr>
              <w:t>厚</w:t>
            </w:r>
            <w:r>
              <w:rPr>
                <w:rFonts w:hint="default" w:ascii="Times New Roman" w:hAnsi="Times New Roman" w:eastAsia="宋体" w:cs="Times New Roman"/>
                <w:i w:val="0"/>
                <w:iCs w:val="0"/>
                <w:color w:val="000000"/>
                <w:kern w:val="0"/>
                <w:sz w:val="21"/>
                <w:szCs w:val="21"/>
                <w:highlight w:val="none"/>
                <w:u w:val="none"/>
                <w:lang w:val="en-US" w:eastAsia="zh-CN" w:bidi="ar"/>
              </w:rPr>
              <w:t>PVC</w:t>
            </w:r>
            <w:r>
              <w:rPr>
                <w:rFonts w:hint="eastAsia" w:ascii="宋体" w:hAnsi="宋体" w:eastAsia="宋体" w:cs="宋体"/>
                <w:i w:val="0"/>
                <w:iCs w:val="0"/>
                <w:color w:val="000000"/>
                <w:kern w:val="0"/>
                <w:sz w:val="21"/>
                <w:szCs w:val="21"/>
                <w:highlight w:val="none"/>
                <w:u w:val="none"/>
                <w:lang w:val="en-US" w:eastAsia="zh-CN" w:bidi="ar"/>
              </w:rPr>
              <w:t>展板</w:t>
            </w:r>
            <w:r>
              <w:rPr>
                <w:rFonts w:hint="default" w:ascii="Times New Roman" w:hAnsi="Times New Roman" w:eastAsia="宋体" w:cs="Times New Roman"/>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画面</w:t>
            </w:r>
            <w:r>
              <w:rPr>
                <w:rFonts w:hint="default" w:ascii="Times New Roman" w:hAnsi="Times New Roman" w:eastAsia="宋体" w:cs="Times New Roman"/>
                <w:i w:val="0"/>
                <w:iCs w:val="0"/>
                <w:color w:val="000000"/>
                <w:kern w:val="0"/>
                <w:sz w:val="21"/>
                <w:szCs w:val="21"/>
                <w:highlight w:val="none"/>
                <w:u w:val="none"/>
                <w:lang w:val="en-US" w:eastAsia="zh-CN" w:bidi="ar"/>
              </w:rPr>
              <w:t>+1cm</w:t>
            </w:r>
            <w:r>
              <w:rPr>
                <w:rFonts w:hint="eastAsia" w:ascii="宋体" w:hAnsi="宋体" w:eastAsia="宋体" w:cs="宋体"/>
                <w:i w:val="0"/>
                <w:iCs w:val="0"/>
                <w:color w:val="000000"/>
                <w:kern w:val="0"/>
                <w:sz w:val="21"/>
                <w:szCs w:val="21"/>
                <w:highlight w:val="none"/>
                <w:u w:val="none"/>
                <w:lang w:val="en-US" w:eastAsia="zh-CN" w:bidi="ar"/>
              </w:rPr>
              <w:t>亚克力展板倒斜边</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601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DE6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CF7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C3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1E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A4E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72E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F49A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ECC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9B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安全宣传栏</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93C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高清写真覆光膜覆5mmpvc</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429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A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1.15</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A70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2.0125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137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A2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74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D3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34BF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69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9D9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工作看板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086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5mm厚PVC展板+画面+1cm亚克力展板倒斜边</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9DE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58F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9E1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83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42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3B5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53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C427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CE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2BC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紧急停梯</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7A5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CA3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235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F5D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DAD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6B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0A0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E2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CE5B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C8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33E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闲人免进</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73C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922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4E7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8A8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0.0525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F7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68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8F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5D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4C01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3E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BE5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消火栓使用说明</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44E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2B6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E9C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F28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0.1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57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55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79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5E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313E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A94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DA3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灭火器放置点</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50A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ABF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C7A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65E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9F1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C1A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CD8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B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2F34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E64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03C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指示灯闪烁请勿上下车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0A0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2F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7A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01F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03F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92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C0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DA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8BD7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63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C7E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指示灯闪烁请勿上下车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9D7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06C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B39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12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5A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E84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BE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06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9169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91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FAE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急停</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9C6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可移亮白PVC，户外高清写真，抗UV冷裱膜，异形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118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A39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E62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45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415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13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DF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327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A2B4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F9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BDC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润滑油非危险品</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3A2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1E1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783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362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0.032</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CCC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F9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2B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03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3A4A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B79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42D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严禁擅自进入轨行区</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16F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AC8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729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998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0.175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1CC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FE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4E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EA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0B55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1A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34B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禁止攀爬警示标识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1C1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F77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1C7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FF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0.165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DAD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07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6F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6E6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F5E2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5C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FE6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温湿度标识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B95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3M可移亮白PVC+户外高清写真+抗UV冷裱膜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9C6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1F5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087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0.0152</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65F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55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A9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54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45BC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62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E7E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电缆口</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9037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13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FA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C7B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D5C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107</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01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383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5B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ACAC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26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A43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必须戴安全帽</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90B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EF0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3F5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988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41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A4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F1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04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219A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81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DE1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必须洗手</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699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74A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204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BBB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EE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32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FB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60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D58F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6E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64F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必须加锁</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252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7C8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EBF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BB3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07E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53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6C2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94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68B7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59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ED2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必须戴防护眼镜</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867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345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F2E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7BB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6F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1C5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204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A1C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D2F8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E6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908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必须穿防护鞋</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FDF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72F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F07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1A7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43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01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C5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DDE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1B6E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2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FD5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必须戴防护手套</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8B5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27B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5A9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C6C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72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41D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B4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9CB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7F9B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CF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3B8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必须系安全带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9B8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F54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524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C55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F81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71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09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49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B994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C9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623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电扶梯十禁图</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998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BA1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0.72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6DB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4F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86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0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DF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39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EEF7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4E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BB5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安全管理责任牌</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644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5mm厚PVC展板+画面+包边</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0AD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C7B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0.148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B88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0.0311</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87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618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BE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1D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BFEA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EF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644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安全警示标识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B8F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Style w:val="51"/>
                <w:rFonts w:hint="eastAsia" w:asciiTheme="minorEastAsia" w:hAnsiTheme="minorEastAsia" w:eastAsiaTheme="minorEastAsia" w:cstheme="minorEastAsia"/>
                <w:sz w:val="21"/>
                <w:szCs w:val="21"/>
                <w:highlight w:val="none"/>
                <w:lang w:val="en-US" w:eastAsia="zh-CN" w:bidi="ar"/>
              </w:rPr>
              <w:t>耐磨防滑</w:t>
            </w:r>
            <w:r>
              <w:rPr>
                <w:rStyle w:val="52"/>
                <w:rFonts w:hint="eastAsia" w:asciiTheme="minorEastAsia" w:hAnsiTheme="minorEastAsia" w:eastAsiaTheme="minorEastAsia" w:cstheme="minorEastAsia"/>
                <w:sz w:val="21"/>
                <w:szCs w:val="21"/>
                <w:highlight w:val="none"/>
                <w:lang w:val="en-US" w:eastAsia="zh-CN" w:bidi="ar"/>
              </w:rPr>
              <w:t>PVC</w:t>
            </w:r>
            <w:r>
              <w:rPr>
                <w:rStyle w:val="51"/>
                <w:rFonts w:hint="eastAsia" w:asciiTheme="minorEastAsia" w:hAnsiTheme="minorEastAsia" w:eastAsiaTheme="minorEastAsia" w:cstheme="minorEastAsia"/>
                <w:sz w:val="21"/>
                <w:szCs w:val="21"/>
                <w:highlight w:val="none"/>
                <w:lang w:val="en-US" w:eastAsia="zh-CN" w:bidi="ar"/>
              </w:rPr>
              <w:t>材质反光贴膜（带背胶）</w:t>
            </w:r>
            <w:r>
              <w:rPr>
                <w:rStyle w:val="52"/>
                <w:rFonts w:hint="eastAsia" w:asciiTheme="minorEastAsia" w:hAnsiTheme="minorEastAsia" w:eastAsiaTheme="minorEastAsia" w:cstheme="minorEastAsia"/>
                <w:sz w:val="21"/>
                <w:szCs w:val="21"/>
                <w:highlight w:val="none"/>
                <w:lang w:val="en-US" w:eastAsia="zh-CN" w:bidi="ar"/>
              </w:rPr>
              <w:t>(</w:t>
            </w:r>
            <w:r>
              <w:rPr>
                <w:rStyle w:val="51"/>
                <w:rFonts w:hint="eastAsia" w:asciiTheme="minorEastAsia" w:hAnsiTheme="minorEastAsia" w:eastAsiaTheme="minorEastAsia" w:cstheme="minorEastAsia"/>
                <w:sz w:val="21"/>
                <w:szCs w:val="21"/>
                <w:highlight w:val="none"/>
                <w:lang w:val="en-US" w:eastAsia="zh-CN" w:bidi="ar"/>
              </w:rPr>
              <w:t>室内</w:t>
            </w:r>
            <w:r>
              <w:rPr>
                <w:rStyle w:val="52"/>
                <w:rFonts w:hint="eastAsia" w:asciiTheme="minorEastAsia" w:hAnsiTheme="minorEastAsia" w:eastAsiaTheme="minorEastAsia" w:cstheme="minorEastAsia"/>
                <w:sz w:val="21"/>
                <w:szCs w:val="21"/>
                <w:highlight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805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114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766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7C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6A1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65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13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096C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EF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D0D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司机名牌</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79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免层压PVC卡+双面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FB7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2BE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C4E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0.0058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6D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B9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6C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61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D1D1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56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A7D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禁止合闸</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B4D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双面双色板、雕刻、2mmPVC、吊件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475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57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417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B0B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4D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87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D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7655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AD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AD3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禁止分闸</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7DC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双面双色板、雕刻、2mmPVC、吊件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762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3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8F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6D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57B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1E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42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B56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57E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559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禁止堆放</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185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双面双色板、雕刻、2mmPVC、吊件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779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8F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882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07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7B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E0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3D1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3E4D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3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92A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母婴室</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72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PVC硬片</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C1C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CAA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448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0.0732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AA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F5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968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D2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071E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16D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A7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无障碍电梯</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AD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PVC硬片</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744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E35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D90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0.0732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2D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6EA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3B3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F98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C47F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6B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38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无障碍卫生间或无障碍坑位</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7B6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PVC硬片</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F1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A6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61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0.0405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8F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599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7F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1A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D126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AA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B12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垂梯标贴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8A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车贴哑膜+5mmPVC</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0D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80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F6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4D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47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5E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50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C5A6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1B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684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垂梯标贴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8B9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车贴哑膜+5mmPVC</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F1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41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F21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5E9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B74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8C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4A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5899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AF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CD0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红警示胶带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90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PVC警示胶带</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571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E73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5E7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15.84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13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264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F3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79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970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4669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E9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3EB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绿警示胶带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5A1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PVC警示胶带</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DA5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F83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790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15.84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AAD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1337</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A8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ED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66C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3ADF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A5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38C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黄警示胶带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943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PVC警示胶带</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031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D1F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B4A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15.84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D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FEA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7D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A2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8ABA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BB2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E82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黄黑警示胶带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8C3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PVC警示胶带</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319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AF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A03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15.84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C0D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1122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B8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31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9FB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8D2F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9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41</w:t>
            </w:r>
          </w:p>
        </w:tc>
        <w:tc>
          <w:tcPr>
            <w:tcW w:w="6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FE9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当心碰头</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9AF3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2mm透明PVC+进口油墨画面+双面胶</w:t>
            </w:r>
          </w:p>
        </w:tc>
        <w:tc>
          <w:tcPr>
            <w:tcW w:w="4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0AA3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0520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08E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0.045</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A7E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B7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D7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30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25AA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5F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666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清扫工具存放点</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AA7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49D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57B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200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0.6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F7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49</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18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21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86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955E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59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CA5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扶梯请勿倚靠警示标识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B62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耐磨防滑PVC（黄底黑字带背胶）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784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0.7</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04B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98D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8C8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CC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86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DFA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EC14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CA8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45C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消防安全重点部位</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A15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5mm厚PVC展板+画面+包边</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73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B2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80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DD9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542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1E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58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9267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71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841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特色工班打造</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B8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5mm厚PVC展板+画面+1cm亚克力展板倒斜边</w:t>
            </w:r>
          </w:p>
        </w:tc>
        <w:tc>
          <w:tcPr>
            <w:tcW w:w="13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BAC1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尺寸需现场设计，按装饰10平米房间报价</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A3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F6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B53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D1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68BF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19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672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绿色地标指示贴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9EA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绿色，防水PVC材质，背面带不干胶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34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6A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2A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30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1A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964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9D3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C05A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44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8AC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节能标贴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E25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DD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0E1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F5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F7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307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96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5B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ABE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E7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8A1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桌面定位胶布</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E4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防水PVC材质，背面带不干胶，1cm*130m</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90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F2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4E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18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37</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FCA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93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5F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5662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2EB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0E6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起点、终点标贴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AF8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98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4BD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B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EA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59</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FEF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9D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AF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843B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6D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E90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圆形数字贴（红色1-60，直径7cm）</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A51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88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37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67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02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EA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F3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D8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34A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57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B0B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圆形数字贴（绿色1-100，直径7cm）</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601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C2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36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C65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2C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6A4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D8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15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D1B8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608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7A3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圆形数字贴（橙色1-100，直径7cm）</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10A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9F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E59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53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EE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83C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A5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CA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76EE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AE4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FF7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蓝色定位标识（3*1cm）</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DF4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防水PVC材质，背面带不干胶，磨砂蓝L型</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83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37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79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0.0003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F7D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1240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6A5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9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13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30D7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14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27B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清洁工具标识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131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51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90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82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0.06237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F2B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D3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63D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D7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5027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833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380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三爪吸盘摆放标识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4E6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8B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6E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B7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0.06237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92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63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D5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2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54A3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79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F18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防鼠重点点位标识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E6F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8B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A0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77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0.06237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82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AC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76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ACE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AAFE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43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292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禁止操作</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64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双面双色板、雕刻亚克力、吊件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4B6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A56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D08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AE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EE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72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FE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4F65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82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837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接地</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B12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双面双色板、雕刻、亚克力、吊件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11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50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193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1A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A0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DDF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A1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D2F8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52E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099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注意安全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625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双面双色板、雕刻、亚克力、吊件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5A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3ED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8F8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C0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2D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70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A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7C6D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86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BD7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当心火灾</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51B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双面双色板、雕刻、亚克力、吊件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39C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483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064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C2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0AC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53F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17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CC38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59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0E0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当心触电</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DB6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双面双色板、雕刻、亚克力、吊件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3ED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996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069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7D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E0C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5D9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0E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460C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AD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E47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当心碰头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53E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双面双色板、雕刻、亚克力、吊件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761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65C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816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0B6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E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64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8D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7C03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55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585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消防器材提示</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4A3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99B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D7D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67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0.045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A6B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44B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17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CA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E525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BFE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FC3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消防器材禁止挪用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BB0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413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B4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2C4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0.03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B02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073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55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D70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F3E1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16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756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定置线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430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可移除胶贴+画面+地贴保护膜（要求耐磨防滑）</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B0B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541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1B1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0.05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425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8B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CD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AF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E71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81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36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禁止吸烟</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595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852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1EF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3B4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C6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AE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3B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07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22FE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AA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30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禁止吸烟</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FE6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4A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0A1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2F7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407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341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A6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B5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758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4C2F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1F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68</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A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ATO标贴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2BA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32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A1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9FE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0.0105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05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DE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B2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DF7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BEE8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40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091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ATP标贴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BCD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69F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30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2C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0.0054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CB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F36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82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BE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0E98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90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B62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禁止攀爬</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F6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0EA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90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744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0.06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1A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682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B82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B5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A159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03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2E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禁止触摸</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192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367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1E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6A7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0.06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80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81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BB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F2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4848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25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4CE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禁止入内</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5E8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12E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44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7DB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0.06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97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DE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6D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46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45F2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30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C4D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儿童身高购票线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4D5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804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9BC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D8C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1.36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E48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25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45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61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39F8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8A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882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票价表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AFD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AF9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ACC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1.44</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93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0.648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32D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50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63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73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F4D5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613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EA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严禁隔栏递物</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A71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可移除胶贴+画面+保护膜（双面）</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47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8D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B2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0.2175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CD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BA5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67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7C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557F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666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04D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节能标贴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8BB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A1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22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90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0.1749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39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A6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13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CF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D159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E8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24D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车站指示标贴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8B5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22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1AF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343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D1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EC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35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260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B71B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4C5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22E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防汛物资临时储备点</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A4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DB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D8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2C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24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A0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B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E1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49C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316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C58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设备故障</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FF6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9F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94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85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0.1749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64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0A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E6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17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5A11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DB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D3B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进、出站指示牌</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417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377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560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B9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0.1749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30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E8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1E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58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F91E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3A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9A3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立岗点</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8F4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可移除胶贴+画面+地贴保护膜（要求耐磨防滑）</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7C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63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2B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941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E9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74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6E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6C51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CE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A75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室外消火栓警示贴纸（圆形）</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782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8DA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BC9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072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A7E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E4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46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FF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08CC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02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472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巡视箭头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B66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可移除胶贴+画面+地贴保护膜（要求耐磨防滑）</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6E8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7FB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451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8F3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A7B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494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78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FBB2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EF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333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警示线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72E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可移除胶贴+画面+保护膜（要求耐磨）</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BB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B78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41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0.24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242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B58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D2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49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D4F8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4C2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CB1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五联禁止标识1</w:t>
            </w:r>
          </w:p>
        </w:tc>
        <w:tc>
          <w:tcPr>
            <w:tcW w:w="10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10DE">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可移除透明膜+画面+保护膜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E9A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0.622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F22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63C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0.0933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4F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54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5C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4D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97F2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1D4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69E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五联禁止标识2</w:t>
            </w:r>
          </w:p>
        </w:tc>
        <w:tc>
          <w:tcPr>
            <w:tcW w:w="10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9F8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可移除透明膜+画面+保护膜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BFD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0.622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204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D2D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0.0933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E7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93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C7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D3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5FBD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12B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0C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当心缝隙组合标识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FDE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6AF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D61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46E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C1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DD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E2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28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28DA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5B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F47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当心夹手组合标识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4AB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7C9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B2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A89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FC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BB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C5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94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BFD3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31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BE5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制动隔离阀</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F1A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78D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50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AD7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10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D4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BBA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3B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4391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FB8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B92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无障碍设施</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CC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AC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CD4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AD2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0.0168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2B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A2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D6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97A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1195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F4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663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爱心专座标识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252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920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A6B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E44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E1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F52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788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B13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2FDB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83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DD1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请勿遗忘物品标识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0C0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3F3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F4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AFF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8E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4D6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B7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D55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3A73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8F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671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废物箱标识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C2C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857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314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735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0.0072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CC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76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1D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3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D905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61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89678">
            <w:pPr>
              <w:keepNext w:val="0"/>
              <w:keepLines w:val="0"/>
              <w:widowControl/>
              <w:suppressLineNumbers w:val="0"/>
              <w:jc w:val="left"/>
              <w:textAlignment w:val="center"/>
              <w:rPr>
                <w:rFonts w:hint="eastAsia" w:asciiTheme="minorEastAsia" w:hAnsiTheme="minorEastAsia" w:eastAsiaTheme="minorEastAsia" w:cstheme="minorEastAsia"/>
                <w:i w:val="0"/>
                <w:iCs w:val="0"/>
                <w:color w:val="231F20"/>
                <w:sz w:val="21"/>
                <w:szCs w:val="21"/>
                <w:highlight w:val="none"/>
                <w:u w:val="none"/>
              </w:rPr>
            </w:pPr>
            <w:r>
              <w:rPr>
                <w:rFonts w:hint="eastAsia" w:asciiTheme="minorEastAsia" w:hAnsiTheme="minorEastAsia" w:eastAsiaTheme="minorEastAsia" w:cstheme="minorEastAsia"/>
                <w:i w:val="0"/>
                <w:iCs w:val="0"/>
                <w:color w:val="231F20"/>
                <w:kern w:val="0"/>
                <w:sz w:val="21"/>
                <w:szCs w:val="21"/>
                <w:highlight w:val="none"/>
                <w:u w:val="none"/>
                <w:lang w:val="en-US" w:eastAsia="zh-CN" w:bidi="ar"/>
              </w:rPr>
              <w:t>高压联锁系统钥匙操作指南</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F1B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0D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F32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0D1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0.06237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7D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D0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6A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37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CE87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C3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432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应急启动操作指南</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EFF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098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6AC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336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0.06237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F6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E6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23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77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E6F7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88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2B0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当心夹手警示线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855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886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C1F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F6B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0.0692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84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4B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FC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45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ED55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6EE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D3C77">
            <w:pPr>
              <w:keepNext w:val="0"/>
              <w:keepLines w:val="0"/>
              <w:widowControl/>
              <w:suppressLineNumbers w:val="0"/>
              <w:jc w:val="left"/>
              <w:textAlignment w:val="center"/>
              <w:rPr>
                <w:rFonts w:hint="eastAsia" w:asciiTheme="minorEastAsia" w:hAnsiTheme="minorEastAsia" w:eastAsiaTheme="minorEastAsia" w:cstheme="minorEastAsia"/>
                <w:i w:val="0"/>
                <w:iCs w:val="0"/>
                <w:color w:val="231F20"/>
                <w:sz w:val="21"/>
                <w:szCs w:val="21"/>
                <w:highlight w:val="none"/>
                <w:u w:val="none"/>
              </w:rPr>
            </w:pPr>
            <w:r>
              <w:rPr>
                <w:rFonts w:hint="eastAsia" w:asciiTheme="minorEastAsia" w:hAnsiTheme="minorEastAsia" w:eastAsiaTheme="minorEastAsia" w:cstheme="minorEastAsia"/>
                <w:i w:val="0"/>
                <w:iCs w:val="0"/>
                <w:color w:val="231F20"/>
                <w:kern w:val="0"/>
                <w:sz w:val="21"/>
                <w:szCs w:val="21"/>
                <w:highlight w:val="none"/>
                <w:u w:val="none"/>
                <w:lang w:val="en-US" w:eastAsia="zh-CN" w:bidi="ar"/>
              </w:rPr>
              <w:t>轮椅固定器使用说明标识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742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1CE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B6F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F86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0.0268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8C8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4C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A81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B1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7258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84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69B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禁止倚靠标识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0AC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83C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576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145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0.00516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7B6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85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0F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3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4F78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45F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B5A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配电柜禁止倚靠标识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1AA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8FF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66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0E7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0.0064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39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A8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FA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8B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BA10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303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45C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请勿踩踏标识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629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A45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0.135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100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F7C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0.00729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89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88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E0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FE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5377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23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D19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座椅USB充电位置标识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2A8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830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188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12A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0.00385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5F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111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B6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47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A024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EE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C85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敲击点标识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700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C72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9AD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AB1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0.011</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EB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68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1E9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294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CD87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22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28E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车厢号标识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254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469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1A1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54B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0.0056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9A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40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12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16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4F81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C0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F1D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车厢强弱冷标识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0FE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173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3EA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947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45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6B7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FC5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DE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136E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6BD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09F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服务热线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997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0D9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BC7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AE8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0.0675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069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511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E4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AE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7941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E4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603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来也匆匆去也冲冲</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385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车贴覆亚膜背裱5mm雪弗板</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10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4A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CF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86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C1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BB8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D9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E174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31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B64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上前一小步文明一大步</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6B3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车贴覆亚膜背裱5mm雪弗板</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51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EA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18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CE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44C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C28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2B9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6EC6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C2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AFA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请保持一米距离排队</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60D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车贴哑膜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6E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62B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0.14</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A9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23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BC6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196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D0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CDB8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17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AB5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绿色通道</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F83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车贴哑膜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B82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0.75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5D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03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47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6B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87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1C5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5188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21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489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消防设备严禁坐踏</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5BD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车贴哑膜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9A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41D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B0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A54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902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01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5F7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0126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90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CF8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消防专用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2B5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车贴哑膜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4E5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77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F83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49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31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79A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22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8C69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C9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881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车门故障</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7F8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车贴覆亚膜正反面对裱+一面覆双面胶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5E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05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B2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0.1749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705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F79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217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626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D9C5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6D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BA5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安全门故障</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65A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车贴覆亚膜正反面对裱+一面覆双面胶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4F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A1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7FE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0.1749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CD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6D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4A5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83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DBF3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F36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DD7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无障碍渡板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44B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车贴覆亚膜背裱5mm雪弗板</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2C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CF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0F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0.0384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0C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E6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4B9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E3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2663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4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744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来也匆匆去也冲冲</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EFA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车贴覆亚膜背裱5mm雪弗板</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38A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25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F6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5BE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C12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482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03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D269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A9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A87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上前一小步文明一大步</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12B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车贴覆亚膜背裱5mm雪弗板</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8E9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1D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C3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2C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399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000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66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C833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0D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BDB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服务热线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BC0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D9C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11E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F64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0.0675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A1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CA1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D1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96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D4BE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FA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54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请确认轿厢停靠到位后再进入电梯</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F5B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高分子聚合材料带背胶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613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3D9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878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0.192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63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C9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801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C5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2367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5A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8DD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请握扶手、请勿停留</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494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高分子聚合材料带背胶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39C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B82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8C8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0.32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18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274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47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0A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091B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5F6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651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站台黄线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FDA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高分子聚合材料带背胶</w:t>
            </w:r>
          </w:p>
        </w:tc>
        <w:tc>
          <w:tcPr>
            <w:tcW w:w="13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83F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以现场实际尺寸为准按0.3*1报价</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884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5D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64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45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23E7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38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0E1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闸机警戒线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A7A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高分子聚合材料带背胶</w:t>
            </w:r>
          </w:p>
        </w:tc>
        <w:tc>
          <w:tcPr>
            <w:tcW w:w="13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2E1D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以现场实际尺寸为准按0.3*1报价</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20E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C3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08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59D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67C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E7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16E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正在检修禁止合闸</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ECC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2mm进口铝板、烤漆、丝网印刷、形状等离子切割、扣环吊挂、双面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C29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0.148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2E3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6D1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0.0115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54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4B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F3B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0E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DC3E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3F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FEE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一人操作，一人监护</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FD7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2㎜铝板+工程反光膜+刻字</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8C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92D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7A1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F61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BD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7E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E03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4E6F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61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EB2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消防通道严禁占用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42C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2mm进口铝板、等离子切割、烤漆、反光膜刻字</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12A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A2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BD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15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CE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F6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8D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8BF8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84B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F24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安全宣传标语</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A4A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2㎜铝板+工程反光膜+刻字</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64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300</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FF1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230</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679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D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66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A1F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90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3EF6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93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9FF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地铁设备严禁破坏</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A6F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2mm进口铝板、等离子切割、烤漆、反光膜刻字</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714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29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3C6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13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92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86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2BA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87C3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657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52A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库房重地非请勿入</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5C4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2mm进口铝板、进口油墨画面、烤漆、切割</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EF6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E9D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E54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0.0525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2E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F4A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D7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C7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17B1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69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128</w:t>
            </w:r>
          </w:p>
        </w:tc>
        <w:tc>
          <w:tcPr>
            <w:tcW w:w="6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2A04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机房重地非请勿入</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3C4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2㎜厚铝板+进口油墨画面+烤漆+切割</w:t>
            </w:r>
          </w:p>
        </w:tc>
        <w:tc>
          <w:tcPr>
            <w:tcW w:w="4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2EB2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w:t>
            </w: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B72B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5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F4A2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484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6E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A6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34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E845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63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4BE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灭火器、消防栓</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48F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2mm进口铝板、进口油墨画面、烤漆、切割、吊栏</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BAB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312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803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0.072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21D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B0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3A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20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98E5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17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170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爱心接力服务标识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13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2㎜厚铝板+进口油墨画面+烤漆+切割</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F7B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6AF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0D9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0.0732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9C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A3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32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96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B667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BF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823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防汛标识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376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2mm铝板单面烤漆</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70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B6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865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D6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E4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B6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1B7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04B1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CA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513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防冻标识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E09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2㎜厚铝板+进口油墨画面+烤漆+切割打孔</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28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2C0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184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40D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05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9D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02A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352E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05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133</w:t>
            </w:r>
          </w:p>
        </w:tc>
        <w:tc>
          <w:tcPr>
            <w:tcW w:w="6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910B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谨防踏空</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AEC3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2mm进口铝板、等离子切割、烤漆、反光膜刻字</w:t>
            </w:r>
          </w:p>
        </w:tc>
        <w:tc>
          <w:tcPr>
            <w:tcW w:w="4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50D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w:t>
            </w:r>
          </w:p>
        </w:tc>
        <w:tc>
          <w:tcPr>
            <w:tcW w:w="4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8E3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639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0.24</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6AD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B6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BB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D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933F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B60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37F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提示标识（如需帮助 请致电）</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2AD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300克铜板纸正反面印刷+覆亚膜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075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D16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CE7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0.0126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AB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C8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506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4A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A9F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C77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23D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应急物资</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028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双色板雕刻、切割</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33F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B39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F6C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0.0261</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44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67</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5B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3A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3AC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0D2D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6C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CD8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66C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双色板雕刻+切割+背胶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07C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64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E72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F8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45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D5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50D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C110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326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93D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防汛物资</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D16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双色板雕刻、切割</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CBA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28C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6B8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0.0261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02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66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6C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554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4DAB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68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EFD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防寒物资</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CB0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双色板雕刻、切割</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BF9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5D9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30B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0.0261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EC2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DB5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57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73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8856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5E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2B3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服务热线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DCE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白膜、户外高清写真、保护膜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11E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CC1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D8C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0.0675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DD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B8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12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80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5CA3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83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2B4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请随手关门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195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贴膜、户外高清写真、抗UV冷裱膜、可移双面胶、正反贴</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21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D8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CA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30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F1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95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6C1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A241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A4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765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提示标识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109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贴膜、户外高清写真、抗UV冷裱膜、可移双面胶、正反贴</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79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942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452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FA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71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F69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7CD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B1D7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5E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264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基础管理类标识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D1C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覆膜、户外高清写真、抗UV冷裱膜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451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FE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48B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0.0065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7A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76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5A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CD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E22F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9A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9AB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列车编号</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1AE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透明膜UV</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CA3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AAC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5FD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0.0462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08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CD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D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24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86E7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20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2E5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车厢编号</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286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透明膜UV</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72F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0.224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F8B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7CA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0.01568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1AA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95E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CCD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28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B86A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1F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595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USB充电标识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3D8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透明膜UV</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ABE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E4B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4B6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0.007504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95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E60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CAB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98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BDEE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0D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703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无线充电标识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4F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透明膜UV</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7C2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0.206</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ED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4C1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0.024102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03E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70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9C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CF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6A8B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A4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4C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231F20"/>
                <w:sz w:val="21"/>
                <w:szCs w:val="21"/>
                <w:highlight w:val="none"/>
                <w:u w:val="none"/>
              </w:rPr>
            </w:pPr>
            <w:r>
              <w:rPr>
                <w:rFonts w:hint="eastAsia" w:asciiTheme="minorEastAsia" w:hAnsiTheme="minorEastAsia" w:eastAsiaTheme="minorEastAsia" w:cstheme="minorEastAsia"/>
                <w:i w:val="0"/>
                <w:iCs w:val="0"/>
                <w:color w:val="231F20"/>
                <w:kern w:val="0"/>
                <w:sz w:val="21"/>
                <w:szCs w:val="21"/>
                <w:highlight w:val="none"/>
                <w:u w:val="none"/>
                <w:lang w:val="en-US" w:eastAsia="zh-CN" w:bidi="ar"/>
              </w:rPr>
              <w:t>安全锤标识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B0A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932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060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D4B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43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EA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B6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14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E7C4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6F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8A3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灭火器标识2</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6D4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82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32F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6E2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0.0375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1E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3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61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F3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F9F9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72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6D2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灭火器标识1</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F66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F1A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718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813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0.0298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60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E6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0E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55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5545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8ED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51B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紧急出口标识1</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40C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1A4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919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0.145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8C7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0.0377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5B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A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8E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F11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C03B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2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CED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紧急出口标识2</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155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E41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E6F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107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0.0198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F29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2A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8F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AD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A9C4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63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0DF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紧急解锁标识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229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11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CDF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0EA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C1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17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E9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9B9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B696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FB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BE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紧急开门操作标识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EF4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605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FB4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D2E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A5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55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17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A4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4DB1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785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A48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紧急呼叫标识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523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6F1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6FD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B34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F93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0B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C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C79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3456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DB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6F5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安全锤使用标识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669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25C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27D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788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86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2D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BD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DA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84E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2A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67A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紧急出口操作步骤</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1C6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56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911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0.42</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49F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0.12474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D7D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00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E4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86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F375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86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E2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线路图</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96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相纸写真哑膜、倒角</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926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0.56</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94C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0.355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22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0.1988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DF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62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D0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82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881F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D90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158</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A2B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手机存放盒</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23E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不干胶贴纸</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20D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61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B7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45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57</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99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DA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FA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7E05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4A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C37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手机存放盒</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56A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5mm厚透明亚克力雕刻+内部隔层5mm透明亚克力切割+铰链+锁件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D42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497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333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89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EE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E28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39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96E8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49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160</w:t>
            </w:r>
          </w:p>
        </w:tc>
        <w:tc>
          <w:tcPr>
            <w:tcW w:w="6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8120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插盒</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80FA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亚克力盒子（带背胶）</w:t>
            </w:r>
          </w:p>
        </w:tc>
        <w:tc>
          <w:tcPr>
            <w:tcW w:w="4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D54F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0.24</w:t>
            </w: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507D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0.305</w:t>
            </w:r>
          </w:p>
        </w:tc>
        <w:tc>
          <w:tcPr>
            <w:tcW w:w="5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6FE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0.0704 </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79CF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35F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D8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8A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56D7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B9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161</w:t>
            </w:r>
          </w:p>
        </w:tc>
        <w:tc>
          <w:tcPr>
            <w:tcW w:w="6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E2FD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插盒</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3BBB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亚克力盒子（带背胶）</w:t>
            </w:r>
          </w:p>
        </w:tc>
        <w:tc>
          <w:tcPr>
            <w:tcW w:w="4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D4D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B3E9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25C9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0.0165</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05B4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55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CC8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5FA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B588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35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8C5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电梯使用登记标志盒</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BD4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亚克力盒子（带背胶）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3D0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C98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FAD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0.0165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02E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34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C13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7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CA06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48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C0F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出入口时刻表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91D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写真</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4F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4B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0.75</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ED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0.4125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11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0E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9C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BD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AD3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D81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ABC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无障碍设施</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ED9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2mmABS+双面画面UV</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0AE5">
            <w:pPr>
              <w:jc w:val="center"/>
              <w:rPr>
                <w:rFonts w:hint="eastAsia" w:asciiTheme="minorEastAsia" w:hAnsiTheme="minorEastAsia" w:eastAsiaTheme="minorEastAsia" w:cstheme="minorEastAsia"/>
                <w:i w:val="0"/>
                <w:iCs w:val="0"/>
                <w:color w:val="000000"/>
                <w:sz w:val="21"/>
                <w:szCs w:val="21"/>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D18E">
            <w:pPr>
              <w:jc w:val="center"/>
              <w:rPr>
                <w:rFonts w:hint="eastAsia" w:asciiTheme="minorEastAsia" w:hAnsiTheme="minorEastAsia" w:eastAsiaTheme="minorEastAsia" w:cstheme="minorEastAsia"/>
                <w:i w:val="0"/>
                <w:iCs w:val="0"/>
                <w:color w:val="000000"/>
                <w:sz w:val="21"/>
                <w:szCs w:val="21"/>
                <w:highlight w:val="none"/>
                <w:u w:val="none"/>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07ED">
            <w:pPr>
              <w:jc w:val="center"/>
              <w:rPr>
                <w:rFonts w:hint="eastAsia" w:asciiTheme="minorEastAsia" w:hAnsiTheme="minorEastAsia" w:eastAsiaTheme="minorEastAsia" w:cstheme="minorEastAsia"/>
                <w:i w:val="0"/>
                <w:iCs w:val="0"/>
                <w:color w:val="000000"/>
                <w:sz w:val="21"/>
                <w:szCs w:val="21"/>
                <w:highlight w:val="none"/>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5E4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A9E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ADE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3D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D223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D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F07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禁止攀爬</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6C1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亚克力UV</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62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970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40B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0.033</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375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36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A7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A2C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290E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B5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9E9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消防通道 非紧勿动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CA1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透明膜彩白黑白彩</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C07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35A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886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0.096</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02B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C6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71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14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A326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11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167</w:t>
            </w:r>
          </w:p>
        </w:tc>
        <w:tc>
          <w:tcPr>
            <w:tcW w:w="6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8FD1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小心楼梯提示标识</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4FC0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户外防水防晒贴纸</w:t>
            </w:r>
          </w:p>
        </w:tc>
        <w:tc>
          <w:tcPr>
            <w:tcW w:w="4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277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w:t>
            </w:r>
          </w:p>
        </w:tc>
        <w:tc>
          <w:tcPr>
            <w:tcW w:w="4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F58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5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DA7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65F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01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51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EB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D4EC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F3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BE2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禁止倚靠，当心夹手</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87C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透明膜，保护膜，户外写真，永久胶，异形，除胶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34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437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381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0.033</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29B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B9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9F8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4C4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AC3F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CF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B1F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禁止倚靠，当心夹手</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199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不透明白底膜，保护膜，户外写真，永久胶，异形，除胶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989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E3C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A44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0.033</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4E6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AA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91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FD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2E92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065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58C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党群活动室装饰（共产党光辉历程、党务公开栏、社会主义核心价值观、党务宣传等）</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8E3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亚克力</w:t>
            </w:r>
          </w:p>
        </w:tc>
        <w:tc>
          <w:tcPr>
            <w:tcW w:w="13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DF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尺寸需现场设计，按装饰10平米房间报价</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D5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D6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8A7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EFB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2B71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560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B959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灯笼</w:t>
            </w:r>
          </w:p>
        </w:tc>
        <w:tc>
          <w:tcPr>
            <w:tcW w:w="24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ED8F2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D82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20（对）</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D26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CA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F43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9F15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C08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B9A1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中国结</w:t>
            </w:r>
          </w:p>
        </w:tc>
        <w:tc>
          <w:tcPr>
            <w:tcW w:w="24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2E76C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1.5线14盘</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9F7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2D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43B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68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8869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5E9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914A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窗花</w:t>
            </w:r>
          </w:p>
        </w:tc>
        <w:tc>
          <w:tcPr>
            <w:tcW w:w="24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E00DD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正常窗花大小</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8A0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30（包）</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C9B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0E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AA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bl>
    <w:p w14:paraId="4CEB2E96">
      <w:pPr>
        <w:ind w:left="0" w:leftChars="-200" w:right="-313" w:rightChars="-149" w:hanging="420" w:hangingChars="200"/>
        <w:rPr>
          <w:rFonts w:ascii="宋体" w:hAnsi="宋体" w:eastAsia="宋体" w:cs="宋体"/>
          <w:b/>
          <w:color w:val="000000"/>
          <w:szCs w:val="21"/>
          <w:highlight w:val="none"/>
        </w:rPr>
      </w:pPr>
      <w:r>
        <w:rPr>
          <w:rFonts w:hint="eastAsia" w:ascii="宋体" w:hAnsi="宋体" w:eastAsia="宋体" w:cs="宋体"/>
          <w:color w:val="000000"/>
          <w:szCs w:val="21"/>
          <w:highlight w:val="none"/>
          <w:lang w:val="zh-CN"/>
        </w:rPr>
        <w:t>注：1.所有投标只能选择一种方案，单价和合价的报价只能是唯一，且须列出详细的分项报价。</w:t>
      </w:r>
    </w:p>
    <w:p w14:paraId="499E2BA5">
      <w:pPr>
        <w:ind w:left="0" w:leftChars="-200" w:right="-313" w:rightChars="-149" w:hanging="420" w:hangingChars="200"/>
        <w:rPr>
          <w:rFonts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2.投标报价采用综合单价法，</w:t>
      </w:r>
      <w:r>
        <w:rPr>
          <w:rFonts w:hint="eastAsia" w:ascii="宋体" w:hAnsi="宋体" w:eastAsia="宋体" w:cs="宋体"/>
          <w:color w:val="000000"/>
          <w:szCs w:val="21"/>
          <w:highlight w:val="none"/>
        </w:rPr>
        <w:t>综合</w:t>
      </w:r>
      <w:r>
        <w:rPr>
          <w:rFonts w:hint="eastAsia" w:ascii="宋体" w:hAnsi="宋体" w:eastAsia="宋体" w:cs="宋体"/>
          <w:color w:val="000000"/>
          <w:szCs w:val="21"/>
          <w:highlight w:val="none"/>
          <w:lang w:val="zh-CN"/>
        </w:rPr>
        <w:t>单价包括</w:t>
      </w:r>
      <w:r>
        <w:rPr>
          <w:rFonts w:hint="eastAsia" w:ascii="宋体" w:hAnsi="宋体" w:eastAsia="宋体" w:cs="宋体"/>
          <w:color w:val="000000"/>
          <w:szCs w:val="21"/>
          <w:highlight w:val="none"/>
        </w:rPr>
        <w:t>完成本项目全部供货及服务的一切费用：</w:t>
      </w:r>
      <w:r>
        <w:rPr>
          <w:rFonts w:hint="eastAsia" w:ascii="宋体" w:hAnsi="宋体" w:eastAsia="宋体" w:cs="宋体"/>
          <w:color w:val="000000"/>
          <w:kern w:val="0"/>
          <w:szCs w:val="21"/>
          <w:highlight w:val="none"/>
          <w:u w:color="000000"/>
          <w:lang w:bidi="ar"/>
        </w:rPr>
        <w:t>包括但不限于材料费、生产加工费、装卸费、运输费、管理费、其他费用（如包装费、仓储费、保管费、场地清理搬移相关费用）、安装调试费、利润、招标代理费、售后服务费、税金、政策性文件规定及合同包含的所有风险和责任等、货物送至招标人指定地点前的各项应有费用。</w:t>
      </w:r>
      <w:r>
        <w:rPr>
          <w:rFonts w:hint="eastAsia" w:ascii="宋体" w:hAnsi="宋体" w:eastAsia="宋体" w:cs="宋体"/>
          <w:color w:val="000000"/>
          <w:szCs w:val="21"/>
          <w:highlight w:val="none"/>
          <w:lang w:val="zh-CN"/>
        </w:rPr>
        <w:t>投</w:t>
      </w:r>
      <w:r>
        <w:rPr>
          <w:rFonts w:hint="eastAsia" w:ascii="宋体" w:hAnsi="宋体" w:eastAsia="宋体" w:cs="宋体"/>
          <w:color w:val="000000"/>
          <w:szCs w:val="21"/>
          <w:highlight w:val="none"/>
        </w:rPr>
        <w:t>标时投标人必须保证报价的完整性，如有漏报，则视为优惠，中标后不允许追加费用。</w:t>
      </w:r>
    </w:p>
    <w:p w14:paraId="753DD11A">
      <w:pPr>
        <w:ind w:left="0" w:leftChars="-200" w:right="-313" w:rightChars="-149" w:hanging="420" w:hangingChars="200"/>
        <w:rPr>
          <w:rFonts w:ascii="宋体" w:hAnsi="宋体" w:eastAsia="宋体" w:cs="宋体"/>
          <w:color w:val="000000"/>
          <w:szCs w:val="21"/>
          <w:highlight w:val="none"/>
        </w:rPr>
      </w:pPr>
      <w:r>
        <w:rPr>
          <w:rFonts w:hint="eastAsia" w:ascii="宋体" w:hAnsi="宋体" w:eastAsia="宋体" w:cs="宋体"/>
          <w:color w:val="000000"/>
          <w:szCs w:val="21"/>
          <w:highlight w:val="none"/>
        </w:rPr>
        <w:t>3.采购清单</w:t>
      </w:r>
      <w:r>
        <w:rPr>
          <w:rFonts w:hint="eastAsia" w:ascii="宋体" w:hAnsi="宋体" w:eastAsia="宋体" w:cs="宋体"/>
          <w:color w:val="000000"/>
          <w:szCs w:val="21"/>
          <w:highlight w:val="none"/>
          <w:lang w:val="zh-CN"/>
        </w:rPr>
        <w:t>数量为预估数量，实际采购数量以签订合同后招标人每次下达的《订货通知单》为准，</w:t>
      </w:r>
      <w:r>
        <w:rPr>
          <w:rFonts w:hint="eastAsia" w:ascii="宋体" w:hAnsi="宋体" w:eastAsia="宋体" w:cs="宋体"/>
          <w:color w:val="000000"/>
          <w:szCs w:val="21"/>
          <w:highlight w:val="none"/>
        </w:rPr>
        <w:t>并按实结算。</w:t>
      </w:r>
    </w:p>
    <w:p w14:paraId="32ACDD3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14:paraId="3A98008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olor w:val="000000"/>
          <w:sz w:val="24"/>
          <w:highlight w:val="none"/>
        </w:rPr>
      </w:pPr>
      <w:r>
        <w:rPr>
          <w:rFonts w:hint="eastAsia" w:ascii="宋体"/>
          <w:color w:val="000000"/>
          <w:sz w:val="24"/>
          <w:highlight w:val="none"/>
        </w:rPr>
        <w:t>法定代表人 (签章)：</w:t>
      </w:r>
      <w:r>
        <w:rPr>
          <w:rFonts w:hint="eastAsia" w:ascii="宋体"/>
          <w:color w:val="000000"/>
          <w:sz w:val="24"/>
          <w:highlight w:val="none"/>
          <w:u w:val="single"/>
        </w:rPr>
        <w:t xml:space="preserve">                          </w:t>
      </w:r>
    </w:p>
    <w:p w14:paraId="0049AB9B">
      <w:pPr>
        <w:keepNext w:val="0"/>
        <w:keepLines w:val="0"/>
        <w:pageBreakBefore w:val="0"/>
        <w:widowControl w:val="0"/>
        <w:kinsoku/>
        <w:wordWrap/>
        <w:overflowPunct/>
        <w:topLinePunct w:val="0"/>
        <w:autoSpaceDE/>
        <w:autoSpaceDN/>
        <w:bidi w:val="0"/>
        <w:adjustRightInd/>
        <w:snapToGrid/>
        <w:spacing w:line="360" w:lineRule="auto"/>
        <w:ind w:left="720"/>
        <w:jc w:val="center"/>
        <w:textAlignment w:val="auto"/>
        <w:rPr>
          <w:rFonts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14:paraId="28500529">
      <w:pPr>
        <w:widowControl/>
        <w:spacing w:line="480" w:lineRule="auto"/>
        <w:jc w:val="left"/>
        <w:rPr>
          <w:rFonts w:ascii="宋体" w:hAnsi="宋体" w:eastAsia="宋体" w:cs="宋体"/>
          <w:b/>
          <w:color w:val="000000"/>
          <w:kern w:val="0"/>
          <w:sz w:val="36"/>
          <w:szCs w:val="36"/>
          <w:highlight w:val="none"/>
          <w:u w:color="000000"/>
          <w:lang w:bidi="ar"/>
        </w:rPr>
      </w:pPr>
      <w:r>
        <w:rPr>
          <w:rFonts w:hint="eastAsia" w:ascii="宋体" w:hAnsi="宋体" w:eastAsia="宋体" w:cs="宋体"/>
          <w:b/>
          <w:color w:val="000000"/>
          <w:kern w:val="0"/>
          <w:sz w:val="36"/>
          <w:szCs w:val="36"/>
          <w:highlight w:val="none"/>
          <w:u w:color="000000"/>
          <w:lang w:bidi="ar"/>
        </w:rPr>
        <w:br w:type="page"/>
      </w:r>
    </w:p>
    <w:p w14:paraId="7089DEF9">
      <w:pPr>
        <w:pStyle w:val="16"/>
        <w:spacing w:beforeAutospacing="0" w:afterAutospacing="0" w:line="375" w:lineRule="atLeast"/>
        <w:jc w:val="center"/>
        <w:outlineLvl w:val="0"/>
        <w:rPr>
          <w:rFonts w:hint="default"/>
          <w:b/>
          <w:sz w:val="32"/>
          <w:szCs w:val="32"/>
          <w:highlight w:val="none"/>
        </w:rPr>
      </w:pPr>
      <w:bookmarkStart w:id="207" w:name="_Toc6275_WPSOffice_Level1"/>
      <w:bookmarkEnd w:id="207"/>
      <w:r>
        <w:rPr>
          <w:b/>
          <w:sz w:val="32"/>
          <w:szCs w:val="32"/>
          <w:highlight w:val="none"/>
        </w:rPr>
        <w:t>第八章   招标人、招标代理机构对本招标文件的确认</w:t>
      </w:r>
    </w:p>
    <w:tbl>
      <w:tblPr>
        <w:tblStyle w:val="18"/>
        <w:tblW w:w="8554" w:type="dxa"/>
        <w:tblInd w:w="288" w:type="dxa"/>
        <w:tblLayout w:type="fixed"/>
        <w:tblCellMar>
          <w:top w:w="0" w:type="dxa"/>
          <w:left w:w="108" w:type="dxa"/>
          <w:bottom w:w="0" w:type="dxa"/>
          <w:right w:w="108" w:type="dxa"/>
        </w:tblCellMar>
      </w:tblPr>
      <w:tblGrid>
        <w:gridCol w:w="8554"/>
      </w:tblGrid>
      <w:tr w14:paraId="33D3F793">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EB28E64">
            <w:pPr>
              <w:widowControl/>
              <w:spacing w:line="440" w:lineRule="exact"/>
              <w:ind w:firstLine="560" w:firstLineChars="200"/>
              <w:rPr>
                <w:rFonts w:ascii="宋体" w:hAnsi="宋体" w:eastAsia="宋体" w:cs="宋体"/>
                <w:sz w:val="28"/>
                <w:szCs w:val="28"/>
                <w:highlight w:val="none"/>
              </w:rPr>
            </w:pPr>
          </w:p>
          <w:p w14:paraId="68A4063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滁州轨道运营标识标牌及VI制作安装项目（2025年-2026年）</w:t>
            </w:r>
            <w:r>
              <w:rPr>
                <w:rFonts w:hint="eastAsia" w:ascii="宋体" w:hAnsi="宋体" w:eastAsia="宋体" w:cs="宋体"/>
                <w:color w:val="000000"/>
                <w:sz w:val="28"/>
                <w:szCs w:val="28"/>
                <w:highlight w:val="none"/>
                <w:u w:color="000000"/>
                <w:lang w:bidi="ar"/>
              </w:rPr>
              <w:t>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杭祥婷</w:t>
            </w:r>
          </w:p>
          <w:p w14:paraId="74DEAFC0">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14:paraId="46E1250F">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5DF6EDB6">
            <w:pPr>
              <w:widowControl/>
              <w:spacing w:line="440" w:lineRule="exact"/>
              <w:ind w:firstLine="560" w:firstLineChars="200"/>
              <w:rPr>
                <w:rFonts w:ascii="宋体" w:hAnsi="宋体" w:eastAsia="宋体" w:cs="宋体"/>
                <w:sz w:val="28"/>
                <w:szCs w:val="28"/>
                <w:highlight w:val="none"/>
              </w:rPr>
            </w:pPr>
          </w:p>
          <w:p w14:paraId="3C68BDA5">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7D3C123B">
            <w:pPr>
              <w:widowControl/>
              <w:spacing w:line="440" w:lineRule="exact"/>
              <w:ind w:firstLine="6300" w:firstLineChars="2250"/>
              <w:rPr>
                <w:rFonts w:ascii="宋体" w:hAnsi="宋体" w:eastAsia="宋体" w:cs="宋体"/>
                <w:sz w:val="28"/>
                <w:szCs w:val="28"/>
                <w:highlight w:val="none"/>
              </w:rPr>
            </w:pPr>
          </w:p>
          <w:p w14:paraId="72A7CF10">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6</w:t>
            </w:r>
            <w:r>
              <w:rPr>
                <w:rFonts w:hint="eastAsia" w:ascii="宋体" w:hAnsi="宋体" w:eastAsia="宋体" w:cs="宋体"/>
                <w:color w:val="000000"/>
                <w:sz w:val="28"/>
                <w:szCs w:val="28"/>
                <w:highlight w:val="none"/>
                <w:u w:color="000000"/>
                <w:lang w:bidi="ar"/>
              </w:rPr>
              <w:t>月</w:t>
            </w:r>
          </w:p>
          <w:p w14:paraId="50AF4884">
            <w:pPr>
              <w:widowControl/>
              <w:spacing w:line="440" w:lineRule="exact"/>
              <w:ind w:firstLine="5600" w:firstLineChars="2000"/>
              <w:rPr>
                <w:rFonts w:ascii="宋体" w:hAnsi="宋体" w:eastAsia="宋体" w:cs="宋体"/>
                <w:sz w:val="28"/>
                <w:szCs w:val="28"/>
                <w:highlight w:val="none"/>
              </w:rPr>
            </w:pPr>
          </w:p>
        </w:tc>
      </w:tr>
      <w:tr w14:paraId="4AF58520">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44AF2C6">
            <w:pPr>
              <w:widowControl/>
              <w:spacing w:line="440" w:lineRule="exact"/>
              <w:rPr>
                <w:rFonts w:ascii="宋体" w:hAnsi="宋体" w:eastAsia="宋体" w:cs="宋体"/>
                <w:sz w:val="28"/>
                <w:szCs w:val="28"/>
                <w:highlight w:val="none"/>
              </w:rPr>
            </w:pPr>
          </w:p>
          <w:p w14:paraId="02B7A159">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5585717B">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0244C681">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1A093D36">
            <w:pPr>
              <w:widowControl/>
              <w:spacing w:line="440" w:lineRule="exact"/>
              <w:ind w:firstLine="560" w:firstLineChars="200"/>
              <w:rPr>
                <w:rFonts w:ascii="宋体" w:hAnsi="宋体" w:eastAsia="宋体" w:cs="宋体"/>
                <w:sz w:val="28"/>
                <w:szCs w:val="28"/>
                <w:highlight w:val="none"/>
              </w:rPr>
            </w:pPr>
          </w:p>
          <w:p w14:paraId="509C45BA">
            <w:pPr>
              <w:pStyle w:val="5"/>
              <w:ind w:firstLine="560"/>
              <w:rPr>
                <w:kern w:val="2"/>
                <w:sz w:val="28"/>
                <w:szCs w:val="28"/>
                <w:highlight w:val="none"/>
              </w:rPr>
            </w:pPr>
          </w:p>
          <w:p w14:paraId="286D4590">
            <w:pPr>
              <w:widowControl/>
              <w:spacing w:line="357" w:lineRule="atLeast"/>
              <w:rPr>
                <w:rFonts w:ascii="宋体" w:hAnsi="宋体" w:eastAsia="宋体" w:cs="宋体"/>
                <w:highlight w:val="none"/>
              </w:rPr>
            </w:pPr>
          </w:p>
          <w:p w14:paraId="0A41F26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F1DDC9F">
            <w:pPr>
              <w:widowControl/>
              <w:spacing w:line="440" w:lineRule="exact"/>
              <w:ind w:firstLine="6300" w:firstLineChars="2250"/>
              <w:rPr>
                <w:rFonts w:ascii="宋体" w:hAnsi="宋体" w:eastAsia="宋体" w:cs="宋体"/>
                <w:sz w:val="28"/>
                <w:szCs w:val="28"/>
                <w:highlight w:val="none"/>
              </w:rPr>
            </w:pPr>
          </w:p>
          <w:p w14:paraId="231A8E3A">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6</w:t>
            </w:r>
            <w:r>
              <w:rPr>
                <w:rFonts w:hint="eastAsia" w:ascii="宋体" w:hAnsi="宋体" w:eastAsia="宋体" w:cs="宋体"/>
                <w:color w:val="000000"/>
                <w:sz w:val="28"/>
                <w:szCs w:val="28"/>
                <w:highlight w:val="none"/>
                <w:u w:color="000000"/>
                <w:lang w:bidi="ar"/>
              </w:rPr>
              <w:t>月</w:t>
            </w:r>
          </w:p>
        </w:tc>
      </w:tr>
    </w:tbl>
    <w:p w14:paraId="0AE0C09F">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698C147-EF32-4FFD-951A-63EFDC846F59}"/>
  </w:font>
  <w:font w:name="黑体">
    <w:panose1 w:val="02010609060101010101"/>
    <w:charset w:val="86"/>
    <w:family w:val="auto"/>
    <w:pitch w:val="default"/>
    <w:sig w:usb0="800002BF" w:usb1="38CF7CFA" w:usb2="00000016" w:usb3="00000000" w:csb0="00040001" w:csb1="00000000"/>
    <w:embedRegular r:id="rId2" w:fontKey="{D02613A5-655E-4C4F-A6E5-462E624027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99BBEFE-26E5-4797-A064-56C66527136D}"/>
  </w:font>
  <w:font w:name="方正仿宋_GB2312">
    <w:panose1 w:val="02000000000000000000"/>
    <w:charset w:val="86"/>
    <w:family w:val="auto"/>
    <w:pitch w:val="default"/>
    <w:sig w:usb0="A00002BF" w:usb1="184F6CFA" w:usb2="00000012" w:usb3="00000000" w:csb0="00040001" w:csb1="00000000"/>
    <w:embedRegular r:id="rId4" w:fontKey="{247B6433-E3E1-49C4-91C7-568BFD1578F4}"/>
  </w:font>
  <w:font w:name="方正公文小标宋">
    <w:panose1 w:val="02000500000000000000"/>
    <w:charset w:val="86"/>
    <w:family w:val="auto"/>
    <w:pitch w:val="default"/>
    <w:sig w:usb0="A00002BF" w:usb1="38CF7CFA" w:usb2="00000016" w:usb3="00000000" w:csb0="00040001" w:csb1="00000000"/>
    <w:embedRegular r:id="rId5" w:fontKey="{CF3A351C-92C5-4765-8AC6-58118CEC5317}"/>
  </w:font>
  <w:font w:name="Therese">
    <w:panose1 w:val="00000500000000000000"/>
    <w:charset w:val="00"/>
    <w:family w:val="auto"/>
    <w:pitch w:val="default"/>
    <w:sig w:usb0="20000007" w:usb1="00000000" w:usb2="00000000" w:usb3="00000000" w:csb0="00000193" w:csb1="00000000"/>
    <w:embedRegular r:id="rId6" w:fontKey="{162EE3CF-F003-4206-808B-BAE3D42549EE}"/>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7" w:fontKey="{40D1F6ED-44F8-4C1D-B9EF-ACCEA6AE06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18347">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25CB8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25CB8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5BB1">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C2AD9">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0C2AD9">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C14B">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EC3E1">
                          <w:pPr>
                            <w:pStyle w:val="13"/>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9EC3E1">
                    <w:pPr>
                      <w:pStyle w:val="13"/>
                    </w:pPr>
                    <w:r>
                      <w:fldChar w:fldCharType="begin"/>
                    </w:r>
                    <w:r>
                      <w:instrText xml:space="preserve"> PAGE  \* MERGEFORMAT </w:instrText>
                    </w:r>
                    <w:r>
                      <w:fldChar w:fldCharType="separate"/>
                    </w:r>
                    <w:r>
                      <w:t>57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E5D2EB"/>
    <w:multiLevelType w:val="singleLevel"/>
    <w:tmpl w:val="98E5D2EB"/>
    <w:lvl w:ilvl="0" w:tentative="0">
      <w:start w:val="7"/>
      <w:numFmt w:val="chineseCounting"/>
      <w:suff w:val="nothing"/>
      <w:lvlText w:val="%1、"/>
      <w:lvlJc w:val="left"/>
      <w:rPr>
        <w:rFonts w:hint="eastAsia"/>
      </w:rPr>
    </w:lvl>
  </w:abstractNum>
  <w:abstractNum w:abstractNumId="1">
    <w:nsid w:val="9A4240C8"/>
    <w:multiLevelType w:val="singleLevel"/>
    <w:tmpl w:val="9A4240C8"/>
    <w:lvl w:ilvl="0" w:tentative="0">
      <w:start w:val="4"/>
      <w:numFmt w:val="chineseCounting"/>
      <w:suff w:val="space"/>
      <w:lvlText w:val="第%1章"/>
      <w:lvlJc w:val="left"/>
      <w:rPr>
        <w:rFonts w:hint="eastAsia"/>
      </w:rPr>
    </w:lvl>
  </w:abstractNum>
  <w:abstractNum w:abstractNumId="2">
    <w:nsid w:val="F179BEA0"/>
    <w:multiLevelType w:val="singleLevel"/>
    <w:tmpl w:val="F179BEA0"/>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6D54ED0"/>
    <w:rsid w:val="0A4E2FDB"/>
    <w:rsid w:val="0AFF501E"/>
    <w:rsid w:val="0CEF01A1"/>
    <w:rsid w:val="0EBB3464"/>
    <w:rsid w:val="0F5A3543"/>
    <w:rsid w:val="11273F56"/>
    <w:rsid w:val="12431559"/>
    <w:rsid w:val="13672B79"/>
    <w:rsid w:val="14102AD3"/>
    <w:rsid w:val="14334ED5"/>
    <w:rsid w:val="152C4FEB"/>
    <w:rsid w:val="158D1BF3"/>
    <w:rsid w:val="162403C8"/>
    <w:rsid w:val="165958AD"/>
    <w:rsid w:val="189A735D"/>
    <w:rsid w:val="19C2340B"/>
    <w:rsid w:val="1A2C0203"/>
    <w:rsid w:val="1AFF1DF1"/>
    <w:rsid w:val="1B0B6A26"/>
    <w:rsid w:val="1B56742D"/>
    <w:rsid w:val="1B855F93"/>
    <w:rsid w:val="1BE83977"/>
    <w:rsid w:val="1DD7722D"/>
    <w:rsid w:val="1E452429"/>
    <w:rsid w:val="1E474369"/>
    <w:rsid w:val="1F093DEF"/>
    <w:rsid w:val="1FBE5586"/>
    <w:rsid w:val="2035457B"/>
    <w:rsid w:val="204506D8"/>
    <w:rsid w:val="20476A09"/>
    <w:rsid w:val="208257F5"/>
    <w:rsid w:val="20A467B2"/>
    <w:rsid w:val="20F63292"/>
    <w:rsid w:val="21391D2B"/>
    <w:rsid w:val="214F60AF"/>
    <w:rsid w:val="21FC6157"/>
    <w:rsid w:val="222D5B93"/>
    <w:rsid w:val="223E0729"/>
    <w:rsid w:val="22FC2884"/>
    <w:rsid w:val="2309025E"/>
    <w:rsid w:val="248654F4"/>
    <w:rsid w:val="27153B40"/>
    <w:rsid w:val="27427F5F"/>
    <w:rsid w:val="287E4991"/>
    <w:rsid w:val="2B6D586A"/>
    <w:rsid w:val="2E391725"/>
    <w:rsid w:val="2E7D0093"/>
    <w:rsid w:val="34033D28"/>
    <w:rsid w:val="35144896"/>
    <w:rsid w:val="35E820B0"/>
    <w:rsid w:val="379A4E56"/>
    <w:rsid w:val="39447D88"/>
    <w:rsid w:val="3A152A74"/>
    <w:rsid w:val="3CE35A45"/>
    <w:rsid w:val="3D7F110E"/>
    <w:rsid w:val="3D8B68BD"/>
    <w:rsid w:val="40585B1F"/>
    <w:rsid w:val="41C76417"/>
    <w:rsid w:val="42090A0D"/>
    <w:rsid w:val="426A2148"/>
    <w:rsid w:val="42AB7679"/>
    <w:rsid w:val="440F4D94"/>
    <w:rsid w:val="44121234"/>
    <w:rsid w:val="45C02C36"/>
    <w:rsid w:val="46623AC8"/>
    <w:rsid w:val="47DC16A5"/>
    <w:rsid w:val="47E44403"/>
    <w:rsid w:val="48BD5FD9"/>
    <w:rsid w:val="48C925D0"/>
    <w:rsid w:val="493A02D3"/>
    <w:rsid w:val="49560276"/>
    <w:rsid w:val="49D20DB3"/>
    <w:rsid w:val="4AA57A76"/>
    <w:rsid w:val="4B8A2C90"/>
    <w:rsid w:val="4BE25B8D"/>
    <w:rsid w:val="4C3857CB"/>
    <w:rsid w:val="4E5A23DA"/>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60B86"/>
    <w:rsid w:val="604D11B9"/>
    <w:rsid w:val="610B63DA"/>
    <w:rsid w:val="62C47C43"/>
    <w:rsid w:val="6509245E"/>
    <w:rsid w:val="656257FB"/>
    <w:rsid w:val="66527E86"/>
    <w:rsid w:val="668A652A"/>
    <w:rsid w:val="69954A88"/>
    <w:rsid w:val="6EA934B6"/>
    <w:rsid w:val="6FEA05C0"/>
    <w:rsid w:val="706E041E"/>
    <w:rsid w:val="74C262FC"/>
    <w:rsid w:val="75843174"/>
    <w:rsid w:val="76B7003F"/>
    <w:rsid w:val="771A30E5"/>
    <w:rsid w:val="77E03419"/>
    <w:rsid w:val="79757E4E"/>
    <w:rsid w:val="7A165EE4"/>
    <w:rsid w:val="7A2A6204"/>
    <w:rsid w:val="7AF5326F"/>
    <w:rsid w:val="7C6F2B1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7"/>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1"/>
    <w:link w:val="25"/>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4"/>
    <w:autoRedefine/>
    <w:qFormat/>
    <w:uiPriority w:val="0"/>
    <w:pPr>
      <w:spacing w:after="120"/>
      <w:ind w:left="420" w:leftChars="200"/>
    </w:pPr>
  </w:style>
  <w:style w:type="paragraph" w:styleId="7">
    <w:name w:val="envelope return"/>
    <w:basedOn w:val="1"/>
    <w:next w:val="3"/>
    <w:autoRedefine/>
    <w:qFormat/>
    <w:uiPriority w:val="0"/>
    <w:pPr>
      <w:snapToGrid w:val="0"/>
    </w:pPr>
    <w:rPr>
      <w:rFonts w:ascii="Arial" w:hAnsi="Arial"/>
    </w:rPr>
  </w:style>
  <w:style w:type="paragraph" w:styleId="8">
    <w:name w:val="annotation text"/>
    <w:basedOn w:val="1"/>
    <w:autoRedefine/>
    <w:qFormat/>
    <w:uiPriority w:val="0"/>
    <w:pPr>
      <w:jc w:val="left"/>
    </w:pPr>
  </w:style>
  <w:style w:type="paragraph" w:styleId="9">
    <w:name w:val="Body Text 3"/>
    <w:basedOn w:val="1"/>
    <w:autoRedefine/>
    <w:qFormat/>
    <w:uiPriority w:val="0"/>
    <w:rPr>
      <w:rFonts w:ascii="宋体" w:hAnsi="Calibri" w:eastAsia="宋体" w:cs="Times New Roman"/>
      <w:sz w:val="24"/>
      <w:szCs w:val="20"/>
    </w:rPr>
  </w:style>
  <w:style w:type="paragraph" w:styleId="10">
    <w:name w:val="Body Text"/>
    <w:basedOn w:val="1"/>
    <w:autoRedefine/>
    <w:qFormat/>
    <w:uiPriority w:val="0"/>
    <w:pPr>
      <w:snapToGrid w:val="0"/>
      <w:spacing w:line="360" w:lineRule="auto"/>
    </w:pPr>
    <w:rPr>
      <w:rFonts w:ascii="Arial" w:hAnsi="Arial" w:eastAsia="方正仿宋_GB2312"/>
      <w:sz w:val="31"/>
    </w:rPr>
  </w:style>
  <w:style w:type="paragraph" w:styleId="11">
    <w:name w:val="Plain Text"/>
    <w:basedOn w:val="1"/>
    <w:link w:val="29"/>
    <w:autoRedefine/>
    <w:qFormat/>
    <w:uiPriority w:val="0"/>
    <w:rPr>
      <w:rFonts w:hint="eastAsia" w:ascii="宋体" w:hAnsi="宋体" w:eastAsia="宋体" w:cs="Times New Roman"/>
      <w:szCs w:val="21"/>
    </w:rPr>
  </w:style>
  <w:style w:type="paragraph" w:styleId="12">
    <w:name w:val="Date"/>
    <w:basedOn w:val="1"/>
    <w:next w:val="1"/>
    <w:link w:val="26"/>
    <w:autoRedefine/>
    <w:qFormat/>
    <w:uiPriority w:val="0"/>
    <w:rPr>
      <w:rFonts w:ascii="Arial" w:hAnsi="Arial" w:eastAsia="方正仿宋_GB2312" w:cs="Times New Roman"/>
      <w:color w:val="000000"/>
      <w:sz w:val="32"/>
      <w:szCs w:val="32"/>
      <w:u w:color="000000"/>
    </w:rPr>
  </w:style>
  <w:style w:type="paragraph" w:styleId="13">
    <w:name w:val="footer"/>
    <w:basedOn w:val="1"/>
    <w:link w:val="30"/>
    <w:autoRedefine/>
    <w:qFormat/>
    <w:uiPriority w:val="0"/>
    <w:pPr>
      <w:tabs>
        <w:tab w:val="center" w:pos="4153"/>
        <w:tab w:val="right" w:pos="8306"/>
      </w:tabs>
      <w:snapToGrid w:val="0"/>
      <w:jc w:val="left"/>
    </w:pPr>
    <w:rPr>
      <w:sz w:val="18"/>
    </w:rPr>
  </w:style>
  <w:style w:type="paragraph" w:styleId="14">
    <w:name w:val="header"/>
    <w:basedOn w:val="1"/>
    <w:link w:val="28"/>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List"/>
    <w:basedOn w:val="1"/>
    <w:autoRedefine/>
    <w:qFormat/>
    <w:uiPriority w:val="0"/>
    <w:pPr>
      <w:spacing w:beforeAutospacing="1" w:afterAutospacing="1"/>
      <w:ind w:left="420" w:hanging="420"/>
    </w:pPr>
    <w:rPr>
      <w:rFonts w:ascii="Arial" w:hAnsi="Arial" w:eastAsia="方正仿宋_GB2312" w:cs="Times New Roman"/>
      <w:sz w:val="28"/>
      <w:szCs w:val="28"/>
    </w:rPr>
  </w:style>
  <w:style w:type="paragraph" w:styleId="16">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17">
    <w:name w:val="Body Text First Indent"/>
    <w:basedOn w:val="10"/>
    <w:autoRedefine/>
    <w:qFormat/>
    <w:uiPriority w:val="0"/>
    <w:pPr>
      <w:spacing w:after="120" w:line="240" w:lineRule="auto"/>
      <w:ind w:firstLine="420" w:firstLineChars="100"/>
    </w:p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style>
  <w:style w:type="paragraph" w:customStyle="1" w:styleId="22">
    <w:name w:val="正文文字 8"/>
    <w:basedOn w:val="1"/>
    <w:next w:val="1"/>
    <w:autoRedefine/>
    <w:qFormat/>
    <w:uiPriority w:val="0"/>
    <w:pPr>
      <w:ind w:left="240"/>
    </w:pPr>
    <w:rPr>
      <w:sz w:val="16"/>
    </w:rPr>
  </w:style>
  <w:style w:type="paragraph" w:customStyle="1" w:styleId="23">
    <w:name w:val="Default"/>
    <w:autoRedefine/>
    <w:qFormat/>
    <w:uiPriority w:val="0"/>
    <w:pPr>
      <w:widowControl w:val="0"/>
      <w:autoSpaceDE w:val="0"/>
      <w:autoSpaceDN w:val="0"/>
      <w:adjustRightInd w:val="0"/>
    </w:pPr>
    <w:rPr>
      <w:rFonts w:ascii="方正公文小标宋" w:hAnsi="Calibri" w:eastAsia="方正公文小标宋" w:cs="方正公文小标宋"/>
      <w:color w:val="000000"/>
      <w:sz w:val="24"/>
      <w:szCs w:val="24"/>
      <w:lang w:val="en-US" w:eastAsia="zh-CN" w:bidi="ar-SA"/>
    </w:rPr>
  </w:style>
  <w:style w:type="character" w:customStyle="1" w:styleId="24">
    <w:name w:val="正文文本缩进 字符"/>
    <w:basedOn w:val="20"/>
    <w:link w:val="6"/>
    <w:autoRedefine/>
    <w:qFormat/>
    <w:uiPriority w:val="0"/>
    <w:rPr>
      <w:rFonts w:hint="default" w:ascii="Times New Roman" w:hAnsi="Times New Roman" w:eastAsia="宋体" w:cs="Times New Roman"/>
      <w:color w:val="000000"/>
      <w:kern w:val="0"/>
      <w:szCs w:val="21"/>
      <w:u w:color="000000"/>
    </w:rPr>
  </w:style>
  <w:style w:type="character" w:customStyle="1" w:styleId="25">
    <w:name w:val="正文文本首行缩进 2 字符"/>
    <w:basedOn w:val="24"/>
    <w:link w:val="5"/>
    <w:autoRedefine/>
    <w:qFormat/>
    <w:uiPriority w:val="0"/>
    <w:rPr>
      <w:rFonts w:hint="default" w:ascii="Times New Roman" w:hAnsi="Times New Roman" w:eastAsia="宋体" w:cs="Times New Roman"/>
      <w:color w:val="000000"/>
      <w:kern w:val="0"/>
      <w:szCs w:val="21"/>
      <w:u w:color="000000"/>
    </w:rPr>
  </w:style>
  <w:style w:type="character" w:customStyle="1" w:styleId="26">
    <w:name w:val="日期 字符"/>
    <w:basedOn w:val="20"/>
    <w:link w:val="12"/>
    <w:autoRedefine/>
    <w:qFormat/>
    <w:uiPriority w:val="0"/>
    <w:rPr>
      <w:rFonts w:ascii="Arial" w:hAnsi="Arial" w:eastAsia="方正仿宋_GB2312" w:cs="Arial"/>
      <w:color w:val="000000"/>
      <w:sz w:val="32"/>
      <w:szCs w:val="32"/>
      <w:u w:color="000000"/>
    </w:rPr>
  </w:style>
  <w:style w:type="character" w:customStyle="1" w:styleId="27">
    <w:name w:val="标题 2 字符"/>
    <w:basedOn w:val="20"/>
    <w:link w:val="2"/>
    <w:autoRedefine/>
    <w:qFormat/>
    <w:uiPriority w:val="0"/>
    <w:rPr>
      <w:rFonts w:hint="default" w:ascii="Times New Roman" w:hAnsi="Times New Roman" w:eastAsia="宋体" w:cs="Times New Roman"/>
      <w:kern w:val="0"/>
      <w:sz w:val="24"/>
      <w:szCs w:val="24"/>
    </w:rPr>
  </w:style>
  <w:style w:type="character" w:customStyle="1" w:styleId="28">
    <w:name w:val="页眉 字符"/>
    <w:basedOn w:val="20"/>
    <w:link w:val="14"/>
    <w:autoRedefine/>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字符"/>
    <w:basedOn w:val="20"/>
    <w:link w:val="11"/>
    <w:autoRedefine/>
    <w:qFormat/>
    <w:uiPriority w:val="0"/>
    <w:rPr>
      <w:rFonts w:hint="eastAsia" w:ascii="宋体" w:hAnsi="宋体" w:eastAsia="宋体" w:cs="宋体"/>
      <w:szCs w:val="21"/>
    </w:rPr>
  </w:style>
  <w:style w:type="character" w:customStyle="1" w:styleId="30">
    <w:name w:val="页脚 字符"/>
    <w:basedOn w:val="20"/>
    <w:link w:val="13"/>
    <w:autoRedefine/>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2">
    <w:name w:val="List Paragraph"/>
    <w:basedOn w:val="1"/>
    <w:autoRedefine/>
    <w:qFormat/>
    <w:uiPriority w:val="0"/>
    <w:pPr>
      <w:ind w:firstLine="200" w:firstLineChars="200"/>
    </w:pPr>
    <w:rPr>
      <w:u w:color="000000"/>
    </w:rPr>
  </w:style>
  <w:style w:type="character" w:customStyle="1" w:styleId="33">
    <w:name w:val="NormalCharacter"/>
    <w:autoRedefine/>
    <w:semiHidden/>
    <w:qFormat/>
    <w:uiPriority w:val="0"/>
  </w:style>
  <w:style w:type="paragraph" w:customStyle="1" w:styleId="34">
    <w:name w:val="l正文"/>
    <w:autoRedefine/>
    <w:qFormat/>
    <w:uiPriority w:val="0"/>
    <w:pPr>
      <w:widowControl w:val="0"/>
      <w:spacing w:line="300" w:lineRule="auto"/>
      <w:ind w:firstLine="200" w:firstLineChars="200"/>
      <w:jc w:val="both"/>
    </w:pPr>
    <w:rPr>
      <w:rFonts w:ascii="方正仿宋_GB2312" w:hAnsi="Therese" w:eastAsia="方正仿宋_GB2312" w:cs="Times New Roman"/>
      <w:kern w:val="2"/>
      <w:sz w:val="24"/>
      <w:szCs w:val="24"/>
      <w:lang w:val="en-US" w:eastAsia="zh-CN" w:bidi="ar-SA"/>
    </w:rPr>
  </w:style>
  <w:style w:type="character" w:customStyle="1" w:styleId="35">
    <w:name w:val="font51"/>
    <w:basedOn w:val="20"/>
    <w:autoRedefine/>
    <w:qFormat/>
    <w:uiPriority w:val="0"/>
    <w:rPr>
      <w:rFonts w:hint="eastAsia" w:ascii="宋体" w:hAnsi="宋体" w:eastAsia="宋体" w:cs="宋体"/>
      <w:color w:val="000000"/>
      <w:sz w:val="22"/>
      <w:szCs w:val="22"/>
      <w:u w:val="none"/>
    </w:rPr>
  </w:style>
  <w:style w:type="character" w:customStyle="1" w:styleId="36">
    <w:name w:val="font31"/>
    <w:basedOn w:val="20"/>
    <w:autoRedefine/>
    <w:qFormat/>
    <w:uiPriority w:val="0"/>
    <w:rPr>
      <w:rFonts w:hint="default" w:ascii="Times New Roman" w:hAnsi="Times New Roman" w:cs="Times New Roman"/>
      <w:color w:val="000000"/>
      <w:sz w:val="22"/>
      <w:szCs w:val="22"/>
      <w:u w:val="none"/>
    </w:rPr>
  </w:style>
  <w:style w:type="character" w:customStyle="1" w:styleId="37">
    <w:name w:val="font61"/>
    <w:basedOn w:val="20"/>
    <w:autoRedefine/>
    <w:qFormat/>
    <w:uiPriority w:val="0"/>
    <w:rPr>
      <w:rFonts w:hint="default" w:ascii="Times New Roman" w:hAnsi="Times New Roman" w:cs="Times New Roman"/>
      <w:color w:val="000000"/>
      <w:sz w:val="21"/>
      <w:szCs w:val="21"/>
      <w:u w:val="none"/>
    </w:rPr>
  </w:style>
  <w:style w:type="character" w:customStyle="1" w:styleId="38">
    <w:name w:val="font71"/>
    <w:basedOn w:val="20"/>
    <w:autoRedefine/>
    <w:qFormat/>
    <w:uiPriority w:val="0"/>
    <w:rPr>
      <w:rFonts w:hint="eastAsia" w:ascii="宋体" w:hAnsi="宋体" w:eastAsia="宋体" w:cs="宋体"/>
      <w:color w:val="000000"/>
      <w:sz w:val="21"/>
      <w:szCs w:val="21"/>
      <w:u w:val="none"/>
    </w:rPr>
  </w:style>
  <w:style w:type="character" w:customStyle="1" w:styleId="39">
    <w:name w:val="font01"/>
    <w:basedOn w:val="20"/>
    <w:autoRedefine/>
    <w:qFormat/>
    <w:uiPriority w:val="0"/>
    <w:rPr>
      <w:rFonts w:hint="eastAsia" w:ascii="宋体" w:hAnsi="宋体" w:eastAsia="宋体" w:cs="宋体"/>
      <w:color w:val="000000"/>
      <w:sz w:val="22"/>
      <w:szCs w:val="22"/>
      <w:u w:val="none"/>
    </w:rPr>
  </w:style>
  <w:style w:type="character" w:customStyle="1" w:styleId="40">
    <w:name w:val="font11"/>
    <w:basedOn w:val="20"/>
    <w:autoRedefine/>
    <w:qFormat/>
    <w:uiPriority w:val="0"/>
    <w:rPr>
      <w:rFonts w:hint="eastAsia" w:ascii="宋体" w:hAnsi="宋体" w:eastAsia="宋体" w:cs="宋体"/>
      <w:color w:val="000000"/>
      <w:sz w:val="21"/>
      <w:szCs w:val="21"/>
      <w:u w:val="none"/>
    </w:rPr>
  </w:style>
  <w:style w:type="character" w:customStyle="1" w:styleId="41">
    <w:name w:val="font41"/>
    <w:basedOn w:val="20"/>
    <w:autoRedefine/>
    <w:qFormat/>
    <w:uiPriority w:val="0"/>
    <w:rPr>
      <w:rFonts w:hint="default" w:ascii="Times New Roman" w:hAnsi="Times New Roman" w:cs="Times New Roman"/>
      <w:color w:val="000000"/>
      <w:sz w:val="22"/>
      <w:szCs w:val="22"/>
      <w:u w:val="none"/>
    </w:rPr>
  </w:style>
  <w:style w:type="paragraph" w:customStyle="1" w:styleId="42">
    <w:name w:val="二级标题"/>
    <w:basedOn w:val="1"/>
    <w:next w:val="1"/>
    <w:autoRedefine/>
    <w:qFormat/>
    <w:uiPriority w:val="0"/>
    <w:rPr>
      <w:rFonts w:hint="eastAsia" w:eastAsia="楷体"/>
    </w:rPr>
  </w:style>
  <w:style w:type="paragraph" w:customStyle="1" w:styleId="43">
    <w:name w:val="纯文本1"/>
    <w:basedOn w:val="1"/>
    <w:autoRedefine/>
    <w:qFormat/>
    <w:uiPriority w:val="0"/>
    <w:rPr>
      <w:rFonts w:ascii="宋体" w:hAnsi="Courier New" w:cs="Courier New"/>
      <w:szCs w:val="21"/>
    </w:rPr>
  </w:style>
  <w:style w:type="paragraph" w:customStyle="1" w:styleId="44">
    <w:name w:val="正文缩进11"/>
    <w:basedOn w:val="1"/>
    <w:autoRedefine/>
    <w:qFormat/>
    <w:uiPriority w:val="0"/>
    <w:pPr>
      <w:ind w:firstLine="420"/>
    </w:pPr>
    <w:rPr>
      <w:b/>
      <w:sz w:val="24"/>
      <w:szCs w:val="20"/>
    </w:rPr>
  </w:style>
  <w:style w:type="character" w:customStyle="1" w:styleId="45">
    <w:name w:val="font101"/>
    <w:basedOn w:val="20"/>
    <w:autoRedefine/>
    <w:qFormat/>
    <w:uiPriority w:val="0"/>
    <w:rPr>
      <w:rFonts w:hint="default" w:ascii="Times New Roman" w:hAnsi="Times New Roman" w:cs="Times New Roman"/>
      <w:color w:val="000000"/>
      <w:sz w:val="22"/>
      <w:szCs w:val="22"/>
      <w:u w:val="none"/>
    </w:rPr>
  </w:style>
  <w:style w:type="character" w:customStyle="1" w:styleId="46">
    <w:name w:val="font111"/>
    <w:basedOn w:val="20"/>
    <w:autoRedefine/>
    <w:qFormat/>
    <w:uiPriority w:val="0"/>
    <w:rPr>
      <w:rFonts w:hint="eastAsia" w:ascii="宋体" w:hAnsi="宋体" w:eastAsia="宋体" w:cs="宋体"/>
      <w:color w:val="000000"/>
      <w:sz w:val="22"/>
      <w:szCs w:val="22"/>
      <w:u w:val="none"/>
    </w:rPr>
  </w:style>
  <w:style w:type="character" w:customStyle="1" w:styleId="47">
    <w:name w:val="font181"/>
    <w:basedOn w:val="20"/>
    <w:autoRedefine/>
    <w:qFormat/>
    <w:uiPriority w:val="0"/>
    <w:rPr>
      <w:rFonts w:hint="default" w:ascii="Times New Roman" w:hAnsi="Times New Roman" w:cs="Times New Roman"/>
      <w:color w:val="000000"/>
      <w:sz w:val="22"/>
      <w:szCs w:val="22"/>
      <w:u w:val="none"/>
    </w:rPr>
  </w:style>
  <w:style w:type="character" w:customStyle="1" w:styleId="48">
    <w:name w:val="font191"/>
    <w:basedOn w:val="20"/>
    <w:autoRedefine/>
    <w:qFormat/>
    <w:uiPriority w:val="0"/>
    <w:rPr>
      <w:rFonts w:hint="default" w:ascii="Times New Roman" w:hAnsi="Times New Roman" w:cs="Times New Roman"/>
      <w:color w:val="000000"/>
      <w:sz w:val="22"/>
      <w:szCs w:val="22"/>
      <w:u w:val="none"/>
    </w:rPr>
  </w:style>
  <w:style w:type="character" w:customStyle="1" w:styleId="49">
    <w:name w:val="font151"/>
    <w:basedOn w:val="20"/>
    <w:autoRedefine/>
    <w:qFormat/>
    <w:uiPriority w:val="0"/>
    <w:rPr>
      <w:rFonts w:hint="default" w:ascii="Times New Roman" w:hAnsi="Times New Roman" w:cs="Times New Roman"/>
      <w:color w:val="000000"/>
      <w:sz w:val="22"/>
      <w:szCs w:val="22"/>
      <w:u w:val="none"/>
    </w:rPr>
  </w:style>
  <w:style w:type="character" w:customStyle="1" w:styleId="50">
    <w:name w:val="font171"/>
    <w:basedOn w:val="20"/>
    <w:autoRedefine/>
    <w:qFormat/>
    <w:uiPriority w:val="0"/>
    <w:rPr>
      <w:rFonts w:hint="default" w:ascii="Calibri" w:hAnsi="Calibri" w:cs="Calibri"/>
      <w:color w:val="000000"/>
      <w:sz w:val="22"/>
      <w:szCs w:val="22"/>
      <w:u w:val="none"/>
    </w:rPr>
  </w:style>
  <w:style w:type="character" w:customStyle="1" w:styleId="51">
    <w:name w:val="font112"/>
    <w:basedOn w:val="20"/>
    <w:qFormat/>
    <w:uiPriority w:val="0"/>
    <w:rPr>
      <w:rFonts w:hint="eastAsia" w:ascii="宋体" w:hAnsi="宋体" w:eastAsia="宋体" w:cs="宋体"/>
      <w:color w:val="000000"/>
      <w:sz w:val="20"/>
      <w:szCs w:val="20"/>
      <w:u w:val="none"/>
    </w:rPr>
  </w:style>
  <w:style w:type="character" w:customStyle="1" w:styleId="52">
    <w:name w:val="font212"/>
    <w:basedOn w:val="20"/>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80</Pages>
  <Words>16395</Words>
  <Characters>17451</Characters>
  <Lines>384</Lines>
  <Paragraphs>108</Paragraphs>
  <TotalTime>6</TotalTime>
  <ScaleCrop>false</ScaleCrop>
  <LinksUpToDate>false</LinksUpToDate>
  <CharactersWithSpaces>17901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傻傻一辈子</cp:lastModifiedBy>
  <cp:lastPrinted>2022-04-11T07:26:00Z</cp:lastPrinted>
  <dcterms:modified xsi:type="dcterms:W3CDTF">2025-06-23T03:45:12Z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0D67ECFA594049AE98C16EA229FD27E2_13</vt:lpwstr>
  </property>
  <property fmtid="{D5CDD505-2E9C-101B-9397-08002B2CF9AE}" pid="4" name="KSOTemplateDocerSaveRecord">
    <vt:lpwstr>eyJoZGlkIjoiMTljMDcwYWJmYjExZWQzNTVmZDAzZTYwM2JlMzJmZDYiLCJ1c2VySWQiOiIzODU2Mzk2OTQifQ==</vt:lpwstr>
  </property>
</Properties>
</file>