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740D0774">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2025年滁州轨道运营危险废弃物处置（废机油、废铅酸蓄电池、废墨盒）项目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6</w:t>
      </w:r>
      <w:r>
        <w:rPr>
          <w:rFonts w:hint="eastAsia" w:eastAsia="仿宋_GB2312"/>
          <w:sz w:val="44"/>
          <w:szCs w:val="44"/>
          <w:highlight w:val="none"/>
        </w:rPr>
        <w:t>月</w:t>
      </w:r>
      <w:r>
        <w:rPr>
          <w:rFonts w:hint="eastAsia" w:eastAsia="仿宋_GB2312"/>
          <w:sz w:val="44"/>
          <w:szCs w:val="44"/>
          <w:highlight w:val="none"/>
          <w:lang w:val="en-US" w:eastAsia="zh-CN"/>
        </w:rPr>
        <w:t>6</w:t>
      </w:r>
      <w:r>
        <w:rPr>
          <w:rFonts w:hint="eastAsia" w:eastAsia="仿宋_GB2312"/>
          <w:sz w:val="44"/>
          <w:szCs w:val="44"/>
          <w:highlight w:val="none"/>
        </w:rPr>
        <w:t>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79CAEE97">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8"/>
        <w:spacing w:before="0" w:after="100" w:afterAutospacing="1" w:line="360" w:lineRule="auto"/>
      </w:pPr>
      <w:r>
        <w:rPr>
          <w:rFonts w:hint="eastAsia"/>
        </w:rPr>
        <w:t>第一章 询价公告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2025年滁州轨道运营危险废弃物处置（废机油、废铅酸蓄电池、废墨盒）项目（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int="eastAsia" w:hAnsi="宋体"/>
          <w:kern w:val="0"/>
          <w:sz w:val="24"/>
          <w:szCs w:val="24"/>
          <w:lang w:val="en-US" w:eastAsia="zh-CN"/>
        </w:rPr>
        <w:t>处置</w:t>
      </w:r>
      <w:r>
        <w:rPr>
          <w:rFonts w:hAnsi="宋体"/>
          <w:kern w:val="0"/>
          <w:sz w:val="24"/>
          <w:szCs w:val="24"/>
        </w:rPr>
        <w:t>内容</w:t>
      </w:r>
      <w:r>
        <w:rPr>
          <w:rFonts w:hint="eastAsia" w:hAnsi="宋体"/>
          <w:kern w:val="0"/>
          <w:sz w:val="24"/>
          <w:szCs w:val="24"/>
        </w:rPr>
        <w:t>及数量</w:t>
      </w:r>
    </w:p>
    <w:tbl>
      <w:tblPr>
        <w:tblStyle w:val="19"/>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579"/>
        <w:gridCol w:w="404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57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04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57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rPr>
              <w:t>2025年滁州轨道运营危险废弃物处置（废机油、废铅酸蓄电池、废墨盒）项目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04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w:t>
            </w:r>
            <w:r>
              <w:rPr>
                <w:rFonts w:hint="eastAsia" w:ascii="宋体" w:hAnsi="宋体" w:cs="Arial"/>
                <w:sz w:val="24"/>
                <w:szCs w:val="24"/>
                <w:lang w:val="en-US" w:eastAsia="zh-CN"/>
              </w:rPr>
              <w:t>处置</w:t>
            </w:r>
            <w:r>
              <w:rPr>
                <w:rFonts w:hint="eastAsia" w:ascii="宋体" w:hAnsi="宋体" w:cs="Arial"/>
                <w:sz w:val="24"/>
                <w:szCs w:val="24"/>
              </w:rPr>
              <w:t>数量均为</w:t>
            </w:r>
            <w:r>
              <w:rPr>
                <w:rFonts w:hint="eastAsia" w:ascii="宋体" w:hAnsi="宋体" w:cs="Arial"/>
                <w:b/>
                <w:bCs/>
                <w:sz w:val="24"/>
                <w:szCs w:val="24"/>
              </w:rPr>
              <w:t>预估用量，</w:t>
            </w:r>
            <w:r>
              <w:rPr>
                <w:rFonts w:hint="eastAsia" w:ascii="宋体" w:hAnsi="宋体" w:cs="Arial"/>
                <w:sz w:val="24"/>
                <w:szCs w:val="24"/>
                <w:lang w:val="en-US" w:eastAsia="zh-CN"/>
              </w:rPr>
              <w:t>我司</w:t>
            </w:r>
            <w:r>
              <w:rPr>
                <w:rFonts w:hint="eastAsia" w:ascii="宋体" w:hAnsi="宋体" w:cs="Arial"/>
                <w:sz w:val="24"/>
                <w:szCs w:val="24"/>
              </w:rPr>
              <w:t>保留对品类和需求数量进行更改的权利；</w:t>
            </w:r>
          </w:p>
          <w:p w14:paraId="5C792536">
            <w:pPr>
              <w:jc w:val="left"/>
              <w:rPr>
                <w:sz w:val="24"/>
                <w:szCs w:val="24"/>
              </w:rPr>
            </w:pPr>
            <w:r>
              <w:rPr>
                <w:rFonts w:hint="eastAsia" w:ascii="宋体" w:hAnsi="宋体" w:cs="Arial"/>
                <w:sz w:val="24"/>
                <w:szCs w:val="24"/>
              </w:rPr>
              <w:t>（2）合同形式及</w:t>
            </w:r>
            <w:r>
              <w:rPr>
                <w:rFonts w:hint="eastAsia" w:ascii="宋体" w:hAnsi="宋体" w:cs="Arial"/>
                <w:sz w:val="24"/>
                <w:szCs w:val="24"/>
                <w:lang w:val="en-US" w:eastAsia="zh-CN"/>
              </w:rPr>
              <w:t>处置</w:t>
            </w:r>
            <w:r>
              <w:rPr>
                <w:rFonts w:hint="eastAsia" w:ascii="宋体" w:hAnsi="宋体" w:cs="Arial"/>
                <w:sz w:val="24"/>
                <w:szCs w:val="24"/>
              </w:rPr>
              <w:t>期：</w:t>
            </w:r>
            <w:r>
              <w:rPr>
                <w:rFonts w:hint="eastAsia" w:ascii="宋体" w:hAnsi="宋体" w:cs="Arial"/>
                <w:sz w:val="24"/>
                <w:szCs w:val="24"/>
                <w:lang w:val="en-US" w:eastAsia="zh-CN"/>
              </w:rPr>
              <w:t>三</w:t>
            </w:r>
            <w:r>
              <w:rPr>
                <w:rFonts w:hint="eastAsia" w:ascii="宋体" w:hAnsi="宋体" w:cs="Arial"/>
                <w:sz w:val="24"/>
                <w:szCs w:val="24"/>
              </w:rPr>
              <w:t>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4285B569">
      <w:pPr>
        <w:pStyle w:val="17"/>
        <w:spacing w:before="0" w:beforeAutospacing="0" w:after="0" w:afterAutospacing="0" w:line="360" w:lineRule="auto"/>
        <w:ind w:left="420" w:hanging="420" w:hangingChars="175"/>
        <w:rPr>
          <w:rFonts w:hint="eastAsia" w:ascii="Times New Roman" w:cs="Times New Roman"/>
          <w:highlight w:val="none"/>
          <w:lang w:eastAsia="zh-CN"/>
        </w:rPr>
      </w:pPr>
      <w:r>
        <w:rPr>
          <w:rFonts w:ascii="Times New Roman" w:hAnsi="Times New Roman" w:cs="Times New Roman"/>
          <w:highlight w:val="none"/>
        </w:rPr>
        <w:t xml:space="preserve">2.1 </w:t>
      </w:r>
      <w:r>
        <w:rPr>
          <w:rFonts w:ascii="Times New Roman" w:cs="Times New Roman"/>
          <w:highlight w:val="none"/>
        </w:rPr>
        <w:t>资格要求</w:t>
      </w:r>
    </w:p>
    <w:p w14:paraId="17919598">
      <w:pPr>
        <w:pStyle w:val="17"/>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rPr>
        <w:t>能为本次危险废弃物处置提供服务</w:t>
      </w:r>
      <w:r>
        <w:rPr>
          <w:rFonts w:hint="eastAsia" w:ascii="Times New Roman" w:cs="Times New Roman"/>
          <w:color w:val="auto"/>
          <w:highlight w:val="none"/>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7"/>
        <w:spacing w:before="0" w:beforeAutospacing="0" w:after="0" w:afterAutospacing="0" w:line="360" w:lineRule="auto"/>
        <w:ind w:left="600" w:hanging="600" w:hangingChars="250"/>
        <w:rPr>
          <w:rFonts w:hint="eastAsia" w:ascii="Times New Roman" w:cs="Times New Roman"/>
          <w:color w:val="auto"/>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报价人须具备相关操作证书与员工意外保险。</w:t>
      </w:r>
    </w:p>
    <w:p w14:paraId="01DE0FBB">
      <w:pPr>
        <w:pStyle w:val="17"/>
        <w:spacing w:before="0" w:beforeAutospacing="0" w:after="0" w:afterAutospacing="0" w:line="360" w:lineRule="auto"/>
        <w:ind w:left="600" w:hanging="600" w:hangingChars="250"/>
        <w:rPr>
          <w:rFonts w:hint="default" w:ascii="Times New Roman" w:eastAsia="宋体" w:cs="Times New Roman"/>
          <w:color w:val="auto"/>
          <w:highlight w:val="none"/>
          <w:lang w:val="en-US" w:eastAsia="zh-CN"/>
        </w:rPr>
      </w:pPr>
      <w:r>
        <w:rPr>
          <w:rFonts w:hint="eastAsia" w:ascii="Times New Roman" w:cs="Times New Roman"/>
          <w:color w:val="auto"/>
          <w:highlight w:val="none"/>
          <w:lang w:val="en-US" w:eastAsia="zh-CN"/>
        </w:rPr>
        <w:t xml:space="preserve">2.1.3 </w:t>
      </w:r>
      <w:r>
        <w:rPr>
          <w:rFonts w:hint="eastAsia" w:ascii="Times New Roman" w:cs="Times New Roman"/>
          <w:lang w:val="en-US" w:eastAsia="zh-CN"/>
        </w:rPr>
        <w:t>报价人必须具备合法且有效的危险废物经营的资质许可，并能在限期内自主完成所需转移手续办理。</w:t>
      </w:r>
    </w:p>
    <w:p w14:paraId="6CCE1092">
      <w:pPr>
        <w:pStyle w:val="17"/>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具有与本次危险废弃物处置相类似的处置经验，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7"/>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7"/>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2</w:t>
      </w:r>
      <w:r>
        <w:rPr>
          <w:rFonts w:hint="eastAsia" w:ascii="Times New Roman" w:cs="Times New Roman"/>
        </w:rPr>
        <w:t>-202</w:t>
      </w:r>
      <w:r>
        <w:rPr>
          <w:rFonts w:hint="eastAsia" w:ascii="Times New Roman" w:cs="Times New Roman"/>
          <w:lang w:val="en-US" w:eastAsia="zh-CN"/>
        </w:rPr>
        <w:t>4</w:t>
      </w:r>
      <w:r>
        <w:rPr>
          <w:rFonts w:hint="eastAsia" w:ascii="Times New Roman" w:cs="Times New Roman"/>
        </w:rPr>
        <w:t>年）未处于财产被接管、冻结、破产状态，没有处于投标禁入期。</w:t>
      </w:r>
    </w:p>
    <w:p w14:paraId="7158F2FB">
      <w:pPr>
        <w:pStyle w:val="17"/>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7"/>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7"/>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7"/>
        <w:spacing w:before="0" w:beforeAutospacing="0" w:after="0" w:afterAutospacing="0" w:line="360" w:lineRule="auto"/>
        <w:ind w:left="360" w:hanging="360"/>
        <w:rPr>
          <w:rFonts w:hint="eastAsia"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38A26DE8">
      <w:pPr>
        <w:pStyle w:val="17"/>
        <w:spacing w:before="0" w:beforeAutospacing="0" w:after="0" w:afterAutospacing="0" w:line="360" w:lineRule="auto"/>
        <w:ind w:left="360" w:hanging="360"/>
        <w:rPr>
          <w:rFonts w:hint="default" w:ascii="Times New Roman" w:hAnsi="Times New Roman" w:eastAsia="宋体" w:cs="Times New Roman"/>
          <w:lang w:val="en-US" w:eastAsia="zh-CN"/>
        </w:rPr>
      </w:pPr>
      <w:r>
        <w:rPr>
          <w:rFonts w:hint="eastAsia" w:ascii="Times New Roman" w:hAnsi="Times New Roman" w:cs="Times New Roman"/>
          <w:lang w:val="en-US" w:eastAsia="zh-CN"/>
        </w:rPr>
        <w:t>2.6 危险废物转移应当遵循就近处置原则。</w:t>
      </w:r>
    </w:p>
    <w:p w14:paraId="1857B84A">
      <w:pPr>
        <w:pStyle w:val="17"/>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w:t>
      </w:r>
      <w:r>
        <w:rPr>
          <w:rFonts w:hint="eastAsia" w:hAnsi="宋体"/>
          <w:kern w:val="0"/>
          <w:sz w:val="24"/>
          <w:szCs w:val="24"/>
          <w:lang w:val="en-US" w:eastAsia="zh-CN"/>
        </w:rPr>
        <w:t>询价</w:t>
      </w:r>
      <w:r>
        <w:rPr>
          <w:rFonts w:hint="eastAsia" w:hAnsi="宋体"/>
          <w:kern w:val="0"/>
          <w:sz w:val="24"/>
          <w:szCs w:val="24"/>
        </w:rPr>
        <w:t>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6</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w:t>
      </w:r>
      <w:r>
        <w:rPr>
          <w:rFonts w:hint="eastAsia"/>
          <w:sz w:val="24"/>
          <w:szCs w:val="24"/>
          <w:lang w:val="en-US" w:eastAsia="zh-CN"/>
        </w:rPr>
        <w:t>处置</w:t>
      </w:r>
      <w:r>
        <w:rPr>
          <w:rFonts w:hint="eastAsia"/>
          <w:sz w:val="24"/>
          <w:szCs w:val="24"/>
        </w:rPr>
        <w:t>人收到时间为准，逾期不予考虑。若报价供应商于《供应商信息登记表》上登记的联系方式（包括但不限于联系人、电话、邮箱）变更的，报价供应商应及时通知</w:t>
      </w:r>
      <w:r>
        <w:rPr>
          <w:rFonts w:hint="eastAsia"/>
          <w:sz w:val="24"/>
          <w:szCs w:val="24"/>
          <w:lang w:val="en-US" w:eastAsia="zh-CN"/>
        </w:rPr>
        <w:t>我司经办人</w:t>
      </w:r>
      <w:r>
        <w:rPr>
          <w:rFonts w:hint="eastAsia"/>
          <w:sz w:val="24"/>
          <w:szCs w:val="24"/>
        </w:rPr>
        <w:t>，否则由此引起的后果由报价人自行承担。</w:t>
      </w:r>
    </w:p>
    <w:p w14:paraId="5D12C7A6">
      <w:pPr>
        <w:pStyle w:val="17"/>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7"/>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lang w:val="en-US" w:eastAsia="zh-CN"/>
        </w:rPr>
        <w:t>经办人</w:t>
      </w:r>
      <w:r>
        <w:rPr>
          <w:rFonts w:ascii="Times New Roman" w:cs="Times New Roman"/>
        </w:rPr>
        <w:t>，</w:t>
      </w:r>
      <w:r>
        <w:rPr>
          <w:rFonts w:hint="eastAsia" w:ascii="Times New Roman" w:cs="Times New Roman"/>
          <w:lang w:val="en-US" w:eastAsia="zh-CN"/>
        </w:rPr>
        <w:t>经办人</w:t>
      </w:r>
      <w:r>
        <w:rPr>
          <w:rFonts w:ascii="Times New Roman" w:cs="Times New Roman"/>
        </w:rPr>
        <w:t>统一将澄清文件发给本项目的报价人</w:t>
      </w:r>
      <w:r>
        <w:rPr>
          <w:rFonts w:hint="eastAsia" w:ascii="Times New Roman" w:cs="Times New Roman"/>
        </w:rPr>
        <w:t>。</w:t>
      </w:r>
    </w:p>
    <w:p w14:paraId="61C26017">
      <w:pPr>
        <w:pStyle w:val="17"/>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19</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w:t>
      </w:r>
      <w:r>
        <w:rPr>
          <w:rFonts w:hint="eastAsia" w:ascii="Times New Roman" w:hAnsi="Times New Roman" w:cs="Times New Roman"/>
          <w:lang w:val="en-US" w:eastAsia="zh-CN"/>
        </w:rPr>
        <w:t>0</w:t>
      </w:r>
      <w:r>
        <w:rPr>
          <w:rFonts w:hint="eastAsia" w:ascii="Times New Roman" w:hAnsi="Times New Roman" w:cs="Times New Roman"/>
        </w:rPr>
        <w:t>：</w:t>
      </w:r>
      <w:r>
        <w:rPr>
          <w:rFonts w:hint="eastAsia" w:ascii="Times New Roman" w:hAnsi="Times New Roman" w:cs="Times New Roman"/>
          <w:lang w:val="en-US" w:eastAsia="zh-CN"/>
        </w:rPr>
        <w:t>0</w:t>
      </w:r>
      <w:r>
        <w:rPr>
          <w:rFonts w:hint="eastAsia" w:ascii="Times New Roman" w:hAnsi="Times New Roman" w:cs="Times New Roman"/>
        </w:rPr>
        <w:t>0，报价文件送达的时间以</w:t>
      </w:r>
      <w:r>
        <w:rPr>
          <w:rFonts w:hint="eastAsia" w:ascii="Times New Roman" w:hAnsi="Times New Roman" w:cs="Times New Roman"/>
          <w:lang w:val="en-US" w:eastAsia="zh-CN"/>
        </w:rPr>
        <w:t>经办人</w:t>
      </w:r>
      <w:r>
        <w:rPr>
          <w:rFonts w:hint="eastAsia" w:ascii="Times New Roman" w:hAnsi="Times New Roman" w:cs="Times New Roman"/>
        </w:rPr>
        <w:t>收到时间为准</w:t>
      </w:r>
      <w:r>
        <w:rPr>
          <w:rFonts w:ascii="Times New Roman" w:cs="Times New Roman"/>
        </w:rPr>
        <w:t>。</w:t>
      </w:r>
    </w:p>
    <w:p w14:paraId="0B474301">
      <w:pPr>
        <w:pStyle w:val="17"/>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7"/>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7"/>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陆佰元整</w:t>
      </w:r>
      <w:r>
        <w:rPr>
          <w:rFonts w:hint="eastAsia" w:ascii="Times New Roman" w:cs="Times New Roman"/>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6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19</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hint="eastAsia" w:ascii="Times New Roman" w:cs="Times New Roman"/>
          <w:lang w:val="en-US" w:eastAsia="zh-CN"/>
        </w:rPr>
        <w:t>0</w:t>
      </w:r>
      <w:r>
        <w:rPr>
          <w:rFonts w:hint="eastAsia" w:ascii="Times New Roman" w:cs="Times New Roman"/>
        </w:rPr>
        <w:t>：</w:t>
      </w:r>
      <w:r>
        <w:rPr>
          <w:rFonts w:hint="eastAsia" w:ascii="Times New Roman" w:cs="Times New Roman"/>
          <w:lang w:val="en-US" w:eastAsia="zh-CN"/>
        </w:rPr>
        <w:t>0</w:t>
      </w:r>
      <w:r>
        <w:rPr>
          <w:rFonts w:hint="eastAsia" w:ascii="Times New Roman" w:cs="Times New Roman"/>
        </w:rPr>
        <w:t>0前到达我司账户(电汇单上必须注明项目名称和</w:t>
      </w:r>
      <w:r>
        <w:rPr>
          <w:rFonts w:hint="eastAsia" w:ascii="Times New Roman" w:cs="Times New Roman"/>
          <w:lang w:val="en-US" w:eastAsia="zh-CN"/>
        </w:rPr>
        <w:t>经办人</w:t>
      </w:r>
      <w:r>
        <w:rPr>
          <w:rFonts w:hint="eastAsia" w:ascii="Times New Roman" w:cs="Times New Roman"/>
        </w:rPr>
        <w:t>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7"/>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7"/>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7"/>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7"/>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w:t>
      </w:r>
      <w:r>
        <w:rPr>
          <w:rFonts w:hint="eastAsia" w:ascii="Times New Roman"/>
          <w:lang w:val="en-US" w:eastAsia="zh-CN"/>
        </w:rPr>
        <w:t>处置</w:t>
      </w:r>
      <w:r>
        <w:rPr>
          <w:rFonts w:hint="eastAsia" w:ascii="Times New Roman"/>
        </w:rPr>
        <w:t>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w:t>
      </w:r>
      <w:r>
        <w:rPr>
          <w:rFonts w:hint="eastAsia" w:ascii="Times New Roman"/>
          <w:lang w:val="en-US" w:eastAsia="zh-CN"/>
        </w:rPr>
        <w:t>处置</w:t>
      </w:r>
      <w:r>
        <w:rPr>
          <w:rFonts w:hint="eastAsia" w:ascii="Times New Roman"/>
        </w:rPr>
        <w:t>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int="eastAsia"/>
          <w:kern w:val="0"/>
          <w:sz w:val="24"/>
          <w:szCs w:val="24"/>
          <w:lang w:val="en-US" w:eastAsia="zh-CN"/>
        </w:rPr>
        <w:t>经办人</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3CFC959">
      <w:pPr>
        <w:widowControl/>
        <w:spacing w:line="360" w:lineRule="auto"/>
        <w:ind w:left="231" w:leftChars="110"/>
        <w:jc w:val="left"/>
        <w:rPr>
          <w:rFonts w:hint="default" w:eastAsia="宋体"/>
          <w:kern w:val="0"/>
          <w:sz w:val="24"/>
          <w:szCs w:val="24"/>
          <w:lang w:val="en-US" w:eastAsia="zh-CN"/>
        </w:rPr>
      </w:pPr>
      <w:r>
        <w:rPr>
          <w:rFonts w:hint="eastAsia"/>
          <w:kern w:val="0"/>
          <w:sz w:val="24"/>
          <w:szCs w:val="24"/>
          <w:highlight w:val="none"/>
          <w:lang w:val="en-US" w:eastAsia="zh-CN"/>
        </w:rPr>
        <w:t>姓名</w:t>
      </w:r>
      <w:r>
        <w:rPr>
          <w:kern w:val="0"/>
          <w:sz w:val="24"/>
          <w:szCs w:val="24"/>
          <w:highlight w:val="none"/>
        </w:rPr>
        <w:t>：</w:t>
      </w:r>
      <w:r>
        <w:rPr>
          <w:rFonts w:hint="eastAsia"/>
          <w:kern w:val="0"/>
          <w:sz w:val="24"/>
          <w:szCs w:val="24"/>
          <w:highlight w:val="none"/>
          <w:lang w:val="en-US" w:eastAsia="zh-CN"/>
        </w:rPr>
        <w:t>张晓雨</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7"/>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7"/>
        <w:spacing w:before="0" w:beforeAutospacing="0" w:after="0" w:afterAutospacing="0" w:line="360" w:lineRule="auto"/>
        <w:ind w:left="149" w:firstLine="82" w:firstLineChars="0"/>
        <w:rPr>
          <w:u w:val="single"/>
        </w:rPr>
      </w:pPr>
    </w:p>
    <w:p w14:paraId="007CD720">
      <w:pPr>
        <w:pStyle w:val="17"/>
        <w:spacing w:before="0" w:beforeAutospacing="0" w:after="0" w:afterAutospacing="0" w:line="360" w:lineRule="auto"/>
        <w:ind w:left="149" w:firstLine="82" w:firstLineChars="0"/>
      </w:pPr>
      <w:r>
        <w:rPr>
          <w:rFonts w:hint="eastAsia"/>
        </w:rPr>
        <w:t>附件：《供应商信息登记表》</w:t>
      </w:r>
    </w:p>
    <w:p w14:paraId="5B1AEA1B">
      <w:pPr>
        <w:pStyle w:val="17"/>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yellow"/>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6</w:t>
      </w:r>
      <w:r>
        <w:rPr>
          <w:rFonts w:hint="eastAsia"/>
          <w:kern w:val="0"/>
          <w:sz w:val="24"/>
          <w:szCs w:val="24"/>
          <w:highlight w:val="none"/>
        </w:rPr>
        <w:t>月</w:t>
      </w:r>
      <w:r>
        <w:rPr>
          <w:rFonts w:hint="eastAsia"/>
          <w:kern w:val="0"/>
          <w:sz w:val="24"/>
          <w:szCs w:val="24"/>
          <w:highlight w:val="none"/>
          <w:lang w:val="en-US" w:eastAsia="zh-CN"/>
        </w:rPr>
        <w:t>6</w:t>
      </w:r>
      <w:r>
        <w:rPr>
          <w:rFonts w:hint="eastAsia"/>
          <w:kern w:val="0"/>
          <w:sz w:val="24"/>
          <w:szCs w:val="24"/>
          <w:highlight w:val="none"/>
        </w:rPr>
        <w:t>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5"/>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2025年滁州轨道运营危险废弃物处置（废机油、废铅酸蓄电池、废墨盒）项目（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8"/>
        <w:spacing w:before="0" w:after="100" w:afterAutospacing="1" w:line="360" w:lineRule="auto"/>
      </w:pPr>
      <w:r>
        <w:br w:type="page"/>
      </w:r>
      <w:r>
        <w:rPr>
          <w:rFonts w:hint="eastAsia"/>
        </w:rPr>
        <w:t>第二章 公开询价须知</w:t>
      </w:r>
    </w:p>
    <w:p w14:paraId="69F53B17">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含包装、运输、税金、装卸及相关服务等发生的所有费用。</w:t>
      </w:r>
    </w:p>
    <w:p w14:paraId="4FBB6BB2">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w:t>
      </w:r>
      <w:r>
        <w:rPr>
          <w:rFonts w:hint="eastAsia" w:ascii="Times New Roman" w:hAnsi="Times New Roman" w:cs="Times New Roman"/>
        </w:rPr>
        <w:t>危险废弃物</w:t>
      </w:r>
      <w:r>
        <w:rPr>
          <w:rFonts w:hint="eastAsia" w:ascii="Times New Roman" w:hAnsi="Times New Roman" w:cs="Times New Roman"/>
          <w:lang w:val="en-US" w:eastAsia="zh-CN"/>
        </w:rPr>
        <w:t>处置</w:t>
      </w:r>
      <w:r>
        <w:rPr>
          <w:rFonts w:ascii="Times New Roman" w:hAnsi="Times New Roman" w:cs="Times New Roman"/>
        </w:rPr>
        <w:t>行情波动较大，请另行注明有效期。</w:t>
      </w:r>
    </w:p>
    <w:p w14:paraId="39FF26C9">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w:t>
      </w:r>
      <w:r>
        <w:rPr>
          <w:rFonts w:hint="eastAsia" w:ascii="Times New Roman" w:cs="Times New Roman"/>
          <w:lang w:val="en-US" w:eastAsia="zh-CN"/>
        </w:rPr>
        <w:t>服务</w:t>
      </w:r>
      <w:r>
        <w:rPr>
          <w:rFonts w:hint="eastAsia" w:ascii="Times New Roman" w:cs="Times New Roman"/>
        </w:rPr>
        <w:t>质量或者不能诚信履约的，将要求报价人在规定时间内提供书面说明，必要时提交相关证明材料；报价人不能证明其报价合理性的，评审小组可将其作为无效报价处理。</w:t>
      </w:r>
    </w:p>
    <w:p w14:paraId="0EA8E76F">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乙方完成危险废弃物处置，并向甲方提供合法有效的发票及相关证明文件后，于90个工作日内结清。</w:t>
      </w:r>
    </w:p>
    <w:p w14:paraId="1D9A87C3">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7"/>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7"/>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0262868">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rPr>
      </w:pPr>
      <w:r>
        <w:rPr>
          <w:rFonts w:hint="eastAsia" w:ascii="Times New Roman" w:hAnsi="Times New Roman" w:cs="Times New Roman"/>
        </w:rPr>
        <w:t>合格供应商评审表（</w:t>
      </w:r>
      <w:r>
        <w:rPr>
          <w:rFonts w:hint="eastAsia" w:ascii="Times New Roman" w:hAnsi="Times New Roman" w:cs="Times New Roman"/>
          <w:b/>
          <w:bCs/>
        </w:rPr>
        <w:t>非滁宁城铁合格供应商必须提供，原件加盖法人公章，见格式3</w:t>
      </w:r>
      <w:r>
        <w:rPr>
          <w:rFonts w:hint="eastAsia" w:ascii="Times New Roman" w:hAnsi="Times New Roman" w:cs="Times New Roman"/>
          <w:b w:val="0"/>
          <w:bCs w:val="0"/>
        </w:rPr>
        <w:t>）</w:t>
      </w:r>
    </w:p>
    <w:p w14:paraId="40B8D53C">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80E1AFC">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highlight w:val="none"/>
        </w:rPr>
        <w:t>危险废物经营许可</w:t>
      </w:r>
      <w:r>
        <w:rPr>
          <w:rFonts w:hint="eastAsia"/>
          <w:color w:val="000000"/>
          <w:sz w:val="24"/>
          <w:highlight w:val="none"/>
          <w:lang w:val="en-US" w:eastAsia="zh-CN"/>
        </w:rPr>
        <w:t>证</w:t>
      </w:r>
      <w:r>
        <w:rPr>
          <w:rFonts w:hint="eastAsia"/>
          <w:color w:val="000000"/>
          <w:sz w:val="24"/>
          <w:highlight w:val="none"/>
        </w:rPr>
        <w:t>（</w:t>
      </w:r>
      <w:r>
        <w:rPr>
          <w:rFonts w:hint="eastAsia" w:ascii="Times New Roman" w:hAnsi="Times New Roman" w:cs="Times New Roman"/>
          <w:b/>
          <w:bCs/>
          <w:color w:val="auto"/>
          <w:highlight w:val="none"/>
        </w:rPr>
        <w:t>复印件加盖法人公章</w:t>
      </w:r>
      <w:r>
        <w:rPr>
          <w:rFonts w:hint="eastAsia"/>
          <w:color w:val="000000"/>
          <w:sz w:val="24"/>
          <w:highlight w:val="none"/>
        </w:rPr>
        <w:t>）</w:t>
      </w:r>
    </w:p>
    <w:p w14:paraId="5B2ABEF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w:t>
      </w:r>
      <w:r>
        <w:rPr>
          <w:rFonts w:hint="eastAsia" w:ascii="Times New Roman" w:hAnsi="Times New Roman" w:cs="Times New Roman"/>
          <w:b/>
          <w:bCs/>
          <w:color w:val="auto"/>
          <w:highlight w:val="none"/>
          <w:lang w:val="en-US" w:eastAsia="zh-CN"/>
        </w:rPr>
        <w:t>甲乙</w:t>
      </w:r>
      <w:r>
        <w:rPr>
          <w:rFonts w:hint="eastAsia" w:ascii="Times New Roman" w:hAnsi="Times New Roman" w:cs="Times New Roman"/>
          <w:b/>
          <w:bCs/>
          <w:color w:val="auto"/>
          <w:highlight w:val="none"/>
        </w:rPr>
        <w:t>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7"/>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7"/>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7"/>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7"/>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7"/>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w:t>
      </w:r>
      <w:r>
        <w:rPr>
          <w:rFonts w:hint="eastAsia" w:ascii="Times New Roman"/>
          <w:lang w:val="en-US" w:eastAsia="zh-CN"/>
        </w:rPr>
        <w:t>处置</w:t>
      </w:r>
      <w:r>
        <w:rPr>
          <w:rFonts w:hint="eastAsia" w:ascii="Times New Roman"/>
        </w:rPr>
        <w:t>期、报价有效期、技术标准和要求等实质性内容符合询价文件的要求，而没有重大偏离或保留。如报价人没有实质性响应询价文件的要求，评审小组将否决其报价。</w:t>
      </w:r>
    </w:p>
    <w:p w14:paraId="29E8CD15">
      <w:pPr>
        <w:pStyle w:val="17"/>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w:t>
      </w:r>
      <w:r>
        <w:rPr>
          <w:rFonts w:hint="eastAsia" w:ascii="Times New Roman"/>
          <w:lang w:val="en-US" w:eastAsia="zh-CN"/>
        </w:rPr>
        <w:t>经办</w:t>
      </w:r>
      <w:r>
        <w:rPr>
          <w:rFonts w:hint="eastAsia" w:ascii="Times New Roman"/>
        </w:rPr>
        <w:t>人可根据现场实际需要，有权取消部分</w:t>
      </w:r>
      <w:r>
        <w:rPr>
          <w:rFonts w:hint="eastAsia" w:ascii="Times New Roman"/>
          <w:lang w:val="en-US" w:eastAsia="zh-CN"/>
        </w:rPr>
        <w:t>处置</w:t>
      </w:r>
      <w:r>
        <w:rPr>
          <w:rFonts w:hint="eastAsia" w:ascii="Times New Roman"/>
        </w:rPr>
        <w:t>条目或增减</w:t>
      </w:r>
      <w:r>
        <w:rPr>
          <w:rFonts w:hint="eastAsia" w:ascii="Times New Roman"/>
          <w:lang w:val="en-US" w:eastAsia="zh-CN"/>
        </w:rPr>
        <w:t>处置</w:t>
      </w:r>
      <w:r>
        <w:rPr>
          <w:rFonts w:hint="eastAsia" w:ascii="Times New Roman"/>
        </w:rPr>
        <w:t>数量，并对所有报价人的报价（单价不变）进行修正。</w:t>
      </w:r>
    </w:p>
    <w:p w14:paraId="5DE99CC3">
      <w:pPr>
        <w:pStyle w:val="17"/>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7"/>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7"/>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7"/>
        <w:spacing w:before="0" w:beforeAutospacing="0" w:after="0" w:afterAutospacing="0" w:line="360" w:lineRule="auto"/>
        <w:ind w:left="0" w:firstLine="480" w:firstLineChars="200"/>
        <w:rPr>
          <w:rFonts w:ascii="Times New Roman"/>
        </w:rPr>
      </w:pPr>
      <w:r>
        <w:rPr>
          <w:rFonts w:hint="eastAsia" w:ascii="Times New Roman"/>
          <w:lang w:val="en-US" w:eastAsia="zh-CN"/>
        </w:rPr>
        <w:t>我司</w:t>
      </w:r>
      <w:r>
        <w:rPr>
          <w:rFonts w:hint="eastAsia" w:ascii="Times New Roman"/>
        </w:rPr>
        <w:t>将以书面形式向成交供应商发出成交通知书，接到成交通知书后，成交供应商应在二十四（24）小时内向</w:t>
      </w:r>
      <w:r>
        <w:rPr>
          <w:rFonts w:hint="eastAsia" w:ascii="Times New Roman"/>
          <w:lang w:val="en-US" w:eastAsia="zh-CN"/>
        </w:rPr>
        <w:t>我司</w:t>
      </w:r>
      <w:r>
        <w:rPr>
          <w:rFonts w:hint="eastAsia" w:ascii="Times New Roman"/>
        </w:rPr>
        <w:t>发出接受成交的函件。</w:t>
      </w:r>
    </w:p>
    <w:p w14:paraId="5D78C1EB">
      <w:pPr>
        <w:pStyle w:val="17"/>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7"/>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7"/>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w:t>
      </w:r>
      <w:r>
        <w:rPr>
          <w:rFonts w:hint="eastAsia" w:ascii="Times New Roman" w:hAnsi="Times New Roman" w:cs="Times New Roman"/>
          <w:lang w:val="en-US" w:eastAsia="zh-CN"/>
        </w:rPr>
        <w:t>我司</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w:t>
      </w:r>
      <w:r>
        <w:rPr>
          <w:rFonts w:hint="eastAsia" w:ascii="Times New Roman" w:hAnsi="Times New Roman" w:cs="Times New Roman"/>
          <w:lang w:val="en-US" w:eastAsia="zh-CN"/>
        </w:rPr>
        <w:t>我司</w:t>
      </w:r>
      <w:r>
        <w:rPr>
          <w:rFonts w:hint="eastAsia" w:ascii="Times New Roman" w:hAnsi="Times New Roman" w:cs="Times New Roman"/>
        </w:rPr>
        <w:t>可根据需要有权对部分内容作局部调整或变更，但需经双方共同认定。</w:t>
      </w:r>
    </w:p>
    <w:p w14:paraId="1C7B5528">
      <w:pPr>
        <w:pStyle w:val="17"/>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w:t>
      </w:r>
      <w:r>
        <w:rPr>
          <w:rFonts w:hint="eastAsia" w:ascii="Times New Roman" w:hAnsi="Times New Roman" w:cs="Times New Roman"/>
          <w:lang w:val="en-US" w:eastAsia="zh-CN"/>
        </w:rPr>
        <w:t>经办人</w:t>
      </w:r>
      <w:r>
        <w:rPr>
          <w:rFonts w:hint="eastAsia" w:ascii="Times New Roman" w:hAnsi="Times New Roman" w:cs="Times New Roman"/>
        </w:rPr>
        <w:t>在成交候选人中重新确定成交供应商。</w:t>
      </w:r>
    </w:p>
    <w:p w14:paraId="2E488CC0">
      <w:pPr>
        <w:pStyle w:val="17"/>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w:t>
      </w:r>
      <w:r>
        <w:rPr>
          <w:rFonts w:hint="eastAsia" w:ascii="Times New Roman" w:hAnsi="Times New Roman" w:cs="Times New Roman"/>
          <w:b/>
          <w:bCs/>
          <w:lang w:val="en-US" w:eastAsia="zh-CN"/>
        </w:rPr>
        <w:t>三</w:t>
      </w:r>
      <w:r>
        <w:rPr>
          <w:rFonts w:hint="eastAsia" w:ascii="Times New Roman" w:hAnsi="Times New Roman" w:cs="Times New Roman"/>
          <w:b/>
          <w:bCs/>
        </w:rPr>
        <w:t>年期</w:t>
      </w:r>
      <w:r>
        <w:rPr>
          <w:rFonts w:hint="eastAsia" w:ascii="Times New Roman" w:hAnsi="Times New Roman" w:cs="Times New Roman"/>
        </w:rPr>
        <w:t>框架协议。</w:t>
      </w:r>
    </w:p>
    <w:p w14:paraId="5875226C">
      <w:pPr>
        <w:pStyle w:val="17"/>
        <w:spacing w:before="0" w:beforeAutospacing="0" w:after="0" w:afterAutospacing="0" w:line="360" w:lineRule="auto"/>
        <w:ind w:left="420" w:hanging="420" w:hangingChars="175"/>
        <w:rPr>
          <w:rFonts w:hint="eastAsia" w:ascii="Times New Roman" w:hAnsi="Times New Roman" w:cs="Times New Roman"/>
        </w:rPr>
      </w:pPr>
    </w:p>
    <w:p w14:paraId="6237B596">
      <w:pPr>
        <w:pStyle w:val="18"/>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lang w:val="en-US" w:eastAsia="zh-CN"/>
        </w:rPr>
        <w:t>处置</w:t>
      </w:r>
      <w:r>
        <w:rPr>
          <w:rFonts w:hint="eastAsia"/>
          <w:kern w:val="0"/>
          <w:sz w:val="24"/>
          <w:szCs w:val="24"/>
          <w:highlight w:val="none"/>
        </w:rPr>
        <w:t>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ascii="宋体" w:hAnsi="宋体" w:cs="宋体"/>
          <w:sz w:val="24"/>
          <w:lang w:val="en-US" w:eastAsia="zh-CN"/>
        </w:rPr>
        <w:t>滁州轨道运营危险废弃物（废机油、废铅酸蓄电池、废墨盒）的处置</w:t>
      </w:r>
      <w:r>
        <w:rPr>
          <w:rFonts w:hint="eastAsia" w:ascii="宋体" w:hAnsi="宋体"/>
          <w:sz w:val="24"/>
        </w:rPr>
        <w:t>。</w:t>
      </w:r>
    </w:p>
    <w:p w14:paraId="6A627E86">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lang w:val="en-US" w:eastAsia="zh-CN"/>
        </w:rPr>
        <w:t>处置</w:t>
      </w:r>
      <w:r>
        <w:rPr>
          <w:rFonts w:ascii="Times New Roman" w:hAnsi="Times New Roman" w:cs="Times New Roman"/>
          <w:color w:val="auto"/>
          <w:highlight w:val="none"/>
        </w:rPr>
        <w:t>清单</w:t>
      </w:r>
    </w:p>
    <w:tbl>
      <w:tblPr>
        <w:tblStyle w:val="20"/>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129"/>
        <w:gridCol w:w="2978"/>
        <w:gridCol w:w="1386"/>
        <w:gridCol w:w="1940"/>
      </w:tblGrid>
      <w:tr w14:paraId="32F0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138289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3129" w:type="dxa"/>
            <w:vAlign w:val="center"/>
          </w:tcPr>
          <w:p w14:paraId="5806C0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物资名称</w:t>
            </w:r>
          </w:p>
        </w:tc>
        <w:tc>
          <w:tcPr>
            <w:tcW w:w="2978" w:type="dxa"/>
            <w:vAlign w:val="center"/>
          </w:tcPr>
          <w:p w14:paraId="4AAA6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危废代码</w:t>
            </w:r>
          </w:p>
        </w:tc>
        <w:tc>
          <w:tcPr>
            <w:tcW w:w="1386" w:type="dxa"/>
            <w:vAlign w:val="center"/>
          </w:tcPr>
          <w:p w14:paraId="10266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单位</w:t>
            </w:r>
          </w:p>
        </w:tc>
        <w:tc>
          <w:tcPr>
            <w:tcW w:w="1940" w:type="dxa"/>
            <w:vAlign w:val="center"/>
          </w:tcPr>
          <w:p w14:paraId="3AB18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三年预估数量</w:t>
            </w:r>
          </w:p>
        </w:tc>
      </w:tr>
      <w:tr w14:paraId="39B4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3098C2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129" w:type="dxa"/>
            <w:vAlign w:val="center"/>
          </w:tcPr>
          <w:p w14:paraId="58AF7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废机油</w:t>
            </w:r>
          </w:p>
        </w:tc>
        <w:tc>
          <w:tcPr>
            <w:tcW w:w="2978" w:type="dxa"/>
            <w:vAlign w:val="center"/>
          </w:tcPr>
          <w:p w14:paraId="48FD45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900-249-08</w:t>
            </w:r>
          </w:p>
        </w:tc>
        <w:tc>
          <w:tcPr>
            <w:tcW w:w="1386" w:type="dxa"/>
            <w:vAlign w:val="center"/>
          </w:tcPr>
          <w:p w14:paraId="6854C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1C4F11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2.76</w:t>
            </w:r>
          </w:p>
        </w:tc>
      </w:tr>
      <w:tr w14:paraId="061E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724ED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3129" w:type="dxa"/>
            <w:vAlign w:val="center"/>
          </w:tcPr>
          <w:p w14:paraId="4027A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废铅酸蓄电池</w:t>
            </w:r>
          </w:p>
        </w:tc>
        <w:tc>
          <w:tcPr>
            <w:tcW w:w="2978" w:type="dxa"/>
            <w:vAlign w:val="center"/>
          </w:tcPr>
          <w:p w14:paraId="4F1B0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900-052-31</w:t>
            </w:r>
          </w:p>
        </w:tc>
        <w:tc>
          <w:tcPr>
            <w:tcW w:w="1386" w:type="dxa"/>
            <w:vAlign w:val="center"/>
          </w:tcPr>
          <w:p w14:paraId="04CF3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12AC0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1.11</w:t>
            </w:r>
          </w:p>
        </w:tc>
      </w:tr>
      <w:tr w14:paraId="689C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57EF4E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3129" w:type="dxa"/>
            <w:vAlign w:val="center"/>
          </w:tcPr>
          <w:p w14:paraId="56B7C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废墨盒</w:t>
            </w:r>
          </w:p>
        </w:tc>
        <w:tc>
          <w:tcPr>
            <w:tcW w:w="2978" w:type="dxa"/>
            <w:vAlign w:val="center"/>
          </w:tcPr>
          <w:p w14:paraId="01D895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900-041-49</w:t>
            </w:r>
          </w:p>
        </w:tc>
        <w:tc>
          <w:tcPr>
            <w:tcW w:w="1386" w:type="dxa"/>
            <w:vAlign w:val="center"/>
          </w:tcPr>
          <w:p w14:paraId="43B91F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吨</w:t>
            </w:r>
          </w:p>
        </w:tc>
        <w:tc>
          <w:tcPr>
            <w:tcW w:w="1940" w:type="dxa"/>
            <w:vAlign w:val="center"/>
          </w:tcPr>
          <w:p w14:paraId="78510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0.42</w:t>
            </w:r>
          </w:p>
        </w:tc>
      </w:tr>
      <w:tr w14:paraId="2DED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38" w:type="dxa"/>
            <w:gridSpan w:val="5"/>
            <w:vAlign w:val="center"/>
          </w:tcPr>
          <w:p w14:paraId="5D361313">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备注：</w:t>
            </w:r>
          </w:p>
          <w:p w14:paraId="177623C2">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（1）此为三年期框架协议，未税单价3年保持不变，实际</w:t>
            </w:r>
            <w:r>
              <w:rPr>
                <w:rFonts w:hint="eastAsia" w:ascii="宋体" w:hAnsi="宋体" w:cs="宋体"/>
                <w:kern w:val="0"/>
                <w:sz w:val="21"/>
                <w:szCs w:val="21"/>
                <w:lang w:val="en-US" w:eastAsia="zh-CN" w:bidi="ar-SA"/>
              </w:rPr>
              <w:t>处置</w:t>
            </w:r>
            <w:r>
              <w:rPr>
                <w:rFonts w:hint="eastAsia" w:ascii="宋体" w:hAnsi="宋体" w:eastAsia="宋体" w:cs="宋体"/>
                <w:kern w:val="0"/>
                <w:sz w:val="21"/>
                <w:szCs w:val="21"/>
                <w:lang w:val="en-US" w:eastAsia="zh-CN" w:bidi="ar-SA"/>
              </w:rPr>
              <w:t>数量根据我方生产需要调整；</w:t>
            </w:r>
          </w:p>
          <w:p w14:paraId="7697D4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kern w:val="0"/>
                <w:sz w:val="21"/>
                <w:szCs w:val="21"/>
                <w:lang w:val="en-US" w:eastAsia="zh-CN" w:bidi="ar-SA"/>
              </w:rPr>
              <w:t>（2）报价时综合考虑运费，送货地点详见第</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条。</w:t>
            </w:r>
          </w:p>
        </w:tc>
      </w:tr>
    </w:tbl>
    <w:p w14:paraId="21E2812A">
      <w:pPr>
        <w:pStyle w:val="17"/>
        <w:spacing w:before="0" w:beforeAutospacing="0" w:after="0" w:afterAutospacing="0" w:line="360" w:lineRule="auto"/>
        <w:ind w:left="420" w:hanging="420" w:hangingChars="175"/>
        <w:rPr>
          <w:rFonts w:ascii="Times New Roman" w:hAnsi="Times New Roman" w:cs="Times New Roman"/>
          <w:color w:val="auto"/>
          <w:highlight w:val="none"/>
        </w:rPr>
      </w:pPr>
    </w:p>
    <w:p w14:paraId="2D0A55DA">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 交货要求</w:t>
      </w:r>
    </w:p>
    <w:p w14:paraId="0D2E3851">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3.1 交货时间：甲方向乙方发送《处置通知单》，乙方在接到甲方处置通知之时起3个日历天内，按照通知要求完成处置。</w:t>
      </w:r>
    </w:p>
    <w:p w14:paraId="4E2B4DB9">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3.2 </w:t>
      </w:r>
      <w:r>
        <w:rPr>
          <w:rFonts w:hint="eastAsia" w:ascii="Times New Roman" w:hAnsi="Times New Roman" w:cs="Times New Roman"/>
        </w:rPr>
        <w:t>交货数量：以甲方实际生产产量为准。</w:t>
      </w:r>
    </w:p>
    <w:p w14:paraId="4DB2FC74">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 xml:space="preserve">3.3 </w:t>
      </w:r>
      <w:r>
        <w:rPr>
          <w:rFonts w:hint="eastAsia" w:ascii="Times New Roman" w:hAnsi="Times New Roman" w:cs="Times New Roman"/>
        </w:rPr>
        <w:t>交货频次：以甲方实际生产需求为准。</w:t>
      </w:r>
    </w:p>
    <w:p w14:paraId="309F482A">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r>
        <w:rPr>
          <w:rFonts w:hint="eastAsia" w:ascii="Times New Roman" w:hAnsi="Times New Roman" w:cs="Times New Roman"/>
          <w:lang w:val="en-US" w:eastAsia="zh-CN"/>
        </w:rPr>
        <w:t>3.4 交货地点：滁宁城际铁路（滁州段）全线各车站、车辆段以及控制中心。</w:t>
      </w:r>
    </w:p>
    <w:p w14:paraId="074894B3">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3.5 </w:t>
      </w:r>
      <w:r>
        <w:rPr>
          <w:rFonts w:hint="eastAsia" w:ascii="Times New Roman" w:hAnsi="Times New Roman" w:cs="Times New Roman"/>
        </w:rPr>
        <w:t>本次报废处置采用过磅计重（部分同规格物品，可采取单个计重法，综合考虑损耗比例）。</w:t>
      </w:r>
    </w:p>
    <w:p w14:paraId="25C63777">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3.6 </w:t>
      </w:r>
      <w:r>
        <w:rPr>
          <w:rFonts w:hint="eastAsia" w:ascii="Times New Roman" w:hAnsi="Times New Roman" w:cs="Times New Roman"/>
        </w:rPr>
        <w:t>乙方负责拆解过程中会用到的人力、机械、设备等，并承担发生的费用。</w:t>
      </w:r>
    </w:p>
    <w:p w14:paraId="7260C94B">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3.7 </w:t>
      </w:r>
      <w:r>
        <w:rPr>
          <w:rFonts w:hint="eastAsia" w:ascii="Times New Roman" w:hAnsi="Times New Roman" w:cs="Times New Roman"/>
        </w:rPr>
        <w:t>乙方负责货物的包装（交易过程中所需各类包装物及打包服务）、装卸、运输及可能发生的第三方过磅，承担其发生的一切费用并对全过程中的人员、车辆、施工等所有安全事项负全责，并负责清理现场（因提货发生的清洁卫生）。</w:t>
      </w:r>
    </w:p>
    <w:p w14:paraId="7886926C">
      <w:pPr>
        <w:pStyle w:val="17"/>
        <w:spacing w:before="0" w:beforeAutospacing="0" w:after="0" w:afterAutospacing="0" w:line="360" w:lineRule="auto"/>
        <w:ind w:left="420" w:hanging="420" w:hangingChars="175"/>
        <w:rPr>
          <w:rFonts w:hint="eastAsia" w:ascii="Times New Roman" w:hAnsi="Times New Roman" w:cs="Times New Roman"/>
        </w:rPr>
      </w:pPr>
      <w:r>
        <w:rPr>
          <w:rFonts w:hint="eastAsia" w:ascii="Times New Roman" w:hAnsi="Times New Roman" w:cs="Times New Roman"/>
          <w:lang w:val="en-US" w:eastAsia="zh-CN"/>
        </w:rPr>
        <w:t xml:space="preserve">3.8 </w:t>
      </w:r>
      <w:r>
        <w:rPr>
          <w:rFonts w:hint="eastAsia" w:ascii="Times New Roman" w:hAnsi="Times New Roman" w:cs="Times New Roman"/>
        </w:rPr>
        <w:t>乙方在货物接收过程中有动火等操作需求，须提前申请并按照甲方公司安全规定进行操作。</w:t>
      </w:r>
    </w:p>
    <w:p w14:paraId="69DB5711">
      <w:pPr>
        <w:pStyle w:val="17"/>
        <w:spacing w:before="0" w:beforeAutospacing="0" w:after="0" w:afterAutospacing="0" w:line="360" w:lineRule="auto"/>
        <w:ind w:left="420" w:hanging="420" w:hangingChars="175"/>
        <w:rPr>
          <w:rFonts w:hint="default" w:ascii="Times New Roman" w:hAnsi="Times New Roman" w:eastAsia="宋体" w:cs="Times New Roman"/>
          <w:lang w:val="en-US" w:eastAsia="zh-CN"/>
        </w:rPr>
      </w:pPr>
      <w:r>
        <w:rPr>
          <w:rFonts w:hint="eastAsia" w:ascii="Times New Roman" w:hAnsi="Times New Roman" w:cs="Times New Roman"/>
          <w:lang w:val="en-US" w:eastAsia="zh-CN"/>
        </w:rPr>
        <w:t xml:space="preserve">3.9 </w:t>
      </w:r>
      <w:r>
        <w:rPr>
          <w:rFonts w:hint="eastAsia" w:ascii="Times New Roman" w:hAnsi="Times New Roman" w:cs="Times New Roman"/>
        </w:rPr>
        <w:t>乙方明确知道甲方本次处置物品为报废物品，甲方不对有关物品在质量、使用性能等方面存在的瑕疵或缺陷问题承担任何责任。</w:t>
      </w:r>
    </w:p>
    <w:p w14:paraId="211024F2">
      <w:pPr>
        <w:pStyle w:val="17"/>
        <w:spacing w:before="0" w:beforeAutospacing="0" w:after="0" w:afterAutospacing="0" w:line="360" w:lineRule="auto"/>
        <w:ind w:left="420" w:hanging="420" w:hangingChars="175"/>
        <w:rPr>
          <w:rFonts w:hint="eastAsia" w:ascii="Times New Roman" w:hAnsi="Times New Roman" w:cs="Times New Roman"/>
          <w:lang w:val="en-US" w:eastAsia="zh-CN"/>
        </w:rPr>
      </w:pPr>
    </w:p>
    <w:p w14:paraId="24BE7F95">
      <w:pPr>
        <w:pStyle w:val="18"/>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7"/>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7"/>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12D1A9D5">
      <w:pPr>
        <w:pStyle w:val="17"/>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36A394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6CC18979">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合格供应商评审表</w:t>
      </w:r>
      <w:r>
        <w:rPr>
          <w:rFonts w:hint="eastAsia" w:ascii="Times New Roman" w:hAnsi="Times New Roman" w:cs="Times New Roman"/>
          <w:lang w:eastAsia="zh-CN"/>
        </w:rPr>
        <w:t>（</w:t>
      </w:r>
      <w:r>
        <w:rPr>
          <w:rFonts w:hint="eastAsia" w:ascii="Times New Roman" w:hAnsi="Times New Roman" w:cs="Times New Roman"/>
          <w:b/>
          <w:bCs/>
          <w:lang w:val="en-US" w:eastAsia="zh-CN"/>
        </w:rPr>
        <w:t>非滁宁城铁合格供应商必须提供，原件加盖法人公章，见格式3</w:t>
      </w:r>
      <w:r>
        <w:rPr>
          <w:rFonts w:hint="eastAsia" w:ascii="Times New Roman" w:hAnsi="Times New Roman" w:cs="Times New Roman"/>
          <w:lang w:eastAsia="zh-CN"/>
        </w:rPr>
        <w:t>）</w:t>
      </w:r>
    </w:p>
    <w:p w14:paraId="0826653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E36D33">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4</w:t>
      </w:r>
      <w:r>
        <w:rPr>
          <w:rFonts w:ascii="Times New Roman" w:hAnsi="Times New Roman" w:cs="Times New Roman"/>
        </w:rPr>
        <w:t>）</w:t>
      </w:r>
    </w:p>
    <w:p w14:paraId="73683EE6">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5</w:t>
      </w:r>
      <w:r>
        <w:rPr>
          <w:rFonts w:hint="eastAsia" w:ascii="Times New Roman" w:hAnsi="Times New Roman" w:cs="Times New Roman"/>
        </w:rPr>
        <w:t>）</w:t>
      </w:r>
    </w:p>
    <w:p w14:paraId="598E687D">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危险废物经营许可</w:t>
      </w:r>
      <w:r>
        <w:rPr>
          <w:rFonts w:hint="eastAsia" w:ascii="Times New Roman" w:hAnsi="Times New Roman" w:cs="Times New Roman"/>
          <w:lang w:val="en-US" w:eastAsia="zh-CN"/>
        </w:rPr>
        <w:t>证</w:t>
      </w:r>
      <w:r>
        <w:rPr>
          <w:rFonts w:ascii="Times New Roman" w:hAnsi="Times New Roman" w:cs="Times New Roman"/>
        </w:rPr>
        <w:t>（</w:t>
      </w:r>
      <w:r>
        <w:rPr>
          <w:rFonts w:ascii="Times New Roman" w:hAnsi="Times New Roman" w:cs="Times New Roman"/>
          <w:b/>
          <w:bCs/>
        </w:rPr>
        <w:t>复印件加盖法人公章</w:t>
      </w:r>
      <w:r>
        <w:rPr>
          <w:rFonts w:ascii="Times New Roman" w:hAnsi="Times New Roman" w:cs="Times New Roman"/>
        </w:rPr>
        <w:t>）</w:t>
      </w:r>
    </w:p>
    <w:p w14:paraId="11ECE63B">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EC2225">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hint="eastAsia" w:ascii="Times New Roman" w:hAnsi="Times New Roman" w:cs="Times New Roman"/>
          <w:b/>
          <w:bCs/>
        </w:rPr>
        <w:t>至少提供3个合</w:t>
      </w:r>
      <w:r>
        <w:rPr>
          <w:rFonts w:hint="eastAsia" w:ascii="Times New Roman" w:hAnsi="Times New Roman" w:cs="Times New Roman"/>
          <w:b/>
          <w:bCs/>
          <w:lang w:val="en-US" w:eastAsia="zh-CN"/>
        </w:rPr>
        <w:t>同</w:t>
      </w:r>
      <w:r>
        <w:rPr>
          <w:rFonts w:hint="eastAsia" w:ascii="Times New Roman" w:hAnsi="Times New Roman" w:cs="Times New Roman"/>
          <w:b/>
          <w:bCs/>
        </w:rPr>
        <w:t>业绩</w:t>
      </w:r>
      <w:r>
        <w:rPr>
          <w:rFonts w:ascii="Times New Roman" w:hAnsi="Times New Roman" w:cs="Times New Roman"/>
          <w:b/>
          <w:bCs/>
        </w:rPr>
        <w:t>复印件</w:t>
      </w:r>
      <w:r>
        <w:rPr>
          <w:rFonts w:hint="eastAsia" w:ascii="Times New Roman" w:hAnsi="Times New Roman" w:cs="Times New Roman"/>
          <w:b/>
          <w:bCs/>
        </w:rPr>
        <w:t>，须有</w:t>
      </w:r>
      <w:r>
        <w:rPr>
          <w:rFonts w:hint="eastAsia" w:ascii="Times New Roman" w:hAnsi="Times New Roman" w:cs="Times New Roman"/>
          <w:b/>
          <w:bCs/>
          <w:lang w:val="en-US" w:eastAsia="zh-CN"/>
        </w:rPr>
        <w:t>甲乙</w:t>
      </w:r>
      <w:r>
        <w:rPr>
          <w:rFonts w:hint="eastAsia" w:ascii="Times New Roman" w:hAnsi="Times New Roman" w:cs="Times New Roman"/>
          <w:b/>
          <w:bCs/>
        </w:rPr>
        <w:t>双方的公章或者合同章，复印件加盖法人公章</w:t>
      </w:r>
      <w:r>
        <w:rPr>
          <w:rFonts w:ascii="Times New Roman" w:hAnsi="Times New Roman" w:cs="Times New Roman"/>
        </w:rPr>
        <w:t>）</w:t>
      </w:r>
    </w:p>
    <w:p w14:paraId="29C31AC1">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3092206A">
      <w:pPr>
        <w:widowControl/>
        <w:jc w:val="left"/>
        <w:rPr>
          <w:szCs w:val="21"/>
        </w:rPr>
      </w:pPr>
    </w:p>
    <w:p w14:paraId="5C04771D">
      <w:pPr>
        <w:pStyle w:val="2"/>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9"/>
        <w:tblW w:w="14900" w:type="dxa"/>
        <w:tblInd w:w="96" w:type="dxa"/>
        <w:tblLayout w:type="fixed"/>
        <w:tblCellMar>
          <w:top w:w="0" w:type="dxa"/>
          <w:left w:w="108" w:type="dxa"/>
          <w:bottom w:w="0" w:type="dxa"/>
          <w:right w:w="108" w:type="dxa"/>
        </w:tblCellMar>
      </w:tblPr>
      <w:tblGrid>
        <w:gridCol w:w="656"/>
        <w:gridCol w:w="3316"/>
        <w:gridCol w:w="2923"/>
        <w:gridCol w:w="1382"/>
        <w:gridCol w:w="240"/>
        <w:gridCol w:w="1094"/>
        <w:gridCol w:w="1035"/>
        <w:gridCol w:w="1133"/>
        <w:gridCol w:w="673"/>
        <w:gridCol w:w="882"/>
        <w:gridCol w:w="1566"/>
      </w:tblGrid>
      <w:tr w14:paraId="30AA4FB3">
        <w:tblPrEx>
          <w:tblCellMar>
            <w:top w:w="0" w:type="dxa"/>
            <w:left w:w="108" w:type="dxa"/>
            <w:bottom w:w="0" w:type="dxa"/>
            <w:right w:w="108" w:type="dxa"/>
          </w:tblCellMar>
        </w:tblPrEx>
        <w:trPr>
          <w:trHeight w:val="340" w:hRule="atLeast"/>
        </w:trPr>
        <w:tc>
          <w:tcPr>
            <w:tcW w:w="14900" w:type="dxa"/>
            <w:gridSpan w:val="11"/>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1"/>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6239" w:type="dxa"/>
            <w:gridSpan w:val="2"/>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240"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1094"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4254" w:type="dxa"/>
            <w:gridSpan w:val="4"/>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CNCJ-XJ-202505-0001</w:t>
            </w:r>
          </w:p>
        </w:tc>
      </w:tr>
      <w:tr w14:paraId="0AF5D9CE">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滁宁城际铁路（滁州段）全线各车站、车辆段以及控制中心。</w:t>
            </w:r>
          </w:p>
        </w:tc>
      </w:tr>
      <w:tr w14:paraId="40629162">
        <w:tblPrEx>
          <w:tblCellMar>
            <w:top w:w="0" w:type="dxa"/>
            <w:left w:w="108" w:type="dxa"/>
            <w:bottom w:w="0" w:type="dxa"/>
            <w:right w:w="108" w:type="dxa"/>
          </w:tblCellMar>
        </w:tblPrEx>
        <w:trPr>
          <w:trHeight w:val="340" w:hRule="atLeast"/>
        </w:trPr>
        <w:tc>
          <w:tcPr>
            <w:tcW w:w="14900" w:type="dxa"/>
            <w:gridSpan w:val="11"/>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24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报价须包含包装、运输、税金、装卸及相关服务等发生的所有费用。⑵总价与单价有偏差时，以单价为准。⑶付款方式：乙方完成危险废弃物处置，并向甲方提供合法有效的发票及相关证明文件后，于90个工作日内结清。</w:t>
            </w:r>
            <w:r>
              <w:rPr>
                <w:rFonts w:hint="eastAsia" w:ascii="宋体" w:hAnsi="宋体" w:cs="宋体"/>
                <w:kern w:val="0"/>
                <w:sz w:val="20"/>
                <w:lang w:val="en-US" w:eastAsia="zh-CN" w:bidi="ar"/>
              </w:rPr>
              <w:t>(4)</w:t>
            </w:r>
            <w:r>
              <w:rPr>
                <w:rFonts w:hint="eastAsia" w:ascii="宋体" w:hAnsi="宋体" w:cs="宋体"/>
                <w:kern w:val="0"/>
                <w:sz w:val="20"/>
                <w:lang w:bidi="ar"/>
              </w:rPr>
              <w:t>报价单盖章有效。</w:t>
            </w:r>
          </w:p>
        </w:tc>
      </w:tr>
      <w:tr w14:paraId="4ED73A60">
        <w:tblPrEx>
          <w:tblCellMar>
            <w:top w:w="0" w:type="dxa"/>
            <w:left w:w="108" w:type="dxa"/>
            <w:bottom w:w="0" w:type="dxa"/>
            <w:right w:w="108" w:type="dxa"/>
          </w:tblCellMar>
        </w:tblPrEx>
        <w:trPr>
          <w:trHeight w:val="340" w:hRule="atLeast"/>
        </w:trPr>
        <w:tc>
          <w:tcPr>
            <w:tcW w:w="8277" w:type="dxa"/>
            <w:gridSpan w:val="4"/>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623" w:type="dxa"/>
            <w:gridSpan w:val="7"/>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623" w:type="dxa"/>
            <w:gridSpan w:val="7"/>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623" w:type="dxa"/>
            <w:gridSpan w:val="7"/>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nil"/>
              <w:right w:val="nil"/>
            </w:tcBorders>
            <w:shd w:val="clear" w:color="auto" w:fill="auto"/>
            <w:noWrap/>
            <w:vAlign w:val="center"/>
          </w:tcPr>
          <w:p w14:paraId="72BBA91A">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张工</w:t>
            </w:r>
            <w:bookmarkStart w:id="10" w:name="_GoBack"/>
            <w:bookmarkEnd w:id="10"/>
          </w:p>
        </w:tc>
        <w:tc>
          <w:tcPr>
            <w:tcW w:w="6623" w:type="dxa"/>
            <w:gridSpan w:val="7"/>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4"/>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日</w:t>
            </w:r>
          </w:p>
        </w:tc>
        <w:tc>
          <w:tcPr>
            <w:tcW w:w="6623" w:type="dxa"/>
            <w:gridSpan w:val="7"/>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EC41">
            <w:pPr>
              <w:widowControl/>
              <w:jc w:val="center"/>
              <w:textAlignment w:val="center"/>
              <w:rPr>
                <w:rFonts w:ascii="宋体" w:hAnsi="宋体" w:cs="宋体"/>
                <w:sz w:val="20"/>
              </w:rPr>
            </w:pPr>
            <w:r>
              <w:rPr>
                <w:rFonts w:hint="eastAsia" w:ascii="宋体" w:hAnsi="宋体" w:cs="宋体"/>
                <w:kern w:val="0"/>
                <w:sz w:val="20"/>
                <w:lang w:val="en-US" w:eastAsia="zh-CN" w:bidi="ar"/>
              </w:rPr>
              <w:t>危废</w:t>
            </w:r>
            <w:r>
              <w:rPr>
                <w:rFonts w:hint="eastAsia" w:ascii="宋体" w:hAnsi="宋体" w:cs="宋体"/>
                <w:kern w:val="0"/>
                <w:sz w:val="20"/>
                <w:lang w:bidi="ar"/>
              </w:rPr>
              <w:t>名称</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危废代码</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048B">
            <w:pPr>
              <w:widowControl/>
              <w:jc w:val="center"/>
              <w:textAlignment w:val="center"/>
              <w:rPr>
                <w:rFonts w:ascii="宋体" w:hAnsi="宋体" w:cs="宋体"/>
                <w:sz w:val="20"/>
              </w:rPr>
            </w:pPr>
            <w:r>
              <w:rPr>
                <w:rFonts w:hint="eastAsia" w:ascii="宋体" w:hAnsi="宋体" w:cs="宋体"/>
                <w:kern w:val="0"/>
                <w:sz w:val="20"/>
                <w:lang w:bidi="ar"/>
              </w:rPr>
              <w:t>单位</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val="en-US" w:eastAsia="zh-CN" w:bidi="ar"/>
              </w:rPr>
              <w:t>预估</w:t>
            </w:r>
            <w:r>
              <w:rPr>
                <w:rFonts w:hint="eastAsia" w:ascii="宋体" w:hAnsi="宋体" w:cs="宋体"/>
                <w:kern w:val="0"/>
                <w:sz w:val="20"/>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4DAF">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1</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F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废机油</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900-249-08</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2.76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13EC">
            <w:pPr>
              <w:rPr>
                <w:rFonts w:ascii="宋体" w:hAnsi="宋体" w:cs="宋体"/>
                <w:sz w:val="20"/>
              </w:rPr>
            </w:pPr>
          </w:p>
        </w:tc>
      </w:tr>
      <w:tr w14:paraId="6CA5551C">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03FF">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04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废铅酸蓄电池</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0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900-052-31</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96A7">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2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1.11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823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3A55">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6DA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C11C">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9617">
            <w:pPr>
              <w:rPr>
                <w:rFonts w:ascii="宋体" w:hAnsi="宋体" w:cs="宋体"/>
                <w:sz w:val="20"/>
              </w:rPr>
            </w:pPr>
          </w:p>
        </w:tc>
      </w:tr>
      <w:tr w14:paraId="406E6E27">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231C">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3</w:t>
            </w:r>
          </w:p>
        </w:tc>
        <w:tc>
          <w:tcPr>
            <w:tcW w:w="3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2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废墨盒</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42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0"/>
                <w:szCs w:val="20"/>
                <w:vertAlign w:val="baseline"/>
                <w:lang w:val="en-US" w:eastAsia="zh-CN" w:bidi="ar-SA"/>
              </w:rPr>
            </w:pPr>
            <w:r>
              <w:rPr>
                <w:rFonts w:hint="eastAsia" w:ascii="宋体" w:hAnsi="宋体" w:eastAsia="宋体" w:cs="宋体"/>
                <w:sz w:val="20"/>
                <w:szCs w:val="20"/>
                <w:lang w:val="en-US" w:eastAsia="zh-CN"/>
              </w:rPr>
              <w:t>900-041-49</w:t>
            </w:r>
          </w:p>
        </w:tc>
        <w:tc>
          <w:tcPr>
            <w:tcW w:w="1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01A3">
            <w:pPr>
              <w:widowControl/>
              <w:jc w:val="center"/>
              <w:textAlignment w:val="center"/>
              <w:rPr>
                <w:rFonts w:hint="eastAsia" w:ascii="宋体" w:hAnsi="宋体" w:cs="宋体"/>
                <w:kern w:val="0"/>
                <w:sz w:val="20"/>
                <w:lang w:val="en-US" w:eastAsia="zh-CN" w:bidi="ar"/>
              </w:rPr>
            </w:pPr>
            <w:r>
              <w:rPr>
                <w:rFonts w:hint="eastAsia" w:ascii="宋体" w:hAnsi="宋体" w:cs="宋体"/>
                <w:kern w:val="0"/>
                <w:sz w:val="20"/>
                <w:lang w:val="en-US" w:eastAsia="zh-CN" w:bidi="ar"/>
              </w:rPr>
              <w:t>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B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0"/>
                <w:szCs w:val="20"/>
                <w:vertAlign w:val="baseline"/>
                <w:lang w:val="en-US" w:eastAsia="zh-CN" w:bidi="ar-SA"/>
              </w:rPr>
            </w:pPr>
            <w:r>
              <w:rPr>
                <w:rFonts w:hint="eastAsia" w:ascii="宋体" w:hAnsi="宋体" w:eastAsia="宋体" w:cs="宋体"/>
                <w:sz w:val="20"/>
                <w:szCs w:val="20"/>
                <w:vertAlign w:val="baseline"/>
                <w:lang w:val="en-US" w:eastAsia="zh-CN"/>
              </w:rPr>
              <w:t>0.42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5B7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096A">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84D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DF67">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443F">
            <w:pPr>
              <w:rPr>
                <w:rFonts w:ascii="宋体" w:hAnsi="宋体" w:cs="宋体"/>
                <w:sz w:val="20"/>
              </w:rPr>
            </w:pPr>
          </w:p>
        </w:tc>
      </w:tr>
      <w:tr w14:paraId="366F8034">
        <w:tblPrEx>
          <w:tblCellMar>
            <w:top w:w="0" w:type="dxa"/>
            <w:left w:w="108" w:type="dxa"/>
            <w:bottom w:w="0" w:type="dxa"/>
            <w:right w:w="108" w:type="dxa"/>
          </w:tblCellMar>
        </w:tblPrEx>
        <w:trPr>
          <w:trHeight w:val="340" w:hRule="atLeast"/>
        </w:trPr>
        <w:tc>
          <w:tcPr>
            <w:tcW w:w="1064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340" w:hRule="atLeast"/>
        </w:trPr>
        <w:tc>
          <w:tcPr>
            <w:tcW w:w="1064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2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9"/>
                <w:rFonts w:hint="default"/>
                <w:color w:val="auto"/>
                <w:lang w:bidi="ar"/>
              </w:rPr>
              <w:t xml:space="preserve">            </w:t>
            </w:r>
            <w:r>
              <w:rPr>
                <w:rStyle w:val="77"/>
                <w:rFonts w:hint="default"/>
                <w:color w:val="auto"/>
                <w:lang w:bidi="ar"/>
              </w:rPr>
              <w:t>元</w:t>
            </w:r>
          </w:p>
        </w:tc>
      </w:tr>
      <w:tr w14:paraId="5D789398">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val="en-US" w:eastAsia="zh-CN" w:bidi="ar"/>
              </w:rPr>
              <w:t>处置</w:t>
            </w:r>
            <w:r>
              <w:rPr>
                <w:rFonts w:hint="eastAsia" w:ascii="宋体" w:hAnsi="宋体" w:cs="宋体"/>
                <w:kern w:val="0"/>
                <w:sz w:val="20"/>
                <w:lang w:bidi="ar"/>
              </w:rPr>
              <w:t>期：</w:t>
            </w:r>
          </w:p>
        </w:tc>
      </w:tr>
      <w:tr w14:paraId="2C562509">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1"/>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80"/>
                <w:rFonts w:hint="default"/>
                <w:color w:val="auto"/>
                <w:highlight w:val="none"/>
                <w:lang w:bidi="ar"/>
              </w:rPr>
              <w:t>202</w:t>
            </w:r>
            <w:r>
              <w:rPr>
                <w:rStyle w:val="80"/>
                <w:rFonts w:hint="eastAsia"/>
                <w:color w:val="auto"/>
                <w:highlight w:val="none"/>
                <w:lang w:val="en-US" w:eastAsia="zh-CN" w:bidi="ar"/>
              </w:rPr>
              <w:t>5</w:t>
            </w:r>
            <w:r>
              <w:rPr>
                <w:rStyle w:val="76"/>
                <w:rFonts w:hint="default"/>
                <w:color w:val="auto"/>
                <w:highlight w:val="none"/>
                <w:lang w:bidi="ar"/>
              </w:rPr>
              <w:t xml:space="preserve">年 </w:t>
            </w:r>
            <w:r>
              <w:rPr>
                <w:rStyle w:val="80"/>
                <w:rFonts w:hint="default"/>
                <w:color w:val="auto"/>
                <w:highlight w:val="none"/>
                <w:lang w:bidi="ar"/>
              </w:rPr>
              <w:t xml:space="preserve"> </w:t>
            </w:r>
            <w:r>
              <w:rPr>
                <w:rStyle w:val="80"/>
                <w:rFonts w:hint="eastAsia"/>
                <w:color w:val="auto"/>
                <w:highlight w:val="none"/>
                <w:lang w:val="en-US" w:eastAsia="zh-CN" w:bidi="ar"/>
              </w:rPr>
              <w:t>06</w:t>
            </w:r>
            <w:r>
              <w:rPr>
                <w:rStyle w:val="80"/>
                <w:rFonts w:hint="default"/>
                <w:color w:val="auto"/>
                <w:highlight w:val="none"/>
                <w:lang w:bidi="ar"/>
              </w:rPr>
              <w:t xml:space="preserve"> </w:t>
            </w:r>
            <w:r>
              <w:rPr>
                <w:rStyle w:val="76"/>
                <w:rFonts w:hint="default"/>
                <w:color w:val="auto"/>
                <w:highlight w:val="none"/>
                <w:lang w:bidi="ar"/>
              </w:rPr>
              <w:t>月</w:t>
            </w:r>
            <w:r>
              <w:rPr>
                <w:rStyle w:val="80"/>
                <w:rFonts w:hint="default"/>
                <w:color w:val="auto"/>
                <w:highlight w:val="none"/>
                <w:lang w:bidi="ar"/>
              </w:rPr>
              <w:t xml:space="preserve"> </w:t>
            </w:r>
            <w:r>
              <w:rPr>
                <w:rStyle w:val="80"/>
                <w:rFonts w:hint="eastAsia"/>
                <w:color w:val="auto"/>
                <w:highlight w:val="none"/>
                <w:lang w:val="en-US" w:eastAsia="zh-CN" w:bidi="ar"/>
              </w:rPr>
              <w:t>19</w:t>
            </w:r>
            <w:r>
              <w:rPr>
                <w:rStyle w:val="76"/>
                <w:rFonts w:hint="default"/>
                <w:color w:val="auto"/>
                <w:highlight w:val="none"/>
                <w:lang w:bidi="ar"/>
              </w:rPr>
              <w:t>日</w:t>
            </w:r>
            <w:r>
              <w:rPr>
                <w:rStyle w:val="76"/>
                <w:rFonts w:hint="default"/>
                <w:color w:val="auto"/>
                <w:lang w:bidi="ar"/>
              </w:rPr>
              <w:t>前盖章寄回,并确保此报价至少在30天内有效。若该危险废弃物处置行情波动较大，请另行注明有效期。</w:t>
            </w:r>
          </w:p>
        </w:tc>
      </w:tr>
    </w:tbl>
    <w:p w14:paraId="74A3E5C6">
      <w:pPr>
        <w:widowControl/>
        <w:jc w:val="left"/>
      </w:pPr>
    </w:p>
    <w:p w14:paraId="57173F16">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2025年滁州轨道运营危险废弃物处置（废机油、废铅酸蓄电池、废墨盒）项目</w:t>
      </w:r>
    </w:p>
    <w:p w14:paraId="1C2D8EE5">
      <w:pPr>
        <w:snapToGrid w:val="0"/>
        <w:spacing w:line="360" w:lineRule="auto"/>
        <w:jc w:val="cente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57B3C857">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08F0860">
      <w:pPr>
        <w:widowControl/>
        <w:jc w:val="left"/>
        <w:rPr>
          <w:rFonts w:hint="eastAsia"/>
          <w:lang w:val="en-US" w:eastAsia="zh-CN"/>
        </w:rPr>
      </w:pPr>
      <w:r>
        <w:rPr>
          <w:rFonts w:hint="eastAsia"/>
          <w:lang w:val="en-US" w:eastAsia="zh-CN"/>
        </w:rPr>
        <w:t>格式3</w:t>
      </w:r>
    </w:p>
    <w:p w14:paraId="15B19E51">
      <w:pPr>
        <w:pStyle w:val="75"/>
        <w:tabs>
          <w:tab w:val="center" w:pos="4201"/>
          <w:tab w:val="right" w:leader="dot" w:pos="9298"/>
        </w:tabs>
        <w:jc w:val="right"/>
        <w:rPr>
          <w:rFonts w:hint="eastAsia" w:ascii="黑体" w:hAnsi="黑体" w:eastAsia="黑体"/>
        </w:rPr>
      </w:pPr>
      <w:r>
        <w:rPr>
          <w:rFonts w:hint="eastAsia" w:ascii="黑体" w:hAnsi="黑体" w:eastAsia="黑体" w:cs="宋体"/>
        </w:rPr>
        <w:t>C</w:t>
      </w:r>
      <w:r>
        <w:rPr>
          <w:rFonts w:ascii="黑体" w:hAnsi="黑体" w:eastAsia="黑体" w:cs="宋体"/>
        </w:rPr>
        <w:t>GYR-105</w:t>
      </w:r>
      <w:r>
        <w:rPr>
          <w:rFonts w:hint="eastAsia" w:ascii="黑体" w:hAnsi="黑体" w:eastAsia="黑体" w:cs="宋体"/>
        </w:rPr>
        <w:t>物资部-</w:t>
      </w:r>
      <w:r>
        <w:rPr>
          <w:rFonts w:ascii="黑体" w:hAnsi="黑体" w:eastAsia="黑体" w:cs="宋体"/>
        </w:rPr>
        <w:t>0085</w:t>
      </w:r>
    </w:p>
    <w:p w14:paraId="263BD8E8">
      <w:pPr>
        <w:jc w:val="center"/>
        <w:rPr>
          <w:rFonts w:hint="eastAsia" w:ascii="黑体" w:hAnsi="黑体" w:eastAsia="黑体"/>
          <w:sz w:val="32"/>
          <w:szCs w:val="32"/>
        </w:rPr>
      </w:pPr>
      <w:r>
        <w:rPr>
          <w:rFonts w:hint="eastAsia" w:ascii="黑体" w:hAnsi="黑体" w:eastAsia="黑体"/>
          <w:sz w:val="32"/>
          <w:szCs w:val="32"/>
        </w:rPr>
        <w:t>　滁州市轨道交通运营有限公司合格供应商评审表</w:t>
      </w:r>
    </w:p>
    <w:tbl>
      <w:tblPr>
        <w:tblStyle w:val="19"/>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rPr>
            </w:pPr>
            <w:r>
              <w:rPr>
                <w:rFonts w:hint="eastAsia" w:ascii="黑体" w:hAnsi="黑体" w:eastAsia="黑体"/>
                <w:b/>
                <w:szCs w:val="21"/>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rPr>
            </w:pPr>
            <w:r>
              <w:rPr>
                <w:rFonts w:hint="eastAsia"/>
                <w:b/>
                <w:szCs w:val="21"/>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rPr>
            </w:pPr>
            <w:r>
              <w:rPr>
                <w:rFonts w:hint="eastAsia" w:ascii="宋体" w:hAnsi="宋体" w:cs="宋体"/>
                <w:szCs w:val="21"/>
              </w:rPr>
              <w:t xml:space="preserve">□工程类  □委送外修类  □物资采购类   </w:t>
            </w:r>
          </w:p>
          <w:p w14:paraId="7D2A48B5">
            <w:pPr>
              <w:spacing w:line="240" w:lineRule="exact"/>
              <w:jc w:val="left"/>
              <w:rPr>
                <w:szCs w:val="21"/>
              </w:rPr>
            </w:pPr>
            <w:r>
              <w:rPr>
                <w:rFonts w:hint="eastAsia" w:ascii="宋体" w:hAnsi="宋体" w:cs="宋体"/>
                <w:szCs w:val="21"/>
                <w:lang w:eastAsia="zh-CN"/>
              </w:rPr>
              <w:t>□</w:t>
            </w:r>
            <w:r>
              <w:rPr>
                <w:rFonts w:hint="eastAsia" w:ascii="宋体" w:hAnsi="宋体" w:cs="宋体"/>
                <w:szCs w:val="21"/>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rPr>
            </w:pPr>
          </w:p>
        </w:tc>
        <w:tc>
          <w:tcPr>
            <w:tcW w:w="3184" w:type="dxa"/>
            <w:vMerge w:val="continue"/>
            <w:noWrap w:val="0"/>
            <w:vAlign w:val="center"/>
          </w:tcPr>
          <w:p w14:paraId="1C20FB00">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rPr>
            </w:pPr>
            <w:r>
              <w:rPr>
                <w:rFonts w:hint="eastAsia"/>
                <w:b/>
                <w:szCs w:val="21"/>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rPr>
            </w:pPr>
            <w:r>
              <w:rPr>
                <w:rFonts w:hint="eastAsia" w:ascii="宋体" w:hAnsi="宋体" w:cs="宋体"/>
                <w:szCs w:val="21"/>
              </w:rPr>
              <w:t xml:space="preserve">□大众媒体  □市场调查  □业内询邀  </w:t>
            </w:r>
          </w:p>
          <w:p w14:paraId="7475A5FE">
            <w:pPr>
              <w:spacing w:line="240" w:lineRule="exact"/>
              <w:jc w:val="left"/>
              <w:rPr>
                <w:rFonts w:ascii="宋体" w:cs="宋体"/>
                <w:szCs w:val="21"/>
              </w:rPr>
            </w:pPr>
            <w:r>
              <w:rPr>
                <w:rFonts w:hint="eastAsia" w:ascii="宋体" w:hAnsi="宋体" w:cs="宋体"/>
                <w:szCs w:val="21"/>
              </w:rPr>
              <w:sym w:font="Wingdings 2" w:char="00A3"/>
            </w:r>
            <w:r>
              <w:rPr>
                <w:rFonts w:hint="eastAsia" w:ascii="宋体" w:hAnsi="宋体" w:cs="宋体"/>
                <w:szCs w:val="21"/>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rPr>
            </w:pPr>
            <w:r>
              <w:rPr>
                <w:rFonts w:hint="eastAsia" w:ascii="黑体" w:hAnsi="黑体" w:eastAsia="黑体"/>
                <w:b/>
                <w:szCs w:val="21"/>
              </w:rPr>
              <w:t>合同或项目名称</w:t>
            </w:r>
          </w:p>
        </w:tc>
        <w:tc>
          <w:tcPr>
            <w:tcW w:w="2558" w:type="dxa"/>
            <w:gridSpan w:val="3"/>
            <w:noWrap w:val="0"/>
            <w:vAlign w:val="center"/>
          </w:tcPr>
          <w:p w14:paraId="6233E0C0">
            <w:pPr>
              <w:spacing w:line="240" w:lineRule="exact"/>
              <w:jc w:val="center"/>
              <w:rPr>
                <w:b/>
                <w:szCs w:val="21"/>
              </w:rPr>
            </w:pPr>
            <w:r>
              <w:rPr>
                <w:rFonts w:hint="eastAsia"/>
                <w:b/>
                <w:szCs w:val="21"/>
              </w:rPr>
              <w:t>签约对方单位名称</w:t>
            </w:r>
          </w:p>
        </w:tc>
        <w:tc>
          <w:tcPr>
            <w:tcW w:w="2551" w:type="dxa"/>
            <w:noWrap w:val="0"/>
            <w:vAlign w:val="center"/>
          </w:tcPr>
          <w:p w14:paraId="4CFD9FA3">
            <w:pPr>
              <w:spacing w:line="240" w:lineRule="exact"/>
              <w:jc w:val="center"/>
              <w:rPr>
                <w:b/>
                <w:szCs w:val="21"/>
              </w:rPr>
            </w:pPr>
            <w:r>
              <w:rPr>
                <w:rFonts w:hint="eastAsia"/>
                <w:b/>
                <w:szCs w:val="21"/>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rPr>
            </w:pPr>
            <w:r>
              <w:rPr>
                <w:rFonts w:hint="eastAsia"/>
                <w:b/>
                <w:szCs w:val="21"/>
              </w:rPr>
              <w:t>近三年业绩</w:t>
            </w:r>
          </w:p>
        </w:tc>
        <w:tc>
          <w:tcPr>
            <w:tcW w:w="779" w:type="dxa"/>
            <w:noWrap w:val="0"/>
            <w:vAlign w:val="center"/>
          </w:tcPr>
          <w:p w14:paraId="1649D019">
            <w:pPr>
              <w:spacing w:line="240" w:lineRule="exact"/>
              <w:jc w:val="center"/>
              <w:rPr>
                <w:sz w:val="18"/>
                <w:szCs w:val="18"/>
              </w:rPr>
            </w:pPr>
            <w:r>
              <w:rPr>
                <w:rFonts w:hint="eastAsia"/>
                <w:sz w:val="18"/>
                <w:szCs w:val="18"/>
              </w:rPr>
              <w:t>1</w:t>
            </w:r>
          </w:p>
        </w:tc>
        <w:tc>
          <w:tcPr>
            <w:tcW w:w="3184" w:type="dxa"/>
            <w:noWrap w:val="0"/>
            <w:vAlign w:val="center"/>
          </w:tcPr>
          <w:p w14:paraId="6CDBE0DF">
            <w:pPr>
              <w:spacing w:line="240" w:lineRule="exact"/>
              <w:jc w:val="left"/>
              <w:rPr>
                <w:b/>
                <w:sz w:val="18"/>
                <w:szCs w:val="18"/>
              </w:rPr>
            </w:pPr>
          </w:p>
        </w:tc>
        <w:tc>
          <w:tcPr>
            <w:tcW w:w="2558" w:type="dxa"/>
            <w:gridSpan w:val="3"/>
            <w:noWrap w:val="0"/>
            <w:vAlign w:val="center"/>
          </w:tcPr>
          <w:p w14:paraId="34BD9CA4">
            <w:pPr>
              <w:spacing w:line="240" w:lineRule="exact"/>
              <w:jc w:val="left"/>
              <w:rPr>
                <w:b/>
                <w:sz w:val="18"/>
                <w:szCs w:val="18"/>
              </w:rPr>
            </w:pPr>
          </w:p>
        </w:tc>
        <w:tc>
          <w:tcPr>
            <w:tcW w:w="2551" w:type="dxa"/>
            <w:noWrap w:val="0"/>
            <w:vAlign w:val="center"/>
          </w:tcPr>
          <w:p w14:paraId="0AAB9092">
            <w:pPr>
              <w:spacing w:line="240" w:lineRule="exact"/>
              <w:jc w:val="left"/>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rPr>
            </w:pPr>
          </w:p>
        </w:tc>
        <w:tc>
          <w:tcPr>
            <w:tcW w:w="779" w:type="dxa"/>
            <w:noWrap w:val="0"/>
            <w:vAlign w:val="center"/>
          </w:tcPr>
          <w:p w14:paraId="03239B31">
            <w:pPr>
              <w:spacing w:line="240" w:lineRule="exact"/>
              <w:jc w:val="center"/>
              <w:rPr>
                <w:sz w:val="18"/>
                <w:szCs w:val="18"/>
              </w:rPr>
            </w:pPr>
            <w:r>
              <w:rPr>
                <w:rFonts w:hint="eastAsia"/>
                <w:sz w:val="18"/>
                <w:szCs w:val="18"/>
              </w:rPr>
              <w:t>2</w:t>
            </w:r>
          </w:p>
        </w:tc>
        <w:tc>
          <w:tcPr>
            <w:tcW w:w="3184" w:type="dxa"/>
            <w:noWrap w:val="0"/>
            <w:vAlign w:val="center"/>
          </w:tcPr>
          <w:p w14:paraId="253FBB97">
            <w:pPr>
              <w:spacing w:line="240" w:lineRule="exact"/>
              <w:jc w:val="left"/>
              <w:rPr>
                <w:b/>
                <w:sz w:val="18"/>
                <w:szCs w:val="18"/>
              </w:rPr>
            </w:pPr>
          </w:p>
        </w:tc>
        <w:tc>
          <w:tcPr>
            <w:tcW w:w="2558" w:type="dxa"/>
            <w:gridSpan w:val="3"/>
            <w:noWrap w:val="0"/>
            <w:vAlign w:val="center"/>
          </w:tcPr>
          <w:p w14:paraId="0559858B">
            <w:pPr>
              <w:spacing w:line="240" w:lineRule="exact"/>
              <w:jc w:val="left"/>
              <w:rPr>
                <w:b/>
                <w:sz w:val="18"/>
                <w:szCs w:val="18"/>
              </w:rPr>
            </w:pPr>
          </w:p>
        </w:tc>
        <w:tc>
          <w:tcPr>
            <w:tcW w:w="2551" w:type="dxa"/>
            <w:noWrap w:val="0"/>
            <w:vAlign w:val="center"/>
          </w:tcPr>
          <w:p w14:paraId="4A4409CD">
            <w:pPr>
              <w:spacing w:line="240" w:lineRule="exact"/>
              <w:jc w:val="left"/>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rPr>
            </w:pPr>
          </w:p>
        </w:tc>
        <w:tc>
          <w:tcPr>
            <w:tcW w:w="779" w:type="dxa"/>
            <w:noWrap w:val="0"/>
            <w:vAlign w:val="center"/>
          </w:tcPr>
          <w:p w14:paraId="269DD06C">
            <w:pPr>
              <w:spacing w:line="240" w:lineRule="exact"/>
              <w:jc w:val="center"/>
              <w:rPr>
                <w:sz w:val="18"/>
                <w:szCs w:val="18"/>
              </w:rPr>
            </w:pPr>
            <w:r>
              <w:rPr>
                <w:rFonts w:hint="eastAsia"/>
                <w:sz w:val="18"/>
                <w:szCs w:val="18"/>
              </w:rPr>
              <w:t>3</w:t>
            </w:r>
          </w:p>
        </w:tc>
        <w:tc>
          <w:tcPr>
            <w:tcW w:w="3184" w:type="dxa"/>
            <w:noWrap w:val="0"/>
            <w:vAlign w:val="center"/>
          </w:tcPr>
          <w:p w14:paraId="36FC27A6">
            <w:pPr>
              <w:spacing w:line="240" w:lineRule="exact"/>
              <w:jc w:val="left"/>
              <w:rPr>
                <w:b/>
                <w:sz w:val="18"/>
                <w:szCs w:val="18"/>
              </w:rPr>
            </w:pPr>
          </w:p>
        </w:tc>
        <w:tc>
          <w:tcPr>
            <w:tcW w:w="2558" w:type="dxa"/>
            <w:gridSpan w:val="3"/>
            <w:noWrap w:val="0"/>
            <w:vAlign w:val="center"/>
          </w:tcPr>
          <w:p w14:paraId="37D5ABF6">
            <w:pPr>
              <w:spacing w:line="240" w:lineRule="exact"/>
              <w:jc w:val="left"/>
              <w:rPr>
                <w:b/>
                <w:sz w:val="18"/>
                <w:szCs w:val="18"/>
              </w:rPr>
            </w:pPr>
          </w:p>
        </w:tc>
        <w:tc>
          <w:tcPr>
            <w:tcW w:w="2551" w:type="dxa"/>
            <w:noWrap w:val="0"/>
            <w:vAlign w:val="center"/>
          </w:tcPr>
          <w:p w14:paraId="44AC55A6">
            <w:pPr>
              <w:spacing w:line="240" w:lineRule="exact"/>
              <w:jc w:val="left"/>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rPr>
            </w:pPr>
          </w:p>
        </w:tc>
        <w:tc>
          <w:tcPr>
            <w:tcW w:w="779" w:type="dxa"/>
            <w:noWrap w:val="0"/>
            <w:vAlign w:val="center"/>
          </w:tcPr>
          <w:p w14:paraId="4B727EDB">
            <w:pPr>
              <w:spacing w:line="240" w:lineRule="exact"/>
              <w:jc w:val="center"/>
              <w:rPr>
                <w:sz w:val="18"/>
                <w:szCs w:val="18"/>
              </w:rPr>
            </w:pPr>
            <w:r>
              <w:rPr>
                <w:rFonts w:hint="eastAsia"/>
                <w:sz w:val="18"/>
                <w:szCs w:val="18"/>
              </w:rPr>
              <w:t>4</w:t>
            </w:r>
          </w:p>
        </w:tc>
        <w:tc>
          <w:tcPr>
            <w:tcW w:w="3184" w:type="dxa"/>
            <w:noWrap w:val="0"/>
            <w:vAlign w:val="center"/>
          </w:tcPr>
          <w:p w14:paraId="228DA95F">
            <w:pPr>
              <w:spacing w:line="240" w:lineRule="exact"/>
              <w:jc w:val="left"/>
              <w:rPr>
                <w:b/>
                <w:sz w:val="18"/>
                <w:szCs w:val="18"/>
              </w:rPr>
            </w:pPr>
          </w:p>
        </w:tc>
        <w:tc>
          <w:tcPr>
            <w:tcW w:w="2558" w:type="dxa"/>
            <w:gridSpan w:val="3"/>
            <w:noWrap w:val="0"/>
            <w:vAlign w:val="center"/>
          </w:tcPr>
          <w:p w14:paraId="2D6EC6D1">
            <w:pPr>
              <w:spacing w:line="240" w:lineRule="exact"/>
              <w:jc w:val="left"/>
              <w:rPr>
                <w:b/>
                <w:sz w:val="18"/>
                <w:szCs w:val="18"/>
              </w:rPr>
            </w:pPr>
          </w:p>
        </w:tc>
        <w:tc>
          <w:tcPr>
            <w:tcW w:w="2551" w:type="dxa"/>
            <w:noWrap w:val="0"/>
            <w:vAlign w:val="center"/>
          </w:tcPr>
          <w:p w14:paraId="74BD3435">
            <w:pPr>
              <w:spacing w:line="240" w:lineRule="exact"/>
              <w:jc w:val="left"/>
            </w:pPr>
          </w:p>
        </w:tc>
      </w:tr>
      <w:tr w14:paraId="7AB798BB">
        <w:tblPrEx>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rPr>
            </w:pPr>
          </w:p>
        </w:tc>
        <w:tc>
          <w:tcPr>
            <w:tcW w:w="779" w:type="dxa"/>
            <w:noWrap w:val="0"/>
            <w:vAlign w:val="center"/>
          </w:tcPr>
          <w:p w14:paraId="7C775CD4">
            <w:pPr>
              <w:spacing w:line="240" w:lineRule="exact"/>
              <w:jc w:val="center"/>
              <w:rPr>
                <w:sz w:val="18"/>
                <w:szCs w:val="18"/>
              </w:rPr>
            </w:pPr>
            <w:r>
              <w:rPr>
                <w:rFonts w:hint="eastAsia"/>
                <w:sz w:val="18"/>
                <w:szCs w:val="18"/>
              </w:rPr>
              <w:t>5</w:t>
            </w:r>
          </w:p>
        </w:tc>
        <w:tc>
          <w:tcPr>
            <w:tcW w:w="3184" w:type="dxa"/>
            <w:noWrap w:val="0"/>
            <w:vAlign w:val="center"/>
          </w:tcPr>
          <w:p w14:paraId="2821E671">
            <w:pPr>
              <w:spacing w:line="240" w:lineRule="exact"/>
              <w:jc w:val="left"/>
              <w:rPr>
                <w:b/>
                <w:sz w:val="18"/>
                <w:szCs w:val="18"/>
              </w:rPr>
            </w:pPr>
          </w:p>
        </w:tc>
        <w:tc>
          <w:tcPr>
            <w:tcW w:w="2558" w:type="dxa"/>
            <w:gridSpan w:val="3"/>
            <w:noWrap w:val="0"/>
            <w:vAlign w:val="center"/>
          </w:tcPr>
          <w:p w14:paraId="7D1CD32B">
            <w:pPr>
              <w:spacing w:line="240" w:lineRule="exact"/>
              <w:jc w:val="left"/>
              <w:rPr>
                <w:b/>
                <w:sz w:val="18"/>
                <w:szCs w:val="18"/>
              </w:rPr>
            </w:pPr>
          </w:p>
        </w:tc>
        <w:tc>
          <w:tcPr>
            <w:tcW w:w="2551" w:type="dxa"/>
            <w:noWrap w:val="0"/>
            <w:vAlign w:val="center"/>
          </w:tcPr>
          <w:p w14:paraId="53A007F3">
            <w:pPr>
              <w:spacing w:line="240" w:lineRule="exact"/>
              <w:jc w:val="left"/>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rPr>
            </w:pPr>
            <w:r>
              <w:rPr>
                <w:rFonts w:hint="eastAsia"/>
                <w:b/>
                <w:szCs w:val="21"/>
              </w:rPr>
              <w:t>资质档案</w:t>
            </w:r>
          </w:p>
        </w:tc>
        <w:tc>
          <w:tcPr>
            <w:tcW w:w="9072" w:type="dxa"/>
            <w:gridSpan w:val="6"/>
            <w:tcBorders>
              <w:bottom w:val="nil"/>
            </w:tcBorders>
            <w:noWrap w:val="0"/>
            <w:vAlign w:val="center"/>
          </w:tcPr>
          <w:p w14:paraId="51B6EED4">
            <w:pPr>
              <w:spacing w:line="240" w:lineRule="exact"/>
              <w:jc w:val="left"/>
              <w:rPr>
                <w:sz w:val="18"/>
                <w:szCs w:val="18"/>
              </w:rPr>
            </w:pPr>
            <w:r>
              <w:rPr>
                <w:rFonts w:hint="eastAsia"/>
                <w:sz w:val="18"/>
                <w:szCs w:val="18"/>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rPr>
            </w:pPr>
          </w:p>
          <w:p w14:paraId="574E021A">
            <w:pPr>
              <w:spacing w:line="240" w:lineRule="exact"/>
              <w:jc w:val="left"/>
              <w:rPr>
                <w:color w:val="999999"/>
                <w:sz w:val="18"/>
                <w:szCs w:val="18"/>
                <w:u w:val="single"/>
              </w:rPr>
            </w:pPr>
            <w:r>
              <w:rPr>
                <w:rFonts w:hint="eastAsia"/>
                <w:sz w:val="18"/>
                <w:szCs w:val="18"/>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rPr>
            </w:pPr>
            <w:r>
              <w:rPr>
                <w:rFonts w:hint="eastAsia"/>
                <w:b/>
                <w:szCs w:val="21"/>
              </w:rPr>
              <w:t>供应商申报</w:t>
            </w:r>
          </w:p>
        </w:tc>
        <w:tc>
          <w:tcPr>
            <w:tcW w:w="9072" w:type="dxa"/>
            <w:gridSpan w:val="6"/>
            <w:noWrap w:val="0"/>
            <w:vAlign w:val="top"/>
          </w:tcPr>
          <w:p w14:paraId="0D5260BA">
            <w:pPr>
              <w:spacing w:line="240" w:lineRule="exact"/>
              <w:jc w:val="center"/>
              <w:rPr>
                <w:sz w:val="18"/>
                <w:szCs w:val="18"/>
              </w:rPr>
            </w:pPr>
          </w:p>
          <w:p w14:paraId="11C76C37">
            <w:pPr>
              <w:spacing w:line="240" w:lineRule="exact"/>
              <w:jc w:val="left"/>
              <w:rPr>
                <w:sz w:val="18"/>
                <w:szCs w:val="18"/>
              </w:rPr>
            </w:pPr>
            <w:r>
              <w:rPr>
                <w:rFonts w:hint="eastAsia"/>
                <w:sz w:val="18"/>
                <w:szCs w:val="18"/>
              </w:rPr>
              <w:t>说明：本单位经研究决定，现申请加入贵公司的合格供应商名录，申请承接的项目类为：</w:t>
            </w:r>
            <w:r>
              <w:rPr>
                <w:rFonts w:hint="eastAsia"/>
                <w:sz w:val="18"/>
                <w:szCs w:val="18"/>
                <w:u w:val="single"/>
              </w:rPr>
              <w:t xml:space="preserve">                       。</w:t>
            </w:r>
          </w:p>
          <w:p w14:paraId="0C4FDEC1">
            <w:pPr>
              <w:spacing w:line="240" w:lineRule="exact"/>
              <w:rPr>
                <w:sz w:val="18"/>
                <w:szCs w:val="18"/>
              </w:rPr>
            </w:pPr>
          </w:p>
          <w:p w14:paraId="2B74C1F2">
            <w:pPr>
              <w:spacing w:line="240" w:lineRule="exact"/>
              <w:rPr>
                <w:sz w:val="18"/>
                <w:szCs w:val="18"/>
              </w:rPr>
            </w:pPr>
            <w:r>
              <w:rPr>
                <w:rFonts w:hint="eastAsia"/>
                <w:sz w:val="18"/>
                <w:szCs w:val="18"/>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rPr>
            </w:pPr>
          </w:p>
          <w:p w14:paraId="0AB5FF6C">
            <w:pPr>
              <w:spacing w:line="240" w:lineRule="exact"/>
              <w:jc w:val="left"/>
              <w:rPr>
                <w:sz w:val="18"/>
                <w:szCs w:val="18"/>
              </w:rPr>
            </w:pPr>
            <w:r>
              <w:rPr>
                <w:rFonts w:hint="eastAsia"/>
                <w:sz w:val="18"/>
                <w:szCs w:val="18"/>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rPr>
            </w:pPr>
            <w:r>
              <w:rPr>
                <w:rFonts w:hint="eastAsia"/>
                <w:b/>
                <w:szCs w:val="21"/>
              </w:rPr>
              <w:t>质量保证能力</w:t>
            </w:r>
          </w:p>
        </w:tc>
        <w:tc>
          <w:tcPr>
            <w:tcW w:w="4536" w:type="dxa"/>
            <w:gridSpan w:val="3"/>
            <w:noWrap w:val="0"/>
            <w:vAlign w:val="center"/>
          </w:tcPr>
          <w:p w14:paraId="5F21DD21">
            <w:pPr>
              <w:spacing w:line="240" w:lineRule="exact"/>
              <w:jc w:val="left"/>
              <w:rPr>
                <w:sz w:val="18"/>
                <w:szCs w:val="18"/>
              </w:rPr>
            </w:pPr>
            <w:r>
              <w:rPr>
                <w:rFonts w:hint="eastAsia"/>
                <w:sz w:val="18"/>
                <w:szCs w:val="18"/>
              </w:rPr>
              <w:t>注册资本</w:t>
            </w:r>
          </w:p>
        </w:tc>
        <w:tc>
          <w:tcPr>
            <w:tcW w:w="4536" w:type="dxa"/>
            <w:gridSpan w:val="3"/>
            <w:noWrap w:val="0"/>
            <w:vAlign w:val="top"/>
          </w:tcPr>
          <w:p w14:paraId="128B7C1C">
            <w:pPr>
              <w:spacing w:line="240" w:lineRule="exact"/>
              <w:jc w:val="left"/>
              <w:rPr>
                <w:sz w:val="18"/>
                <w:szCs w:val="18"/>
              </w:rPr>
            </w:pPr>
          </w:p>
        </w:tc>
      </w:tr>
      <w:tr w14:paraId="6D339CA5">
        <w:tblPrEx>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rPr>
            </w:pPr>
          </w:p>
        </w:tc>
        <w:tc>
          <w:tcPr>
            <w:tcW w:w="4536" w:type="dxa"/>
            <w:gridSpan w:val="3"/>
            <w:noWrap w:val="0"/>
            <w:vAlign w:val="center"/>
          </w:tcPr>
          <w:p w14:paraId="7FE007AA">
            <w:pPr>
              <w:spacing w:line="240" w:lineRule="exact"/>
              <w:jc w:val="left"/>
              <w:rPr>
                <w:sz w:val="18"/>
                <w:szCs w:val="18"/>
              </w:rPr>
            </w:pPr>
            <w:r>
              <w:rPr>
                <w:rFonts w:hint="eastAsia"/>
                <w:sz w:val="18"/>
                <w:szCs w:val="18"/>
              </w:rPr>
              <w:t>固定资产</w:t>
            </w:r>
          </w:p>
        </w:tc>
        <w:tc>
          <w:tcPr>
            <w:tcW w:w="4536" w:type="dxa"/>
            <w:gridSpan w:val="3"/>
            <w:noWrap w:val="0"/>
            <w:vAlign w:val="top"/>
          </w:tcPr>
          <w:p w14:paraId="219EF32A">
            <w:pPr>
              <w:spacing w:line="240" w:lineRule="exact"/>
              <w:jc w:val="left"/>
              <w:rPr>
                <w:sz w:val="18"/>
                <w:szCs w:val="18"/>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rPr>
            </w:pPr>
          </w:p>
        </w:tc>
        <w:tc>
          <w:tcPr>
            <w:tcW w:w="4536" w:type="dxa"/>
            <w:gridSpan w:val="3"/>
            <w:noWrap w:val="0"/>
            <w:vAlign w:val="center"/>
          </w:tcPr>
          <w:p w14:paraId="64DDD47D">
            <w:pPr>
              <w:spacing w:line="240" w:lineRule="exact"/>
              <w:jc w:val="left"/>
              <w:rPr>
                <w:sz w:val="18"/>
                <w:szCs w:val="18"/>
              </w:rPr>
            </w:pPr>
            <w:r>
              <w:rPr>
                <w:rFonts w:hint="eastAsia"/>
                <w:sz w:val="18"/>
                <w:szCs w:val="18"/>
              </w:rPr>
              <w:t>员工数量</w:t>
            </w:r>
          </w:p>
        </w:tc>
        <w:tc>
          <w:tcPr>
            <w:tcW w:w="4536" w:type="dxa"/>
            <w:gridSpan w:val="3"/>
            <w:noWrap w:val="0"/>
            <w:vAlign w:val="top"/>
          </w:tcPr>
          <w:p w14:paraId="17BB7500">
            <w:pPr>
              <w:spacing w:line="240" w:lineRule="exact"/>
              <w:jc w:val="left"/>
              <w:rPr>
                <w:sz w:val="18"/>
                <w:szCs w:val="18"/>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rPr>
            </w:pPr>
          </w:p>
        </w:tc>
        <w:tc>
          <w:tcPr>
            <w:tcW w:w="4536" w:type="dxa"/>
            <w:gridSpan w:val="3"/>
            <w:noWrap w:val="0"/>
            <w:vAlign w:val="center"/>
          </w:tcPr>
          <w:p w14:paraId="27E5B09D">
            <w:pPr>
              <w:spacing w:line="240" w:lineRule="exact"/>
              <w:jc w:val="left"/>
              <w:rPr>
                <w:sz w:val="18"/>
                <w:szCs w:val="18"/>
              </w:rPr>
            </w:pPr>
            <w:r>
              <w:rPr>
                <w:rFonts w:hint="eastAsia"/>
                <w:sz w:val="18"/>
                <w:szCs w:val="18"/>
              </w:rPr>
              <w:t>何时通过何种体系认证</w:t>
            </w:r>
          </w:p>
        </w:tc>
        <w:tc>
          <w:tcPr>
            <w:tcW w:w="4536" w:type="dxa"/>
            <w:gridSpan w:val="3"/>
            <w:noWrap w:val="0"/>
            <w:vAlign w:val="top"/>
          </w:tcPr>
          <w:p w14:paraId="51F136D3">
            <w:pPr>
              <w:spacing w:line="240" w:lineRule="exact"/>
              <w:jc w:val="left"/>
              <w:rPr>
                <w:sz w:val="18"/>
                <w:szCs w:val="18"/>
              </w:rPr>
            </w:pPr>
            <w:r>
              <w:rPr>
                <w:rFonts w:hint="eastAsia"/>
                <w:sz w:val="18"/>
                <w:szCs w:val="18"/>
              </w:rPr>
              <w:t xml:space="preserve">□ISO9001                 </w:t>
            </w:r>
            <w:r>
              <w:rPr>
                <w:rFonts w:hint="eastAsia"/>
                <w:sz w:val="18"/>
                <w:szCs w:val="18"/>
                <w:lang w:val="en-US" w:eastAsia="zh-CN"/>
              </w:rPr>
              <w:t xml:space="preserve">  </w:t>
            </w:r>
            <w:r>
              <w:rPr>
                <w:rFonts w:hint="eastAsia"/>
                <w:sz w:val="18"/>
                <w:szCs w:val="18"/>
              </w:rPr>
              <w:t xml:space="preserve">   时间：</w:t>
            </w:r>
          </w:p>
          <w:p w14:paraId="28430BB1">
            <w:pPr>
              <w:spacing w:line="240" w:lineRule="exact"/>
              <w:jc w:val="left"/>
              <w:rPr>
                <w:sz w:val="18"/>
                <w:szCs w:val="18"/>
              </w:rPr>
            </w:pPr>
            <w:r>
              <w:rPr>
                <w:rFonts w:hint="eastAsia"/>
                <w:sz w:val="18"/>
                <w:szCs w:val="18"/>
              </w:rPr>
              <w:t xml:space="preserve">□ISO14001                 </w:t>
            </w:r>
            <w:r>
              <w:rPr>
                <w:rFonts w:hint="eastAsia"/>
                <w:sz w:val="18"/>
                <w:szCs w:val="18"/>
                <w:lang w:val="en-US" w:eastAsia="zh-CN"/>
              </w:rPr>
              <w:t xml:space="preserve">  </w:t>
            </w:r>
            <w:r>
              <w:rPr>
                <w:rFonts w:hint="eastAsia"/>
                <w:sz w:val="18"/>
                <w:szCs w:val="18"/>
              </w:rPr>
              <w:t xml:space="preserve">  时间：</w:t>
            </w:r>
          </w:p>
          <w:p w14:paraId="7C5F303E">
            <w:pPr>
              <w:spacing w:line="240" w:lineRule="exact"/>
              <w:jc w:val="left"/>
              <w:rPr>
                <w:sz w:val="18"/>
                <w:szCs w:val="18"/>
              </w:rPr>
            </w:pPr>
            <w:r>
              <w:rPr>
                <w:rFonts w:hint="eastAsia"/>
                <w:sz w:val="18"/>
                <w:szCs w:val="18"/>
              </w:rPr>
              <w:t xml:space="preserve">□OHSMS18000              </w:t>
            </w:r>
            <w:r>
              <w:rPr>
                <w:rFonts w:hint="eastAsia"/>
                <w:sz w:val="18"/>
                <w:szCs w:val="18"/>
                <w:lang w:val="en-US" w:eastAsia="zh-CN"/>
              </w:rPr>
              <w:t xml:space="preserve">   </w:t>
            </w:r>
            <w:r>
              <w:rPr>
                <w:rFonts w:hint="eastAsia"/>
                <w:sz w:val="18"/>
                <w:szCs w:val="18"/>
              </w:rPr>
              <w:t>时间：</w:t>
            </w:r>
          </w:p>
          <w:p w14:paraId="4031DFFB">
            <w:pPr>
              <w:spacing w:line="240" w:lineRule="exact"/>
              <w:jc w:val="left"/>
              <w:rPr>
                <w:sz w:val="18"/>
                <w:szCs w:val="18"/>
              </w:rPr>
            </w:pPr>
            <w:r>
              <w:rPr>
                <w:rFonts w:hint="eastAsia"/>
                <w:sz w:val="18"/>
                <w:szCs w:val="18"/>
              </w:rPr>
              <w:t xml:space="preserve">□其他                       </w:t>
            </w:r>
            <w:r>
              <w:rPr>
                <w:rFonts w:hint="eastAsia"/>
                <w:sz w:val="18"/>
                <w:szCs w:val="18"/>
                <w:lang w:val="en-US" w:eastAsia="zh-CN"/>
              </w:rPr>
              <w:t xml:space="preserve">  </w:t>
            </w:r>
            <w:r>
              <w:rPr>
                <w:rFonts w:hint="eastAsia"/>
                <w:sz w:val="18"/>
                <w:szCs w:val="18"/>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rPr>
            </w:pPr>
          </w:p>
        </w:tc>
        <w:tc>
          <w:tcPr>
            <w:tcW w:w="4536" w:type="dxa"/>
            <w:gridSpan w:val="3"/>
            <w:noWrap w:val="0"/>
            <w:vAlign w:val="top"/>
          </w:tcPr>
          <w:p w14:paraId="40ABDF32">
            <w:pPr>
              <w:spacing w:line="240" w:lineRule="exact"/>
              <w:jc w:val="left"/>
              <w:rPr>
                <w:sz w:val="18"/>
                <w:szCs w:val="18"/>
              </w:rPr>
            </w:pPr>
            <w:r>
              <w:rPr>
                <w:rFonts w:hint="eastAsia"/>
                <w:sz w:val="18"/>
                <w:szCs w:val="18"/>
              </w:rPr>
              <w:t>安全生产许可证</w:t>
            </w:r>
          </w:p>
        </w:tc>
        <w:tc>
          <w:tcPr>
            <w:tcW w:w="4536" w:type="dxa"/>
            <w:gridSpan w:val="3"/>
            <w:noWrap w:val="0"/>
            <w:vAlign w:val="top"/>
          </w:tcPr>
          <w:p w14:paraId="2AF7280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lang w:eastAsia="zh-CN"/>
              </w:rPr>
              <w:t>□</w:t>
            </w:r>
            <w:r>
              <w:rPr>
                <w:rFonts w:hint="eastAsia"/>
                <w:sz w:val="18"/>
                <w:szCs w:val="18"/>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rPr>
            </w:pPr>
          </w:p>
        </w:tc>
        <w:tc>
          <w:tcPr>
            <w:tcW w:w="4536" w:type="dxa"/>
            <w:gridSpan w:val="3"/>
            <w:noWrap w:val="0"/>
            <w:vAlign w:val="top"/>
          </w:tcPr>
          <w:p w14:paraId="0AA28B20">
            <w:pPr>
              <w:spacing w:line="240" w:lineRule="exact"/>
              <w:jc w:val="left"/>
              <w:rPr>
                <w:sz w:val="18"/>
                <w:szCs w:val="18"/>
              </w:rPr>
            </w:pPr>
            <w:r>
              <w:rPr>
                <w:rFonts w:hint="eastAsia"/>
                <w:sz w:val="18"/>
                <w:szCs w:val="18"/>
              </w:rPr>
              <w:t xml:space="preserve">国家法定资质的检验机构报告 </w:t>
            </w:r>
          </w:p>
        </w:tc>
        <w:tc>
          <w:tcPr>
            <w:tcW w:w="4536" w:type="dxa"/>
            <w:gridSpan w:val="3"/>
            <w:noWrap w:val="0"/>
            <w:vAlign w:val="top"/>
          </w:tcPr>
          <w:p w14:paraId="5F5A0621">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rPr>
            </w:pPr>
          </w:p>
        </w:tc>
        <w:tc>
          <w:tcPr>
            <w:tcW w:w="4536" w:type="dxa"/>
            <w:gridSpan w:val="3"/>
            <w:noWrap w:val="0"/>
            <w:vAlign w:val="top"/>
          </w:tcPr>
          <w:p w14:paraId="58597FDC">
            <w:pPr>
              <w:spacing w:line="240" w:lineRule="exact"/>
              <w:jc w:val="left"/>
              <w:rPr>
                <w:rFonts w:hint="eastAsia"/>
                <w:sz w:val="18"/>
                <w:szCs w:val="18"/>
              </w:rPr>
            </w:pPr>
            <w:r>
              <w:rPr>
                <w:rFonts w:hint="eastAsia"/>
                <w:sz w:val="18"/>
                <w:szCs w:val="18"/>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lang w:val="en-US" w:eastAsia="zh-CN" w:bidi="ar-SA"/>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rPr>
            </w:pPr>
          </w:p>
        </w:tc>
        <w:tc>
          <w:tcPr>
            <w:tcW w:w="4536" w:type="dxa"/>
            <w:gridSpan w:val="3"/>
            <w:noWrap w:val="0"/>
            <w:vAlign w:val="top"/>
          </w:tcPr>
          <w:p w14:paraId="515F3B96">
            <w:pPr>
              <w:spacing w:line="240" w:lineRule="exact"/>
              <w:jc w:val="left"/>
              <w:rPr>
                <w:sz w:val="18"/>
                <w:szCs w:val="18"/>
              </w:rPr>
            </w:pPr>
            <w:r>
              <w:rPr>
                <w:rFonts w:hint="eastAsia"/>
                <w:sz w:val="18"/>
                <w:szCs w:val="18"/>
              </w:rPr>
              <w:t xml:space="preserve">危险化学品经营许可证  </w:t>
            </w:r>
          </w:p>
        </w:tc>
        <w:tc>
          <w:tcPr>
            <w:tcW w:w="4536" w:type="dxa"/>
            <w:gridSpan w:val="3"/>
            <w:noWrap w:val="0"/>
            <w:vAlign w:val="top"/>
          </w:tcPr>
          <w:p w14:paraId="7D18605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rPr>
            </w:pPr>
          </w:p>
        </w:tc>
        <w:tc>
          <w:tcPr>
            <w:tcW w:w="4536" w:type="dxa"/>
            <w:gridSpan w:val="3"/>
            <w:noWrap w:val="0"/>
            <w:vAlign w:val="top"/>
          </w:tcPr>
          <w:p w14:paraId="27548D5F">
            <w:pPr>
              <w:spacing w:line="240" w:lineRule="exact"/>
              <w:jc w:val="left"/>
              <w:rPr>
                <w:sz w:val="18"/>
                <w:szCs w:val="18"/>
              </w:rPr>
            </w:pPr>
            <w:r>
              <w:rPr>
                <w:rFonts w:hint="eastAsia"/>
                <w:sz w:val="18"/>
                <w:szCs w:val="18"/>
              </w:rPr>
              <w:t xml:space="preserve">代理品牌授权证书       </w:t>
            </w:r>
          </w:p>
        </w:tc>
        <w:tc>
          <w:tcPr>
            <w:tcW w:w="4536" w:type="dxa"/>
            <w:gridSpan w:val="3"/>
            <w:noWrap w:val="0"/>
            <w:vAlign w:val="top"/>
          </w:tcPr>
          <w:p w14:paraId="2504944D">
            <w:pPr>
              <w:spacing w:line="240" w:lineRule="exact"/>
              <w:jc w:val="left"/>
              <w:rPr>
                <w:sz w:val="18"/>
                <w:szCs w:val="18"/>
              </w:rPr>
            </w:pPr>
            <w:r>
              <w:rPr>
                <w:rFonts w:hint="eastAsia"/>
                <w:sz w:val="18"/>
                <w:szCs w:val="18"/>
              </w:rPr>
              <w:t>□有  代理品牌名称：</w:t>
            </w:r>
            <w:r>
              <w:rPr>
                <w:rFonts w:hint="eastAsia"/>
                <w:sz w:val="18"/>
                <w:szCs w:val="18"/>
              </w:rPr>
              <w:sym w:font="Wingdings 2" w:char="00A3"/>
            </w:r>
            <w:r>
              <w:rPr>
                <w:rFonts w:hint="eastAsia"/>
                <w:sz w:val="18"/>
                <w:szCs w:val="18"/>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rPr>
            </w:pPr>
          </w:p>
        </w:tc>
        <w:tc>
          <w:tcPr>
            <w:tcW w:w="4536" w:type="dxa"/>
            <w:gridSpan w:val="3"/>
            <w:noWrap w:val="0"/>
            <w:vAlign w:val="top"/>
          </w:tcPr>
          <w:p w14:paraId="3D519F8C">
            <w:pPr>
              <w:spacing w:line="240" w:lineRule="exact"/>
              <w:jc w:val="left"/>
              <w:rPr>
                <w:sz w:val="18"/>
                <w:szCs w:val="18"/>
              </w:rPr>
            </w:pPr>
            <w:r>
              <w:rPr>
                <w:rFonts w:hint="eastAsia"/>
                <w:sz w:val="18"/>
                <w:szCs w:val="18"/>
              </w:rPr>
              <w:t>企业施工、承包资质证书</w:t>
            </w:r>
          </w:p>
        </w:tc>
        <w:tc>
          <w:tcPr>
            <w:tcW w:w="4536" w:type="dxa"/>
            <w:gridSpan w:val="3"/>
            <w:noWrap w:val="0"/>
            <w:vAlign w:val="top"/>
          </w:tcPr>
          <w:p w14:paraId="48177475">
            <w:pPr>
              <w:spacing w:line="240" w:lineRule="exact"/>
              <w:jc w:val="left"/>
              <w:rPr>
                <w:sz w:val="18"/>
                <w:szCs w:val="18"/>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rPr>
            </w:pPr>
          </w:p>
        </w:tc>
        <w:tc>
          <w:tcPr>
            <w:tcW w:w="4536" w:type="dxa"/>
            <w:gridSpan w:val="3"/>
            <w:noWrap w:val="0"/>
            <w:vAlign w:val="top"/>
          </w:tcPr>
          <w:p w14:paraId="440D78A8">
            <w:pPr>
              <w:spacing w:line="240" w:lineRule="exact"/>
              <w:jc w:val="left"/>
              <w:rPr>
                <w:sz w:val="18"/>
                <w:szCs w:val="18"/>
              </w:rPr>
            </w:pPr>
            <w:r>
              <w:rPr>
                <w:rFonts w:hint="eastAsia"/>
                <w:sz w:val="18"/>
                <w:szCs w:val="18"/>
              </w:rPr>
              <w:t>其他资质</w:t>
            </w:r>
          </w:p>
        </w:tc>
        <w:tc>
          <w:tcPr>
            <w:tcW w:w="4536" w:type="dxa"/>
            <w:gridSpan w:val="3"/>
            <w:noWrap w:val="0"/>
            <w:vAlign w:val="top"/>
          </w:tcPr>
          <w:p w14:paraId="47C59016">
            <w:pPr>
              <w:spacing w:line="240" w:lineRule="exact"/>
              <w:jc w:val="left"/>
              <w:rPr>
                <w:sz w:val="18"/>
                <w:szCs w:val="18"/>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rPr>
            </w:pPr>
            <w:r>
              <w:rPr>
                <w:rFonts w:hint="eastAsia"/>
                <w:b/>
                <w:szCs w:val="21"/>
              </w:rPr>
              <w:t>专业单位</w:t>
            </w:r>
          </w:p>
        </w:tc>
        <w:tc>
          <w:tcPr>
            <w:tcW w:w="9072" w:type="dxa"/>
            <w:gridSpan w:val="6"/>
            <w:noWrap w:val="0"/>
            <w:vAlign w:val="top"/>
          </w:tcPr>
          <w:p w14:paraId="5F470C7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0BA6AF0">
            <w:pPr>
              <w:spacing w:line="240" w:lineRule="exact"/>
              <w:jc w:val="left"/>
              <w:rPr>
                <w:b/>
                <w:sz w:val="18"/>
                <w:szCs w:val="18"/>
              </w:rPr>
            </w:pPr>
            <w:r>
              <w:rPr>
                <w:rFonts w:hint="eastAsia" w:ascii="仿宋_GB2312" w:eastAsia="仿宋_GB2312"/>
                <w:szCs w:val="21"/>
              </w:rPr>
              <w:t>（业绩与能力方面）说明：</w:t>
            </w:r>
          </w:p>
          <w:p w14:paraId="5EF1DAFB">
            <w:pPr>
              <w:spacing w:line="240" w:lineRule="exact"/>
              <w:jc w:val="left"/>
              <w:rPr>
                <w:b/>
                <w:sz w:val="18"/>
                <w:szCs w:val="18"/>
              </w:rPr>
            </w:pPr>
          </w:p>
          <w:p w14:paraId="6291F993">
            <w:pPr>
              <w:spacing w:line="240" w:lineRule="exact"/>
              <w:jc w:val="left"/>
              <w:rPr>
                <w:b/>
                <w:sz w:val="18"/>
                <w:szCs w:val="18"/>
              </w:rPr>
            </w:pPr>
          </w:p>
          <w:p w14:paraId="04B04B6F">
            <w:pPr>
              <w:spacing w:line="240" w:lineRule="exact"/>
              <w:jc w:val="left"/>
              <w:rPr>
                <w:sz w:val="18"/>
                <w:szCs w:val="18"/>
              </w:rPr>
            </w:pPr>
            <w:r>
              <w:rPr>
                <w:rFonts w:hint="eastAsia"/>
                <w:sz w:val="18"/>
                <w:szCs w:val="18"/>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rPr>
            </w:pPr>
            <w:r>
              <w:rPr>
                <w:rFonts w:hint="eastAsia"/>
                <w:b/>
                <w:szCs w:val="21"/>
              </w:rPr>
              <w:t>职能单位</w:t>
            </w:r>
          </w:p>
        </w:tc>
        <w:tc>
          <w:tcPr>
            <w:tcW w:w="9072" w:type="dxa"/>
            <w:gridSpan w:val="6"/>
            <w:noWrap w:val="0"/>
            <w:vAlign w:val="center"/>
          </w:tcPr>
          <w:p w14:paraId="7DFE7DA1">
            <w:pPr>
              <w:spacing w:line="240" w:lineRule="exact"/>
              <w:jc w:val="left"/>
              <w:rPr>
                <w:szCs w:val="21"/>
              </w:rPr>
            </w:pPr>
            <w:r>
              <w:rPr>
                <w:rFonts w:hint="eastAsia" w:ascii="宋体" w:hAnsi="宋体"/>
                <w:szCs w:val="21"/>
              </w:rPr>
              <w:t>□列入</w:t>
            </w:r>
            <w:r>
              <w:rPr>
                <w:rFonts w:hint="eastAsia"/>
                <w:szCs w:val="21"/>
              </w:rPr>
              <w:t xml:space="preserve">合格供应商名录        </w:t>
            </w:r>
            <w:r>
              <w:rPr>
                <w:rFonts w:hint="eastAsia" w:ascii="宋体" w:hAnsi="宋体"/>
                <w:szCs w:val="21"/>
              </w:rPr>
              <w:t>□暂缓列入</w:t>
            </w:r>
            <w:r>
              <w:rPr>
                <w:rFonts w:hint="eastAsia"/>
                <w:szCs w:val="21"/>
              </w:rPr>
              <w:t>合格供应商名录</w:t>
            </w:r>
          </w:p>
          <w:p w14:paraId="2788DD95">
            <w:pPr>
              <w:spacing w:line="240" w:lineRule="exact"/>
              <w:jc w:val="left"/>
              <w:rPr>
                <w:b/>
                <w:szCs w:val="21"/>
              </w:rPr>
            </w:pPr>
            <w:r>
              <w:rPr>
                <w:rFonts w:hint="eastAsia" w:ascii="仿宋_GB2312" w:eastAsia="仿宋_GB2312"/>
                <w:szCs w:val="21"/>
              </w:rPr>
              <w:t>综合评价及推荐意见：</w:t>
            </w:r>
          </w:p>
          <w:p w14:paraId="09E631C0">
            <w:pPr>
              <w:spacing w:line="240" w:lineRule="exact"/>
              <w:jc w:val="left"/>
              <w:rPr>
                <w:b/>
                <w:sz w:val="18"/>
                <w:szCs w:val="18"/>
              </w:rPr>
            </w:pPr>
          </w:p>
          <w:p w14:paraId="5BD38210">
            <w:pPr>
              <w:spacing w:line="240" w:lineRule="exact"/>
              <w:jc w:val="left"/>
              <w:rPr>
                <w:b/>
                <w:sz w:val="18"/>
                <w:szCs w:val="18"/>
              </w:rPr>
            </w:pPr>
          </w:p>
          <w:p w14:paraId="3F2890AC">
            <w:pPr>
              <w:spacing w:line="240" w:lineRule="exact"/>
              <w:jc w:val="left"/>
              <w:rPr>
                <w:b/>
                <w:sz w:val="18"/>
                <w:szCs w:val="18"/>
              </w:rPr>
            </w:pPr>
          </w:p>
          <w:p w14:paraId="5265232F">
            <w:pPr>
              <w:spacing w:line="240" w:lineRule="exact"/>
              <w:jc w:val="left"/>
              <w:rPr>
                <w:b/>
                <w:sz w:val="18"/>
                <w:szCs w:val="18"/>
              </w:rPr>
            </w:pPr>
            <w:r>
              <w:rPr>
                <w:rFonts w:hint="eastAsia"/>
                <w:sz w:val="18"/>
                <w:szCs w:val="18"/>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rPr>
            </w:pPr>
            <w:r>
              <w:rPr>
                <w:rFonts w:hint="eastAsia"/>
                <w:b/>
                <w:szCs w:val="21"/>
              </w:rPr>
              <w:t>物资部</w:t>
            </w:r>
          </w:p>
        </w:tc>
        <w:tc>
          <w:tcPr>
            <w:tcW w:w="9072" w:type="dxa"/>
            <w:gridSpan w:val="6"/>
            <w:noWrap w:val="0"/>
            <w:vAlign w:val="center"/>
          </w:tcPr>
          <w:p w14:paraId="61F4AE8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21263DA6">
            <w:pPr>
              <w:spacing w:line="240" w:lineRule="exact"/>
              <w:jc w:val="left"/>
              <w:rPr>
                <w:b/>
                <w:szCs w:val="21"/>
              </w:rPr>
            </w:pPr>
            <w:r>
              <w:rPr>
                <w:rFonts w:hint="eastAsia" w:ascii="仿宋_GB2312" w:eastAsia="仿宋_GB2312"/>
                <w:szCs w:val="21"/>
              </w:rPr>
              <w:t>（商务与资质方面）说明：</w:t>
            </w:r>
          </w:p>
          <w:p w14:paraId="155BBC22">
            <w:pPr>
              <w:spacing w:line="240" w:lineRule="exact"/>
              <w:jc w:val="left"/>
              <w:rPr>
                <w:b/>
                <w:sz w:val="18"/>
                <w:szCs w:val="18"/>
              </w:rPr>
            </w:pPr>
          </w:p>
          <w:p w14:paraId="0CCAFB17">
            <w:pPr>
              <w:spacing w:line="240" w:lineRule="exact"/>
              <w:jc w:val="left"/>
              <w:rPr>
                <w:b/>
                <w:sz w:val="18"/>
                <w:szCs w:val="18"/>
              </w:rPr>
            </w:pPr>
          </w:p>
          <w:p w14:paraId="3FF5F4B3">
            <w:pPr>
              <w:spacing w:line="240" w:lineRule="exact"/>
              <w:jc w:val="left"/>
              <w:rPr>
                <w:b/>
                <w:sz w:val="18"/>
                <w:szCs w:val="18"/>
              </w:rPr>
            </w:pPr>
          </w:p>
          <w:p w14:paraId="5EA10815">
            <w:pPr>
              <w:spacing w:line="240" w:lineRule="exact"/>
              <w:jc w:val="left"/>
              <w:rPr>
                <w:b/>
                <w:sz w:val="18"/>
                <w:szCs w:val="18"/>
              </w:rPr>
            </w:pPr>
            <w:r>
              <w:rPr>
                <w:rFonts w:hint="eastAsia"/>
                <w:sz w:val="18"/>
                <w:szCs w:val="18"/>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rPr>
            </w:pPr>
            <w:r>
              <w:rPr>
                <w:rFonts w:hint="eastAsia"/>
                <w:b/>
                <w:szCs w:val="21"/>
              </w:rPr>
              <w:t>专业分管领导</w:t>
            </w:r>
          </w:p>
        </w:tc>
        <w:tc>
          <w:tcPr>
            <w:tcW w:w="9072" w:type="dxa"/>
            <w:gridSpan w:val="6"/>
            <w:noWrap w:val="0"/>
            <w:vAlign w:val="center"/>
          </w:tcPr>
          <w:p w14:paraId="7D22CA0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76A9B082">
            <w:pPr>
              <w:spacing w:line="240" w:lineRule="exact"/>
              <w:jc w:val="left"/>
              <w:rPr>
                <w:rFonts w:ascii="仿宋_GB2312" w:eastAsia="仿宋_GB2312"/>
                <w:szCs w:val="21"/>
              </w:rPr>
            </w:pPr>
            <w:r>
              <w:rPr>
                <w:rFonts w:hint="eastAsia" w:ascii="仿宋_GB2312" w:eastAsia="仿宋_GB2312"/>
                <w:szCs w:val="21"/>
              </w:rPr>
              <w:t>说明：</w:t>
            </w:r>
          </w:p>
          <w:p w14:paraId="0AE9B68C">
            <w:pPr>
              <w:spacing w:line="240" w:lineRule="exact"/>
              <w:jc w:val="left"/>
              <w:rPr>
                <w:rFonts w:ascii="仿宋_GB2312" w:eastAsia="仿宋_GB2312"/>
                <w:szCs w:val="21"/>
              </w:rPr>
            </w:pPr>
          </w:p>
          <w:p w14:paraId="1C87A283">
            <w:pPr>
              <w:spacing w:line="240" w:lineRule="exact"/>
              <w:jc w:val="left"/>
              <w:rPr>
                <w:szCs w:val="21"/>
              </w:rPr>
            </w:pPr>
          </w:p>
          <w:p w14:paraId="6E821125">
            <w:pPr>
              <w:spacing w:line="240" w:lineRule="exact"/>
              <w:ind w:right="-53" w:rightChars="-25"/>
              <w:jc w:val="left"/>
              <w:rPr>
                <w:b/>
              </w:rPr>
            </w:pPr>
            <w:r>
              <w:rPr>
                <w:rFonts w:hint="eastAsia"/>
                <w:sz w:val="18"/>
                <w:szCs w:val="18"/>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rPr>
            </w:pPr>
            <w:r>
              <w:rPr>
                <w:rFonts w:hint="eastAsia"/>
                <w:b/>
                <w:szCs w:val="21"/>
              </w:rPr>
              <w:t>商务分管领导</w:t>
            </w:r>
          </w:p>
        </w:tc>
        <w:tc>
          <w:tcPr>
            <w:tcW w:w="9072" w:type="dxa"/>
            <w:gridSpan w:val="6"/>
            <w:noWrap w:val="0"/>
            <w:vAlign w:val="center"/>
          </w:tcPr>
          <w:p w14:paraId="066D10C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5690184">
            <w:pPr>
              <w:spacing w:line="240" w:lineRule="exact"/>
              <w:jc w:val="left"/>
              <w:rPr>
                <w:rFonts w:ascii="仿宋_GB2312" w:eastAsia="仿宋_GB2312"/>
                <w:szCs w:val="21"/>
              </w:rPr>
            </w:pPr>
            <w:r>
              <w:rPr>
                <w:rFonts w:hint="eastAsia" w:ascii="仿宋_GB2312" w:eastAsia="仿宋_GB2312"/>
                <w:szCs w:val="21"/>
              </w:rPr>
              <w:t>说明：</w:t>
            </w:r>
          </w:p>
          <w:p w14:paraId="2D40DAA2">
            <w:pPr>
              <w:spacing w:line="240" w:lineRule="exact"/>
              <w:jc w:val="left"/>
              <w:rPr>
                <w:rFonts w:ascii="仿宋_GB2312" w:eastAsia="仿宋_GB2312"/>
                <w:szCs w:val="21"/>
              </w:rPr>
            </w:pPr>
          </w:p>
          <w:p w14:paraId="7C419552">
            <w:pPr>
              <w:spacing w:line="240" w:lineRule="exact"/>
              <w:jc w:val="left"/>
              <w:rPr>
                <w:szCs w:val="21"/>
              </w:rPr>
            </w:pPr>
          </w:p>
          <w:p w14:paraId="2539A060">
            <w:pPr>
              <w:spacing w:line="240" w:lineRule="exact"/>
              <w:ind w:right="-53" w:rightChars="-25"/>
              <w:jc w:val="left"/>
              <w:rPr>
                <w:b/>
              </w:rPr>
            </w:pPr>
            <w:r>
              <w:rPr>
                <w:rFonts w:hint="eastAsia"/>
                <w:sz w:val="18"/>
                <w:szCs w:val="18"/>
              </w:rPr>
              <w:t xml:space="preserve">                                                           签字：                      年    月    日</w:t>
            </w:r>
          </w:p>
        </w:tc>
      </w:tr>
    </w:tbl>
    <w:p w14:paraId="71A57B95">
      <w:pPr>
        <w:spacing w:line="240" w:lineRule="exact"/>
        <w:ind w:left="-510" w:leftChars="-243"/>
        <w:rPr>
          <w:sz w:val="18"/>
          <w:szCs w:val="18"/>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rPr>
      </w:pPr>
      <w:r>
        <w:rPr>
          <w:rFonts w:hint="eastAsia" w:hAnsi="宋体"/>
          <w:b/>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rPr>
      </w:pPr>
      <w:bookmarkStart w:id="0" w:name="_Toc20976"/>
      <w:r>
        <w:rPr>
          <w:szCs w:val="21"/>
        </w:rPr>
        <w:t>1.</w:t>
      </w:r>
      <w:r>
        <w:rPr>
          <w:rFonts w:hint="eastAsia"/>
          <w:szCs w:val="21"/>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2</w:t>
      </w:r>
      <w:r>
        <w:rPr>
          <w:szCs w:val="21"/>
        </w:rPr>
        <w:t>.</w:t>
      </w:r>
      <w:r>
        <w:rPr>
          <w:rFonts w:hAnsi="宋体"/>
          <w:szCs w:val="21"/>
        </w:rPr>
        <w:t>工程</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运营期的设施工程的新建、扩建、缺陷整改</w:t>
      </w:r>
      <w:r>
        <w:rPr>
          <w:rFonts w:hint="eastAsia" w:hAnsi="宋体"/>
          <w:szCs w:val="21"/>
        </w:rPr>
        <w:t>、工程设计</w:t>
      </w:r>
      <w:r>
        <w:rPr>
          <w:rFonts w:hAnsi="宋体"/>
          <w:szCs w:val="21"/>
        </w:rPr>
        <w:t>等项目</w:t>
      </w:r>
      <w:r>
        <w:rPr>
          <w:rFonts w:hint="eastAsia" w:hAnsi="宋体"/>
          <w:szCs w:val="21"/>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hAnsi="宋体"/>
          <w:szCs w:val="21"/>
        </w:rPr>
        <w:t>3.委送外修类项目：是指</w:t>
      </w:r>
      <w:r>
        <w:rPr>
          <w:rFonts w:hint="eastAsia" w:hAnsi="宋体"/>
          <w:szCs w:val="21"/>
          <w:lang w:val="en-US" w:eastAsia="zh-CN"/>
        </w:rPr>
        <w:t>滁宁城铁</w:t>
      </w:r>
      <w:r>
        <w:rPr>
          <w:rFonts w:hint="eastAsia" w:hAnsi="宋体"/>
          <w:szCs w:val="21"/>
        </w:rPr>
        <w:t>运营期的设备委外维保、送外修等项目</w:t>
      </w:r>
      <w:r>
        <w:rPr>
          <w:rFonts w:hint="eastAsia" w:hAnsi="宋体"/>
          <w:szCs w:val="21"/>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lang w:eastAsia="zh-CN"/>
        </w:rPr>
      </w:pPr>
      <w:bookmarkStart w:id="1" w:name="_Toc10584"/>
      <w:r>
        <w:rPr>
          <w:rFonts w:hint="eastAsia" w:hAnsi="宋体"/>
          <w:szCs w:val="21"/>
        </w:rPr>
        <w:t>4.物资采购类项目：是指物资、设施采购项目</w:t>
      </w:r>
      <w:bookmarkEnd w:id="1"/>
      <w:r>
        <w:rPr>
          <w:rFonts w:hint="eastAsia" w:hAnsi="宋体"/>
          <w:szCs w:val="21"/>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5</w:t>
      </w:r>
      <w:r>
        <w:rPr>
          <w:szCs w:val="21"/>
        </w:rPr>
        <w:t>.</w:t>
      </w:r>
      <w:r>
        <w:rPr>
          <w:rFonts w:hAnsi="宋体"/>
          <w:szCs w:val="21"/>
        </w:rPr>
        <w:t>服务</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w:t>
      </w:r>
      <w:r>
        <w:rPr>
          <w:rFonts w:hint="eastAsia" w:hAnsi="宋体"/>
          <w:szCs w:val="21"/>
        </w:rPr>
        <w:t>软件开发、咨询</w:t>
      </w:r>
      <w:r>
        <w:rPr>
          <w:rFonts w:hAnsi="宋体"/>
          <w:szCs w:val="21"/>
        </w:rPr>
        <w:t>、</w:t>
      </w:r>
      <w:r>
        <w:rPr>
          <w:rFonts w:hint="eastAsia" w:hAnsi="宋体"/>
          <w:szCs w:val="21"/>
        </w:rPr>
        <w:t>培训、安检服务、后勤保障</w:t>
      </w:r>
      <w:r>
        <w:rPr>
          <w:rFonts w:hAnsi="宋体"/>
          <w:szCs w:val="21"/>
        </w:rPr>
        <w:t>等项目</w:t>
      </w:r>
      <w:r>
        <w:rPr>
          <w:rFonts w:hint="eastAsia" w:hAnsi="宋体"/>
          <w:szCs w:val="21"/>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lang w:eastAsia="zh-CN"/>
        </w:rPr>
      </w:pPr>
      <w:bookmarkStart w:id="2" w:name="_Toc1802"/>
      <w:r>
        <w:rPr>
          <w:rFonts w:hint="eastAsia"/>
          <w:szCs w:val="21"/>
        </w:rPr>
        <w:t>6</w:t>
      </w:r>
      <w:r>
        <w:rPr>
          <w:szCs w:val="21"/>
        </w:rPr>
        <w:t>.</w:t>
      </w:r>
      <w:r>
        <w:rPr>
          <w:rFonts w:hAnsi="宋体"/>
          <w:szCs w:val="21"/>
        </w:rPr>
        <w:t>资质档案文件须提供</w:t>
      </w:r>
      <w:r>
        <w:rPr>
          <w:rFonts w:hint="eastAsia" w:hAnsi="宋体"/>
          <w:szCs w:val="21"/>
        </w:rPr>
        <w:t>加盖公章的复印件</w:t>
      </w:r>
      <w:r>
        <w:rPr>
          <w:rFonts w:hAnsi="宋体"/>
          <w:szCs w:val="21"/>
        </w:rPr>
        <w:t>存档，原件备查</w:t>
      </w:r>
      <w:bookmarkEnd w:id="2"/>
      <w:r>
        <w:rPr>
          <w:rFonts w:hint="eastAsia" w:hAnsi="宋体"/>
          <w:szCs w:val="21"/>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rPr>
      </w:pPr>
      <w:r>
        <w:rPr>
          <w:rFonts w:hint="eastAsia"/>
          <w:szCs w:val="21"/>
        </w:rPr>
        <w:t>7</w:t>
      </w:r>
      <w:r>
        <w:rPr>
          <w:szCs w:val="21"/>
        </w:rPr>
        <w:t>.</w:t>
      </w:r>
      <w:r>
        <w:rPr>
          <w:rFonts w:hint="eastAsia" w:hAnsi="宋体"/>
          <w:szCs w:val="21"/>
        </w:rPr>
        <w:t>供应商</w:t>
      </w:r>
      <w:r>
        <w:rPr>
          <w:rFonts w:hAnsi="宋体"/>
          <w:szCs w:val="21"/>
        </w:rPr>
        <w:t>所列业绩必须提供证明文件及相</w:t>
      </w:r>
      <w:r>
        <w:rPr>
          <w:szCs w:val="21"/>
        </w:rPr>
        <w:t>关合同，至少要提供3个合格业绩</w:t>
      </w:r>
      <w:r>
        <w:rPr>
          <w:rFonts w:hint="eastAsia"/>
          <w:szCs w:val="21"/>
        </w:rPr>
        <w:t>。</w:t>
      </w:r>
    </w:p>
    <w:p w14:paraId="2492FA76">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rPr>
        <w:br w:type="page"/>
      </w:r>
    </w:p>
    <w:p w14:paraId="5801E914">
      <w:pPr>
        <w:widowControl/>
        <w:jc w:val="left"/>
        <w:rPr>
          <w:rFonts w:hint="eastAsia" w:eastAsia="宋体"/>
          <w:sz w:val="24"/>
          <w:szCs w:val="24"/>
          <w:lang w:val="en-US" w:eastAsia="zh-CN"/>
        </w:rPr>
      </w:pPr>
      <w:r>
        <w:rPr>
          <w:rFonts w:hint="eastAsia"/>
        </w:rPr>
        <w:t>格式</w:t>
      </w:r>
      <w:r>
        <w:rPr>
          <w:rFonts w:hint="eastAsia"/>
          <w:lang w:val="en-US" w:eastAsia="zh-CN"/>
        </w:rPr>
        <w:t>4</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1E87D8A1">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lang w:val="en-US" w:eastAsia="zh-CN"/>
        </w:rPr>
      </w:pPr>
      <w:r>
        <w:rPr>
          <w:rFonts w:hint="eastAsia"/>
        </w:rPr>
        <w:t>格式</w:t>
      </w:r>
      <w:r>
        <w:rPr>
          <w:rFonts w:hint="eastAsia"/>
          <w:lang w:val="en-US" w:eastAsia="zh-CN"/>
        </w:rPr>
        <w:t>5</w:t>
      </w:r>
    </w:p>
    <w:p w14:paraId="57B65C54">
      <w:pPr>
        <w:pStyle w:val="4"/>
        <w:spacing w:before="2" w:beforeLines="1" w:after="2" w:afterLines="1" w:line="360" w:lineRule="auto"/>
        <w:jc w:val="center"/>
        <w:rPr>
          <w:rFonts w:ascii="Arial" w:hAnsi="Arial" w:cs="Arial"/>
          <w:sz w:val="30"/>
          <w:szCs w:val="30"/>
        </w:rPr>
      </w:pPr>
      <w:bookmarkStart w:id="3" w:name="_Toc472325755"/>
      <w:bookmarkStart w:id="4" w:name="_Toc470617844"/>
      <w:bookmarkStart w:id="5" w:name="_Toc22503"/>
      <w:bookmarkStart w:id="6" w:name="_Toc477250300"/>
      <w:bookmarkStart w:id="7" w:name="_Toc92804592"/>
      <w:bookmarkStart w:id="8" w:name="_Toc471894962"/>
      <w:bookmarkStart w:id="9" w:name="_Toc10620851"/>
      <w:r>
        <w:rPr>
          <w:rFonts w:hint="eastAsia" w:ascii="Arial" w:hAnsi="Arial"/>
        </w:rPr>
        <w:t>诚信承诺书</w:t>
      </w:r>
      <w:bookmarkEnd w:id="3"/>
      <w:bookmarkEnd w:id="4"/>
      <w:bookmarkEnd w:id="5"/>
      <w:bookmarkEnd w:id="6"/>
      <w:bookmarkEnd w:id="7"/>
      <w:bookmarkEnd w:id="8"/>
      <w:bookmarkEnd w:id="9"/>
    </w:p>
    <w:p w14:paraId="4A50293A">
      <w:pPr>
        <w:pStyle w:val="10"/>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rPr>
      </w:pPr>
      <w:r>
        <w:rPr>
          <w:rFonts w:hint="eastAsia" w:ascii="Arial" w:hAnsi="Arial"/>
          <w:sz w:val="24"/>
        </w:rPr>
        <w:t>积极配合</w:t>
      </w:r>
      <w:r>
        <w:rPr>
          <w:rFonts w:hint="eastAsia" w:ascii="Arial" w:hAnsi="Arial"/>
          <w:sz w:val="24"/>
          <w:lang w:val="en-US" w:eastAsia="zh-CN"/>
        </w:rPr>
        <w:t>经办</w:t>
      </w:r>
      <w:r>
        <w:rPr>
          <w:rFonts w:hint="eastAsia" w:ascii="Arial" w:hAnsi="Arial"/>
          <w:sz w:val="24"/>
        </w:rPr>
        <w:t>人在报价有效期内对本单位报价文件的核实审查；</w:t>
      </w:r>
    </w:p>
    <w:p w14:paraId="13FBA4DE">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w:t>
      </w:r>
      <w:r>
        <w:rPr>
          <w:rFonts w:hint="eastAsia" w:ascii="Arial" w:hAnsi="Arial"/>
          <w:sz w:val="24"/>
          <w:lang w:val="en-US" w:eastAsia="zh-CN"/>
        </w:rPr>
        <w:t>经办</w:t>
      </w:r>
      <w:r>
        <w:rPr>
          <w:rFonts w:hint="eastAsia" w:ascii="Arial" w:hAnsi="Arial"/>
          <w:sz w:val="24"/>
        </w:rPr>
        <w:t>人签订书面合同；</w:t>
      </w:r>
    </w:p>
    <w:p w14:paraId="0A90F074">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4"/>
        </w:numPr>
        <w:spacing w:line="360" w:lineRule="auto"/>
        <w:rPr>
          <w:rFonts w:ascii="Arial" w:hAnsi="Arial"/>
          <w:sz w:val="24"/>
        </w:rPr>
      </w:pPr>
      <w:r>
        <w:rPr>
          <w:rFonts w:hint="eastAsia" w:ascii="Arial" w:hAnsi="Arial"/>
          <w:sz w:val="24"/>
        </w:rPr>
        <w:t>如成交，取消本单位成交资格；</w:t>
      </w:r>
    </w:p>
    <w:p w14:paraId="61719BB7">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w:t>
      </w:r>
      <w:r>
        <w:rPr>
          <w:rFonts w:hint="eastAsia" w:ascii="Arial" w:hAnsi="Arial"/>
          <w:sz w:val="24"/>
          <w:lang w:val="en-US" w:eastAsia="zh-CN"/>
        </w:rPr>
        <w:t>我司</w:t>
      </w:r>
      <w:r>
        <w:rPr>
          <w:rFonts w:hint="eastAsia" w:ascii="Arial" w:hAnsi="Arial"/>
          <w:sz w:val="24"/>
        </w:rPr>
        <w:t>有权解除合同并追究法律责任；</w:t>
      </w:r>
    </w:p>
    <w:p w14:paraId="1321718A">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w:t>
      </w:r>
      <w:r>
        <w:rPr>
          <w:rFonts w:hint="eastAsia" w:ascii="Arial" w:hAnsi="Arial"/>
          <w:sz w:val="24"/>
          <w:lang w:val="en-US" w:eastAsia="zh-CN"/>
        </w:rPr>
        <w:t>我司</w:t>
      </w:r>
      <w:r>
        <w:rPr>
          <w:rFonts w:hint="eastAsia" w:ascii="Arial" w:hAnsi="Arial"/>
          <w:sz w:val="24"/>
        </w:rPr>
        <w:t>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322D0C3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8"/>
        <w:spacing w:before="0" w:after="100" w:afterAutospacing="1" w:line="360" w:lineRule="auto"/>
      </w:pPr>
      <w:r>
        <w:rPr>
          <w:rFonts w:hint="eastAsia"/>
        </w:rPr>
        <w:t>第五章 合同条款</w:t>
      </w:r>
    </w:p>
    <w:p w14:paraId="7B2D347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ighlight w:val="none"/>
        </w:rPr>
      </w:pPr>
      <w:r>
        <w:rPr>
          <w:rFonts w:hint="eastAsia"/>
          <w:highlight w:val="none"/>
        </w:rPr>
        <w:t>根据《中华人民共和国民法典》《中华人民共和国固体废物污染环境防治法》及相关法律法规的规定，甲乙双方就甲方产生的危险废弃物委托乙方处置事宜，经平等协商，达成如下协议：</w:t>
      </w:r>
    </w:p>
    <w:p w14:paraId="2BAD6DB0">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textAlignment w:val="auto"/>
        <w:rPr>
          <w:rFonts w:hint="default" w:eastAsia="宋体"/>
          <w:highlight w:val="none"/>
          <w:lang w:val="en-US" w:eastAsia="zh-CN"/>
        </w:rPr>
      </w:pPr>
      <w:r>
        <w:rPr>
          <w:rFonts w:hint="eastAsia"/>
          <w:b/>
          <w:bCs/>
          <w:highlight w:val="none"/>
          <w:lang w:val="en-US" w:eastAsia="zh-CN"/>
        </w:rPr>
        <w:t>处置内容</w:t>
      </w:r>
    </w:p>
    <w:p w14:paraId="7EBC62C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ighlight w:val="none"/>
        </w:rPr>
      </w:pPr>
      <w:r>
        <w:rPr>
          <w:rFonts w:hint="eastAsia"/>
          <w:highlight w:val="none"/>
          <w:lang w:val="en-US" w:eastAsia="zh-CN"/>
        </w:rPr>
        <w:t xml:space="preserve">1.1 </w:t>
      </w:r>
      <w:r>
        <w:rPr>
          <w:rFonts w:hint="eastAsia"/>
          <w:highlight w:val="none"/>
        </w:rPr>
        <w:t>甲方委托乙方处置的危险废弃物</w:t>
      </w:r>
      <w:r>
        <w:rPr>
          <w:rFonts w:hint="eastAsia"/>
          <w:highlight w:val="none"/>
          <w:lang w:val="en-US" w:eastAsia="zh-CN"/>
        </w:rPr>
        <w:t>包括废机油、废铅酸蓄电池以及废墨盒</w:t>
      </w:r>
      <w:r>
        <w:rPr>
          <w:rFonts w:hint="eastAsia"/>
          <w:highlight w:val="none"/>
          <w:lang w:eastAsia="zh-CN"/>
        </w:rPr>
        <w:t>，</w:t>
      </w:r>
      <w:r>
        <w:rPr>
          <w:rFonts w:hint="eastAsia"/>
          <w:highlight w:val="none"/>
          <w:lang w:val="en-US" w:eastAsia="zh-CN"/>
        </w:rPr>
        <w:t>数量最终以实际处置为准</w:t>
      </w:r>
      <w:r>
        <w:rPr>
          <w:rFonts w:hint="eastAsia"/>
          <w:highlight w:val="none"/>
        </w:rPr>
        <w:t>。</w:t>
      </w:r>
    </w:p>
    <w:p w14:paraId="1748A16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ighlight w:val="none"/>
        </w:rPr>
      </w:pPr>
      <w:r>
        <w:rPr>
          <w:rFonts w:hint="eastAsia"/>
          <w:highlight w:val="none"/>
          <w:lang w:val="en-US" w:eastAsia="zh-CN"/>
        </w:rPr>
        <w:t xml:space="preserve">1.2 </w:t>
      </w:r>
      <w:r>
        <w:rPr>
          <w:rFonts w:hint="eastAsia"/>
          <w:highlight w:val="none"/>
        </w:rPr>
        <w:t>乙方应依据国家有关法律法规和相关技术规范，对甲方提供的危险废弃物进行安全处置，确保处置过程符合环境保护要求，不对环境造成二次污染。</w:t>
      </w:r>
    </w:p>
    <w:p w14:paraId="6C80AF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highlight w:val="none"/>
          <w:lang w:val="en-US" w:eastAsia="zh-CN"/>
        </w:rPr>
      </w:pPr>
      <w:r>
        <w:rPr>
          <w:rFonts w:hint="eastAsia"/>
          <w:b/>
          <w:bCs/>
          <w:highlight w:val="none"/>
          <w:lang w:val="en-US" w:eastAsia="zh-CN"/>
        </w:rPr>
        <w:t>2. 处置费用</w:t>
      </w:r>
    </w:p>
    <w:p w14:paraId="359E0A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lang w:eastAsia="zh-CN"/>
        </w:rPr>
      </w:pPr>
      <w:r>
        <w:rPr>
          <w:rFonts w:hint="eastAsia"/>
          <w:highlight w:val="none"/>
          <w:lang w:val="en-US" w:eastAsia="zh-CN"/>
        </w:rPr>
        <w:t>2.1 本框架合同的总金额（含税）上限为人民币（大写）</w:t>
      </w:r>
      <w:r>
        <w:rPr>
          <w:rFonts w:hint="eastAsia"/>
          <w:highlight w:val="none"/>
          <w:u w:val="single"/>
          <w:lang w:val="en-US" w:eastAsia="zh-CN"/>
        </w:rPr>
        <w:t xml:space="preserve">          </w:t>
      </w:r>
      <w:r>
        <w:rPr>
          <w:rFonts w:hint="eastAsia"/>
          <w:highlight w:val="none"/>
          <w:lang w:val="en-US" w:eastAsia="zh-CN"/>
        </w:rPr>
        <w:t>（¥</w:t>
      </w:r>
      <w:r>
        <w:rPr>
          <w:rFonts w:hint="eastAsia"/>
          <w:highlight w:val="none"/>
          <w:u w:val="single"/>
          <w:lang w:val="en-US" w:eastAsia="zh-CN"/>
        </w:rPr>
        <w:t xml:space="preserve">          </w:t>
      </w:r>
      <w:r>
        <w:rPr>
          <w:rFonts w:hint="eastAsia"/>
          <w:highlight w:val="none"/>
          <w:lang w:val="en-US" w:eastAsia="zh-CN"/>
        </w:rPr>
        <w:t xml:space="preserve">元）, </w:t>
      </w:r>
      <w:r>
        <w:rPr>
          <w:rFonts w:hint="eastAsia"/>
          <w:highlight w:val="none"/>
        </w:rPr>
        <w:t>具体种类、</w:t>
      </w:r>
      <w:r>
        <w:rPr>
          <w:rFonts w:hint="eastAsia"/>
          <w:highlight w:val="none"/>
          <w:lang w:val="en-US" w:eastAsia="zh-CN"/>
        </w:rPr>
        <w:t>处置单价</w:t>
      </w:r>
      <w:r>
        <w:rPr>
          <w:rFonts w:hint="eastAsia"/>
          <w:highlight w:val="none"/>
        </w:rPr>
        <w:t>等详见附件1《危险废弃物清单》</w:t>
      </w:r>
      <w:r>
        <w:rPr>
          <w:rFonts w:hint="eastAsia"/>
          <w:highlight w:val="none"/>
          <w:lang w:eastAsia="zh-CN"/>
        </w:rPr>
        <w:t>。乙方与甲方签订的各《处置通知单》的结算总金额达到本框架合同上限总金额的</w:t>
      </w:r>
      <w:r>
        <w:rPr>
          <w:rFonts w:hint="eastAsia"/>
          <w:highlight w:val="none"/>
          <w:u w:val="single"/>
          <w:lang w:eastAsia="zh-CN"/>
        </w:rPr>
        <w:t>95%</w:t>
      </w:r>
      <w:r>
        <w:rPr>
          <w:rFonts w:hint="eastAsia"/>
          <w:highlight w:val="none"/>
          <w:lang w:eastAsia="zh-CN"/>
        </w:rPr>
        <w:t>至</w:t>
      </w:r>
      <w:r>
        <w:rPr>
          <w:rFonts w:hint="eastAsia"/>
          <w:highlight w:val="none"/>
          <w:u w:val="single"/>
          <w:lang w:eastAsia="zh-CN"/>
        </w:rPr>
        <w:t>100%</w:t>
      </w:r>
      <w:r>
        <w:rPr>
          <w:rFonts w:hint="eastAsia"/>
          <w:highlight w:val="none"/>
          <w:lang w:eastAsia="zh-CN"/>
        </w:rPr>
        <w:t>，甲方有权终止本框架合同。</w:t>
      </w:r>
    </w:p>
    <w:p w14:paraId="1F3C88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ighlight w:val="none"/>
          <w:lang w:val="en-US" w:eastAsia="zh-CN"/>
        </w:rPr>
      </w:pPr>
      <w:r>
        <w:rPr>
          <w:rFonts w:hint="eastAsia"/>
          <w:highlight w:val="none"/>
          <w:lang w:val="en-US" w:eastAsia="zh-CN"/>
        </w:rPr>
        <w:t xml:space="preserve">2.2 根据本框架合同签订的《处置通知单》受本框架合同的约束，在本合同终止或解除后，甲方不再签订《处置通知单》，但各方仍应按照本合同的其他约定和已签订的《处置通知单》履行各项义务，直到该处置通知单下的权利义务履行完毕并无争议时止。《处置通知单》的终止或解除，不影响本框架合同的效力。    </w:t>
      </w:r>
    </w:p>
    <w:p w14:paraId="110BE8B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2.3 本合同中约定的价格为合同有效期内（自本框架合同签订之日起至</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日或甲方下次处置结果确定时止）的危险废弃物处置单价（见附件1《</w:t>
      </w:r>
      <w:r>
        <w:rPr>
          <w:rFonts w:hint="eastAsia"/>
          <w:highlight w:val="none"/>
        </w:rPr>
        <w:t>危险废弃物清单</w:t>
      </w:r>
      <w:r>
        <w:rPr>
          <w:rFonts w:hint="eastAsia"/>
          <w:lang w:val="en-US" w:eastAsia="zh-CN"/>
        </w:rPr>
        <w:t>》）。该费用包含包装、仓储、运输、装卸、税费、保险、售后服务等与危险废弃物处置相关的全部费用。</w:t>
      </w:r>
    </w:p>
    <w:p w14:paraId="06FCE51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3. 支付方式</w:t>
      </w:r>
    </w:p>
    <w:p w14:paraId="0E3393B3">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3.1 乙方完成危险废弃物处置，并向甲方提供合法有效的发票及相关证明文件后，于</w:t>
      </w:r>
      <w:r>
        <w:rPr>
          <w:rFonts w:hint="eastAsia"/>
          <w:u w:val="single"/>
          <w:lang w:val="en-US" w:eastAsia="zh-CN"/>
        </w:rPr>
        <w:t>90</w:t>
      </w:r>
      <w:r>
        <w:rPr>
          <w:rFonts w:hint="eastAsia"/>
          <w:lang w:val="en-US" w:eastAsia="zh-CN"/>
        </w:rPr>
        <w:t>个工作日内结清。</w:t>
      </w:r>
    </w:p>
    <w:p w14:paraId="54BDC634">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3.2 结算方式为银行转账。</w:t>
      </w:r>
    </w:p>
    <w:p w14:paraId="7B419746">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3.3 本合同约定的不含税价款不因国家税率变化而变化。在合同履行期间，如遇国家的税率调整或其他政策影响税率的，则价税合计金额做相应调整。</w:t>
      </w:r>
    </w:p>
    <w:p w14:paraId="445EBDE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4. 交货、质量、安全事项</w:t>
      </w:r>
    </w:p>
    <w:p w14:paraId="7DD264D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4.1 交货时间：甲方向乙方发送《处置通知单》，乙方在接到甲方处置通知之时起3个日历天内，按照通知要求完成处置。</w:t>
      </w:r>
    </w:p>
    <w:p w14:paraId="1128E6D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4.2 交货数量：以甲方实际生产产量为准。</w:t>
      </w:r>
    </w:p>
    <w:p w14:paraId="6310BAC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4.3 交货频次：以甲方实际生产需求为准。</w:t>
      </w:r>
    </w:p>
    <w:p w14:paraId="4E47998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4.4 交货地点：滁宁城际铁路（滁州段）全线各车站、车辆段以及控制中心。</w:t>
      </w:r>
    </w:p>
    <w:p w14:paraId="0A9DBE6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4.5 本次报废处置采用过磅计重（部分同规格物品，可采取单个计重法，综合考虑损耗比例）。</w:t>
      </w:r>
    </w:p>
    <w:p w14:paraId="478D765B">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4.6 乙方负责拆解过程中会用到的人力、机械、设备等，并承担发生的费用。</w:t>
      </w:r>
    </w:p>
    <w:p w14:paraId="7E3379A7">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4.7 乙方负责货物的包装（交易过程中所需各类包装物及打包服务）、装卸、运输及可能发生的第三方过磅，承担其发生的一切费用并对全过程中的人员、车辆、施工等所有安全事项负全责，并负责清理现场（因提货发生的清洁卫生）。</w:t>
      </w:r>
    </w:p>
    <w:p w14:paraId="77E7862E">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4.8 乙方在货物接收过程中有动火等操作需求，须提前申请并按照甲方公司安全规定进行操作。</w:t>
      </w:r>
    </w:p>
    <w:p w14:paraId="0119637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4.9 乙方明确知道甲方本次处置物品为报废物品，甲方不对有关物品在质量、使用性能等方面存在的瑕疵或缺陷问题承担任何责任。</w:t>
      </w:r>
    </w:p>
    <w:p w14:paraId="6BEC90A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4.10 报价数量为预估数量，以实际交货数量为准。</w:t>
      </w:r>
    </w:p>
    <w:p w14:paraId="03A967C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4.11 乙方对回收处置过程中造成的物品及场地损坏进行恢复换新或照价赔偿。</w:t>
      </w:r>
    </w:p>
    <w:p w14:paraId="25F8F13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4.12 乙方对施工全过程中的人员、车辆、施工等所有安全事项负全责。</w:t>
      </w:r>
    </w:p>
    <w:p w14:paraId="25C28C3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4.13 乙方在实物交付过程中如未按照合同规定执行，甲方有权提前终止本合同。</w:t>
      </w:r>
    </w:p>
    <w:p w14:paraId="11AF8FA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5. 甲方权利义务</w:t>
      </w:r>
    </w:p>
    <w:p w14:paraId="0827E89C">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5.1 甲方应按照相关法律法规的规定，对产生的危险废弃物进行分类、收集、暂存。</w:t>
      </w:r>
    </w:p>
    <w:p w14:paraId="64B81066">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5.2 甲方应如实向乙方提供危险废弃物的种类、数量、性质、成分等信息，并按照乙方要求提供相关的技术资料和文件。</w:t>
      </w:r>
    </w:p>
    <w:p w14:paraId="26E75BD8">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5.3 甲方有权对乙方的处置工作进行监督和检查，如发现乙方存在违规操作或处置不符合要求的情况，有权要求乙方立即整改，并采取相应的补救措施。</w:t>
      </w:r>
    </w:p>
    <w:p w14:paraId="029FBA7E">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5.4 甲方应按照本合同约定的时间和方式向乙方支付处置费用。</w:t>
      </w:r>
    </w:p>
    <w:p w14:paraId="02F1D853">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5.5 如遇不可抗力事件或甲方运营生产需要，甲方可临时调整处置计划。</w:t>
      </w:r>
    </w:p>
    <w:p w14:paraId="0A6A685A">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6. 乙方权利义务</w:t>
      </w:r>
    </w:p>
    <w:p w14:paraId="506B134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6.1 乙方应具备合法有效的危险废弃物经营许可证、营业执照等资质，并确保其派来接收和处置危险废弃物的人员具备相应的专业资质和操作证书并对此承担相关法律责任。</w:t>
      </w:r>
    </w:p>
    <w:p w14:paraId="42150FA2">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6.2 乙方应按照国家环保相关法律法规的规定和标准，对接收的危险废弃物进行运输、储存和处置，并承担处置过程中的环境风险和安全责任。</w:t>
      </w:r>
    </w:p>
    <w:p w14:paraId="5026F4C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6.3 乙方应在接到甲方通知后，按照指定的时间和地点，及时安排专用车辆和专业人员接收危险废弃物，并按照《危险废物转移联单管理办法》的要求，填写、运行危险废物转移联单。</w:t>
      </w:r>
    </w:p>
    <w:p w14:paraId="6E0C267D">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6.4 乙方应将危险废物接受情况、利用或者处置结果及时告知甲方。</w:t>
      </w:r>
    </w:p>
    <w:p w14:paraId="09D9C7DB">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6.5 乙方有权按照本合同约定向甲方收取处置费用，并在完成处置工作后，向甲方提供合法有效的发票及相关证明文件。</w:t>
      </w:r>
    </w:p>
    <w:p w14:paraId="7296BDC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7. 危险废弃物的转移与运输</w:t>
      </w:r>
    </w:p>
    <w:p w14:paraId="7CDFBF2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7.1 乙方负责按照国家有关危险货物运输的规定，安排具备资质的运输车辆和押运人员，将危险废弃物安全运输至其处置场所。</w:t>
      </w:r>
    </w:p>
    <w:p w14:paraId="35DE534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7.2 运输过程中，乙方应采取必要的安全措施，确保危险废弃物不泄漏、不扩散、不丢失，如因乙方原因导致危险废弃物污染环境或造成人身伤害、财产损失的，乙方应承担全部赔偿责任。</w:t>
      </w:r>
    </w:p>
    <w:p w14:paraId="34584D29">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lang w:val="en-US" w:eastAsia="zh-CN"/>
        </w:rPr>
      </w:pPr>
      <w:r>
        <w:rPr>
          <w:rFonts w:hint="eastAsia"/>
          <w:lang w:val="en-US" w:eastAsia="zh-CN"/>
        </w:rPr>
        <w:t>7.3 危险废弃物的转移和运输费用由乙方承担。</w:t>
      </w:r>
    </w:p>
    <w:p w14:paraId="2E18D613">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8. 履约保证金</w:t>
      </w:r>
    </w:p>
    <w:p w14:paraId="6033D717">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8.1 在本合同签订时，乙方应向甲方提交履约保证金，金额为人民币（大写）</w:t>
      </w:r>
      <w:r>
        <w:rPr>
          <w:rFonts w:hint="eastAsia"/>
          <w:u w:val="single"/>
          <w:lang w:val="en-US" w:eastAsia="zh-CN"/>
        </w:rPr>
        <w:t xml:space="preserve">         </w:t>
      </w:r>
      <w:r>
        <w:rPr>
          <w:rFonts w:hint="eastAsia"/>
          <w:lang w:val="en-US" w:eastAsia="zh-CN"/>
        </w:rPr>
        <w:t>（¥</w:t>
      </w:r>
      <w:r>
        <w:rPr>
          <w:rFonts w:hint="eastAsia"/>
          <w:u w:val="single"/>
          <w:lang w:val="en-US" w:eastAsia="zh-CN"/>
        </w:rPr>
        <w:t xml:space="preserve">        </w:t>
      </w:r>
      <w:r>
        <w:rPr>
          <w:rFonts w:hint="eastAsia"/>
          <w:lang w:val="en-US" w:eastAsia="zh-CN"/>
        </w:rPr>
        <w:t>元）。</w:t>
      </w:r>
    </w:p>
    <w:p w14:paraId="58287116">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8.2 履约保证金提交方式：应按照本合同要求向甲方提交履约保证金或按甲方要求开具同等金额的银行保函。</w:t>
      </w:r>
    </w:p>
    <w:p w14:paraId="24306AF5">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8.3 履约保证金由甲方持有，甲方有权在该履约保证金内扣除任何乙方应付而未付之任何款项（包括但不限于合同约定的乙方应支付款项、甲方垫付的其他费用等），及任何因乙方在不遵守或不履行本合同条款之任何部分而导致的任何费用支出、违约金、损失或损害赔偿金。</w:t>
      </w:r>
    </w:p>
    <w:p w14:paraId="5C11B203">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8.4 如甲方根据本合同的约定扣除履约保证金，乙方必须在扣款后</w:t>
      </w:r>
      <w:r>
        <w:rPr>
          <w:rFonts w:hint="eastAsia"/>
          <w:u w:val="single"/>
          <w:lang w:val="en-US" w:eastAsia="zh-CN"/>
        </w:rPr>
        <w:t xml:space="preserve"> 5 </w:t>
      </w:r>
      <w:r>
        <w:rPr>
          <w:rFonts w:hint="eastAsia"/>
          <w:lang w:val="en-US" w:eastAsia="zh-CN"/>
        </w:rPr>
        <w:t>个工作日内，补足相等于该扣除款额的履约保证金，以保证合同履行期间履约保证金的完整。如履约保证金尚不能弥补甲方的损失，甲方有权向甲方另行主张赔偿。</w:t>
      </w:r>
    </w:p>
    <w:p w14:paraId="49DD8AE0">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8.5 履约保证金的有效期限至本合同项下最后一批废弃物处置完成之日止。履约保证金有效期满后，甲方审核无误后于</w:t>
      </w:r>
      <w:r>
        <w:rPr>
          <w:rFonts w:hint="eastAsia"/>
          <w:u w:val="single"/>
          <w:lang w:val="en-US" w:eastAsia="zh-CN"/>
        </w:rPr>
        <w:t>30</w:t>
      </w:r>
      <w:r>
        <w:rPr>
          <w:rFonts w:hint="eastAsia"/>
          <w:lang w:val="en-US" w:eastAsia="zh-CN"/>
        </w:rPr>
        <w:t>个工作日内无息退回。</w:t>
      </w:r>
    </w:p>
    <w:p w14:paraId="131C9E25">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b/>
          <w:bCs/>
          <w:lang w:val="en-US" w:eastAsia="zh-CN"/>
        </w:rPr>
      </w:pPr>
      <w:r>
        <w:rPr>
          <w:rFonts w:hint="eastAsia"/>
          <w:b/>
          <w:bCs/>
          <w:lang w:val="en-US" w:eastAsia="zh-CN"/>
        </w:rPr>
        <w:t>9. 保密条款</w:t>
      </w:r>
    </w:p>
    <w:p w14:paraId="2DD20F3C">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9</w:t>
      </w:r>
      <w:r>
        <w:rPr>
          <w:rFonts w:hint="default"/>
          <w:lang w:val="en-US" w:eastAsia="zh-CN"/>
        </w:rPr>
        <w:t>.1甲、乙双方应对因履行合同而取得的另一方的信息、资料等予以保密。未经另一方书面同意，任何一方均不得为与履行合同无关的目的使用或向第三方披露另一方当事人提供的信息、资料。</w:t>
      </w:r>
    </w:p>
    <w:p w14:paraId="6E1A7F3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lang w:val="en-US" w:eastAsia="zh-CN"/>
        </w:rPr>
      </w:pPr>
      <w:r>
        <w:rPr>
          <w:rFonts w:hint="eastAsia"/>
          <w:lang w:val="en-US" w:eastAsia="zh-CN"/>
        </w:rPr>
        <w:t>9</w:t>
      </w:r>
      <w:r>
        <w:rPr>
          <w:rFonts w:hint="default"/>
          <w:lang w:val="en-US" w:eastAsia="zh-CN"/>
        </w:rPr>
        <w:t>.2甲、乙双方的保密义务不适用于下列信息：(1)非因接受信息一方的过失现在或以后进入公共领域的信息；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C9DC210">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违约责任</w:t>
      </w:r>
    </w:p>
    <w:p w14:paraId="610477C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若甲方未按照本合同约定的时间和方式向乙方支付处置费用，每逾期一日，应按照未支付金额的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lang w:val="en-US" w:eastAsia="zh-CN"/>
        </w:rPr>
        <w:t xml:space="preserve"> 向乙方支付违约金；逾期超过</w:t>
      </w:r>
      <w:r>
        <w:rPr>
          <w:rFonts w:hint="eastAsia"/>
          <w:u w:val="single"/>
          <w:lang w:val="en-US" w:eastAsia="zh-CN"/>
        </w:rPr>
        <w:t>30</w:t>
      </w:r>
      <w:r>
        <w:rPr>
          <w:rFonts w:hint="eastAsia"/>
          <w:u w:val="none"/>
          <w:lang w:val="en-US" w:eastAsia="zh-CN"/>
        </w:rPr>
        <w:t>个工作</w:t>
      </w:r>
      <w:r>
        <w:rPr>
          <w:rFonts w:hint="eastAsia"/>
          <w:lang w:val="en-US" w:eastAsia="zh-CN"/>
        </w:rPr>
        <w:t>日的，乙方有权暂停处置工作，并要求甲方承担因此给乙方造成的全部损失。</w:t>
      </w:r>
    </w:p>
    <w:p w14:paraId="5B5E6AD4">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若乙方未按照本合同约定的时间和要求完成危险废弃物的处置工作（包括故意延期处置、减量处置等），每逾期一日，应按照处置费用总额的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lang w:val="en-US" w:eastAsia="zh-CN"/>
        </w:rPr>
        <w:t>向甲方支付违约金；逾期超过</w:t>
      </w:r>
      <w:r>
        <w:rPr>
          <w:rFonts w:hint="eastAsia"/>
          <w:u w:val="single"/>
          <w:lang w:val="en-US" w:eastAsia="zh-CN"/>
        </w:rPr>
        <w:t>30</w:t>
      </w:r>
      <w:r>
        <w:rPr>
          <w:rFonts w:hint="eastAsia"/>
          <w:u w:val="none"/>
          <w:lang w:val="en-US" w:eastAsia="zh-CN"/>
        </w:rPr>
        <w:t>个工作</w:t>
      </w:r>
      <w:r>
        <w:rPr>
          <w:rFonts w:hint="eastAsia"/>
          <w:lang w:val="en-US" w:eastAsia="zh-CN"/>
        </w:rPr>
        <w:t>日的，甲</w:t>
      </w:r>
      <w:r>
        <w:rPr>
          <w:rFonts w:hint="eastAsia" w:ascii="宋体" w:hAnsi="宋体"/>
          <w:szCs w:val="21"/>
          <w:highlight w:val="none"/>
        </w:rPr>
        <w:t>方有权书面通知</w:t>
      </w:r>
      <w:r>
        <w:rPr>
          <w:rFonts w:hint="eastAsia" w:ascii="宋体" w:hAnsi="宋体"/>
          <w:szCs w:val="21"/>
          <w:highlight w:val="none"/>
          <w:lang w:val="en-US" w:eastAsia="zh-CN"/>
        </w:rPr>
        <w:t>乙方</w:t>
      </w:r>
      <w:r>
        <w:rPr>
          <w:rFonts w:hint="eastAsia" w:ascii="宋体" w:hAnsi="宋体"/>
          <w:szCs w:val="21"/>
          <w:highlight w:val="none"/>
        </w:rPr>
        <w:t>单方面解除本合同，且有权要求</w:t>
      </w:r>
      <w:r>
        <w:rPr>
          <w:rFonts w:hint="eastAsia" w:ascii="宋体" w:hAnsi="宋体"/>
          <w:szCs w:val="21"/>
          <w:highlight w:val="none"/>
          <w:lang w:val="en-US" w:eastAsia="zh-CN"/>
        </w:rPr>
        <w:t>乙方</w:t>
      </w:r>
      <w:r>
        <w:rPr>
          <w:rFonts w:hint="eastAsia" w:ascii="宋体" w:hAnsi="宋体"/>
          <w:szCs w:val="21"/>
          <w:highlight w:val="none"/>
        </w:rPr>
        <w:t>支付相当于合同总价</w:t>
      </w:r>
      <w:r>
        <w:rPr>
          <w:rFonts w:hint="eastAsia" w:ascii="宋体" w:hAnsi="宋体"/>
          <w:szCs w:val="21"/>
          <w:highlight w:val="none"/>
          <w:u w:val="single"/>
        </w:rPr>
        <w:t>5%</w:t>
      </w:r>
      <w:r>
        <w:rPr>
          <w:rFonts w:hint="eastAsia" w:ascii="宋体" w:hAnsi="宋体"/>
          <w:szCs w:val="21"/>
          <w:highlight w:val="none"/>
        </w:rPr>
        <w:t>的违约金，若该违约金不足以补偿给</w:t>
      </w:r>
      <w:r>
        <w:rPr>
          <w:rFonts w:hint="eastAsia" w:ascii="宋体" w:hAnsi="宋体"/>
          <w:szCs w:val="21"/>
          <w:highlight w:val="none"/>
          <w:lang w:val="en-US" w:eastAsia="zh-CN"/>
        </w:rPr>
        <w:t>甲方</w:t>
      </w:r>
      <w:r>
        <w:rPr>
          <w:rFonts w:hint="eastAsia" w:ascii="宋体" w:hAnsi="宋体"/>
          <w:szCs w:val="21"/>
          <w:highlight w:val="none"/>
        </w:rPr>
        <w:t>造成的</w:t>
      </w:r>
      <w:r>
        <w:rPr>
          <w:rFonts w:hint="eastAsia" w:ascii="宋体" w:hAnsi="宋体"/>
          <w:szCs w:val="21"/>
          <w:highlight w:val="none"/>
          <w:lang w:val="en-US" w:eastAsia="zh-CN"/>
        </w:rPr>
        <w:t>全部</w:t>
      </w:r>
      <w:r>
        <w:rPr>
          <w:rFonts w:hint="eastAsia" w:ascii="宋体" w:hAnsi="宋体"/>
          <w:szCs w:val="21"/>
          <w:highlight w:val="none"/>
        </w:rPr>
        <w:t>损失，则</w:t>
      </w:r>
      <w:r>
        <w:rPr>
          <w:rFonts w:hint="eastAsia" w:ascii="宋体" w:hAnsi="宋体"/>
          <w:szCs w:val="21"/>
          <w:highlight w:val="none"/>
          <w:lang w:val="en-US" w:eastAsia="zh-CN"/>
        </w:rPr>
        <w:t>乙方</w:t>
      </w:r>
      <w:r>
        <w:rPr>
          <w:rFonts w:hint="eastAsia" w:ascii="宋体" w:hAnsi="宋体"/>
          <w:szCs w:val="21"/>
          <w:highlight w:val="none"/>
        </w:rPr>
        <w:t>还应当补足差额部分。</w:t>
      </w:r>
    </w:p>
    <w:p w14:paraId="17CE3DB0">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若乙方在处置过程中违反国家环保法律法规或操作规程，导致环境污染或安全事故的，乙方应承担全部赔偿责任，并负责消除污染、恢复环境原状；如因此给甲方造成损失的，乙方还应赔偿甲方的全部损失。</w:t>
      </w:r>
    </w:p>
    <w:p w14:paraId="4A65873F">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ascii="宋体" w:hAnsi="宋体"/>
          <w:color w:val="000000"/>
          <w:szCs w:val="21"/>
          <w:highlight w:val="none"/>
        </w:rPr>
        <w:t>无论何等原因，</w:t>
      </w:r>
      <w:r>
        <w:rPr>
          <w:rFonts w:hint="eastAsia" w:ascii="宋体" w:hAnsi="宋体"/>
          <w:color w:val="000000"/>
          <w:szCs w:val="21"/>
          <w:highlight w:val="none"/>
          <w:lang w:val="en-US" w:eastAsia="zh-CN"/>
        </w:rPr>
        <w:t>乙方</w:t>
      </w:r>
      <w:r>
        <w:rPr>
          <w:rFonts w:hint="eastAsia" w:ascii="宋体" w:hAnsi="宋体"/>
          <w:color w:val="000000"/>
          <w:szCs w:val="21"/>
          <w:highlight w:val="none"/>
        </w:rPr>
        <w:t>未履行合同约定主要义务，包括不限于</w:t>
      </w:r>
      <w:r>
        <w:rPr>
          <w:rFonts w:hint="eastAsia" w:ascii="宋体" w:hAnsi="宋体"/>
          <w:color w:val="000000"/>
          <w:szCs w:val="21"/>
          <w:highlight w:val="none"/>
          <w:lang w:val="en-US" w:eastAsia="zh-CN"/>
        </w:rPr>
        <w:t>10</w:t>
      </w:r>
      <w:r>
        <w:rPr>
          <w:rFonts w:hint="eastAsia" w:ascii="宋体" w:hAnsi="宋体"/>
          <w:color w:val="000000"/>
          <w:szCs w:val="21"/>
          <w:highlight w:val="none"/>
        </w:rPr>
        <w:t>.2-</w:t>
      </w:r>
      <w:r>
        <w:rPr>
          <w:rFonts w:hint="eastAsia" w:ascii="宋体" w:hAnsi="宋体"/>
          <w:color w:val="000000"/>
          <w:szCs w:val="21"/>
          <w:highlight w:val="none"/>
          <w:lang w:val="en-US" w:eastAsia="zh-CN"/>
        </w:rPr>
        <w:t>10</w:t>
      </w:r>
      <w:r>
        <w:rPr>
          <w:rFonts w:hint="eastAsia" w:ascii="宋体" w:hAnsi="宋体"/>
          <w:color w:val="000000"/>
          <w:szCs w:val="21"/>
          <w:highlight w:val="none"/>
        </w:rPr>
        <w:t>.</w:t>
      </w:r>
      <w:r>
        <w:rPr>
          <w:rFonts w:hint="eastAsia" w:ascii="宋体" w:hAnsi="宋体"/>
          <w:color w:val="000000"/>
          <w:szCs w:val="21"/>
          <w:highlight w:val="none"/>
          <w:lang w:val="en-US" w:eastAsia="zh-CN"/>
        </w:rPr>
        <w:t>3</w:t>
      </w:r>
      <w:r>
        <w:rPr>
          <w:rFonts w:hint="eastAsia" w:ascii="宋体" w:hAnsi="宋体"/>
          <w:color w:val="000000"/>
          <w:szCs w:val="21"/>
          <w:highlight w:val="none"/>
        </w:rPr>
        <w:t>条约定部分，或</w:t>
      </w:r>
      <w:r>
        <w:rPr>
          <w:rFonts w:hint="eastAsia" w:ascii="宋体" w:hAnsi="宋体"/>
          <w:color w:val="000000"/>
          <w:szCs w:val="21"/>
          <w:highlight w:val="none"/>
          <w:lang w:val="en-US" w:eastAsia="zh-CN"/>
        </w:rPr>
        <w:t>乙方</w:t>
      </w:r>
      <w:r>
        <w:rPr>
          <w:rFonts w:hint="eastAsia" w:ascii="宋体" w:hAnsi="宋体"/>
          <w:color w:val="000000"/>
          <w:szCs w:val="21"/>
          <w:highlight w:val="none"/>
        </w:rPr>
        <w:t>未能及时配合</w:t>
      </w:r>
      <w:r>
        <w:rPr>
          <w:rFonts w:hint="eastAsia" w:ascii="宋体" w:hAnsi="宋体"/>
          <w:color w:val="000000"/>
          <w:szCs w:val="21"/>
          <w:highlight w:val="none"/>
          <w:lang w:val="en-US" w:eastAsia="zh-CN"/>
        </w:rPr>
        <w:t>甲方</w:t>
      </w:r>
      <w:r>
        <w:rPr>
          <w:rFonts w:hint="eastAsia" w:ascii="宋体" w:hAnsi="宋体"/>
          <w:color w:val="000000"/>
          <w:szCs w:val="21"/>
          <w:highlight w:val="none"/>
        </w:rPr>
        <w:t>为实现合同的要求</w:t>
      </w:r>
      <w:r>
        <w:rPr>
          <w:rFonts w:hint="eastAsia" w:ascii="宋体" w:hAnsi="宋体"/>
          <w:color w:val="000000"/>
          <w:szCs w:val="21"/>
          <w:highlight w:val="none"/>
          <w:lang w:val="en-US" w:eastAsia="zh-CN"/>
        </w:rPr>
        <w:t>乙方</w:t>
      </w:r>
      <w:r>
        <w:rPr>
          <w:rFonts w:hint="eastAsia" w:ascii="宋体" w:hAnsi="宋体"/>
          <w:color w:val="000000"/>
          <w:szCs w:val="21"/>
          <w:highlight w:val="none"/>
        </w:rPr>
        <w:t>实施相关行为的，均视为</w:t>
      </w:r>
      <w:r>
        <w:rPr>
          <w:rFonts w:hint="eastAsia" w:ascii="宋体" w:hAnsi="宋体"/>
          <w:color w:val="000000"/>
          <w:szCs w:val="21"/>
          <w:highlight w:val="none"/>
          <w:lang w:val="en-US" w:eastAsia="zh-CN"/>
        </w:rPr>
        <w:t>乙方</w:t>
      </w:r>
      <w:r>
        <w:rPr>
          <w:rFonts w:hint="eastAsia" w:ascii="宋体" w:hAnsi="宋体"/>
          <w:color w:val="000000"/>
          <w:szCs w:val="21"/>
          <w:highlight w:val="none"/>
        </w:rPr>
        <w:t>违约。</w:t>
      </w:r>
      <w:r>
        <w:rPr>
          <w:rFonts w:hint="eastAsia" w:ascii="宋体" w:hAnsi="宋体"/>
          <w:color w:val="000000"/>
          <w:szCs w:val="21"/>
          <w:highlight w:val="none"/>
          <w:lang w:val="en-US" w:eastAsia="zh-CN"/>
        </w:rPr>
        <w:t>甲</w:t>
      </w:r>
      <w:r>
        <w:rPr>
          <w:rFonts w:hint="eastAsia" w:ascii="宋体" w:hAnsi="宋体"/>
          <w:color w:val="000000"/>
          <w:szCs w:val="21"/>
          <w:highlight w:val="none"/>
        </w:rPr>
        <w:t>、</w:t>
      </w:r>
      <w:r>
        <w:rPr>
          <w:rFonts w:hint="eastAsia" w:ascii="宋体" w:hAnsi="宋体"/>
          <w:color w:val="000000"/>
          <w:szCs w:val="21"/>
          <w:highlight w:val="none"/>
          <w:lang w:val="en-US" w:eastAsia="zh-CN"/>
        </w:rPr>
        <w:t>乙</w:t>
      </w:r>
      <w:r>
        <w:rPr>
          <w:rFonts w:hint="eastAsia" w:ascii="宋体" w:hAnsi="宋体"/>
          <w:color w:val="000000"/>
          <w:szCs w:val="21"/>
          <w:highlight w:val="none"/>
        </w:rPr>
        <w:t>双方一致同意，如果</w:t>
      </w:r>
      <w:r>
        <w:rPr>
          <w:rFonts w:hint="eastAsia" w:ascii="宋体" w:hAnsi="宋体"/>
          <w:color w:val="000000"/>
          <w:szCs w:val="21"/>
          <w:highlight w:val="none"/>
          <w:lang w:val="en-US" w:eastAsia="zh-CN"/>
        </w:rPr>
        <w:t>乙方</w:t>
      </w:r>
      <w:r>
        <w:rPr>
          <w:rFonts w:hint="eastAsia" w:ascii="宋体" w:hAnsi="宋体"/>
          <w:color w:val="000000"/>
          <w:szCs w:val="21"/>
          <w:highlight w:val="none"/>
        </w:rPr>
        <w:t>发生本合同约定的违约情形，</w:t>
      </w:r>
      <w:r>
        <w:rPr>
          <w:rFonts w:hint="eastAsia" w:ascii="宋体" w:hAnsi="宋体"/>
          <w:color w:val="000000"/>
          <w:szCs w:val="21"/>
          <w:highlight w:val="none"/>
          <w:lang w:val="en-US" w:eastAsia="zh-CN"/>
        </w:rPr>
        <w:t>甲方</w:t>
      </w:r>
      <w:r>
        <w:rPr>
          <w:rFonts w:hint="eastAsia" w:ascii="宋体" w:hAnsi="宋体"/>
          <w:color w:val="000000"/>
          <w:szCs w:val="21"/>
          <w:highlight w:val="none"/>
        </w:rPr>
        <w:t>有权按照</w:t>
      </w:r>
      <w:r>
        <w:rPr>
          <w:rFonts w:hint="eastAsia" w:ascii="宋体" w:hAnsi="宋体"/>
          <w:color w:val="000000"/>
          <w:szCs w:val="21"/>
          <w:highlight w:val="none"/>
          <w:lang w:val="en-US" w:eastAsia="zh-CN"/>
        </w:rPr>
        <w:t>10</w:t>
      </w:r>
      <w:r>
        <w:rPr>
          <w:rFonts w:hint="eastAsia" w:ascii="宋体" w:hAnsi="宋体"/>
          <w:color w:val="000000"/>
          <w:szCs w:val="21"/>
          <w:highlight w:val="none"/>
        </w:rPr>
        <w:t>.2-</w:t>
      </w:r>
      <w:r>
        <w:rPr>
          <w:rFonts w:hint="eastAsia" w:ascii="宋体" w:hAnsi="宋体"/>
          <w:color w:val="000000"/>
          <w:szCs w:val="21"/>
          <w:highlight w:val="none"/>
          <w:lang w:val="en-US" w:eastAsia="zh-CN"/>
        </w:rPr>
        <w:t>10</w:t>
      </w: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条的规定，从合同价款、履约保证金中扣除相应的金额作为</w:t>
      </w:r>
      <w:r>
        <w:rPr>
          <w:rFonts w:hint="eastAsia" w:ascii="宋体" w:hAnsi="宋体"/>
          <w:color w:val="000000"/>
          <w:szCs w:val="21"/>
          <w:highlight w:val="none"/>
          <w:lang w:val="en-US" w:eastAsia="zh-CN"/>
        </w:rPr>
        <w:t>乙方</w:t>
      </w:r>
      <w:r>
        <w:rPr>
          <w:rFonts w:hint="eastAsia" w:ascii="宋体" w:hAnsi="宋体"/>
          <w:color w:val="000000"/>
          <w:szCs w:val="21"/>
          <w:highlight w:val="none"/>
        </w:rPr>
        <w:t>的违约金。</w:t>
      </w:r>
    </w:p>
    <w:p w14:paraId="4EDE9804">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如果出现如下情形之一或者全部的，甲方有权直接通知乙方解除或者终止合同：</w:t>
      </w:r>
    </w:p>
    <w:p w14:paraId="32EB59DC">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因不可抗力导致甲方不能实现合同目的；</w:t>
      </w:r>
    </w:p>
    <w:p w14:paraId="35B25C8C">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在合同约定的履行期届满之前，乙方明确表示或者以自己的行为表明不履行相应义务的；</w:t>
      </w:r>
    </w:p>
    <w:p w14:paraId="57C69E44">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乙方延迟履行部分或者全部义务，经催告后仍未在甲方规定期限履行的；</w:t>
      </w:r>
    </w:p>
    <w:p w14:paraId="48591CD8">
      <w:pPr>
        <w:pStyle w:val="7"/>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420" w:leftChars="0" w:firstLine="0" w:firstLineChars="0"/>
        <w:textAlignment w:val="auto"/>
        <w:rPr>
          <w:rFonts w:hint="eastAsia"/>
          <w:lang w:val="en-US" w:eastAsia="zh-CN"/>
        </w:rPr>
      </w:pPr>
      <w:r>
        <w:rPr>
          <w:rFonts w:hint="eastAsia"/>
          <w:lang w:val="en-US" w:eastAsia="zh-CN"/>
        </w:rPr>
        <w:t>乙方发生其他根本违约行为的。</w:t>
      </w:r>
    </w:p>
    <w:p w14:paraId="2E819EE7">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不可抗力</w:t>
      </w:r>
    </w:p>
    <w:p w14:paraId="280A661E">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因出现不可预见、不可避免、不可克服的事件，导致本合同无法有效及时履行时，遭遇不可抗力方应立即用电话、传真、电子邮件等尽可能迅速的通讯方式通知对方，并在通知后的</w:t>
      </w:r>
      <w:r>
        <w:rPr>
          <w:rFonts w:hint="eastAsia"/>
          <w:u w:val="single"/>
          <w:lang w:val="en-US" w:eastAsia="zh-CN"/>
        </w:rPr>
        <w:t xml:space="preserve"> 30 </w:t>
      </w:r>
      <w:r>
        <w:rPr>
          <w:rFonts w:hint="eastAsia"/>
          <w:lang w:val="en-US" w:eastAsia="zh-CN"/>
        </w:rPr>
        <w:t>日内将不可抗力的书面有效证明及本合同无法有效及时履行的书面理由提交给对方确认。遭受不可抗力的一方凭此证明免除全部或部分违约责任，具体免除范围和方式由双方另行协商。</w:t>
      </w:r>
    </w:p>
    <w:p w14:paraId="77C5F650">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AC88BD7">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合同的变更或终止</w:t>
      </w:r>
    </w:p>
    <w:p w14:paraId="39875F1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甲方有权向乙方发出书面通知，从以下方面对合同内容进行变更，乙方应无条件执行甲方的变更要求：</w:t>
      </w:r>
    </w:p>
    <w:p w14:paraId="2F52E25A">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12.1.1 提前、推迟或暂停合同废弃物的处置，但应在处置期1天前（含本数）通知乙方，以便乙方提前做好各项处置准备工作。提前、推迟、暂停及重新确定处置时间均应办理有关合同变更手续。</w:t>
      </w:r>
    </w:p>
    <w:p w14:paraId="5573B98C">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12.1.2 在处置期 1天前（含本数）通知乙方变更运输方式、包装方式、处置地点及乙方需提供的服务。</w:t>
      </w:r>
    </w:p>
    <w:p w14:paraId="5240617B">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除合同另有约定外，本框架合同在下列情况下终止：</w:t>
      </w:r>
    </w:p>
    <w:p w14:paraId="086F551F">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12.2.1 双方协商同意，并签署书面终止合同；</w:t>
      </w:r>
    </w:p>
    <w:p w14:paraId="1B979CAE">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12.2.2 合同一方或者其受让人、承继人严重违反本合同规定的其义务且在另一方书面通知其纠正违约后的</w:t>
      </w:r>
      <w:r>
        <w:rPr>
          <w:rFonts w:hint="eastAsia"/>
          <w:u w:val="single"/>
          <w:lang w:val="en-US" w:eastAsia="zh-CN"/>
        </w:rPr>
        <w:t>30</w:t>
      </w:r>
      <w:r>
        <w:rPr>
          <w:rFonts w:hint="eastAsia"/>
          <w:lang w:val="en-US" w:eastAsia="zh-CN"/>
        </w:rPr>
        <w:t>个工作日内未能纠正违约，另一方可以书面通知违约方终止本合同；</w:t>
      </w:r>
    </w:p>
    <w:p w14:paraId="4543A249">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12.2.3一方破产、解散或停业清理，另一方可以在向该方发出通知后的</w:t>
      </w:r>
      <w:r>
        <w:rPr>
          <w:rFonts w:hint="eastAsia"/>
          <w:u w:val="single"/>
          <w:lang w:val="en-US" w:eastAsia="zh-CN"/>
        </w:rPr>
        <w:t>10</w:t>
      </w:r>
      <w:r>
        <w:rPr>
          <w:rFonts w:hint="eastAsia"/>
          <w:lang w:val="en-US" w:eastAsia="zh-CN"/>
        </w:rPr>
        <w:t>个工作日内终止本合同。</w:t>
      </w:r>
    </w:p>
    <w:p w14:paraId="0962533C">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200"/>
        <w:textAlignment w:val="auto"/>
        <w:rPr>
          <w:rFonts w:hint="eastAsia"/>
          <w:lang w:val="en-US" w:eastAsia="zh-CN"/>
        </w:rPr>
      </w:pPr>
      <w:r>
        <w:rPr>
          <w:rFonts w:hint="eastAsia"/>
          <w:lang w:val="en-US" w:eastAsia="zh-CN"/>
        </w:rPr>
        <w:t>本合同无论因何原因终止，均不影响各方因执行本合同已经产生的权利和利益；合同中设定的违约条款、争议解决条款、通知送达条款等并不因为合同权利义务终止而受到任何影响。</w:t>
      </w:r>
    </w:p>
    <w:p w14:paraId="34EADE21">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除非甲、乙双方签署书面变更合同，并成为本合同不可分割的一部分之情形外，本合同的条款不得有任何变化或修改。</w:t>
      </w:r>
    </w:p>
    <w:p w14:paraId="5600991D">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default"/>
          <w:b/>
          <w:bCs/>
          <w:lang w:val="en-US" w:eastAsia="zh-CN"/>
        </w:rPr>
      </w:pPr>
      <w:r>
        <w:rPr>
          <w:rFonts w:hint="eastAsia"/>
          <w:b/>
          <w:bCs/>
          <w:lang w:val="en-US" w:eastAsia="zh-CN"/>
        </w:rPr>
        <w:t>合同的转让</w:t>
      </w:r>
    </w:p>
    <w:p w14:paraId="6D248E62">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lang w:val="en-US" w:eastAsia="zh-CN"/>
        </w:rPr>
      </w:pPr>
      <w:r>
        <w:rPr>
          <w:rFonts w:hint="eastAsia"/>
          <w:lang w:val="en-US" w:eastAsia="zh-CN"/>
        </w:rPr>
        <w:t>乙方不得部分转让或全部转让其应履行的合同义务，如甲方发现乙方有甲方不能接受的转让行为，甲方有权中止或解除合同，不予退还履约保证金，由此所造成的损失由甲方承担。</w:t>
      </w:r>
    </w:p>
    <w:p w14:paraId="7B6C4A0E">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 xml:space="preserve">合同的有效性 </w:t>
      </w:r>
    </w:p>
    <w:p w14:paraId="4ED420B5">
      <w:pPr>
        <w:pStyle w:val="7"/>
        <w:keepNext w:val="0"/>
        <w:keepLines w:val="0"/>
        <w:pageBreakBefore w:val="0"/>
        <w:widowControl w:val="0"/>
        <w:numPr>
          <w:ilvl w:val="1"/>
          <w:numId w:val="6"/>
        </w:numPr>
        <w:kinsoku/>
        <w:wordWrap/>
        <w:overflowPunct/>
        <w:topLinePunct w:val="0"/>
        <w:autoSpaceDE/>
        <w:autoSpaceDN/>
        <w:bidi w:val="0"/>
        <w:adjustRightInd/>
        <w:snapToGrid/>
        <w:spacing w:after="0" w:line="360" w:lineRule="auto"/>
        <w:ind w:leftChars="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经甲方查证，乙方在本项目招投标/竞争性磋商/竞争性谈判/询价采购等过程中存在串通投标、弄虚作假、行贿以及其他违法违规、违反诚信原则行为的，合同无效，甲方有权要求甲方赔偿所有损失。</w:t>
      </w:r>
    </w:p>
    <w:p w14:paraId="67A5977D">
      <w:pPr>
        <w:pStyle w:val="7"/>
        <w:keepNext w:val="0"/>
        <w:keepLines w:val="0"/>
        <w:pageBreakBefore w:val="0"/>
        <w:widowControl w:val="0"/>
        <w:numPr>
          <w:ilvl w:val="0"/>
          <w:numId w:val="6"/>
        </w:numPr>
        <w:kinsoku/>
        <w:wordWrap/>
        <w:overflowPunct/>
        <w:topLinePunct w:val="0"/>
        <w:autoSpaceDE/>
        <w:autoSpaceDN/>
        <w:bidi w:val="0"/>
        <w:adjustRightInd/>
        <w:snapToGrid/>
        <w:spacing w:after="0" w:line="360" w:lineRule="auto"/>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通知送达</w:t>
      </w:r>
    </w:p>
    <w:p w14:paraId="5688ED7F">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xml:space="preserve">.1 </w:t>
      </w:r>
      <w:r>
        <w:rPr>
          <w:rFonts w:hint="eastAsia" w:ascii="宋体" w:hAnsi="宋体"/>
          <w:szCs w:val="21"/>
          <w:highlight w:val="none"/>
          <w:lang w:val="en-US" w:eastAsia="zh-CN"/>
        </w:rPr>
        <w:t>甲</w:t>
      </w:r>
      <w:r>
        <w:rPr>
          <w:rFonts w:hint="eastAsia" w:ascii="宋体" w:hAnsi="宋体"/>
          <w:szCs w:val="21"/>
          <w:highlight w:val="none"/>
        </w:rPr>
        <w:t>、</w:t>
      </w:r>
      <w:r>
        <w:rPr>
          <w:rFonts w:hint="eastAsia" w:ascii="宋体" w:hAnsi="宋体"/>
          <w:szCs w:val="21"/>
          <w:highlight w:val="none"/>
          <w:lang w:val="en-US" w:eastAsia="zh-CN"/>
        </w:rPr>
        <w:t>乙</w:t>
      </w:r>
      <w:r>
        <w:rPr>
          <w:rFonts w:hint="eastAsia" w:ascii="宋体" w:hAnsi="宋体"/>
          <w:szCs w:val="21"/>
          <w:highlight w:val="none"/>
        </w:rPr>
        <w:t>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44BE0707">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lang w:val="en-US" w:eastAsia="zh-CN"/>
        </w:rPr>
        <w:t>甲方</w:t>
      </w:r>
      <w:r>
        <w:rPr>
          <w:rFonts w:hint="eastAsia" w:ascii="宋体" w:hAnsi="宋体"/>
          <w:szCs w:val="21"/>
          <w:highlight w:val="none"/>
        </w:rPr>
        <w:t>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73D8789E">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7CA78C97">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172F4286">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5A5888C5">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w:t>
      </w:r>
      <w:r>
        <w:rPr>
          <w:rFonts w:hint="eastAsia" w:ascii="宋体" w:hAnsi="宋体"/>
          <w:szCs w:val="21"/>
          <w:highlight w:val="none"/>
          <w:lang w:val="en-US" w:eastAsia="zh-CN"/>
        </w:rPr>
        <w:t>乙方</w:t>
      </w:r>
      <w:r>
        <w:rPr>
          <w:rFonts w:hint="eastAsia" w:ascii="宋体" w:hAnsi="宋体"/>
          <w:szCs w:val="21"/>
          <w:highlight w:val="none"/>
        </w:rPr>
        <w:t>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03A18BD">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7F67E92F">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07856EA9">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lang w:val="en-US" w:eastAsia="zh-CN"/>
        </w:rPr>
        <w:t>15</w:t>
      </w:r>
      <w:r>
        <w:rPr>
          <w:rFonts w:hint="eastAsia" w:ascii="宋体" w:hAnsi="宋体"/>
          <w:szCs w:val="21"/>
          <w:highlight w:val="none"/>
        </w:rPr>
        <w:t>.2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w:t>
      </w:r>
      <w:r>
        <w:rPr>
          <w:rFonts w:hint="eastAsia" w:ascii="宋体" w:hAnsi="宋体"/>
          <w:szCs w:val="21"/>
          <w:highlight w:val="none"/>
          <w:lang w:eastAsia="zh-CN"/>
        </w:rPr>
        <w:t>甲乙</w:t>
      </w:r>
      <w:r>
        <w:rPr>
          <w:rFonts w:hint="eastAsia" w:ascii="宋体" w:hAnsi="宋体"/>
          <w:szCs w:val="21"/>
          <w:highlight w:val="none"/>
        </w:rPr>
        <w:t>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cs="Times New Roman"/>
          <w:sz w:val="21"/>
          <w:szCs w:val="21"/>
          <w:highlight w:val="none"/>
          <w:lang w:val="en-US" w:eastAsia="zh-CN"/>
        </w:rPr>
        <w:t>15</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09C99653">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16</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0F45A0C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 xml:space="preserve">.1 </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充分理解并接受</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的合规管理要求，承诺并保证在与</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合作期间严格遵守以下条款，并积极采取有效措施确保关联方（包括但不限于董事、监事、管理人员、员工、外协人员、分包商及代理商等）遵守：</w:t>
      </w:r>
    </w:p>
    <w:p w14:paraId="337CA7F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484C761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3D6F3C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7AB2C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CF8DD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5B2FB0F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7E742B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C80BBE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7D0ED4A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提供的相关证件（营业执照、权利证书、资质证书、各类许可证号、批准文号等）及人员资质均真实、有效，无任何伪造、变造、弄虚作假的行为。</w:t>
      </w:r>
    </w:p>
    <w:p w14:paraId="2EA5C1C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69D501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工作人员有违规行为或倾向的，应及时提醒、纠正并有责任向</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有关部门进行举报。</w:t>
      </w:r>
    </w:p>
    <w:p w14:paraId="7FBE84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 xml:space="preserve">.2 </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不得隐瞒任何可能对</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利益造成影响的信息，在</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认为必要的情况下，</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有义务配合其商业合作伙伴合规检查，包括但不限于提供与合规检查相关的文件、信息，如实陈述相关情况，根据</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合理要求及时采取有效整改措施等。</w:t>
      </w:r>
    </w:p>
    <w:p w14:paraId="0CF53C3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.3 在任何情形下，如果</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有实质性证据证明或有充分且合理的理由认为某一作为或不作为将可能会导致其违反合规管理要求，</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均有权拒绝实施或不实施该等行为且不构成违约。</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有权无条件立即终止与</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的全部合作及相关合作协议，并进一步追究</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的违规行为给</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造成的全部损失。</w:t>
      </w:r>
    </w:p>
    <w:p w14:paraId="286C8A1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b/>
          <w:bCs/>
          <w:szCs w:val="21"/>
          <w:highlight w:val="none"/>
        </w:rPr>
      </w:pPr>
      <w:r>
        <w:rPr>
          <w:rFonts w:hint="eastAsia" w:ascii="宋体" w:hAnsi="宋体" w:cs="Times New Roman"/>
          <w:color w:val="000000"/>
          <w:kern w:val="2"/>
          <w:sz w:val="21"/>
          <w:szCs w:val="21"/>
          <w:highlight w:val="none"/>
          <w:lang w:val="en-US" w:eastAsia="zh-CN" w:bidi="ar"/>
        </w:rPr>
        <w:t>16</w:t>
      </w:r>
      <w:r>
        <w:rPr>
          <w:rFonts w:hint="eastAsia" w:ascii="宋体" w:hAnsi="宋体" w:eastAsia="宋体" w:cs="Times New Roman"/>
          <w:color w:val="000000"/>
          <w:kern w:val="2"/>
          <w:sz w:val="21"/>
          <w:szCs w:val="21"/>
          <w:highlight w:val="none"/>
          <w:lang w:val="en-US" w:eastAsia="zh-CN" w:bidi="ar"/>
        </w:rPr>
        <w:t>.4 在任何情形下，</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均不因</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及关联方所实施的任何不当行为而遭受任何损失（包括但不限于处理第三方索赔所支付的赔偿金、补偿金、诉讼费、仲裁费、保全费、律师费等），对于此等损失均由</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承担，并且</w:t>
      </w:r>
      <w:r>
        <w:rPr>
          <w:rFonts w:hint="eastAsia" w:ascii="宋体" w:hAnsi="宋体" w:cs="Times New Roman"/>
          <w:color w:val="000000"/>
          <w:kern w:val="2"/>
          <w:sz w:val="21"/>
          <w:szCs w:val="21"/>
          <w:highlight w:val="none"/>
          <w:lang w:val="en-US" w:eastAsia="zh-CN" w:bidi="ar"/>
        </w:rPr>
        <w:t>甲方</w:t>
      </w:r>
      <w:r>
        <w:rPr>
          <w:rFonts w:hint="eastAsia" w:ascii="宋体" w:hAnsi="宋体" w:eastAsia="宋体" w:cs="Times New Roman"/>
          <w:color w:val="000000"/>
          <w:kern w:val="2"/>
          <w:sz w:val="21"/>
          <w:szCs w:val="21"/>
          <w:highlight w:val="none"/>
          <w:lang w:val="en-US" w:eastAsia="zh-CN" w:bidi="ar"/>
        </w:rPr>
        <w:t>有权取消</w:t>
      </w:r>
      <w:r>
        <w:rPr>
          <w:rFonts w:hint="eastAsia" w:ascii="宋体" w:hAnsi="宋体" w:cs="Times New Roman"/>
          <w:color w:val="000000"/>
          <w:kern w:val="2"/>
          <w:sz w:val="21"/>
          <w:szCs w:val="21"/>
          <w:highlight w:val="none"/>
          <w:lang w:val="en-US" w:eastAsia="zh-CN" w:bidi="ar"/>
        </w:rPr>
        <w:t>乙方</w:t>
      </w:r>
      <w:r>
        <w:rPr>
          <w:rFonts w:hint="eastAsia" w:ascii="宋体" w:hAnsi="宋体" w:eastAsia="宋体" w:cs="Times New Roman"/>
          <w:color w:val="000000"/>
          <w:kern w:val="2"/>
          <w:sz w:val="21"/>
          <w:szCs w:val="21"/>
          <w:highlight w:val="none"/>
          <w:lang w:val="en-US" w:eastAsia="zh-CN" w:bidi="ar"/>
        </w:rPr>
        <w:t>的供应商资格。</w:t>
      </w:r>
    </w:p>
    <w:p w14:paraId="0FFC8891">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17</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143D59F">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17</w:t>
      </w:r>
      <w:r>
        <w:rPr>
          <w:rFonts w:hint="eastAsia" w:ascii="宋体" w:hAnsi="宋体"/>
          <w:szCs w:val="21"/>
          <w:highlight w:val="none"/>
        </w:rPr>
        <w:t>.1 本合同的效力、履行及任何争议仅适用中华人民共和国法律。</w:t>
      </w:r>
    </w:p>
    <w:p w14:paraId="44BF56E6">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17</w:t>
      </w:r>
      <w:r>
        <w:rPr>
          <w:rFonts w:hint="eastAsia" w:ascii="宋体" w:hAnsi="宋体"/>
          <w:szCs w:val="21"/>
          <w:highlight w:val="none"/>
        </w:rPr>
        <w:t>.2 因本合同引起的或与本合同有关的争议，</w:t>
      </w:r>
      <w:r>
        <w:rPr>
          <w:rFonts w:hint="eastAsia" w:ascii="宋体" w:hAnsi="宋体"/>
          <w:szCs w:val="21"/>
          <w:highlight w:val="none"/>
          <w:lang w:eastAsia="zh-CN"/>
        </w:rPr>
        <w:t>甲乙</w:t>
      </w:r>
      <w:r>
        <w:rPr>
          <w:rFonts w:hint="eastAsia" w:ascii="宋体" w:hAnsi="宋体"/>
          <w:szCs w:val="21"/>
          <w:highlight w:val="none"/>
        </w:rPr>
        <w:t>双方应通过友好协商解决，如果协商不成，双方同意按照以下第（1）种方式处理：</w:t>
      </w:r>
    </w:p>
    <w:p w14:paraId="68E7D08F">
      <w:pPr>
        <w:snapToGrid w:val="0"/>
        <w:spacing w:line="360" w:lineRule="auto"/>
        <w:ind w:left="525" w:leftChars="250"/>
        <w:rPr>
          <w:rFonts w:ascii="宋体" w:hAnsi="宋体"/>
          <w:szCs w:val="21"/>
          <w:highlight w:val="none"/>
        </w:rPr>
      </w:pPr>
      <w:r>
        <w:rPr>
          <w:rFonts w:hint="eastAsia" w:ascii="宋体" w:hAnsi="宋体"/>
          <w:szCs w:val="21"/>
          <w:highlight w:val="none"/>
        </w:rPr>
        <w:t>1）向</w:t>
      </w:r>
      <w:r>
        <w:rPr>
          <w:rFonts w:hint="eastAsia" w:ascii="宋体" w:hAnsi="宋体"/>
          <w:szCs w:val="21"/>
          <w:highlight w:val="none"/>
          <w:lang w:eastAsia="zh-CN"/>
        </w:rPr>
        <w:t>甲方</w:t>
      </w:r>
      <w:r>
        <w:rPr>
          <w:rFonts w:hint="eastAsia" w:ascii="宋体" w:hAnsi="宋体"/>
          <w:szCs w:val="21"/>
          <w:highlight w:val="none"/>
        </w:rPr>
        <w:t>所在地有管辖权的人民法院提起诉讼；</w:t>
      </w:r>
    </w:p>
    <w:p w14:paraId="515CD10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4B10F6D4">
      <w:pPr>
        <w:snapToGrid w:val="0"/>
        <w:spacing w:line="360" w:lineRule="auto"/>
        <w:rPr>
          <w:rFonts w:ascii="宋体" w:hAnsi="宋体"/>
          <w:b/>
          <w:bCs/>
          <w:szCs w:val="21"/>
          <w:highlight w:val="none"/>
        </w:rPr>
      </w:pPr>
      <w:r>
        <w:rPr>
          <w:rFonts w:hint="eastAsia" w:ascii="宋体" w:hAnsi="宋体"/>
          <w:b/>
          <w:bCs/>
          <w:szCs w:val="21"/>
          <w:highlight w:val="none"/>
          <w:lang w:val="en-US" w:eastAsia="zh-CN"/>
        </w:rPr>
        <w:t>18</w:t>
      </w:r>
      <w:r>
        <w:rPr>
          <w:rFonts w:hint="eastAsia" w:ascii="宋体" w:hAnsi="宋体"/>
          <w:b/>
          <w:bCs/>
          <w:szCs w:val="21"/>
          <w:highlight w:val="none"/>
        </w:rPr>
        <w:t>.  其它</w:t>
      </w:r>
    </w:p>
    <w:p w14:paraId="6E12801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.1 本合同经双方法定代表人或其授权代表签名（如授权代表签名，</w:t>
      </w:r>
      <w:r>
        <w:rPr>
          <w:rFonts w:hint="eastAsia" w:ascii="宋体" w:hAnsi="宋体"/>
          <w:szCs w:val="21"/>
          <w:highlight w:val="none"/>
          <w:lang w:eastAsia="zh-CN"/>
        </w:rPr>
        <w:t>乙方</w:t>
      </w:r>
      <w:r>
        <w:rPr>
          <w:rFonts w:hint="eastAsia" w:ascii="宋体" w:hAnsi="宋体"/>
          <w:szCs w:val="21"/>
          <w:highlight w:val="none"/>
        </w:rPr>
        <w:t>需提交法定代表人授权委托书）并加盖公章后生效。合同执行期间，</w:t>
      </w:r>
      <w:r>
        <w:rPr>
          <w:rFonts w:hint="eastAsia" w:ascii="宋体" w:hAnsi="宋体"/>
          <w:szCs w:val="21"/>
          <w:highlight w:val="none"/>
          <w:lang w:eastAsia="zh-CN"/>
        </w:rPr>
        <w:t>甲乙</w:t>
      </w:r>
      <w:r>
        <w:rPr>
          <w:rFonts w:hint="eastAsia" w:ascii="宋体" w:hAnsi="宋体"/>
          <w:szCs w:val="21"/>
          <w:highlight w:val="none"/>
        </w:rPr>
        <w:t>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.2 当</w:t>
      </w:r>
      <w:r>
        <w:rPr>
          <w:rFonts w:hint="eastAsia" w:ascii="宋体" w:hAnsi="宋体"/>
          <w:szCs w:val="21"/>
          <w:highlight w:val="none"/>
          <w:lang w:eastAsia="zh-CN"/>
        </w:rPr>
        <w:t>甲方</w:t>
      </w:r>
      <w:r>
        <w:rPr>
          <w:rFonts w:hint="eastAsia" w:ascii="宋体" w:hAnsi="宋体"/>
          <w:szCs w:val="21"/>
          <w:highlight w:val="none"/>
        </w:rPr>
        <w:t>与</w:t>
      </w:r>
      <w:r>
        <w:rPr>
          <w:rFonts w:hint="eastAsia" w:ascii="宋体" w:hAnsi="宋体"/>
          <w:szCs w:val="21"/>
          <w:highlight w:val="none"/>
          <w:lang w:eastAsia="zh-CN"/>
        </w:rPr>
        <w:t>乙方</w:t>
      </w:r>
      <w:r>
        <w:rPr>
          <w:rFonts w:hint="eastAsia" w:ascii="宋体" w:hAnsi="宋体"/>
          <w:szCs w:val="21"/>
          <w:highlight w:val="none"/>
        </w:rPr>
        <w:t>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5089F3B2">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 xml:space="preserve">.3 </w:t>
      </w:r>
      <w:r>
        <w:rPr>
          <w:rFonts w:hint="eastAsia" w:ascii="宋体" w:hAnsi="宋体"/>
          <w:szCs w:val="21"/>
          <w:highlight w:val="none"/>
          <w:lang w:eastAsia="zh-CN"/>
        </w:rPr>
        <w:t>乙方</w:t>
      </w:r>
      <w:r>
        <w:rPr>
          <w:rFonts w:hint="eastAsia" w:ascii="宋体" w:hAnsi="宋体"/>
          <w:szCs w:val="21"/>
          <w:highlight w:val="none"/>
        </w:rPr>
        <w:t>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w:t>
      </w:r>
      <w:r>
        <w:rPr>
          <w:rFonts w:hint="eastAsia" w:ascii="宋体" w:hAnsi="宋体"/>
          <w:szCs w:val="21"/>
          <w:highlight w:val="none"/>
          <w:lang w:eastAsia="zh-CN"/>
        </w:rPr>
        <w:t>甲方</w:t>
      </w:r>
      <w:r>
        <w:rPr>
          <w:rFonts w:hint="eastAsia" w:ascii="宋体" w:hAnsi="宋体"/>
          <w:szCs w:val="21"/>
          <w:highlight w:val="none"/>
        </w:rPr>
        <w:t>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49444F3A">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18</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hint="eastAsia" w:ascii="宋体" w:hAnsi="宋体"/>
          <w:szCs w:val="21"/>
          <w:highlight w:val="none"/>
          <w:lang w:val="en-US" w:eastAsia="zh-CN"/>
        </w:rPr>
        <w:t>18</w:t>
      </w:r>
      <w:r>
        <w:rPr>
          <w:rFonts w:hint="eastAsia" w:ascii="宋体" w:hAnsi="宋体"/>
          <w:szCs w:val="21"/>
          <w:highlight w:val="none"/>
        </w:rPr>
        <w:t xml:space="preserve">.5 </w:t>
      </w:r>
      <w:r>
        <w:rPr>
          <w:rFonts w:hint="eastAsia" w:ascii="宋体" w:hAnsi="宋体"/>
          <w:bCs/>
          <w:szCs w:val="21"/>
          <w:highlight w:val="none"/>
        </w:rPr>
        <w:t>本合同正本（包括附件）一式两份，</w:t>
      </w:r>
      <w:r>
        <w:rPr>
          <w:rFonts w:hint="eastAsia" w:ascii="宋体" w:hAnsi="宋体"/>
          <w:bCs/>
          <w:szCs w:val="21"/>
          <w:highlight w:val="none"/>
          <w:lang w:eastAsia="zh-CN"/>
        </w:rPr>
        <w:t>甲方</w:t>
      </w:r>
      <w:r>
        <w:rPr>
          <w:rFonts w:hint="eastAsia" w:ascii="宋体" w:hAnsi="宋体"/>
          <w:bCs/>
          <w:szCs w:val="21"/>
          <w:highlight w:val="none"/>
        </w:rPr>
        <w:t>执一份，</w:t>
      </w:r>
      <w:r>
        <w:rPr>
          <w:rFonts w:hint="eastAsia" w:ascii="宋体" w:hAnsi="宋体"/>
          <w:bCs/>
          <w:szCs w:val="21"/>
          <w:highlight w:val="none"/>
          <w:lang w:eastAsia="zh-CN"/>
        </w:rPr>
        <w:t>乙方</w:t>
      </w:r>
      <w:r>
        <w:rPr>
          <w:rFonts w:hint="eastAsia" w:ascii="宋体" w:hAnsi="宋体"/>
          <w:bCs/>
          <w:szCs w:val="21"/>
          <w:highlight w:val="none"/>
        </w:rPr>
        <w:t>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w:t>
      </w:r>
      <w:r>
        <w:rPr>
          <w:rFonts w:hint="eastAsia" w:ascii="宋体" w:hAnsi="宋体"/>
          <w:bCs/>
          <w:szCs w:val="21"/>
          <w:highlight w:val="none"/>
          <w:lang w:eastAsia="zh-CN"/>
        </w:rPr>
        <w:t>甲方</w:t>
      </w:r>
      <w:r>
        <w:rPr>
          <w:rFonts w:hint="eastAsia" w:ascii="宋体" w:hAnsi="宋体"/>
          <w:bCs/>
          <w:szCs w:val="21"/>
          <w:highlight w:val="none"/>
        </w:rPr>
        <w:t>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1C516B3B">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2"/>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2"/>
      <w:framePr w:wrap="around" w:vAnchor="text" w:hAnchor="margin" w:xAlign="center" w:y="1"/>
      <w:rPr>
        <w:rStyle w:val="22"/>
      </w:rPr>
    </w:pPr>
    <w:r>
      <w:fldChar w:fldCharType="begin"/>
    </w:r>
    <w:r>
      <w:rPr>
        <w:rStyle w:val="22"/>
      </w:rPr>
      <w:instrText xml:space="preserve">PAGE  </w:instrText>
    </w:r>
    <w:r>
      <w:fldChar w:fldCharType="end"/>
    </w:r>
  </w:p>
  <w:p w14:paraId="52683950">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2"/>
      <w:framePr w:wrap="around" w:vAnchor="text" w:hAnchor="margin" w:xAlign="center" w:y="1"/>
      <w:ind w:left="360" w:hanging="360"/>
      <w:rPr>
        <w:rStyle w:val="22"/>
      </w:rPr>
    </w:pPr>
    <w:r>
      <w:fldChar w:fldCharType="begin"/>
    </w:r>
    <w:r>
      <w:rPr>
        <w:rStyle w:val="22"/>
      </w:rPr>
      <w:instrText xml:space="preserve">PAGE  </w:instrText>
    </w:r>
    <w:r>
      <w:fldChar w:fldCharType="separate"/>
    </w:r>
    <w:r>
      <w:rPr>
        <w:rStyle w:val="22"/>
      </w:rPr>
      <w:t>- 24 -</w:t>
    </w:r>
    <w:r>
      <w:fldChar w:fldCharType="end"/>
    </w:r>
  </w:p>
  <w:p w14:paraId="02F4F8DD">
    <w:pPr>
      <w:pStyle w:val="12"/>
      <w:framePr w:wrap="around" w:vAnchor="text" w:hAnchor="margin" w:xAlign="right" w:y="1"/>
      <w:ind w:left="360" w:hanging="360"/>
      <w:rPr>
        <w:rStyle w:val="22"/>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2"/>
      <w:framePr w:wrap="around" w:vAnchor="text" w:hAnchor="margin" w:xAlign="center" w:y="1"/>
      <w:ind w:left="360" w:hanging="360"/>
      <w:rPr>
        <w:rStyle w:val="22"/>
      </w:rPr>
    </w:pPr>
    <w:r>
      <w:fldChar w:fldCharType="begin"/>
    </w:r>
    <w:r>
      <w:rPr>
        <w:rStyle w:val="22"/>
      </w:rPr>
      <w:instrText xml:space="preserve">PAGE  </w:instrText>
    </w:r>
    <w:r>
      <w:fldChar w:fldCharType="end"/>
    </w:r>
  </w:p>
  <w:p w14:paraId="113F0F14">
    <w:pPr>
      <w:pStyle w:val="12"/>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3"/>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62A25"/>
    <w:multiLevelType w:val="singleLevel"/>
    <w:tmpl w:val="B4562A25"/>
    <w:lvl w:ilvl="0" w:tentative="0">
      <w:start w:val="1"/>
      <w:numFmt w:val="decimal"/>
      <w:suff w:val="nothing"/>
      <w:lvlText w:val="%1）"/>
      <w:lvlJc w:val="left"/>
      <w:pPr>
        <w:ind w:left="420" w:leftChars="0" w:firstLine="0" w:firstLineChars="0"/>
      </w:pPr>
    </w:lvl>
  </w:abstractNum>
  <w:abstractNum w:abstractNumId="1">
    <w:nsid w:val="D5F5E4BC"/>
    <w:multiLevelType w:val="multilevel"/>
    <w:tmpl w:val="D5F5E4BC"/>
    <w:lvl w:ilvl="0" w:tentative="0">
      <w:start w:val="10"/>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D971292A"/>
    <w:multiLevelType w:val="singleLevel"/>
    <w:tmpl w:val="D971292A"/>
    <w:lvl w:ilvl="0" w:tentative="0">
      <w:start w:val="1"/>
      <w:numFmt w:val="decimal"/>
      <w:suff w:val="nothing"/>
      <w:lvlText w:val="%1）"/>
      <w:lvlJc w:val="left"/>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04A70A"/>
    <w:multiLevelType w:val="singleLevel"/>
    <w:tmpl w:val="2704A70A"/>
    <w:lvl w:ilvl="0" w:tentative="0">
      <w:start w:val="1"/>
      <w:numFmt w:val="decimal"/>
      <w:suff w:val="space"/>
      <w:lvlText w:val="%1."/>
      <w:lvlJc w:val="left"/>
    </w:lvl>
  </w:abstractNum>
  <w:abstractNum w:abstractNumId="5">
    <w:nsid w:val="315671BB"/>
    <w:multiLevelType w:val="singleLevel"/>
    <w:tmpl w:val="315671BB"/>
    <w:lvl w:ilvl="0" w:tentative="0">
      <w:start w:val="1"/>
      <w:numFmt w:val="decimal"/>
      <w:suff w:val="nothing"/>
      <w:lvlText w:val="%1）"/>
      <w:lvlJc w:val="left"/>
      <w:rPr>
        <w:rFonts w:hint="default"/>
        <w:b w:val="0"/>
        <w:bCs w:val="0"/>
      </w:rPr>
    </w:lvl>
  </w:abstractNum>
  <w:abstractNum w:abstractNumId="6">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5DE1D42"/>
    <w:rsid w:val="060774EA"/>
    <w:rsid w:val="060A660A"/>
    <w:rsid w:val="062067FE"/>
    <w:rsid w:val="068F6E11"/>
    <w:rsid w:val="06B238FA"/>
    <w:rsid w:val="07153E89"/>
    <w:rsid w:val="075B5D40"/>
    <w:rsid w:val="07D77390"/>
    <w:rsid w:val="081D1247"/>
    <w:rsid w:val="084E7652"/>
    <w:rsid w:val="08504A1F"/>
    <w:rsid w:val="085E7C8E"/>
    <w:rsid w:val="08DA2C94"/>
    <w:rsid w:val="09356F0C"/>
    <w:rsid w:val="097E3F67"/>
    <w:rsid w:val="09896468"/>
    <w:rsid w:val="09C37BCC"/>
    <w:rsid w:val="09F2400E"/>
    <w:rsid w:val="0A00672A"/>
    <w:rsid w:val="0A454A85"/>
    <w:rsid w:val="0A490A8C"/>
    <w:rsid w:val="0A64315D"/>
    <w:rsid w:val="0A8960BD"/>
    <w:rsid w:val="0A8E0EBA"/>
    <w:rsid w:val="0B2F1F4E"/>
    <w:rsid w:val="0BA3623F"/>
    <w:rsid w:val="0BA47042"/>
    <w:rsid w:val="0BAF665A"/>
    <w:rsid w:val="0BC35C62"/>
    <w:rsid w:val="0BCD7E05"/>
    <w:rsid w:val="0BD7170D"/>
    <w:rsid w:val="0BEF4CA9"/>
    <w:rsid w:val="0C69794B"/>
    <w:rsid w:val="0C6E02C3"/>
    <w:rsid w:val="0CB87790"/>
    <w:rsid w:val="0CDF583D"/>
    <w:rsid w:val="0D2766C4"/>
    <w:rsid w:val="0D474670"/>
    <w:rsid w:val="0D49488C"/>
    <w:rsid w:val="0DE325EB"/>
    <w:rsid w:val="0DF57165"/>
    <w:rsid w:val="0DFE3C20"/>
    <w:rsid w:val="0E41118E"/>
    <w:rsid w:val="0E567261"/>
    <w:rsid w:val="0E6F3E7F"/>
    <w:rsid w:val="0E9B2F86"/>
    <w:rsid w:val="0EC966A2"/>
    <w:rsid w:val="0ED62150"/>
    <w:rsid w:val="0F000F7B"/>
    <w:rsid w:val="0FAE35ED"/>
    <w:rsid w:val="0FB12275"/>
    <w:rsid w:val="106313BA"/>
    <w:rsid w:val="10FC7CB8"/>
    <w:rsid w:val="111555A1"/>
    <w:rsid w:val="11374340"/>
    <w:rsid w:val="1145536B"/>
    <w:rsid w:val="119360D6"/>
    <w:rsid w:val="11E903EC"/>
    <w:rsid w:val="123A47A4"/>
    <w:rsid w:val="126D1B09"/>
    <w:rsid w:val="127315B1"/>
    <w:rsid w:val="127A2BA1"/>
    <w:rsid w:val="12E24FBE"/>
    <w:rsid w:val="132760F1"/>
    <w:rsid w:val="132A63DF"/>
    <w:rsid w:val="13503F20"/>
    <w:rsid w:val="13623FB2"/>
    <w:rsid w:val="1367395A"/>
    <w:rsid w:val="1378114C"/>
    <w:rsid w:val="138B016E"/>
    <w:rsid w:val="138D1D96"/>
    <w:rsid w:val="13A20852"/>
    <w:rsid w:val="13BA2040"/>
    <w:rsid w:val="13D36C5E"/>
    <w:rsid w:val="13F80459"/>
    <w:rsid w:val="14AF2F65"/>
    <w:rsid w:val="14B73C5C"/>
    <w:rsid w:val="14C0186F"/>
    <w:rsid w:val="14E76E65"/>
    <w:rsid w:val="150F4102"/>
    <w:rsid w:val="15107A3E"/>
    <w:rsid w:val="15593193"/>
    <w:rsid w:val="155A1BBA"/>
    <w:rsid w:val="157D1577"/>
    <w:rsid w:val="15992018"/>
    <w:rsid w:val="15A13B32"/>
    <w:rsid w:val="15DD5B72"/>
    <w:rsid w:val="166D339A"/>
    <w:rsid w:val="17084E70"/>
    <w:rsid w:val="173619DD"/>
    <w:rsid w:val="1786728C"/>
    <w:rsid w:val="17DE3E23"/>
    <w:rsid w:val="17E31439"/>
    <w:rsid w:val="17E458DD"/>
    <w:rsid w:val="180A24D2"/>
    <w:rsid w:val="1824217E"/>
    <w:rsid w:val="188E75F7"/>
    <w:rsid w:val="18DF42F7"/>
    <w:rsid w:val="191A1950"/>
    <w:rsid w:val="197902A7"/>
    <w:rsid w:val="198E2A16"/>
    <w:rsid w:val="19A76BC3"/>
    <w:rsid w:val="19B906A4"/>
    <w:rsid w:val="19D96F98"/>
    <w:rsid w:val="19DB2D10"/>
    <w:rsid w:val="1A18361C"/>
    <w:rsid w:val="1A2F7C4C"/>
    <w:rsid w:val="1AAE5D2F"/>
    <w:rsid w:val="1AF8344E"/>
    <w:rsid w:val="1B247C05"/>
    <w:rsid w:val="1B776A68"/>
    <w:rsid w:val="1BE340FE"/>
    <w:rsid w:val="1C533032"/>
    <w:rsid w:val="1C6C5EA1"/>
    <w:rsid w:val="1C9F6277"/>
    <w:rsid w:val="1CC21F65"/>
    <w:rsid w:val="1CD463D5"/>
    <w:rsid w:val="1D1F6383"/>
    <w:rsid w:val="1D2E13A9"/>
    <w:rsid w:val="1DBC6559"/>
    <w:rsid w:val="1DBC71D5"/>
    <w:rsid w:val="1DD2442A"/>
    <w:rsid w:val="1E12046C"/>
    <w:rsid w:val="1E162569"/>
    <w:rsid w:val="1E4E3E8A"/>
    <w:rsid w:val="1EA062D6"/>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7A50AE"/>
    <w:rsid w:val="228D0920"/>
    <w:rsid w:val="22D12F02"/>
    <w:rsid w:val="23294AEC"/>
    <w:rsid w:val="232F393D"/>
    <w:rsid w:val="23353491"/>
    <w:rsid w:val="23E359CA"/>
    <w:rsid w:val="23F771B0"/>
    <w:rsid w:val="246477BF"/>
    <w:rsid w:val="24AC5BAF"/>
    <w:rsid w:val="24FF3D57"/>
    <w:rsid w:val="25826736"/>
    <w:rsid w:val="25966809"/>
    <w:rsid w:val="25D074A1"/>
    <w:rsid w:val="266320C3"/>
    <w:rsid w:val="26DB3F7D"/>
    <w:rsid w:val="27133AE9"/>
    <w:rsid w:val="275C189F"/>
    <w:rsid w:val="277E1FE6"/>
    <w:rsid w:val="278C2FD8"/>
    <w:rsid w:val="28921C90"/>
    <w:rsid w:val="289F580D"/>
    <w:rsid w:val="28A25500"/>
    <w:rsid w:val="28C826B1"/>
    <w:rsid w:val="28F45255"/>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DB0E10"/>
    <w:rsid w:val="2CFF6CD5"/>
    <w:rsid w:val="2D053ED4"/>
    <w:rsid w:val="2D1C2FCC"/>
    <w:rsid w:val="2D3447B9"/>
    <w:rsid w:val="2D832FCE"/>
    <w:rsid w:val="2E7D46B4"/>
    <w:rsid w:val="2E884FDF"/>
    <w:rsid w:val="2E9372BE"/>
    <w:rsid w:val="2E9C2616"/>
    <w:rsid w:val="2F007C11"/>
    <w:rsid w:val="2F1013EF"/>
    <w:rsid w:val="2F1403FE"/>
    <w:rsid w:val="2F20249B"/>
    <w:rsid w:val="2F2443BA"/>
    <w:rsid w:val="2F34284F"/>
    <w:rsid w:val="2F344F45"/>
    <w:rsid w:val="2F4F7689"/>
    <w:rsid w:val="2F5E00BE"/>
    <w:rsid w:val="2F7610B9"/>
    <w:rsid w:val="2FDA3F8E"/>
    <w:rsid w:val="2FEF49C8"/>
    <w:rsid w:val="300372B7"/>
    <w:rsid w:val="30660AF7"/>
    <w:rsid w:val="31E247E4"/>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685317"/>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34060"/>
    <w:rsid w:val="3FF9638C"/>
    <w:rsid w:val="400662A3"/>
    <w:rsid w:val="401C02CA"/>
    <w:rsid w:val="404A7C61"/>
    <w:rsid w:val="40C81049"/>
    <w:rsid w:val="40EF4858"/>
    <w:rsid w:val="417967E7"/>
    <w:rsid w:val="41886A2A"/>
    <w:rsid w:val="41EB5FC4"/>
    <w:rsid w:val="4241362E"/>
    <w:rsid w:val="42641245"/>
    <w:rsid w:val="42642FF3"/>
    <w:rsid w:val="42964976"/>
    <w:rsid w:val="42D86687"/>
    <w:rsid w:val="430413D1"/>
    <w:rsid w:val="43234C5C"/>
    <w:rsid w:val="433B5A32"/>
    <w:rsid w:val="435F188A"/>
    <w:rsid w:val="436D237B"/>
    <w:rsid w:val="43C401ED"/>
    <w:rsid w:val="44044A8E"/>
    <w:rsid w:val="44074B47"/>
    <w:rsid w:val="44D04A95"/>
    <w:rsid w:val="44D86B0F"/>
    <w:rsid w:val="452324F1"/>
    <w:rsid w:val="453A03D8"/>
    <w:rsid w:val="455F301F"/>
    <w:rsid w:val="45A02594"/>
    <w:rsid w:val="45B97E8C"/>
    <w:rsid w:val="45F75F2C"/>
    <w:rsid w:val="461B60BF"/>
    <w:rsid w:val="465A0995"/>
    <w:rsid w:val="469B36C4"/>
    <w:rsid w:val="46A60EB0"/>
    <w:rsid w:val="46AE6F33"/>
    <w:rsid w:val="46C71DA3"/>
    <w:rsid w:val="46F32B98"/>
    <w:rsid w:val="472C6521"/>
    <w:rsid w:val="47503B46"/>
    <w:rsid w:val="47A729F1"/>
    <w:rsid w:val="47FB1D04"/>
    <w:rsid w:val="481D430D"/>
    <w:rsid w:val="48627FD5"/>
    <w:rsid w:val="48C804D3"/>
    <w:rsid w:val="48CE566A"/>
    <w:rsid w:val="48F0738F"/>
    <w:rsid w:val="49274542"/>
    <w:rsid w:val="493C2429"/>
    <w:rsid w:val="494D2A33"/>
    <w:rsid w:val="49971F00"/>
    <w:rsid w:val="49C2425D"/>
    <w:rsid w:val="49FE5ADB"/>
    <w:rsid w:val="4A0140FD"/>
    <w:rsid w:val="4A3B4EF1"/>
    <w:rsid w:val="4A5E7508"/>
    <w:rsid w:val="4A940469"/>
    <w:rsid w:val="4AE83552"/>
    <w:rsid w:val="4B212373"/>
    <w:rsid w:val="4B245A16"/>
    <w:rsid w:val="4B367C4A"/>
    <w:rsid w:val="4B693428"/>
    <w:rsid w:val="4B907D32"/>
    <w:rsid w:val="4BB072A9"/>
    <w:rsid w:val="4BB87F0C"/>
    <w:rsid w:val="4BDA60D4"/>
    <w:rsid w:val="4BF278C2"/>
    <w:rsid w:val="4C147838"/>
    <w:rsid w:val="4C3B7B56"/>
    <w:rsid w:val="4C510955"/>
    <w:rsid w:val="4D0C050F"/>
    <w:rsid w:val="4D330192"/>
    <w:rsid w:val="4D7D31BB"/>
    <w:rsid w:val="4DF7516B"/>
    <w:rsid w:val="4E015B9A"/>
    <w:rsid w:val="4E033689"/>
    <w:rsid w:val="4E726A98"/>
    <w:rsid w:val="4ED90B67"/>
    <w:rsid w:val="4EF33865"/>
    <w:rsid w:val="4F021BCA"/>
    <w:rsid w:val="4F4162CB"/>
    <w:rsid w:val="4F4977F9"/>
    <w:rsid w:val="4F55619D"/>
    <w:rsid w:val="4F825B80"/>
    <w:rsid w:val="4F8E7BBB"/>
    <w:rsid w:val="4F9273F2"/>
    <w:rsid w:val="4FE94B38"/>
    <w:rsid w:val="50146059"/>
    <w:rsid w:val="50487AB0"/>
    <w:rsid w:val="507C59AC"/>
    <w:rsid w:val="507E34D2"/>
    <w:rsid w:val="50FC089B"/>
    <w:rsid w:val="5144296E"/>
    <w:rsid w:val="516A4762"/>
    <w:rsid w:val="51864D34"/>
    <w:rsid w:val="51A258E6"/>
    <w:rsid w:val="51AF7AE8"/>
    <w:rsid w:val="51E63A25"/>
    <w:rsid w:val="52003B26"/>
    <w:rsid w:val="52A97682"/>
    <w:rsid w:val="533802B0"/>
    <w:rsid w:val="533B1B4E"/>
    <w:rsid w:val="53413127"/>
    <w:rsid w:val="53517D1E"/>
    <w:rsid w:val="53B06098"/>
    <w:rsid w:val="53B10062"/>
    <w:rsid w:val="53B13BBE"/>
    <w:rsid w:val="53FC12DE"/>
    <w:rsid w:val="53FE7D63"/>
    <w:rsid w:val="5411465D"/>
    <w:rsid w:val="54601C62"/>
    <w:rsid w:val="54BE47E5"/>
    <w:rsid w:val="54E805FF"/>
    <w:rsid w:val="54FF6363"/>
    <w:rsid w:val="551876D5"/>
    <w:rsid w:val="5520724E"/>
    <w:rsid w:val="557E32D7"/>
    <w:rsid w:val="55801A9A"/>
    <w:rsid w:val="5583158B"/>
    <w:rsid w:val="56617B1E"/>
    <w:rsid w:val="566E223B"/>
    <w:rsid w:val="566E5A3F"/>
    <w:rsid w:val="567C04B4"/>
    <w:rsid w:val="56A62F15"/>
    <w:rsid w:val="56B93FA5"/>
    <w:rsid w:val="57825F9E"/>
    <w:rsid w:val="578A5B19"/>
    <w:rsid w:val="57A37CC2"/>
    <w:rsid w:val="57A852D8"/>
    <w:rsid w:val="57CC0FC7"/>
    <w:rsid w:val="580754AE"/>
    <w:rsid w:val="587B479B"/>
    <w:rsid w:val="58A3441E"/>
    <w:rsid w:val="58D71912"/>
    <w:rsid w:val="59934492"/>
    <w:rsid w:val="59AA17DC"/>
    <w:rsid w:val="5A014D41"/>
    <w:rsid w:val="5A5654C0"/>
    <w:rsid w:val="5A670E91"/>
    <w:rsid w:val="5AD85ED5"/>
    <w:rsid w:val="5B1A7EA6"/>
    <w:rsid w:val="5B415796"/>
    <w:rsid w:val="5B5555DB"/>
    <w:rsid w:val="5BAA161F"/>
    <w:rsid w:val="5C0160DE"/>
    <w:rsid w:val="5C8E7193"/>
    <w:rsid w:val="5C910A31"/>
    <w:rsid w:val="5CAE3391"/>
    <w:rsid w:val="5CD5691D"/>
    <w:rsid w:val="5CEC5C67"/>
    <w:rsid w:val="5CFE2219"/>
    <w:rsid w:val="5DEC1792"/>
    <w:rsid w:val="5EB822A5"/>
    <w:rsid w:val="5ED67896"/>
    <w:rsid w:val="5EE706DA"/>
    <w:rsid w:val="5F092B01"/>
    <w:rsid w:val="5F2636B2"/>
    <w:rsid w:val="5F69359F"/>
    <w:rsid w:val="5FA0604A"/>
    <w:rsid w:val="601B2AEB"/>
    <w:rsid w:val="60251BBC"/>
    <w:rsid w:val="60255718"/>
    <w:rsid w:val="602D6CC3"/>
    <w:rsid w:val="6083196C"/>
    <w:rsid w:val="60CD2CBF"/>
    <w:rsid w:val="60D72A94"/>
    <w:rsid w:val="60EB4BB4"/>
    <w:rsid w:val="60F021CA"/>
    <w:rsid w:val="613B0F6B"/>
    <w:rsid w:val="61686204"/>
    <w:rsid w:val="6189244E"/>
    <w:rsid w:val="61A86601"/>
    <w:rsid w:val="61D12D46"/>
    <w:rsid w:val="62173786"/>
    <w:rsid w:val="621912AD"/>
    <w:rsid w:val="622F6D22"/>
    <w:rsid w:val="626F5FC1"/>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9EA2C18"/>
    <w:rsid w:val="6A024D1C"/>
    <w:rsid w:val="6A0657AB"/>
    <w:rsid w:val="6A161774"/>
    <w:rsid w:val="6A3A2708"/>
    <w:rsid w:val="6A590DE0"/>
    <w:rsid w:val="6A6B0B13"/>
    <w:rsid w:val="6AEF704E"/>
    <w:rsid w:val="6AF6662F"/>
    <w:rsid w:val="6B056872"/>
    <w:rsid w:val="6B2A30BC"/>
    <w:rsid w:val="6B6E2926"/>
    <w:rsid w:val="6B772180"/>
    <w:rsid w:val="6BA53BB1"/>
    <w:rsid w:val="6BAE5077"/>
    <w:rsid w:val="6BB838E4"/>
    <w:rsid w:val="6BC1163D"/>
    <w:rsid w:val="6BCE09DE"/>
    <w:rsid w:val="6C047CFF"/>
    <w:rsid w:val="6C3B62C3"/>
    <w:rsid w:val="6C6B4C93"/>
    <w:rsid w:val="6C9003BD"/>
    <w:rsid w:val="6CAA14EC"/>
    <w:rsid w:val="6CFC1EF7"/>
    <w:rsid w:val="6D042B59"/>
    <w:rsid w:val="6D0448D5"/>
    <w:rsid w:val="6D21195D"/>
    <w:rsid w:val="6D504CBA"/>
    <w:rsid w:val="6DF3366F"/>
    <w:rsid w:val="6DF5118C"/>
    <w:rsid w:val="6DF97C92"/>
    <w:rsid w:val="6E283B6C"/>
    <w:rsid w:val="6E340E03"/>
    <w:rsid w:val="6E5806F2"/>
    <w:rsid w:val="6EC151A6"/>
    <w:rsid w:val="6EC92EC4"/>
    <w:rsid w:val="6ECB1B80"/>
    <w:rsid w:val="6EF26D5B"/>
    <w:rsid w:val="6F5A6ADB"/>
    <w:rsid w:val="6F984159"/>
    <w:rsid w:val="6FA7439C"/>
    <w:rsid w:val="6FAB5E6E"/>
    <w:rsid w:val="6FB96CE6"/>
    <w:rsid w:val="6FCB1EC4"/>
    <w:rsid w:val="708D66C2"/>
    <w:rsid w:val="7095177A"/>
    <w:rsid w:val="70BD374B"/>
    <w:rsid w:val="70CB2F29"/>
    <w:rsid w:val="70DC0D6F"/>
    <w:rsid w:val="71431EA2"/>
    <w:rsid w:val="714E5325"/>
    <w:rsid w:val="7169556A"/>
    <w:rsid w:val="72351CEA"/>
    <w:rsid w:val="72AE3C93"/>
    <w:rsid w:val="73375A36"/>
    <w:rsid w:val="7338355D"/>
    <w:rsid w:val="73C6509B"/>
    <w:rsid w:val="741E6BF6"/>
    <w:rsid w:val="74793E2D"/>
    <w:rsid w:val="747F29F4"/>
    <w:rsid w:val="748527D2"/>
    <w:rsid w:val="749F06E5"/>
    <w:rsid w:val="750E6C6B"/>
    <w:rsid w:val="75272958"/>
    <w:rsid w:val="753541DE"/>
    <w:rsid w:val="75AC354D"/>
    <w:rsid w:val="75B77529"/>
    <w:rsid w:val="75BC66C7"/>
    <w:rsid w:val="75BC6A36"/>
    <w:rsid w:val="75EA6B03"/>
    <w:rsid w:val="75FE3D53"/>
    <w:rsid w:val="76263B40"/>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605B8A"/>
    <w:rsid w:val="7D8831F6"/>
    <w:rsid w:val="7DD16A88"/>
    <w:rsid w:val="7DE04EC6"/>
    <w:rsid w:val="7DF804B8"/>
    <w:rsid w:val="7E262225"/>
    <w:rsid w:val="7E6E00C4"/>
    <w:rsid w:val="7E8B1421"/>
    <w:rsid w:val="7EC43731"/>
    <w:rsid w:val="7ED13252"/>
    <w:rsid w:val="7F0013D2"/>
    <w:rsid w:val="7F25708B"/>
    <w:rsid w:val="7F3948E4"/>
    <w:rsid w:val="7F3B356A"/>
    <w:rsid w:val="7F912972"/>
    <w:rsid w:val="7F941341"/>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5"/>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kern w:val="0"/>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8"/>
    <w:autoRedefine/>
    <w:semiHidden/>
    <w:unhideWhenUsed/>
    <w:qFormat/>
    <w:uiPriority w:val="99"/>
    <w:rPr>
      <w:rFonts w:ascii="宋体" w:hAnsi="Calibri"/>
      <w:sz w:val="18"/>
      <w:szCs w:val="18"/>
    </w:rPr>
  </w:style>
  <w:style w:type="paragraph" w:styleId="7">
    <w:name w:val="Body Text"/>
    <w:basedOn w:val="1"/>
    <w:semiHidden/>
    <w:unhideWhenUsed/>
    <w:qFormat/>
    <w:uiPriority w:val="99"/>
    <w:pPr>
      <w:spacing w:after="120"/>
    </w:pPr>
  </w:style>
  <w:style w:type="paragraph" w:styleId="8">
    <w:name w:val="toc 3"/>
    <w:basedOn w:val="1"/>
    <w:next w:val="1"/>
    <w:autoRedefine/>
    <w:unhideWhenUsed/>
    <w:qFormat/>
    <w:locked/>
    <w:uiPriority w:val="39"/>
    <w:pPr>
      <w:ind w:left="840" w:leftChars="400"/>
    </w:pPr>
  </w:style>
  <w:style w:type="paragraph" w:styleId="9">
    <w:name w:val="Date"/>
    <w:basedOn w:val="1"/>
    <w:next w:val="1"/>
    <w:link w:val="72"/>
    <w:autoRedefine/>
    <w:qFormat/>
    <w:uiPriority w:val="0"/>
    <w:pPr>
      <w:ind w:left="100" w:leftChars="2500"/>
    </w:pPr>
  </w:style>
  <w:style w:type="paragraph" w:styleId="10">
    <w:name w:val="Body Text Indent 2"/>
    <w:basedOn w:val="1"/>
    <w:link w:val="28"/>
    <w:autoRedefine/>
    <w:qFormat/>
    <w:uiPriority w:val="0"/>
    <w:pPr>
      <w:spacing w:after="120" w:line="480" w:lineRule="auto"/>
      <w:ind w:left="420" w:leftChars="200"/>
    </w:pPr>
    <w:rPr>
      <w:kern w:val="0"/>
      <w:sz w:val="20"/>
    </w:rPr>
  </w:style>
  <w:style w:type="paragraph" w:styleId="11">
    <w:name w:val="Balloon Text"/>
    <w:basedOn w:val="1"/>
    <w:link w:val="29"/>
    <w:autoRedefine/>
    <w:qFormat/>
    <w:uiPriority w:val="99"/>
    <w:pPr>
      <w:spacing w:beforeAutospacing="1" w:afterAutospacing="1"/>
      <w:ind w:left="150" w:hanging="150" w:hangingChars="150"/>
    </w:pPr>
    <w:rPr>
      <w:rFonts w:ascii="Calibri" w:hAnsi="Calibri"/>
      <w:kern w:val="0"/>
      <w:sz w:val="18"/>
      <w:szCs w:val="18"/>
    </w:rPr>
  </w:style>
  <w:style w:type="paragraph" w:styleId="12">
    <w:name w:val="footer"/>
    <w:basedOn w:val="1"/>
    <w:link w:val="30"/>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3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5">
    <w:name w:val="Subtitle"/>
    <w:basedOn w:val="1"/>
    <w:next w:val="1"/>
    <w:link w:val="71"/>
    <w:autoRedefine/>
    <w:qFormat/>
    <w:locked/>
    <w:uiPriority w:val="11"/>
    <w:pPr>
      <w:spacing w:before="240" w:after="60" w:line="312" w:lineRule="auto"/>
      <w:jc w:val="center"/>
      <w:outlineLvl w:val="1"/>
    </w:pPr>
    <w:rPr>
      <w:rFonts w:ascii="Cambria" w:hAnsi="Cambria"/>
      <w:b/>
      <w:bCs/>
      <w:kern w:val="28"/>
      <w:sz w:val="32"/>
      <w:szCs w:val="32"/>
    </w:rPr>
  </w:style>
  <w:style w:type="paragraph" w:styleId="16">
    <w:name w:val="toc 2"/>
    <w:basedOn w:val="1"/>
    <w:next w:val="1"/>
    <w:autoRedefine/>
    <w:unhideWhenUsed/>
    <w:qFormat/>
    <w:locked/>
    <w:uiPriority w:val="39"/>
    <w:pPr>
      <w:ind w:left="420" w:leftChars="200"/>
    </w:pPr>
  </w:style>
  <w:style w:type="paragraph" w:styleId="17">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8">
    <w:name w:val="Title"/>
    <w:basedOn w:val="1"/>
    <w:next w:val="1"/>
    <w:link w:val="32"/>
    <w:autoRedefine/>
    <w:qFormat/>
    <w:uiPriority w:val="0"/>
    <w:pPr>
      <w:spacing w:before="240" w:after="60"/>
      <w:jc w:val="center"/>
      <w:outlineLvl w:val="0"/>
    </w:pPr>
    <w:rPr>
      <w:rFonts w:ascii="Cambria" w:hAnsi="Cambria"/>
      <w:b/>
      <w:bCs/>
      <w:kern w:val="0"/>
      <w:sz w:val="32"/>
      <w:szCs w:val="32"/>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autoRedefine/>
    <w:semiHidden/>
    <w:qFormat/>
    <w:uiPriority w:val="0"/>
    <w:rPr>
      <w:rFonts w:cs="Times New Roman"/>
      <w:color w:val="800080"/>
      <w:u w:val="single"/>
    </w:rPr>
  </w:style>
  <w:style w:type="character" w:styleId="24">
    <w:name w:val="Hyperlink"/>
    <w:autoRedefine/>
    <w:qFormat/>
    <w:uiPriority w:val="0"/>
    <w:rPr>
      <w:color w:val="000000"/>
      <w:u w:val="none"/>
    </w:rPr>
  </w:style>
  <w:style w:type="character" w:customStyle="1" w:styleId="25">
    <w:name w:val="标题 1 字符"/>
    <w:link w:val="3"/>
    <w:autoRedefine/>
    <w:qFormat/>
    <w:locked/>
    <w:uiPriority w:val="9"/>
    <w:rPr>
      <w:rFonts w:ascii="Calibri" w:hAnsi="Calibri" w:eastAsia="宋体" w:cs="Times New Roman"/>
      <w:b/>
      <w:bCs/>
      <w:kern w:val="44"/>
      <w:sz w:val="44"/>
      <w:szCs w:val="44"/>
    </w:rPr>
  </w:style>
  <w:style w:type="character" w:customStyle="1" w:styleId="26">
    <w:name w:val="标题 2 字符"/>
    <w:link w:val="2"/>
    <w:autoRedefine/>
    <w:qFormat/>
    <w:locked/>
    <w:uiPriority w:val="0"/>
    <w:rPr>
      <w:rFonts w:ascii="Cambria" w:hAnsi="Cambria" w:eastAsia="宋体" w:cs="Times New Roman"/>
      <w:b/>
      <w:bCs/>
      <w:sz w:val="32"/>
      <w:szCs w:val="32"/>
    </w:rPr>
  </w:style>
  <w:style w:type="character" w:customStyle="1" w:styleId="27">
    <w:name w:val="标题 3 字符"/>
    <w:link w:val="4"/>
    <w:autoRedefine/>
    <w:qFormat/>
    <w:locked/>
    <w:uiPriority w:val="0"/>
    <w:rPr>
      <w:rFonts w:ascii="Times New Roman" w:hAnsi="Times New Roman" w:eastAsia="宋体" w:cs="Times New Roman"/>
      <w:b/>
      <w:bCs/>
      <w:sz w:val="32"/>
      <w:szCs w:val="32"/>
    </w:rPr>
  </w:style>
  <w:style w:type="character" w:customStyle="1" w:styleId="28">
    <w:name w:val="正文文本缩进 2 字符"/>
    <w:link w:val="10"/>
    <w:autoRedefine/>
    <w:qFormat/>
    <w:locked/>
    <w:uiPriority w:val="0"/>
    <w:rPr>
      <w:rFonts w:ascii="Times New Roman" w:hAnsi="Times New Roman" w:eastAsia="宋体" w:cs="Times New Roman"/>
      <w:sz w:val="20"/>
      <w:szCs w:val="20"/>
    </w:rPr>
  </w:style>
  <w:style w:type="character" w:customStyle="1" w:styleId="29">
    <w:name w:val="批注框文本 字符"/>
    <w:link w:val="11"/>
    <w:autoRedefine/>
    <w:qFormat/>
    <w:locked/>
    <w:uiPriority w:val="99"/>
    <w:rPr>
      <w:rFonts w:ascii="Calibri" w:hAnsi="Calibri" w:eastAsia="宋体" w:cs="Times New Roman"/>
      <w:sz w:val="18"/>
      <w:szCs w:val="18"/>
    </w:rPr>
  </w:style>
  <w:style w:type="character" w:customStyle="1" w:styleId="30">
    <w:name w:val="页脚 字符"/>
    <w:link w:val="12"/>
    <w:autoRedefine/>
    <w:qFormat/>
    <w:locked/>
    <w:uiPriority w:val="99"/>
    <w:rPr>
      <w:rFonts w:cs="Times New Roman"/>
      <w:sz w:val="18"/>
      <w:szCs w:val="18"/>
    </w:rPr>
  </w:style>
  <w:style w:type="character" w:customStyle="1" w:styleId="31">
    <w:name w:val="页眉 字符"/>
    <w:link w:val="13"/>
    <w:autoRedefine/>
    <w:qFormat/>
    <w:locked/>
    <w:uiPriority w:val="0"/>
    <w:rPr>
      <w:rFonts w:cs="Times New Roman"/>
      <w:sz w:val="18"/>
      <w:szCs w:val="18"/>
    </w:rPr>
  </w:style>
  <w:style w:type="character" w:customStyle="1" w:styleId="32">
    <w:name w:val="标题 字符"/>
    <w:link w:val="18"/>
    <w:autoRedefine/>
    <w:qFormat/>
    <w:locked/>
    <w:uiPriority w:val="0"/>
    <w:rPr>
      <w:rFonts w:ascii="Cambria" w:hAnsi="Cambria" w:eastAsia="宋体" w:cs="Times New Roman"/>
      <w:b/>
      <w:bCs/>
      <w:sz w:val="32"/>
      <w:szCs w:val="32"/>
    </w:rPr>
  </w:style>
  <w:style w:type="paragraph" w:customStyle="1" w:styleId="33">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9"/>
    <w:basedOn w:val="1"/>
    <w:autoRedefine/>
    <w:qFormat/>
    <w:uiPriority w:val="0"/>
    <w:pPr>
      <w:widowControl/>
      <w:spacing w:before="100" w:beforeAutospacing="1" w:after="100" w:afterAutospacing="1"/>
      <w:jc w:val="left"/>
    </w:pPr>
    <w:rPr>
      <w:kern w:val="0"/>
      <w:szCs w:val="21"/>
    </w:rPr>
  </w:style>
  <w:style w:type="paragraph" w:customStyle="1" w:styleId="38">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9">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1">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4">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5">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列出段落1"/>
    <w:basedOn w:val="1"/>
    <w:autoRedefine/>
    <w:qFormat/>
    <w:uiPriority w:val="34"/>
    <w:pPr>
      <w:ind w:firstLine="420" w:firstLineChars="200"/>
    </w:pPr>
  </w:style>
  <w:style w:type="paragraph" w:customStyle="1" w:styleId="48">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8"/>
    <w:basedOn w:val="1"/>
    <w:autoRedefine/>
    <w:qFormat/>
    <w:uiPriority w:val="0"/>
    <w:pPr>
      <w:widowControl/>
      <w:spacing w:before="100" w:beforeAutospacing="1" w:after="100" w:afterAutospacing="1"/>
      <w:jc w:val="left"/>
    </w:pPr>
    <w:rPr>
      <w:kern w:val="0"/>
      <w:sz w:val="36"/>
      <w:szCs w:val="36"/>
    </w:rPr>
  </w:style>
  <w:style w:type="paragraph" w:customStyle="1" w:styleId="51">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2">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5">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6">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7">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8">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9">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列出段落2"/>
    <w:basedOn w:val="1"/>
    <w:autoRedefine/>
    <w:qFormat/>
    <w:uiPriority w:val="34"/>
    <w:pPr>
      <w:ind w:firstLine="420" w:firstLineChars="200"/>
    </w:pPr>
  </w:style>
  <w:style w:type="paragraph" w:customStyle="1" w:styleId="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2">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3">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4">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5">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6">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7">
    <w:name w:val="表格内容"/>
    <w:autoRedefine/>
    <w:qFormat/>
    <w:uiPriority w:val="0"/>
    <w:rPr>
      <w:sz w:val="24"/>
    </w:rPr>
  </w:style>
  <w:style w:type="character" w:customStyle="1" w:styleId="68">
    <w:name w:val="文档结构图 字符"/>
    <w:link w:val="6"/>
    <w:autoRedefine/>
    <w:semiHidden/>
    <w:qFormat/>
    <w:uiPriority w:val="99"/>
    <w:rPr>
      <w:rFonts w:ascii="宋体" w:cs="Times New Roman"/>
      <w:kern w:val="2"/>
      <w:sz w:val="18"/>
      <w:szCs w:val="18"/>
    </w:rPr>
  </w:style>
  <w:style w:type="paragraph" w:styleId="69">
    <w:name w:val="List Paragraph"/>
    <w:basedOn w:val="1"/>
    <w:autoRedefine/>
    <w:qFormat/>
    <w:uiPriority w:val="34"/>
    <w:pPr>
      <w:ind w:firstLine="420" w:firstLineChars="200"/>
    </w:pPr>
    <w:rPr>
      <w:rFonts w:ascii="Calibri" w:hAnsi="Calibri"/>
      <w:szCs w:val="22"/>
    </w:rPr>
  </w:style>
  <w:style w:type="paragraph" w:customStyle="1" w:styleId="70">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1">
    <w:name w:val="副标题 字符"/>
    <w:link w:val="15"/>
    <w:autoRedefine/>
    <w:qFormat/>
    <w:uiPriority w:val="11"/>
    <w:rPr>
      <w:rFonts w:ascii="Cambria" w:hAnsi="Cambria" w:cs="Times New Roman"/>
      <w:b/>
      <w:bCs/>
      <w:kern w:val="28"/>
      <w:sz w:val="32"/>
      <w:szCs w:val="32"/>
    </w:rPr>
  </w:style>
  <w:style w:type="character" w:customStyle="1" w:styleId="72">
    <w:name w:val="日期 字符"/>
    <w:link w:val="9"/>
    <w:autoRedefine/>
    <w:qFormat/>
    <w:uiPriority w:val="0"/>
    <w:rPr>
      <w:rFonts w:ascii="Times New Roman" w:hAnsi="Times New Roman" w:cs="Times New Roman"/>
      <w:kern w:val="2"/>
      <w:sz w:val="21"/>
    </w:rPr>
  </w:style>
  <w:style w:type="paragraph" w:customStyle="1" w:styleId="73">
    <w:name w:val="TOC 标题1"/>
    <w:basedOn w:val="3"/>
    <w:next w:val="1"/>
    <w:autoRedefine/>
    <w:semiHidden/>
    <w:unhideWhenUsed/>
    <w:qFormat/>
    <w:uiPriority w:val="39"/>
    <w:pPr>
      <w:outlineLvl w:val="9"/>
    </w:pPr>
    <w:rPr>
      <w:rFonts w:ascii="Times New Roman" w:hAnsi="Times New Roman"/>
    </w:rPr>
  </w:style>
  <w:style w:type="character" w:customStyle="1" w:styleId="74">
    <w:name w:val="15"/>
    <w:autoRedefine/>
    <w:qFormat/>
    <w:uiPriority w:val="0"/>
    <w:rPr>
      <w:rFonts w:hint="default" w:ascii="Times New Roman" w:hAnsi="Times New Roman" w:cs="Times New Roman"/>
      <w:i/>
      <w:iCs/>
    </w:rPr>
  </w:style>
  <w:style w:type="paragraph" w:customStyle="1" w:styleId="75">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6">
    <w:name w:val="font81"/>
    <w:autoRedefine/>
    <w:qFormat/>
    <w:uiPriority w:val="0"/>
    <w:rPr>
      <w:rFonts w:hint="eastAsia" w:ascii="宋体" w:hAnsi="宋体" w:eastAsia="宋体" w:cs="宋体"/>
      <w:b/>
      <w:bCs/>
      <w:color w:val="000000"/>
      <w:sz w:val="20"/>
      <w:szCs w:val="20"/>
      <w:u w:val="none"/>
    </w:rPr>
  </w:style>
  <w:style w:type="character" w:customStyle="1" w:styleId="77">
    <w:name w:val="font61"/>
    <w:autoRedefine/>
    <w:qFormat/>
    <w:uiPriority w:val="0"/>
    <w:rPr>
      <w:rFonts w:hint="eastAsia" w:ascii="宋体" w:hAnsi="宋体" w:eastAsia="宋体" w:cs="宋体"/>
      <w:color w:val="000000"/>
      <w:sz w:val="20"/>
      <w:szCs w:val="20"/>
      <w:u w:val="none"/>
    </w:rPr>
  </w:style>
  <w:style w:type="character" w:customStyle="1" w:styleId="78">
    <w:name w:val="font91"/>
    <w:autoRedefine/>
    <w:qFormat/>
    <w:uiPriority w:val="0"/>
    <w:rPr>
      <w:rFonts w:hint="eastAsia" w:ascii="宋体" w:hAnsi="宋体" w:eastAsia="宋体" w:cs="宋体"/>
      <w:color w:val="FF0000"/>
      <w:sz w:val="20"/>
      <w:szCs w:val="20"/>
      <w:u w:val="none"/>
    </w:rPr>
  </w:style>
  <w:style w:type="character" w:customStyle="1" w:styleId="79">
    <w:name w:val="font101"/>
    <w:autoRedefine/>
    <w:qFormat/>
    <w:uiPriority w:val="0"/>
    <w:rPr>
      <w:rFonts w:hint="eastAsia" w:ascii="宋体" w:hAnsi="宋体" w:eastAsia="宋体" w:cs="宋体"/>
      <w:color w:val="000000"/>
      <w:sz w:val="20"/>
      <w:szCs w:val="20"/>
      <w:u w:val="single"/>
    </w:rPr>
  </w:style>
  <w:style w:type="character" w:customStyle="1" w:styleId="80">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23</Pages>
  <Words>12147</Words>
  <Characters>12906</Characters>
  <Lines>121</Lines>
  <Paragraphs>34</Paragraphs>
  <TotalTime>75</TotalTime>
  <ScaleCrop>false</ScaleCrop>
  <LinksUpToDate>false</LinksUpToDate>
  <CharactersWithSpaces>14335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2025-06-06T02:37:57Z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0CCFC75874BE425FAC6E6700D6A3EBEE_13</vt:lpwstr>
  </property>
  <property fmtid="{D5CDD505-2E9C-101B-9397-08002B2CF9AE}" pid="4" name="KSOTemplateDocerSaveRecord">
    <vt:lpwstr>eyJoZGlkIjoiYzNmZTE2ZGI3YWU5NWY2YmMxNTY4NDM4Y2E4N2JkMDYiLCJ1c2VySWQiOiIyMzU5OTk5MDAifQ==</vt:lpwstr>
  </property>
</Properties>
</file>