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58536"/>
    <w:p w14:paraId="430D2CA5"/>
    <w:p w14:paraId="44C46A3F"/>
    <w:p w14:paraId="1B5485AE"/>
    <w:p w14:paraId="37F3D588"/>
    <w:p w14:paraId="437DD0DB"/>
    <w:p w14:paraId="740D0774">
      <w:pPr>
        <w:snapToGrid w:val="0"/>
        <w:spacing w:line="873" w:lineRule="atLeast"/>
        <w:ind w:right="-340" w:rightChars="-162"/>
        <w:jc w:val="center"/>
        <w:rPr>
          <w:rFonts w:hint="eastAsia"/>
          <w:b/>
          <w:sz w:val="44"/>
          <w:szCs w:val="44"/>
          <w:highlight w:val="none"/>
          <w:lang w:eastAsia="zh-CN"/>
        </w:rPr>
      </w:pPr>
      <w:r>
        <w:rPr>
          <w:rFonts w:hint="eastAsia"/>
          <w:b/>
          <w:sz w:val="44"/>
          <w:szCs w:val="44"/>
          <w:highlight w:val="none"/>
          <w:lang w:eastAsia="zh-CN"/>
        </w:rPr>
        <w:t>2025年滁州轨道运营危险废弃物处置（废机油、废铅酸蓄电池、废墨盒）项目</w:t>
      </w:r>
    </w:p>
    <w:p w14:paraId="31EB6E07">
      <w:pPr>
        <w:snapToGrid w:val="0"/>
        <w:spacing w:line="873" w:lineRule="atLeast"/>
        <w:ind w:right="-340" w:rightChars="-162"/>
        <w:jc w:val="center"/>
        <w:rPr>
          <w:rFonts w:hint="eastAsia"/>
          <w:b/>
          <w:sz w:val="44"/>
          <w:szCs w:val="44"/>
          <w:highlight w:val="none"/>
          <w:lang w:eastAsia="zh-CN"/>
        </w:rPr>
      </w:pPr>
      <w:r>
        <w:rPr>
          <w:rFonts w:hint="eastAsia"/>
          <w:b/>
          <w:sz w:val="44"/>
          <w:szCs w:val="44"/>
          <w:highlight w:val="none"/>
          <w:lang w:eastAsia="zh-CN"/>
        </w:rPr>
        <w:t>（</w:t>
      </w:r>
      <w:r>
        <w:rPr>
          <w:rFonts w:hint="eastAsia"/>
          <w:b/>
          <w:sz w:val="44"/>
          <w:szCs w:val="44"/>
          <w:highlight w:val="none"/>
          <w:lang w:val="en-US" w:eastAsia="zh-CN"/>
        </w:rPr>
        <w:t>三年框架</w:t>
      </w:r>
      <w:r>
        <w:rPr>
          <w:rFonts w:hint="eastAsia"/>
          <w:b/>
          <w:sz w:val="44"/>
          <w:szCs w:val="44"/>
          <w:highlight w:val="none"/>
          <w:lang w:eastAsia="zh-CN"/>
        </w:rPr>
        <w:t>）</w:t>
      </w:r>
    </w:p>
    <w:p w14:paraId="59663CE9">
      <w:pPr>
        <w:snapToGrid w:val="0"/>
        <w:spacing w:line="873" w:lineRule="atLeast"/>
        <w:jc w:val="center"/>
        <w:rPr>
          <w:rFonts w:ascii="Arial Narrow"/>
          <w:b/>
          <w:sz w:val="84"/>
          <w:szCs w:val="84"/>
        </w:rPr>
      </w:pPr>
    </w:p>
    <w:p w14:paraId="760EA42C">
      <w:pPr>
        <w:snapToGrid w:val="0"/>
        <w:spacing w:line="873" w:lineRule="atLeast"/>
        <w:jc w:val="center"/>
        <w:rPr>
          <w:b/>
          <w:sz w:val="72"/>
          <w:szCs w:val="72"/>
        </w:rPr>
      </w:pPr>
      <w:r>
        <w:rPr>
          <w:rFonts w:hint="eastAsia" w:ascii="Arial Narrow"/>
          <w:b/>
          <w:sz w:val="72"/>
          <w:szCs w:val="72"/>
        </w:rPr>
        <w:t>询价文件</w:t>
      </w:r>
    </w:p>
    <w:p w14:paraId="20AD3122">
      <w:pPr>
        <w:snapToGrid w:val="0"/>
        <w:spacing w:line="1054" w:lineRule="atLeast"/>
        <w:jc w:val="center"/>
      </w:pPr>
    </w:p>
    <w:p w14:paraId="4419A934">
      <w:pPr>
        <w:snapToGrid w:val="0"/>
        <w:spacing w:line="1054" w:lineRule="atLeast"/>
        <w:jc w:val="center"/>
      </w:pPr>
    </w:p>
    <w:p w14:paraId="76457241">
      <w:pPr>
        <w:snapToGrid w:val="0"/>
        <w:spacing w:line="1054" w:lineRule="atLeast"/>
        <w:jc w:val="center"/>
      </w:pPr>
    </w:p>
    <w:p w14:paraId="66078B87">
      <w:pPr>
        <w:snapToGrid w:val="0"/>
        <w:spacing w:line="487" w:lineRule="atLeast"/>
        <w:jc w:val="center"/>
      </w:pPr>
    </w:p>
    <w:p w14:paraId="52A7E60E"/>
    <w:p w14:paraId="6A893131"/>
    <w:p w14:paraId="27D00892"/>
    <w:p w14:paraId="04A65E8E"/>
    <w:p w14:paraId="559D5F8A"/>
    <w:p w14:paraId="293F3462"/>
    <w:p w14:paraId="755AE25E">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14:paraId="65AF6371">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highlight w:val="none"/>
        </w:rPr>
        <w:t>202</w:t>
      </w:r>
      <w:r>
        <w:rPr>
          <w:rFonts w:hint="eastAsia" w:eastAsia="仿宋_GB2312"/>
          <w:sz w:val="44"/>
          <w:szCs w:val="44"/>
          <w:highlight w:val="none"/>
          <w:lang w:val="en-US" w:eastAsia="zh-CN"/>
        </w:rPr>
        <w:t>5</w:t>
      </w:r>
      <w:r>
        <w:rPr>
          <w:rFonts w:hint="eastAsia" w:eastAsia="仿宋_GB2312"/>
          <w:sz w:val="44"/>
          <w:szCs w:val="44"/>
          <w:highlight w:val="none"/>
        </w:rPr>
        <w:t>年</w:t>
      </w:r>
      <w:r>
        <w:rPr>
          <w:rFonts w:hint="eastAsia" w:eastAsia="仿宋_GB2312"/>
          <w:sz w:val="44"/>
          <w:szCs w:val="44"/>
          <w:highlight w:val="none"/>
          <w:lang w:val="en-US" w:eastAsia="zh-CN"/>
        </w:rPr>
        <w:t>5</w:t>
      </w:r>
      <w:r>
        <w:rPr>
          <w:rFonts w:hint="eastAsia" w:eastAsia="仿宋_GB2312"/>
          <w:sz w:val="44"/>
          <w:szCs w:val="44"/>
          <w:highlight w:val="none"/>
        </w:rPr>
        <w:t>月</w:t>
      </w:r>
      <w:r>
        <w:rPr>
          <w:rFonts w:hint="eastAsia" w:eastAsia="仿宋_GB2312"/>
          <w:sz w:val="44"/>
          <w:szCs w:val="44"/>
          <w:highlight w:val="none"/>
          <w:lang w:val="en-US" w:eastAsia="zh-CN"/>
        </w:rPr>
        <w:t>29</w:t>
      </w:r>
      <w:r>
        <w:rPr>
          <w:rFonts w:hint="eastAsia" w:eastAsia="仿宋_GB2312"/>
          <w:sz w:val="44"/>
          <w:szCs w:val="44"/>
          <w:highlight w:val="none"/>
        </w:rPr>
        <w:t>日</w:t>
      </w:r>
    </w:p>
    <w:p w14:paraId="5B3E99F0"/>
    <w:p w14:paraId="0C241AE5">
      <w:pPr>
        <w:jc w:val="center"/>
        <w:rPr>
          <w:sz w:val="52"/>
          <w:szCs w:val="52"/>
        </w:rPr>
      </w:pPr>
      <w:r>
        <w:rPr>
          <w:rFonts w:hint="eastAsia"/>
          <w:sz w:val="52"/>
          <w:szCs w:val="52"/>
        </w:rPr>
        <w:t>目  录</w:t>
      </w:r>
    </w:p>
    <w:p w14:paraId="78BF2490">
      <w:pPr>
        <w:rPr>
          <w:b/>
          <w:sz w:val="30"/>
          <w:szCs w:val="30"/>
        </w:rPr>
      </w:pPr>
    </w:p>
    <w:p w14:paraId="2BF997D8">
      <w:pPr>
        <w:rPr>
          <w:sz w:val="30"/>
          <w:szCs w:val="30"/>
        </w:rPr>
      </w:pPr>
      <w:r>
        <w:rPr>
          <w:rFonts w:hint="eastAsia"/>
          <w:sz w:val="30"/>
          <w:szCs w:val="30"/>
        </w:rPr>
        <w:t>第一章 公开询价公告</w:t>
      </w:r>
    </w:p>
    <w:p w14:paraId="0A5A1A56">
      <w:pPr>
        <w:rPr>
          <w:sz w:val="30"/>
          <w:szCs w:val="30"/>
        </w:rPr>
      </w:pPr>
      <w:r>
        <w:rPr>
          <w:rFonts w:hint="eastAsia"/>
          <w:sz w:val="30"/>
          <w:szCs w:val="30"/>
        </w:rPr>
        <w:t>第二章 公开询价须知</w:t>
      </w:r>
    </w:p>
    <w:p w14:paraId="2D188B46">
      <w:pPr>
        <w:rPr>
          <w:sz w:val="30"/>
          <w:szCs w:val="30"/>
        </w:rPr>
      </w:pPr>
      <w:r>
        <w:rPr>
          <w:rFonts w:hint="eastAsia"/>
          <w:sz w:val="30"/>
          <w:szCs w:val="30"/>
        </w:rPr>
        <w:t>第三章 项目需求</w:t>
      </w:r>
    </w:p>
    <w:p w14:paraId="033F5C12">
      <w:pPr>
        <w:rPr>
          <w:sz w:val="30"/>
          <w:szCs w:val="30"/>
        </w:rPr>
      </w:pPr>
      <w:r>
        <w:rPr>
          <w:rFonts w:hint="eastAsia"/>
          <w:sz w:val="30"/>
          <w:szCs w:val="30"/>
        </w:rPr>
        <w:t>第四章 报价文件格式要求</w:t>
      </w:r>
    </w:p>
    <w:p w14:paraId="46A2D545">
      <w:pPr>
        <w:rPr>
          <w:sz w:val="30"/>
          <w:szCs w:val="30"/>
        </w:rPr>
      </w:pPr>
      <w:r>
        <w:rPr>
          <w:rFonts w:hint="eastAsia"/>
          <w:sz w:val="30"/>
          <w:szCs w:val="30"/>
        </w:rPr>
        <w:t>第五章 合同条款</w:t>
      </w:r>
    </w:p>
    <w:p w14:paraId="79CAEE97">
      <w:pPr>
        <w:sectPr>
          <w:headerReference r:id="rId3" w:type="default"/>
          <w:footerReference r:id="rId5" w:type="default"/>
          <w:headerReference r:id="rId4" w:type="even"/>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pPr>
    </w:p>
    <w:p w14:paraId="4A9BAC65">
      <w:pPr>
        <w:pStyle w:val="18"/>
        <w:spacing w:before="0" w:after="100" w:afterAutospacing="1" w:line="360" w:lineRule="auto"/>
      </w:pPr>
      <w:r>
        <w:rPr>
          <w:rFonts w:hint="eastAsia"/>
        </w:rPr>
        <w:t>第一章 询价公告</w:t>
      </w:r>
    </w:p>
    <w:p w14:paraId="354B6F88">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highlight w:val="none"/>
          <w:lang w:eastAsia="zh-CN"/>
        </w:rPr>
        <w:t>2025年滁州轨道运营危险废弃物处置（废机油、废铅酸蓄电池、废墨盒）项目（</w:t>
      </w:r>
      <w:r>
        <w:rPr>
          <w:rFonts w:hint="eastAsia"/>
          <w:kern w:val="0"/>
          <w:sz w:val="24"/>
          <w:szCs w:val="24"/>
          <w:highlight w:val="none"/>
          <w:lang w:val="en-US" w:eastAsia="zh-CN"/>
        </w:rPr>
        <w:t>三年框架</w:t>
      </w:r>
      <w:r>
        <w:rPr>
          <w:rFonts w:hint="eastAsia"/>
          <w:kern w:val="0"/>
          <w:sz w:val="24"/>
          <w:szCs w:val="24"/>
          <w:highlight w:val="none"/>
          <w:lang w:eastAsia="zh-CN"/>
        </w:rPr>
        <w:t>）</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14:paraId="104DFCD2">
      <w:pPr>
        <w:widowControl/>
        <w:spacing w:line="360" w:lineRule="auto"/>
        <w:jc w:val="left"/>
        <w:rPr>
          <w:kern w:val="0"/>
          <w:sz w:val="24"/>
          <w:szCs w:val="24"/>
        </w:rPr>
      </w:pPr>
      <w:r>
        <w:rPr>
          <w:kern w:val="0"/>
          <w:sz w:val="24"/>
          <w:szCs w:val="24"/>
        </w:rPr>
        <w:t xml:space="preserve">1 </w:t>
      </w:r>
      <w:r>
        <w:rPr>
          <w:rFonts w:hint="eastAsia" w:hAnsi="宋体"/>
          <w:kern w:val="0"/>
          <w:sz w:val="24"/>
          <w:szCs w:val="24"/>
          <w:lang w:val="en-US" w:eastAsia="zh-CN"/>
        </w:rPr>
        <w:t>处置</w:t>
      </w:r>
      <w:r>
        <w:rPr>
          <w:rFonts w:hAnsi="宋体"/>
          <w:kern w:val="0"/>
          <w:sz w:val="24"/>
          <w:szCs w:val="24"/>
        </w:rPr>
        <w:t>内容</w:t>
      </w:r>
      <w:r>
        <w:rPr>
          <w:rFonts w:hint="eastAsia" w:hAnsi="宋体"/>
          <w:kern w:val="0"/>
          <w:sz w:val="24"/>
          <w:szCs w:val="24"/>
        </w:rPr>
        <w:t>及数量</w:t>
      </w:r>
    </w:p>
    <w:tbl>
      <w:tblPr>
        <w:tblStyle w:val="19"/>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579"/>
        <w:gridCol w:w="4044"/>
        <w:gridCol w:w="1488"/>
      </w:tblGrid>
      <w:tr w14:paraId="7A20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15F1CDE">
            <w:pPr>
              <w:jc w:val="center"/>
              <w:rPr>
                <w:rFonts w:ascii="宋体" w:hAnsi="宋体" w:cs="Arial"/>
                <w:sz w:val="24"/>
                <w:szCs w:val="24"/>
              </w:rPr>
            </w:pPr>
            <w:r>
              <w:rPr>
                <w:rFonts w:hint="eastAsia" w:ascii="宋体" w:hAnsi="宋体" w:cs="Arial"/>
                <w:sz w:val="24"/>
                <w:szCs w:val="24"/>
              </w:rPr>
              <w:t>序号</w:t>
            </w:r>
          </w:p>
        </w:tc>
        <w:tc>
          <w:tcPr>
            <w:tcW w:w="3579" w:type="dxa"/>
            <w:vAlign w:val="center"/>
          </w:tcPr>
          <w:p w14:paraId="4700BCA1">
            <w:pPr>
              <w:jc w:val="center"/>
              <w:rPr>
                <w:rFonts w:ascii="宋体" w:hAnsi="宋体" w:cs="Arial"/>
                <w:sz w:val="24"/>
                <w:szCs w:val="24"/>
              </w:rPr>
            </w:pPr>
            <w:r>
              <w:rPr>
                <w:rFonts w:hint="eastAsia" w:ascii="宋体" w:hAnsi="宋体" w:cs="Arial"/>
                <w:sz w:val="24"/>
                <w:szCs w:val="24"/>
              </w:rPr>
              <w:t>项目</w:t>
            </w:r>
          </w:p>
        </w:tc>
        <w:tc>
          <w:tcPr>
            <w:tcW w:w="4044" w:type="dxa"/>
            <w:vAlign w:val="center"/>
          </w:tcPr>
          <w:p w14:paraId="5ADB4B15">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14:paraId="160BE571">
            <w:pPr>
              <w:jc w:val="center"/>
              <w:rPr>
                <w:rFonts w:ascii="宋体" w:hAnsi="宋体" w:cs="Arial"/>
                <w:sz w:val="24"/>
                <w:szCs w:val="24"/>
              </w:rPr>
            </w:pPr>
            <w:r>
              <w:rPr>
                <w:rFonts w:hint="eastAsia" w:ascii="宋体" w:hAnsi="宋体" w:cs="Arial"/>
                <w:sz w:val="24"/>
                <w:szCs w:val="24"/>
              </w:rPr>
              <w:t>数量</w:t>
            </w:r>
          </w:p>
        </w:tc>
      </w:tr>
      <w:tr w14:paraId="01DE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2AF9C507">
            <w:pPr>
              <w:jc w:val="center"/>
              <w:rPr>
                <w:rFonts w:ascii="宋体" w:hAnsi="宋体" w:cs="Arial"/>
                <w:sz w:val="24"/>
                <w:szCs w:val="24"/>
              </w:rPr>
            </w:pPr>
            <w:r>
              <w:rPr>
                <w:rFonts w:hint="eastAsia" w:ascii="宋体" w:hAnsi="宋体" w:cs="Arial"/>
                <w:sz w:val="24"/>
                <w:szCs w:val="24"/>
              </w:rPr>
              <w:t>1</w:t>
            </w:r>
          </w:p>
        </w:tc>
        <w:tc>
          <w:tcPr>
            <w:tcW w:w="3579" w:type="dxa"/>
            <w:vAlign w:val="center"/>
          </w:tcPr>
          <w:p w14:paraId="29FEF26F">
            <w:pPr>
              <w:jc w:val="center"/>
              <w:rPr>
                <w:rFonts w:hint="eastAsia" w:ascii="宋体" w:hAnsi="宋体" w:eastAsia="宋体" w:cs="Arial"/>
                <w:sz w:val="24"/>
                <w:szCs w:val="24"/>
                <w:highlight w:val="yellow"/>
                <w:lang w:eastAsia="zh-CN"/>
              </w:rPr>
            </w:pPr>
            <w:r>
              <w:rPr>
                <w:rFonts w:hint="eastAsia" w:ascii="宋体" w:hAnsi="宋体" w:cs="Arial"/>
                <w:sz w:val="24"/>
                <w:szCs w:val="24"/>
                <w:highlight w:val="none"/>
              </w:rPr>
              <w:t>2025年滁州轨道运营危险废弃物处置（废机油、废铅酸蓄电池、废墨盒）项目</w:t>
            </w:r>
            <w:r>
              <w:rPr>
                <w:rFonts w:hint="eastAsia" w:ascii="宋体" w:hAnsi="宋体" w:cs="Arial"/>
                <w:sz w:val="24"/>
                <w:szCs w:val="24"/>
                <w:highlight w:val="none"/>
                <w:lang w:eastAsia="zh-CN"/>
              </w:rPr>
              <w:t>（</w:t>
            </w:r>
            <w:r>
              <w:rPr>
                <w:rFonts w:hint="eastAsia" w:ascii="宋体" w:hAnsi="宋体" w:cs="Arial"/>
                <w:sz w:val="24"/>
                <w:szCs w:val="24"/>
                <w:highlight w:val="none"/>
                <w:lang w:val="en-US" w:eastAsia="zh-CN"/>
              </w:rPr>
              <w:t>三年框架</w:t>
            </w:r>
            <w:r>
              <w:rPr>
                <w:rFonts w:hint="eastAsia" w:ascii="宋体" w:hAnsi="宋体" w:cs="Arial"/>
                <w:sz w:val="24"/>
                <w:szCs w:val="24"/>
                <w:highlight w:val="none"/>
                <w:lang w:eastAsia="zh-CN"/>
              </w:rPr>
              <w:t>）</w:t>
            </w:r>
          </w:p>
        </w:tc>
        <w:tc>
          <w:tcPr>
            <w:tcW w:w="4044" w:type="dxa"/>
            <w:vAlign w:val="center"/>
          </w:tcPr>
          <w:p w14:paraId="4D832997">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14:paraId="5B10F56A">
            <w:pPr>
              <w:jc w:val="center"/>
              <w:rPr>
                <w:rFonts w:ascii="宋体" w:hAnsi="宋体" w:cs="Arial"/>
                <w:sz w:val="24"/>
                <w:szCs w:val="24"/>
              </w:rPr>
            </w:pPr>
            <w:r>
              <w:rPr>
                <w:rFonts w:hint="eastAsia" w:ascii="宋体" w:hAnsi="宋体" w:cs="Arial"/>
                <w:sz w:val="24"/>
                <w:szCs w:val="24"/>
              </w:rPr>
              <w:t>一批</w:t>
            </w:r>
          </w:p>
        </w:tc>
      </w:tr>
      <w:tr w14:paraId="0E8D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427B0222">
            <w:pPr>
              <w:jc w:val="left"/>
              <w:rPr>
                <w:rFonts w:ascii="宋体" w:hAnsi="宋体" w:cs="Arial"/>
                <w:sz w:val="24"/>
                <w:szCs w:val="24"/>
              </w:rPr>
            </w:pPr>
            <w:r>
              <w:rPr>
                <w:rFonts w:hint="eastAsia" w:ascii="宋体" w:hAnsi="宋体" w:cs="Arial"/>
                <w:sz w:val="24"/>
                <w:szCs w:val="24"/>
              </w:rPr>
              <w:t>备注：</w:t>
            </w:r>
          </w:p>
          <w:p w14:paraId="0C32FAD5">
            <w:pPr>
              <w:jc w:val="left"/>
              <w:rPr>
                <w:rFonts w:ascii="宋体" w:hAnsi="宋体" w:cs="Arial"/>
                <w:sz w:val="24"/>
                <w:szCs w:val="24"/>
              </w:rPr>
            </w:pPr>
            <w:r>
              <w:rPr>
                <w:rFonts w:hint="eastAsia" w:ascii="宋体" w:hAnsi="宋体" w:cs="Arial"/>
                <w:sz w:val="24"/>
                <w:szCs w:val="24"/>
              </w:rPr>
              <w:t>（1）本项目</w:t>
            </w:r>
            <w:r>
              <w:rPr>
                <w:rFonts w:hint="eastAsia" w:ascii="宋体" w:hAnsi="宋体" w:cs="Arial"/>
                <w:sz w:val="24"/>
                <w:szCs w:val="24"/>
                <w:lang w:val="en-US" w:eastAsia="zh-CN"/>
              </w:rPr>
              <w:t>处置</w:t>
            </w:r>
            <w:r>
              <w:rPr>
                <w:rFonts w:hint="eastAsia" w:ascii="宋体" w:hAnsi="宋体" w:cs="Arial"/>
                <w:sz w:val="24"/>
                <w:szCs w:val="24"/>
              </w:rPr>
              <w:t>数量均为</w:t>
            </w:r>
            <w:r>
              <w:rPr>
                <w:rFonts w:hint="eastAsia" w:ascii="宋体" w:hAnsi="宋体" w:cs="Arial"/>
                <w:b/>
                <w:bCs/>
                <w:sz w:val="24"/>
                <w:szCs w:val="24"/>
              </w:rPr>
              <w:t>预估用量，</w:t>
            </w:r>
            <w:r>
              <w:rPr>
                <w:rFonts w:hint="eastAsia" w:ascii="宋体" w:hAnsi="宋体" w:cs="Arial"/>
                <w:sz w:val="24"/>
                <w:szCs w:val="24"/>
                <w:lang w:val="en-US" w:eastAsia="zh-CN"/>
              </w:rPr>
              <w:t>我司</w:t>
            </w:r>
            <w:r>
              <w:rPr>
                <w:rFonts w:hint="eastAsia" w:ascii="宋体" w:hAnsi="宋体" w:cs="Arial"/>
                <w:sz w:val="24"/>
                <w:szCs w:val="24"/>
              </w:rPr>
              <w:t>保留对品类和需求数量进行更改的权利；</w:t>
            </w:r>
          </w:p>
          <w:p w14:paraId="5C792536">
            <w:pPr>
              <w:jc w:val="left"/>
              <w:rPr>
                <w:sz w:val="24"/>
                <w:szCs w:val="24"/>
              </w:rPr>
            </w:pPr>
            <w:r>
              <w:rPr>
                <w:rFonts w:hint="eastAsia" w:ascii="宋体" w:hAnsi="宋体" w:cs="Arial"/>
                <w:sz w:val="24"/>
                <w:szCs w:val="24"/>
              </w:rPr>
              <w:t>（2）合同形式及</w:t>
            </w:r>
            <w:r>
              <w:rPr>
                <w:rFonts w:hint="eastAsia" w:ascii="宋体" w:hAnsi="宋体" w:cs="Arial"/>
                <w:sz w:val="24"/>
                <w:szCs w:val="24"/>
                <w:lang w:val="en-US" w:eastAsia="zh-CN"/>
              </w:rPr>
              <w:t>处置</w:t>
            </w:r>
            <w:r>
              <w:rPr>
                <w:rFonts w:hint="eastAsia" w:ascii="宋体" w:hAnsi="宋体" w:cs="Arial"/>
                <w:sz w:val="24"/>
                <w:szCs w:val="24"/>
              </w:rPr>
              <w:t>期：</w:t>
            </w:r>
            <w:r>
              <w:rPr>
                <w:rFonts w:hint="eastAsia" w:ascii="宋体" w:hAnsi="宋体" w:cs="Arial"/>
                <w:sz w:val="24"/>
                <w:szCs w:val="24"/>
                <w:lang w:val="en-US" w:eastAsia="zh-CN"/>
              </w:rPr>
              <w:t>三</w:t>
            </w:r>
            <w:r>
              <w:rPr>
                <w:rFonts w:hint="eastAsia" w:ascii="宋体" w:hAnsi="宋体" w:cs="Arial"/>
                <w:sz w:val="24"/>
                <w:szCs w:val="24"/>
              </w:rPr>
              <w:t>年期框架协议；</w:t>
            </w:r>
          </w:p>
          <w:p w14:paraId="20FE7985">
            <w:pPr>
              <w:jc w:val="left"/>
              <w:rPr>
                <w:rFonts w:ascii="宋体" w:hAnsi="宋体" w:cs="Arial"/>
                <w:sz w:val="24"/>
                <w:szCs w:val="24"/>
              </w:rPr>
            </w:pPr>
            <w:r>
              <w:rPr>
                <w:rFonts w:hint="eastAsia" w:ascii="宋体" w:hAnsi="宋体" w:cs="Arial"/>
                <w:sz w:val="24"/>
                <w:szCs w:val="24"/>
              </w:rPr>
              <w:t>（3）项目实施地点：安徽省滁州市。</w:t>
            </w:r>
          </w:p>
        </w:tc>
      </w:tr>
    </w:tbl>
    <w:p w14:paraId="6CA96DF9">
      <w:pPr>
        <w:widowControl/>
        <w:spacing w:line="360" w:lineRule="auto"/>
        <w:jc w:val="left"/>
        <w:rPr>
          <w:kern w:val="0"/>
          <w:sz w:val="24"/>
          <w:szCs w:val="24"/>
        </w:rPr>
      </w:pPr>
    </w:p>
    <w:p w14:paraId="1D4D522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14:paraId="4285B569">
      <w:pPr>
        <w:pStyle w:val="17"/>
        <w:spacing w:before="0" w:beforeAutospacing="0" w:after="0" w:afterAutospacing="0" w:line="360" w:lineRule="auto"/>
        <w:ind w:left="420" w:hanging="420" w:hangingChars="175"/>
        <w:rPr>
          <w:rFonts w:hint="eastAsia" w:ascii="Times New Roman" w:cs="Times New Roman"/>
          <w:highlight w:val="none"/>
          <w:lang w:eastAsia="zh-CN"/>
        </w:rPr>
      </w:pPr>
      <w:r>
        <w:rPr>
          <w:rFonts w:ascii="Times New Roman" w:hAnsi="Times New Roman" w:cs="Times New Roman"/>
          <w:highlight w:val="none"/>
        </w:rPr>
        <w:t xml:space="preserve">2.1 </w:t>
      </w:r>
      <w:r>
        <w:rPr>
          <w:rFonts w:ascii="Times New Roman" w:cs="Times New Roman"/>
          <w:highlight w:val="none"/>
        </w:rPr>
        <w:t>资格要求</w:t>
      </w:r>
    </w:p>
    <w:p w14:paraId="17919598">
      <w:pPr>
        <w:pStyle w:val="17"/>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ascii="Times New Roman" w:cs="Times New Roman"/>
          <w:color w:val="auto"/>
          <w:highlight w:val="none"/>
        </w:rPr>
        <w:t xml:space="preserve">.1 </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rPr>
        <w:t>能为本次危险废弃物处置提供服务</w:t>
      </w:r>
      <w:r>
        <w:rPr>
          <w:rFonts w:hint="eastAsia" w:ascii="Times New Roman" w:cs="Times New Roman"/>
          <w:color w:val="auto"/>
          <w:highlight w:val="none"/>
        </w:rPr>
        <w:t>。</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324108A3">
      <w:pPr>
        <w:pStyle w:val="17"/>
        <w:spacing w:before="0" w:beforeAutospacing="0" w:after="0" w:afterAutospacing="0" w:line="360" w:lineRule="auto"/>
        <w:ind w:left="600" w:hanging="600" w:hangingChars="250"/>
        <w:rPr>
          <w:rFonts w:hint="eastAsia" w:ascii="Times New Roman" w:cs="Times New Roman"/>
          <w:color w:val="auto"/>
          <w:highlight w:val="none"/>
        </w:rPr>
      </w:pPr>
      <w:r>
        <w:rPr>
          <w:rFonts w:hint="eastAsia" w:ascii="Times New Roman" w:cs="Times New Roman"/>
          <w:color w:val="auto"/>
          <w:highlight w:val="none"/>
        </w:rPr>
        <w:t>2.1.</w:t>
      </w:r>
      <w:r>
        <w:rPr>
          <w:rFonts w:hint="eastAsia" w:ascii="Times New Roman" w:cs="Times New Roman"/>
          <w:color w:val="auto"/>
          <w:highlight w:val="none"/>
          <w:lang w:val="en-US" w:eastAsia="zh-CN"/>
        </w:rPr>
        <w:t>2</w:t>
      </w:r>
      <w:r>
        <w:rPr>
          <w:rFonts w:hint="eastAsia" w:ascii="Times New Roman" w:cs="Times New Roman"/>
          <w:color w:val="auto"/>
          <w:highlight w:val="none"/>
        </w:rPr>
        <w:t xml:space="preserve"> 报价人须具备相关操作证书与员工意外保险。</w:t>
      </w:r>
    </w:p>
    <w:p w14:paraId="01DE0FBB">
      <w:pPr>
        <w:pStyle w:val="17"/>
        <w:spacing w:before="0" w:beforeAutospacing="0" w:after="0" w:afterAutospacing="0" w:line="360" w:lineRule="auto"/>
        <w:ind w:left="600" w:hanging="600" w:hangingChars="250"/>
        <w:rPr>
          <w:rFonts w:hint="default" w:ascii="Times New Roman" w:eastAsia="宋体" w:cs="Times New Roman"/>
          <w:color w:val="auto"/>
          <w:highlight w:val="none"/>
          <w:lang w:val="en-US" w:eastAsia="zh-CN"/>
        </w:rPr>
      </w:pPr>
      <w:r>
        <w:rPr>
          <w:rFonts w:hint="eastAsia" w:ascii="Times New Roman" w:cs="Times New Roman"/>
          <w:color w:val="auto"/>
          <w:highlight w:val="none"/>
          <w:lang w:val="en-US" w:eastAsia="zh-CN"/>
        </w:rPr>
        <w:t xml:space="preserve">2.1.3 </w:t>
      </w:r>
      <w:r>
        <w:rPr>
          <w:rFonts w:hint="eastAsia" w:ascii="Times New Roman" w:cs="Times New Roman"/>
          <w:lang w:val="en-US" w:eastAsia="zh-CN"/>
        </w:rPr>
        <w:t>报价人必须具备合法且有效的危险废物经营的资质许可，并能在限期内自主完成所需转移手续办理。</w:t>
      </w:r>
    </w:p>
    <w:p w14:paraId="6CCE1092">
      <w:pPr>
        <w:pStyle w:val="17"/>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具有与本次危险废弃物处置相类似的处置经验，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14:paraId="25E9C733">
      <w:pPr>
        <w:pStyle w:val="17"/>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322E1B8B">
      <w:pPr>
        <w:pStyle w:val="17"/>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2</w:t>
      </w:r>
      <w:r>
        <w:rPr>
          <w:rFonts w:hint="eastAsia" w:ascii="Times New Roman" w:cs="Times New Roman"/>
        </w:rPr>
        <w:t>-202</w:t>
      </w:r>
      <w:r>
        <w:rPr>
          <w:rFonts w:hint="eastAsia" w:ascii="Times New Roman" w:cs="Times New Roman"/>
          <w:lang w:val="en-US" w:eastAsia="zh-CN"/>
        </w:rPr>
        <w:t>4</w:t>
      </w:r>
      <w:r>
        <w:rPr>
          <w:rFonts w:hint="eastAsia" w:ascii="Times New Roman" w:cs="Times New Roman"/>
        </w:rPr>
        <w:t>年）未处于财产被接管、冻结、破产状态，没有处于投标禁入期。</w:t>
      </w:r>
    </w:p>
    <w:p w14:paraId="7158F2FB">
      <w:pPr>
        <w:pStyle w:val="17"/>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ww.creditchina.gov.cn）未被列入失信被执行人名单；在“滁州市公共资源交易中心”网站（ggzy.chuzhou.gov.cn）未被列入违法违规名单。</w:t>
      </w:r>
    </w:p>
    <w:p w14:paraId="30B4DDF6">
      <w:pPr>
        <w:pStyle w:val="17"/>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14:paraId="12F08139">
      <w:pPr>
        <w:pStyle w:val="17"/>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14:paraId="71DAD859">
      <w:pPr>
        <w:pStyle w:val="17"/>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14:paraId="48D741A3">
      <w:pPr>
        <w:pStyle w:val="17"/>
        <w:spacing w:before="0" w:beforeAutospacing="0" w:after="0" w:afterAutospacing="0" w:line="360" w:lineRule="auto"/>
        <w:ind w:left="360" w:hanging="360"/>
        <w:rPr>
          <w:rFonts w:hint="eastAsia"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14:paraId="38A26DE8">
      <w:pPr>
        <w:pStyle w:val="17"/>
        <w:spacing w:before="0" w:beforeAutospacing="0" w:after="0" w:afterAutospacing="0" w:line="360" w:lineRule="auto"/>
        <w:ind w:left="360" w:hanging="360"/>
        <w:rPr>
          <w:rFonts w:hint="default" w:ascii="Times New Roman" w:hAnsi="Times New Roman" w:eastAsia="宋体" w:cs="Times New Roman"/>
          <w:lang w:val="en-US" w:eastAsia="zh-CN"/>
        </w:rPr>
      </w:pPr>
      <w:r>
        <w:rPr>
          <w:rFonts w:hint="eastAsia" w:ascii="Times New Roman" w:hAnsi="Times New Roman" w:cs="Times New Roman"/>
          <w:lang w:val="en-US" w:eastAsia="zh-CN"/>
        </w:rPr>
        <w:t>2.6 危险废物转移应当遵循就近处置原则。</w:t>
      </w:r>
    </w:p>
    <w:p w14:paraId="1857B84A">
      <w:pPr>
        <w:pStyle w:val="17"/>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14:paraId="0712140F">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w:t>
      </w:r>
      <w:r>
        <w:rPr>
          <w:rFonts w:hint="eastAsia" w:hAnsi="宋体"/>
          <w:kern w:val="0"/>
          <w:sz w:val="24"/>
          <w:szCs w:val="24"/>
          <w:lang w:val="en-US" w:eastAsia="zh-CN"/>
        </w:rPr>
        <w:t>询价</w:t>
      </w:r>
      <w:r>
        <w:rPr>
          <w:rFonts w:hint="eastAsia" w:hAnsi="宋体"/>
          <w:kern w:val="0"/>
          <w:sz w:val="24"/>
          <w:szCs w:val="24"/>
        </w:rPr>
        <w:t>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14:paraId="52186783">
      <w:pPr>
        <w:widowControl/>
        <w:spacing w:line="360" w:lineRule="auto"/>
        <w:ind w:left="425" w:hanging="424" w:hangingChars="177"/>
        <w:jc w:val="left"/>
        <w:rPr>
          <w:sz w:val="24"/>
          <w:szCs w:val="24"/>
        </w:rPr>
      </w:pPr>
      <w:r>
        <w:rPr>
          <w:rFonts w:hint="eastAsia"/>
          <w:sz w:val="24"/>
          <w:szCs w:val="24"/>
        </w:rPr>
        <w:t>3.2 本项目报名时间：</w:t>
      </w:r>
      <w:r>
        <w:rPr>
          <w:sz w:val="24"/>
          <w:szCs w:val="24"/>
          <w:highlight w:val="none"/>
        </w:rPr>
        <w:t>自</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5</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29</w:t>
      </w:r>
      <w:r>
        <w:rPr>
          <w:sz w:val="24"/>
          <w:szCs w:val="24"/>
          <w:highlight w:val="none"/>
        </w:rPr>
        <w:t>日起至</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5</w:t>
      </w:r>
      <w:r>
        <w:rPr>
          <w:rFonts w:hint="eastAsia"/>
          <w:sz w:val="24"/>
          <w:szCs w:val="24"/>
          <w:highlight w:val="none"/>
          <w:u w:val="single"/>
        </w:rPr>
        <w:t xml:space="preserve"> </w:t>
      </w:r>
      <w:r>
        <w:rPr>
          <w:sz w:val="24"/>
          <w:szCs w:val="24"/>
          <w:highlight w:val="none"/>
        </w:rPr>
        <w:t>日17</w:t>
      </w:r>
      <w:r>
        <w:rPr>
          <w:rFonts w:hint="eastAsia"/>
          <w:sz w:val="24"/>
          <w:szCs w:val="24"/>
          <w:highlight w:val="none"/>
        </w:rPr>
        <w:t>：</w:t>
      </w:r>
      <w:r>
        <w:rPr>
          <w:sz w:val="24"/>
          <w:szCs w:val="24"/>
          <w:highlight w:val="none"/>
        </w:rPr>
        <w:t>3</w:t>
      </w:r>
      <w:r>
        <w:rPr>
          <w:rFonts w:hint="eastAsia"/>
          <w:sz w:val="24"/>
          <w:szCs w:val="24"/>
          <w:highlight w:val="none"/>
        </w:rPr>
        <w:t>0</w:t>
      </w:r>
      <w:r>
        <w:rPr>
          <w:sz w:val="24"/>
          <w:szCs w:val="24"/>
          <w:highlight w:val="none"/>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w:t>
      </w:r>
      <w:r>
        <w:rPr>
          <w:rFonts w:hint="eastAsia"/>
          <w:sz w:val="24"/>
          <w:szCs w:val="24"/>
          <w:lang w:val="en-US" w:eastAsia="zh-CN"/>
        </w:rPr>
        <w:t>处置</w:t>
      </w:r>
      <w:r>
        <w:rPr>
          <w:rFonts w:hint="eastAsia"/>
          <w:sz w:val="24"/>
          <w:szCs w:val="24"/>
        </w:rPr>
        <w:t>人收到时间为准，逾期不予考虑。若报价供应商于《供应商信息登记表》上登记的联系方式（包括但不限于联系人、电话、邮箱）变更的，报价供应商应及时通知</w:t>
      </w:r>
      <w:r>
        <w:rPr>
          <w:rFonts w:hint="eastAsia"/>
          <w:sz w:val="24"/>
          <w:szCs w:val="24"/>
          <w:lang w:val="en-US" w:eastAsia="zh-CN"/>
        </w:rPr>
        <w:t>我司经办人</w:t>
      </w:r>
      <w:r>
        <w:rPr>
          <w:rFonts w:hint="eastAsia"/>
          <w:sz w:val="24"/>
          <w:szCs w:val="24"/>
        </w:rPr>
        <w:t>，否则由此引起的后果由报价人自行承担。</w:t>
      </w:r>
    </w:p>
    <w:p w14:paraId="5D12C7A6">
      <w:pPr>
        <w:pStyle w:val="17"/>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14:paraId="56A3436B">
      <w:pPr>
        <w:pStyle w:val="17"/>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lang w:val="en-US" w:eastAsia="zh-CN"/>
        </w:rPr>
        <w:t>经办人</w:t>
      </w:r>
      <w:r>
        <w:rPr>
          <w:rFonts w:ascii="Times New Roman" w:cs="Times New Roman"/>
        </w:rPr>
        <w:t>，</w:t>
      </w:r>
      <w:r>
        <w:rPr>
          <w:rFonts w:hint="eastAsia" w:ascii="Times New Roman" w:cs="Times New Roman"/>
          <w:lang w:val="en-US" w:eastAsia="zh-CN"/>
        </w:rPr>
        <w:t>经办人</w:t>
      </w:r>
      <w:r>
        <w:rPr>
          <w:rFonts w:ascii="Times New Roman" w:cs="Times New Roman"/>
        </w:rPr>
        <w:t>统一将澄清文件发给本项目的报价人</w:t>
      </w:r>
      <w:r>
        <w:rPr>
          <w:rFonts w:hint="eastAsia" w:ascii="Times New Roman" w:cs="Times New Roman"/>
        </w:rPr>
        <w:t>。</w:t>
      </w:r>
    </w:p>
    <w:p w14:paraId="61C26017">
      <w:pPr>
        <w:pStyle w:val="17"/>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12</w:t>
      </w:r>
      <w:r>
        <w:rPr>
          <w:rFonts w:hint="eastAsia"/>
          <w:sz w:val="24"/>
          <w:szCs w:val="24"/>
          <w:highlight w:val="none"/>
          <w:u w:val="single"/>
        </w:rPr>
        <w:t xml:space="preserve"> </w:t>
      </w:r>
      <w:r>
        <w:rPr>
          <w:sz w:val="24"/>
          <w:szCs w:val="24"/>
          <w:highlight w:val="none"/>
        </w:rPr>
        <w:t>日</w:t>
      </w:r>
      <w:r>
        <w:rPr>
          <w:rFonts w:ascii="Times New Roman" w:hAnsi="Times New Roman" w:cs="Times New Roman"/>
        </w:rPr>
        <w:t>1</w:t>
      </w:r>
      <w:r>
        <w:rPr>
          <w:rFonts w:hint="eastAsia" w:ascii="Times New Roman" w:hAnsi="Times New Roman" w:cs="Times New Roman"/>
          <w:lang w:val="en-US" w:eastAsia="zh-CN"/>
        </w:rPr>
        <w:t>0</w:t>
      </w:r>
      <w:r>
        <w:rPr>
          <w:rFonts w:hint="eastAsia" w:ascii="Times New Roman" w:hAnsi="Times New Roman" w:cs="Times New Roman"/>
        </w:rPr>
        <w:t>：</w:t>
      </w:r>
      <w:r>
        <w:rPr>
          <w:rFonts w:hint="eastAsia" w:ascii="Times New Roman" w:hAnsi="Times New Roman" w:cs="Times New Roman"/>
          <w:lang w:val="en-US" w:eastAsia="zh-CN"/>
        </w:rPr>
        <w:t>0</w:t>
      </w:r>
      <w:r>
        <w:rPr>
          <w:rFonts w:hint="eastAsia" w:ascii="Times New Roman" w:hAnsi="Times New Roman" w:cs="Times New Roman"/>
        </w:rPr>
        <w:t>0，报价文件送达的时间以</w:t>
      </w:r>
      <w:r>
        <w:rPr>
          <w:rFonts w:hint="eastAsia" w:ascii="Times New Roman" w:hAnsi="Times New Roman" w:cs="Times New Roman"/>
          <w:lang w:val="en-US" w:eastAsia="zh-CN"/>
        </w:rPr>
        <w:t>经办人</w:t>
      </w:r>
      <w:r>
        <w:rPr>
          <w:rFonts w:hint="eastAsia" w:ascii="Times New Roman" w:hAnsi="Times New Roman" w:cs="Times New Roman"/>
        </w:rPr>
        <w:t>收到时间为准</w:t>
      </w:r>
      <w:r>
        <w:rPr>
          <w:rFonts w:ascii="Times New Roman" w:cs="Times New Roman"/>
        </w:rPr>
        <w:t>。</w:t>
      </w:r>
    </w:p>
    <w:p w14:paraId="0B474301">
      <w:pPr>
        <w:pStyle w:val="17"/>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14:paraId="20F71D34">
      <w:pPr>
        <w:pStyle w:val="17"/>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14:paraId="6DFF3BB4">
      <w:pPr>
        <w:pStyle w:val="17"/>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highlight w:val="none"/>
          <w:u w:val="single"/>
          <w:lang w:val="en-US" w:eastAsia="zh-CN"/>
        </w:rPr>
        <w:t>陆佰元整</w:t>
      </w:r>
      <w:r>
        <w:rPr>
          <w:rFonts w:hint="eastAsia" w:ascii="Times New Roman" w:cs="Times New Roman"/>
        </w:rPr>
        <w:t>。报价人的报价保证金必须在</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lang w:val="en-US" w:eastAsia="zh-CN"/>
        </w:rPr>
        <w:t xml:space="preserve"> 6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12</w:t>
      </w:r>
      <w:r>
        <w:rPr>
          <w:rFonts w:hint="eastAsia"/>
          <w:sz w:val="24"/>
          <w:szCs w:val="24"/>
          <w:highlight w:val="none"/>
          <w:u w:val="single"/>
        </w:rPr>
        <w:t xml:space="preserve"> </w:t>
      </w:r>
      <w:r>
        <w:rPr>
          <w:sz w:val="24"/>
          <w:szCs w:val="24"/>
          <w:highlight w:val="none"/>
        </w:rPr>
        <w:t>日</w:t>
      </w:r>
      <w:r>
        <w:rPr>
          <w:rFonts w:hint="eastAsia" w:ascii="Times New Roman" w:cs="Times New Roman"/>
        </w:rPr>
        <w:t>1</w:t>
      </w:r>
      <w:r>
        <w:rPr>
          <w:rFonts w:hint="eastAsia" w:ascii="Times New Roman" w:cs="Times New Roman"/>
          <w:lang w:val="en-US" w:eastAsia="zh-CN"/>
        </w:rPr>
        <w:t>0</w:t>
      </w:r>
      <w:r>
        <w:rPr>
          <w:rFonts w:hint="eastAsia" w:ascii="Times New Roman" w:cs="Times New Roman"/>
        </w:rPr>
        <w:t>：</w:t>
      </w:r>
      <w:r>
        <w:rPr>
          <w:rFonts w:hint="eastAsia" w:ascii="Times New Roman" w:cs="Times New Roman"/>
          <w:lang w:val="en-US" w:eastAsia="zh-CN"/>
        </w:rPr>
        <w:t>0</w:t>
      </w:r>
      <w:r>
        <w:rPr>
          <w:rFonts w:hint="eastAsia" w:ascii="Times New Roman" w:cs="Times New Roman"/>
        </w:rPr>
        <w:t>0前到达我司账户(电汇单上必须注明项目名称和</w:t>
      </w:r>
      <w:r>
        <w:rPr>
          <w:rFonts w:hint="eastAsia" w:ascii="Times New Roman" w:cs="Times New Roman"/>
          <w:lang w:val="en-US" w:eastAsia="zh-CN"/>
        </w:rPr>
        <w:t>经办人</w:t>
      </w:r>
      <w:r>
        <w:rPr>
          <w:rFonts w:hint="eastAsia" w:ascii="Times New Roman" w:cs="Times New Roman"/>
        </w:rPr>
        <w:t>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5FA77BE9">
      <w:pPr>
        <w:pStyle w:val="17"/>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14:paraId="3A56C530">
      <w:pPr>
        <w:pStyle w:val="17"/>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14:paraId="477DC748">
      <w:pPr>
        <w:pStyle w:val="17"/>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14:paraId="3541F9D2">
      <w:pPr>
        <w:pStyle w:val="17"/>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w:t>
      </w:r>
      <w:r>
        <w:rPr>
          <w:rFonts w:hint="eastAsia" w:ascii="Times New Roman"/>
          <w:lang w:val="en-US" w:eastAsia="zh-CN"/>
        </w:rPr>
        <w:t>处置</w:t>
      </w:r>
      <w:r>
        <w:rPr>
          <w:rFonts w:hint="eastAsia" w:ascii="Times New Roman"/>
        </w:rPr>
        <w:t>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w:t>
      </w:r>
      <w:r>
        <w:rPr>
          <w:rFonts w:hint="eastAsia" w:ascii="Times New Roman"/>
          <w:lang w:val="en-US" w:eastAsia="zh-CN"/>
        </w:rPr>
        <w:t>处置</w:t>
      </w:r>
      <w:r>
        <w:rPr>
          <w:rFonts w:hint="eastAsia" w:ascii="Times New Roman"/>
        </w:rPr>
        <w:t>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14:paraId="5F86B46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int="eastAsia"/>
          <w:kern w:val="0"/>
          <w:sz w:val="24"/>
          <w:szCs w:val="24"/>
          <w:lang w:val="en-US" w:eastAsia="zh-CN"/>
        </w:rPr>
        <w:t>经办人</w:t>
      </w:r>
      <w:r>
        <w:rPr>
          <w:rFonts w:hAnsi="宋体"/>
          <w:kern w:val="0"/>
          <w:sz w:val="24"/>
          <w:szCs w:val="24"/>
        </w:rPr>
        <w:t>联系方式</w:t>
      </w:r>
    </w:p>
    <w:p w14:paraId="26E8FA4E">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14:paraId="2D1C26D8">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14:paraId="53CFC959">
      <w:pPr>
        <w:widowControl/>
        <w:spacing w:line="360" w:lineRule="auto"/>
        <w:ind w:left="231" w:leftChars="110"/>
        <w:jc w:val="left"/>
        <w:rPr>
          <w:rFonts w:hint="default" w:eastAsia="宋体"/>
          <w:kern w:val="0"/>
          <w:sz w:val="24"/>
          <w:szCs w:val="24"/>
          <w:lang w:val="en-US" w:eastAsia="zh-CN"/>
        </w:rPr>
      </w:pPr>
      <w:r>
        <w:rPr>
          <w:rFonts w:hint="eastAsia"/>
          <w:kern w:val="0"/>
          <w:sz w:val="24"/>
          <w:szCs w:val="24"/>
          <w:highlight w:val="none"/>
          <w:lang w:val="en-US" w:eastAsia="zh-CN"/>
        </w:rPr>
        <w:t>姓名</w:t>
      </w:r>
      <w:r>
        <w:rPr>
          <w:kern w:val="0"/>
          <w:sz w:val="24"/>
          <w:szCs w:val="24"/>
          <w:highlight w:val="none"/>
        </w:rPr>
        <w:t>：</w:t>
      </w:r>
      <w:r>
        <w:rPr>
          <w:rFonts w:hint="eastAsia"/>
          <w:kern w:val="0"/>
          <w:sz w:val="24"/>
          <w:szCs w:val="24"/>
          <w:highlight w:val="none"/>
          <w:lang w:val="en-US" w:eastAsia="zh-CN"/>
        </w:rPr>
        <w:t>张晓雨</w:t>
      </w:r>
    </w:p>
    <w:p w14:paraId="42C7BBC7">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5A4FF444">
      <w:pPr>
        <w:pStyle w:val="17"/>
        <w:spacing w:before="0" w:beforeAutospacing="0" w:after="0" w:afterAutospacing="0" w:line="360" w:lineRule="auto"/>
        <w:ind w:left="149" w:firstLine="82" w:firstLineChars="0"/>
        <w:rPr>
          <w:rFonts w:ascii="Times New Roman" w:hAnsi="Times New Roman" w:cs="Times New Roman"/>
        </w:rPr>
      </w:pPr>
      <w:r>
        <w:rPr>
          <w:rFonts w:ascii="Times New Roman" w:hAnsi="Times New Roman" w:cs="Times New Roman"/>
        </w:rPr>
        <w:t>邮箱：czrtocwzb@163.com</w:t>
      </w:r>
    </w:p>
    <w:p w14:paraId="2E56B2A8">
      <w:pPr>
        <w:pStyle w:val="17"/>
        <w:spacing w:before="0" w:beforeAutospacing="0" w:after="0" w:afterAutospacing="0" w:line="360" w:lineRule="auto"/>
        <w:ind w:left="149" w:firstLine="82" w:firstLineChars="0"/>
        <w:rPr>
          <w:u w:val="single"/>
        </w:rPr>
      </w:pPr>
    </w:p>
    <w:p w14:paraId="007CD720">
      <w:pPr>
        <w:pStyle w:val="17"/>
        <w:spacing w:before="0" w:beforeAutospacing="0" w:after="0" w:afterAutospacing="0" w:line="360" w:lineRule="auto"/>
        <w:ind w:left="149" w:firstLine="82" w:firstLineChars="0"/>
      </w:pPr>
      <w:r>
        <w:rPr>
          <w:rFonts w:hint="eastAsia"/>
        </w:rPr>
        <w:t>附件：《供应商信息登记表》</w:t>
      </w:r>
    </w:p>
    <w:p w14:paraId="5B1AEA1B">
      <w:pPr>
        <w:pStyle w:val="17"/>
        <w:spacing w:before="0" w:beforeAutospacing="0" w:after="0" w:afterAutospacing="0" w:line="360" w:lineRule="auto"/>
        <w:ind w:left="149" w:hanging="148" w:hangingChars="62"/>
        <w:rPr>
          <w:rFonts w:ascii="Times New Roman" w:hAnsi="Times New Roman" w:cs="Times New Roman"/>
        </w:rPr>
      </w:pPr>
    </w:p>
    <w:p w14:paraId="02F97CBD">
      <w:pPr>
        <w:spacing w:line="360" w:lineRule="auto"/>
        <w:ind w:left="360" w:hanging="360"/>
        <w:jc w:val="right"/>
        <w:rPr>
          <w:kern w:val="0"/>
          <w:sz w:val="24"/>
          <w:szCs w:val="24"/>
        </w:rPr>
      </w:pPr>
      <w:r>
        <w:rPr>
          <w:rFonts w:hint="eastAsia"/>
          <w:kern w:val="0"/>
          <w:sz w:val="24"/>
          <w:szCs w:val="24"/>
        </w:rPr>
        <w:t>滁州市轨道交通运营有限公司</w:t>
      </w:r>
    </w:p>
    <w:p w14:paraId="51031759">
      <w:pPr>
        <w:wordWrap w:val="0"/>
        <w:spacing w:line="360" w:lineRule="auto"/>
        <w:ind w:left="360" w:hanging="360"/>
        <w:jc w:val="right"/>
        <w:rPr>
          <w:kern w:val="0"/>
          <w:sz w:val="24"/>
          <w:szCs w:val="24"/>
          <w:highlight w:val="yellow"/>
        </w:rPr>
      </w:pPr>
      <w:r>
        <w:rPr>
          <w:rFonts w:hint="eastAsia"/>
          <w:kern w:val="0"/>
          <w:sz w:val="24"/>
          <w:szCs w:val="24"/>
          <w:highlight w:val="none"/>
        </w:rPr>
        <w:t>2</w:t>
      </w:r>
      <w:r>
        <w:rPr>
          <w:kern w:val="0"/>
          <w:sz w:val="24"/>
          <w:szCs w:val="24"/>
          <w:highlight w:val="none"/>
        </w:rPr>
        <w:t>02</w:t>
      </w:r>
      <w:r>
        <w:rPr>
          <w:rFonts w:hint="eastAsia"/>
          <w:kern w:val="0"/>
          <w:sz w:val="24"/>
          <w:szCs w:val="24"/>
          <w:highlight w:val="none"/>
          <w:lang w:val="en-US" w:eastAsia="zh-CN"/>
        </w:rPr>
        <w:t>5</w:t>
      </w:r>
      <w:r>
        <w:rPr>
          <w:rFonts w:hint="eastAsia"/>
          <w:kern w:val="0"/>
          <w:sz w:val="24"/>
          <w:szCs w:val="24"/>
          <w:highlight w:val="none"/>
        </w:rPr>
        <w:t>年</w:t>
      </w:r>
      <w:r>
        <w:rPr>
          <w:rFonts w:hint="eastAsia"/>
          <w:kern w:val="0"/>
          <w:sz w:val="24"/>
          <w:szCs w:val="24"/>
          <w:highlight w:val="none"/>
          <w:lang w:val="en-US" w:eastAsia="zh-CN"/>
        </w:rPr>
        <w:t>5</w:t>
      </w:r>
      <w:r>
        <w:rPr>
          <w:rFonts w:hint="eastAsia"/>
          <w:kern w:val="0"/>
          <w:sz w:val="24"/>
          <w:szCs w:val="24"/>
          <w:highlight w:val="none"/>
        </w:rPr>
        <w:t>月</w:t>
      </w:r>
      <w:r>
        <w:rPr>
          <w:rFonts w:hint="eastAsia"/>
          <w:kern w:val="0"/>
          <w:sz w:val="24"/>
          <w:szCs w:val="24"/>
          <w:highlight w:val="none"/>
          <w:lang w:val="en-US" w:eastAsia="zh-CN"/>
        </w:rPr>
        <w:t>29</w:t>
      </w:r>
      <w:r>
        <w:rPr>
          <w:rFonts w:hint="eastAsia"/>
          <w:kern w:val="0"/>
          <w:sz w:val="24"/>
          <w:szCs w:val="24"/>
          <w:highlight w:val="none"/>
        </w:rPr>
        <w:t>日</w:t>
      </w:r>
    </w:p>
    <w:p w14:paraId="5A0DD16E">
      <w:pPr>
        <w:spacing w:line="360" w:lineRule="auto"/>
        <w:ind w:right="840"/>
        <w:rPr>
          <w:kern w:val="0"/>
          <w:sz w:val="24"/>
          <w:szCs w:val="24"/>
        </w:rPr>
      </w:pPr>
      <w:r>
        <w:rPr>
          <w:kern w:val="0"/>
          <w:sz w:val="24"/>
          <w:szCs w:val="24"/>
        </w:rPr>
        <w:br w:type="page"/>
      </w:r>
      <w:r>
        <w:rPr>
          <w:rFonts w:hint="eastAsia"/>
          <w:kern w:val="0"/>
          <w:sz w:val="24"/>
          <w:szCs w:val="24"/>
        </w:rPr>
        <w:t>附件：</w:t>
      </w:r>
    </w:p>
    <w:p w14:paraId="727FFB57">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14:paraId="31F423E1">
      <w:pPr>
        <w:pStyle w:val="75"/>
        <w:jc w:val="right"/>
      </w:pPr>
    </w:p>
    <w:tbl>
      <w:tblPr>
        <w:tblStyle w:val="19"/>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480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C19712B">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14:paraId="749B0347">
            <w:pPr>
              <w:autoSpaceDE w:val="0"/>
              <w:autoSpaceDN w:val="0"/>
              <w:adjustRightInd w:val="0"/>
              <w:jc w:val="center"/>
              <w:rPr>
                <w:rFonts w:hint="eastAsia" w:ascii="宋体" w:hAnsi="宋体" w:eastAsia="宋体"/>
                <w:kern w:val="0"/>
                <w:szCs w:val="21"/>
                <w:lang w:eastAsia="zh-CN"/>
              </w:rPr>
            </w:pPr>
            <w:r>
              <w:rPr>
                <w:rFonts w:hint="eastAsia" w:ascii="宋体" w:hAnsi="宋体" w:cs="Arial"/>
                <w:szCs w:val="21"/>
                <w:highlight w:val="none"/>
                <w:lang w:eastAsia="zh-CN"/>
              </w:rPr>
              <w:t>2025年滁州轨道运营危险废弃物处置（废机油、废铅酸蓄电池、废墨盒）项目（</w:t>
            </w:r>
            <w:r>
              <w:rPr>
                <w:rFonts w:hint="eastAsia" w:ascii="宋体" w:hAnsi="宋体" w:cs="Arial"/>
                <w:szCs w:val="21"/>
                <w:highlight w:val="none"/>
                <w:lang w:val="en-US" w:eastAsia="zh-CN"/>
              </w:rPr>
              <w:t>三年框架</w:t>
            </w:r>
            <w:r>
              <w:rPr>
                <w:rFonts w:hint="eastAsia" w:ascii="宋体" w:hAnsi="宋体" w:cs="Arial"/>
                <w:szCs w:val="21"/>
                <w:highlight w:val="none"/>
                <w:lang w:eastAsia="zh-CN"/>
              </w:rPr>
              <w:t>）</w:t>
            </w:r>
          </w:p>
        </w:tc>
      </w:tr>
      <w:tr w14:paraId="5999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55E88A7">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14:paraId="104851FE">
            <w:pPr>
              <w:autoSpaceDE w:val="0"/>
              <w:autoSpaceDN w:val="0"/>
              <w:adjustRightInd w:val="0"/>
              <w:jc w:val="center"/>
              <w:rPr>
                <w:rFonts w:ascii="宋体" w:hAnsi="宋体"/>
                <w:kern w:val="0"/>
                <w:szCs w:val="21"/>
              </w:rPr>
            </w:pPr>
          </w:p>
        </w:tc>
      </w:tr>
      <w:tr w14:paraId="2223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FA424F1">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14:paraId="017F51D1">
            <w:pPr>
              <w:autoSpaceDE w:val="0"/>
              <w:autoSpaceDN w:val="0"/>
              <w:adjustRightInd w:val="0"/>
              <w:jc w:val="center"/>
              <w:rPr>
                <w:rFonts w:ascii="宋体" w:hAnsi="宋体"/>
                <w:kern w:val="0"/>
                <w:szCs w:val="21"/>
              </w:rPr>
            </w:pPr>
          </w:p>
        </w:tc>
      </w:tr>
      <w:tr w14:paraId="60F2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7284850">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14:paraId="49526413">
            <w:pPr>
              <w:autoSpaceDE w:val="0"/>
              <w:autoSpaceDN w:val="0"/>
              <w:adjustRightInd w:val="0"/>
              <w:jc w:val="center"/>
              <w:rPr>
                <w:rFonts w:ascii="宋体" w:hAnsi="宋体"/>
                <w:kern w:val="0"/>
                <w:szCs w:val="21"/>
              </w:rPr>
            </w:pPr>
          </w:p>
        </w:tc>
      </w:tr>
      <w:tr w14:paraId="4B35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65CF474">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14:paraId="273A12C9">
            <w:pPr>
              <w:autoSpaceDE w:val="0"/>
              <w:autoSpaceDN w:val="0"/>
              <w:adjustRightInd w:val="0"/>
              <w:jc w:val="center"/>
              <w:rPr>
                <w:rFonts w:ascii="宋体" w:hAnsi="宋体"/>
                <w:kern w:val="0"/>
                <w:szCs w:val="21"/>
              </w:rPr>
            </w:pPr>
          </w:p>
        </w:tc>
        <w:tc>
          <w:tcPr>
            <w:tcW w:w="1598" w:type="dxa"/>
            <w:vAlign w:val="center"/>
          </w:tcPr>
          <w:p w14:paraId="62023A45">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14:paraId="58F32874">
            <w:pPr>
              <w:autoSpaceDE w:val="0"/>
              <w:autoSpaceDN w:val="0"/>
              <w:adjustRightInd w:val="0"/>
              <w:jc w:val="center"/>
              <w:rPr>
                <w:rFonts w:ascii="宋体" w:hAnsi="宋体"/>
                <w:kern w:val="0"/>
                <w:szCs w:val="21"/>
              </w:rPr>
            </w:pPr>
          </w:p>
        </w:tc>
      </w:tr>
      <w:tr w14:paraId="6A3D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7EFF368">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14:paraId="71139A59">
            <w:pPr>
              <w:autoSpaceDE w:val="0"/>
              <w:autoSpaceDN w:val="0"/>
              <w:adjustRightInd w:val="0"/>
              <w:jc w:val="center"/>
              <w:rPr>
                <w:rFonts w:ascii="宋体" w:hAnsi="宋体"/>
                <w:kern w:val="0"/>
                <w:szCs w:val="21"/>
              </w:rPr>
            </w:pPr>
          </w:p>
        </w:tc>
        <w:tc>
          <w:tcPr>
            <w:tcW w:w="1598" w:type="dxa"/>
            <w:vAlign w:val="center"/>
          </w:tcPr>
          <w:p w14:paraId="14C1A1E5">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14:paraId="4C0F9CF2">
            <w:pPr>
              <w:autoSpaceDE w:val="0"/>
              <w:autoSpaceDN w:val="0"/>
              <w:adjustRightInd w:val="0"/>
              <w:jc w:val="center"/>
              <w:rPr>
                <w:rFonts w:ascii="宋体" w:hAnsi="宋体"/>
                <w:kern w:val="0"/>
                <w:szCs w:val="21"/>
              </w:rPr>
            </w:pPr>
          </w:p>
        </w:tc>
      </w:tr>
      <w:tr w14:paraId="1C67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1BC56D6">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14:paraId="4E77AA32">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14:paraId="79FD2257">
            <w:pPr>
              <w:autoSpaceDE w:val="0"/>
              <w:autoSpaceDN w:val="0"/>
              <w:adjustRightInd w:val="0"/>
              <w:jc w:val="center"/>
              <w:rPr>
                <w:rFonts w:ascii="宋体" w:hAnsi="宋体"/>
                <w:kern w:val="0"/>
                <w:szCs w:val="21"/>
              </w:rPr>
            </w:pPr>
          </w:p>
        </w:tc>
        <w:tc>
          <w:tcPr>
            <w:tcW w:w="1598" w:type="dxa"/>
            <w:vAlign w:val="center"/>
          </w:tcPr>
          <w:p w14:paraId="5A833BD2">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08AD0A02">
            <w:pPr>
              <w:autoSpaceDE w:val="0"/>
              <w:autoSpaceDN w:val="0"/>
              <w:adjustRightInd w:val="0"/>
              <w:jc w:val="center"/>
              <w:rPr>
                <w:rFonts w:ascii="宋体" w:hAnsi="宋体"/>
                <w:kern w:val="0"/>
                <w:szCs w:val="21"/>
              </w:rPr>
            </w:pPr>
          </w:p>
        </w:tc>
      </w:tr>
      <w:tr w14:paraId="17CB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62E7B2BD">
            <w:pPr>
              <w:widowControl/>
              <w:jc w:val="center"/>
              <w:rPr>
                <w:rFonts w:ascii="宋体" w:hAnsi="宋体"/>
                <w:kern w:val="0"/>
                <w:szCs w:val="21"/>
              </w:rPr>
            </w:pPr>
          </w:p>
        </w:tc>
        <w:tc>
          <w:tcPr>
            <w:tcW w:w="1442" w:type="dxa"/>
            <w:vAlign w:val="center"/>
          </w:tcPr>
          <w:p w14:paraId="2520B818">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14:paraId="47ECB9EC">
            <w:pPr>
              <w:autoSpaceDE w:val="0"/>
              <w:autoSpaceDN w:val="0"/>
              <w:adjustRightInd w:val="0"/>
              <w:jc w:val="center"/>
              <w:rPr>
                <w:rFonts w:ascii="宋体" w:hAnsi="宋体"/>
                <w:kern w:val="0"/>
                <w:szCs w:val="21"/>
              </w:rPr>
            </w:pPr>
          </w:p>
        </w:tc>
        <w:tc>
          <w:tcPr>
            <w:tcW w:w="1598" w:type="dxa"/>
            <w:vAlign w:val="center"/>
          </w:tcPr>
          <w:p w14:paraId="4EECDC1E">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14:paraId="65F1720D">
            <w:pPr>
              <w:autoSpaceDE w:val="0"/>
              <w:autoSpaceDN w:val="0"/>
              <w:adjustRightInd w:val="0"/>
              <w:jc w:val="center"/>
              <w:rPr>
                <w:rFonts w:ascii="宋体" w:hAnsi="宋体"/>
                <w:kern w:val="0"/>
                <w:szCs w:val="21"/>
              </w:rPr>
            </w:pPr>
          </w:p>
        </w:tc>
      </w:tr>
      <w:tr w14:paraId="6AED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C332387">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14:paraId="42B99177">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14:paraId="1DA9FD6A">
            <w:pPr>
              <w:autoSpaceDE w:val="0"/>
              <w:autoSpaceDN w:val="0"/>
              <w:adjustRightInd w:val="0"/>
              <w:jc w:val="center"/>
              <w:rPr>
                <w:rFonts w:ascii="宋体" w:hAnsi="宋体"/>
                <w:kern w:val="0"/>
                <w:szCs w:val="21"/>
              </w:rPr>
            </w:pPr>
          </w:p>
        </w:tc>
        <w:tc>
          <w:tcPr>
            <w:tcW w:w="1598" w:type="dxa"/>
            <w:vAlign w:val="center"/>
          </w:tcPr>
          <w:p w14:paraId="438440B9">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3E3294DB">
            <w:pPr>
              <w:autoSpaceDE w:val="0"/>
              <w:autoSpaceDN w:val="0"/>
              <w:adjustRightInd w:val="0"/>
              <w:jc w:val="center"/>
              <w:rPr>
                <w:rFonts w:ascii="宋体" w:hAnsi="宋体"/>
                <w:kern w:val="0"/>
                <w:szCs w:val="21"/>
              </w:rPr>
            </w:pPr>
          </w:p>
        </w:tc>
      </w:tr>
      <w:tr w14:paraId="77B6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30F87D1">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14:paraId="11CDBBD6">
            <w:pPr>
              <w:autoSpaceDE w:val="0"/>
              <w:autoSpaceDN w:val="0"/>
              <w:adjustRightInd w:val="0"/>
              <w:jc w:val="center"/>
              <w:rPr>
                <w:rFonts w:ascii="宋体" w:hAnsi="宋体"/>
                <w:kern w:val="0"/>
                <w:szCs w:val="21"/>
              </w:rPr>
            </w:pPr>
          </w:p>
        </w:tc>
        <w:tc>
          <w:tcPr>
            <w:tcW w:w="1598" w:type="dxa"/>
            <w:vAlign w:val="center"/>
          </w:tcPr>
          <w:p w14:paraId="45390136">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14:paraId="57AC7E1D">
            <w:pPr>
              <w:autoSpaceDE w:val="0"/>
              <w:autoSpaceDN w:val="0"/>
              <w:adjustRightInd w:val="0"/>
              <w:jc w:val="center"/>
              <w:rPr>
                <w:rFonts w:ascii="宋体" w:hAnsi="宋体"/>
                <w:kern w:val="0"/>
                <w:szCs w:val="21"/>
              </w:rPr>
            </w:pPr>
          </w:p>
        </w:tc>
      </w:tr>
      <w:tr w14:paraId="29EE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7955F0F">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14:paraId="23F1BC21">
            <w:pPr>
              <w:autoSpaceDE w:val="0"/>
              <w:autoSpaceDN w:val="0"/>
              <w:adjustRightInd w:val="0"/>
              <w:jc w:val="center"/>
              <w:rPr>
                <w:rFonts w:ascii="宋体" w:hAnsi="宋体"/>
                <w:kern w:val="0"/>
                <w:szCs w:val="21"/>
              </w:rPr>
            </w:pPr>
          </w:p>
        </w:tc>
      </w:tr>
      <w:tr w14:paraId="19F6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99A570D">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14:paraId="5403590B">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14:paraId="24CF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20ED7932">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14:paraId="3A25E16C">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14:paraId="271E3695">
      <w:pPr>
        <w:widowControl/>
        <w:spacing w:line="600" w:lineRule="auto"/>
        <w:rPr>
          <w:rFonts w:ascii="宋体" w:hAnsi="宋体"/>
          <w:kern w:val="11"/>
        </w:rPr>
      </w:pPr>
    </w:p>
    <w:p w14:paraId="02BB077D">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14:paraId="0C05C3AB">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rFonts w:hint="eastAsia"/>
          <w:kern w:val="0"/>
          <w:u w:val="single"/>
          <w:lang w:val="en-US" w:eastAsia="zh-CN"/>
        </w:rPr>
        <w:t>5</w:t>
      </w:r>
      <w:r>
        <w:rPr>
          <w:kern w:val="0"/>
          <w:u w:val="single"/>
        </w:rPr>
        <w:t xml:space="preserve">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14:paraId="41435FF7">
      <w:pPr>
        <w:spacing w:line="360" w:lineRule="auto"/>
        <w:jc w:val="center"/>
      </w:pPr>
    </w:p>
    <w:p w14:paraId="3D9411C1">
      <w:pPr>
        <w:pStyle w:val="18"/>
        <w:spacing w:before="0" w:after="100" w:afterAutospacing="1" w:line="360" w:lineRule="auto"/>
      </w:pPr>
      <w:r>
        <w:br w:type="page"/>
      </w:r>
      <w:r>
        <w:rPr>
          <w:rFonts w:hint="eastAsia"/>
        </w:rPr>
        <w:t>第二章 公开询价须知</w:t>
      </w:r>
    </w:p>
    <w:p w14:paraId="69F53B17">
      <w:pPr>
        <w:pStyle w:val="17"/>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14:paraId="613D275B">
      <w:pPr>
        <w:pStyle w:val="17"/>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14:paraId="464B54C3">
      <w:pPr>
        <w:pStyle w:val="17"/>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含包装、运输、税金、装卸及相关服务等发生的所有费用。</w:t>
      </w:r>
    </w:p>
    <w:p w14:paraId="4FBB6BB2">
      <w:pPr>
        <w:pStyle w:val="17"/>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w:t>
      </w:r>
      <w:r>
        <w:rPr>
          <w:rFonts w:hint="eastAsia" w:ascii="Times New Roman" w:hAnsi="Times New Roman" w:cs="Times New Roman"/>
        </w:rPr>
        <w:t>危险废弃物</w:t>
      </w:r>
      <w:r>
        <w:rPr>
          <w:rFonts w:hint="eastAsia" w:ascii="Times New Roman" w:hAnsi="Times New Roman" w:cs="Times New Roman"/>
          <w:lang w:val="en-US" w:eastAsia="zh-CN"/>
        </w:rPr>
        <w:t>处置</w:t>
      </w:r>
      <w:r>
        <w:rPr>
          <w:rFonts w:ascii="Times New Roman" w:hAnsi="Times New Roman" w:cs="Times New Roman"/>
        </w:rPr>
        <w:t>行情波动较大，请另行注明有效期。</w:t>
      </w:r>
    </w:p>
    <w:p w14:paraId="39FF26C9">
      <w:pPr>
        <w:pStyle w:val="17"/>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4</w:t>
      </w:r>
      <w:r>
        <w:rPr>
          <w:rFonts w:ascii="Times New Roman" w:hAnsi="Times New Roman" w:cs="Times New Roman"/>
        </w:rPr>
        <w:t xml:space="preserve">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14:paraId="07161B78">
      <w:pPr>
        <w:pStyle w:val="17"/>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1.</w:t>
      </w:r>
      <w:r>
        <w:rPr>
          <w:rFonts w:hint="eastAsia" w:ascii="Times New Roman" w:cs="Times New Roman"/>
          <w:lang w:val="en-US" w:eastAsia="zh-CN"/>
        </w:rPr>
        <w:t>5</w:t>
      </w:r>
      <w:r>
        <w:rPr>
          <w:rFonts w:hint="eastAsia" w:ascii="Times New Roman" w:cs="Times New Roman"/>
        </w:rPr>
        <w:t xml:space="preserve">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14:paraId="38689D0C">
      <w:pPr>
        <w:pStyle w:val="17"/>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w:t>
      </w:r>
      <w:r>
        <w:rPr>
          <w:rFonts w:hint="eastAsia" w:ascii="Times New Roman" w:cs="Times New Roman"/>
          <w:lang w:val="en-US" w:eastAsia="zh-CN"/>
        </w:rPr>
        <w:t>服务</w:t>
      </w:r>
      <w:r>
        <w:rPr>
          <w:rFonts w:hint="eastAsia" w:ascii="Times New Roman" w:cs="Times New Roman"/>
        </w:rPr>
        <w:t>质量或者不能诚信履约的，将要求报价人在规定时间内提供书面说明，必要时提交相关证明材料；报价人不能证明其报价合理性的，评审小组可将其作为无效报价处理。</w:t>
      </w:r>
    </w:p>
    <w:p w14:paraId="0EA8E76F">
      <w:pPr>
        <w:pStyle w:val="17"/>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lang w:val="en-US" w:eastAsia="zh-CN"/>
        </w:rPr>
        <w:t>7</w:t>
      </w:r>
      <w:r>
        <w:rPr>
          <w:rFonts w:hint="eastAsia" w:ascii="Times New Roman" w:hAnsi="Times New Roman" w:cs="Times New Roman"/>
        </w:rPr>
        <w:t xml:space="preserve"> </w:t>
      </w:r>
      <w:r>
        <w:rPr>
          <w:rFonts w:ascii="Times New Roman" w:cs="Times New Roman"/>
        </w:rPr>
        <w:t>付款方式：</w:t>
      </w:r>
      <w:r>
        <w:rPr>
          <w:rFonts w:hint="eastAsia" w:ascii="Times New Roman" w:cs="Times New Roman"/>
        </w:rPr>
        <w:t>乙方完成危险废弃物处置，并向甲方提供合法有效的发票及相关证明文件后，于90个工作日内结清。</w:t>
      </w:r>
    </w:p>
    <w:p w14:paraId="1D9A87C3">
      <w:pPr>
        <w:pStyle w:val="17"/>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14:paraId="5A5B545E">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6675155C">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14:paraId="5AEBCA8E">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54068C6B">
      <w:pPr>
        <w:pStyle w:val="17"/>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14:paraId="05AC99A3">
      <w:pPr>
        <w:pStyle w:val="17"/>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14:paraId="10CD6EF6">
      <w:pPr>
        <w:pStyle w:val="17"/>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66F954F7">
      <w:pPr>
        <w:pStyle w:val="17"/>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66029B1">
      <w:pPr>
        <w:pStyle w:val="17"/>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14:paraId="0418565A">
      <w:pPr>
        <w:pStyle w:val="17"/>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1DC5A489">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10262868">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b w:val="0"/>
          <w:bCs w:val="0"/>
        </w:rPr>
      </w:pPr>
      <w:r>
        <w:rPr>
          <w:rFonts w:hint="eastAsia" w:ascii="Times New Roman" w:hAnsi="Times New Roman" w:cs="Times New Roman"/>
        </w:rPr>
        <w:t>合格供应商评审表（</w:t>
      </w:r>
      <w:r>
        <w:rPr>
          <w:rFonts w:hint="eastAsia" w:ascii="Times New Roman" w:hAnsi="Times New Roman" w:cs="Times New Roman"/>
          <w:b/>
          <w:bCs/>
        </w:rPr>
        <w:t>非滁宁城铁合格供应商必须提供，原件加盖法人公章，见格式3</w:t>
      </w:r>
      <w:r>
        <w:rPr>
          <w:rFonts w:hint="eastAsia" w:ascii="Times New Roman" w:hAnsi="Times New Roman" w:cs="Times New Roman"/>
          <w:b w:val="0"/>
          <w:bCs w:val="0"/>
        </w:rPr>
        <w:t>）</w:t>
      </w:r>
    </w:p>
    <w:p w14:paraId="40B8D53C">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4677420">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80E1AFC">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color w:val="000000"/>
          <w:sz w:val="24"/>
          <w:highlight w:val="none"/>
        </w:rPr>
        <w:t>危险废物经营许可</w:t>
      </w:r>
      <w:r>
        <w:rPr>
          <w:rFonts w:hint="eastAsia"/>
          <w:color w:val="000000"/>
          <w:sz w:val="24"/>
          <w:highlight w:val="none"/>
          <w:lang w:val="en-US" w:eastAsia="zh-CN"/>
        </w:rPr>
        <w:t>证</w:t>
      </w:r>
      <w:r>
        <w:rPr>
          <w:rFonts w:hint="eastAsia"/>
          <w:color w:val="000000"/>
          <w:sz w:val="24"/>
          <w:highlight w:val="none"/>
        </w:rPr>
        <w:t>（</w:t>
      </w:r>
      <w:r>
        <w:rPr>
          <w:rFonts w:hint="eastAsia" w:ascii="Times New Roman" w:hAnsi="Times New Roman" w:cs="Times New Roman"/>
          <w:b/>
          <w:bCs/>
          <w:color w:val="auto"/>
          <w:highlight w:val="none"/>
        </w:rPr>
        <w:t>复印件加盖法人公章</w:t>
      </w:r>
      <w:r>
        <w:rPr>
          <w:rFonts w:hint="eastAsia"/>
          <w:color w:val="000000"/>
          <w:sz w:val="24"/>
          <w:highlight w:val="none"/>
        </w:rPr>
        <w:t>）</w:t>
      </w:r>
    </w:p>
    <w:p w14:paraId="5B2ABEF5">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w:t>
      </w:r>
      <w:r>
        <w:rPr>
          <w:rFonts w:hint="eastAsia" w:ascii="Times New Roman" w:hAnsi="Times New Roman" w:cs="Times New Roman"/>
          <w:b/>
          <w:bCs/>
          <w:color w:val="auto"/>
          <w:highlight w:val="none"/>
          <w:lang w:val="en-US" w:eastAsia="zh-CN"/>
        </w:rPr>
        <w:t>甲乙</w:t>
      </w:r>
      <w:r>
        <w:rPr>
          <w:rFonts w:hint="eastAsia" w:ascii="Times New Roman" w:hAnsi="Times New Roman" w:cs="Times New Roman"/>
          <w:b/>
          <w:bCs/>
          <w:color w:val="auto"/>
          <w:highlight w:val="none"/>
        </w:rPr>
        <w:t>双方的公章或者合同章</w:t>
      </w:r>
      <w:r>
        <w:rPr>
          <w:rFonts w:hint="eastAsia" w:ascii="Times New Roman" w:hAnsi="Times New Roman" w:cs="Times New Roman"/>
          <w:b/>
          <w:bCs/>
          <w:color w:val="auto"/>
          <w:highlight w:val="none"/>
          <w:lang w:eastAsia="zh-CN"/>
        </w:rPr>
        <w:t>，复印件加盖法人公章</w:t>
      </w:r>
      <w:r>
        <w:rPr>
          <w:rFonts w:ascii="Times New Roman" w:hAnsi="Times New Roman" w:cs="Times New Roman"/>
          <w:color w:val="auto"/>
          <w:highlight w:val="none"/>
        </w:rPr>
        <w:t>）</w:t>
      </w:r>
    </w:p>
    <w:p w14:paraId="03175A1E">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3A4DA733">
      <w:pPr>
        <w:spacing w:line="360" w:lineRule="auto"/>
        <w:rPr>
          <w:sz w:val="24"/>
          <w:szCs w:val="24"/>
        </w:rPr>
      </w:pPr>
      <w:r>
        <w:rPr>
          <w:rFonts w:hint="eastAsia"/>
          <w:sz w:val="24"/>
          <w:szCs w:val="24"/>
        </w:rPr>
        <w:t>2.3 报价文件包装方式</w:t>
      </w:r>
    </w:p>
    <w:p w14:paraId="346BB6EB">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14:paraId="00FB6D2E">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14:paraId="41652622">
      <w:pPr>
        <w:spacing w:line="360" w:lineRule="auto"/>
        <w:ind w:left="600" w:hanging="600" w:hangingChars="250"/>
        <w:rPr>
          <w:sz w:val="24"/>
          <w:szCs w:val="24"/>
        </w:rPr>
      </w:pPr>
      <w:r>
        <w:rPr>
          <w:rFonts w:hint="eastAsia"/>
          <w:sz w:val="24"/>
          <w:szCs w:val="24"/>
        </w:rPr>
        <w:t xml:space="preserve">2.3.3 非密封部分应装订成册，以便于查阅和管理。 </w:t>
      </w:r>
    </w:p>
    <w:p w14:paraId="36459802">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2C274C59">
      <w:pPr>
        <w:pStyle w:val="17"/>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14:paraId="7D1404BA">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2CDB588A">
      <w:pPr>
        <w:pStyle w:val="17"/>
        <w:spacing w:before="0" w:beforeAutospacing="0" w:after="0" w:afterAutospacing="0" w:line="360" w:lineRule="auto"/>
        <w:ind w:left="149" w:hanging="148" w:hangingChars="62"/>
        <w:rPr>
          <w:rFonts w:ascii="Times New Roman"/>
        </w:rPr>
      </w:pPr>
      <w:r>
        <w:rPr>
          <w:rFonts w:hint="eastAsia" w:ascii="Times New Roman"/>
        </w:rPr>
        <w:t>3.2 评审步骤</w:t>
      </w:r>
    </w:p>
    <w:p w14:paraId="46856AD2">
      <w:pPr>
        <w:pStyle w:val="17"/>
        <w:spacing w:before="0" w:beforeAutospacing="0" w:after="0" w:afterAutospacing="0" w:line="360" w:lineRule="auto"/>
        <w:ind w:left="149" w:hanging="148" w:hangingChars="62"/>
        <w:rPr>
          <w:rFonts w:ascii="Times New Roman"/>
        </w:rPr>
      </w:pPr>
      <w:r>
        <w:rPr>
          <w:rFonts w:hint="eastAsia" w:ascii="Times New Roman"/>
        </w:rPr>
        <w:t>3.2.1初步评审</w:t>
      </w:r>
    </w:p>
    <w:p w14:paraId="78519462">
      <w:pPr>
        <w:pStyle w:val="17"/>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14:paraId="3833DB7A">
      <w:pPr>
        <w:pStyle w:val="17"/>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w:t>
      </w:r>
      <w:r>
        <w:rPr>
          <w:rFonts w:hint="eastAsia" w:ascii="Times New Roman"/>
          <w:lang w:val="en-US" w:eastAsia="zh-CN"/>
        </w:rPr>
        <w:t>处置</w:t>
      </w:r>
      <w:r>
        <w:rPr>
          <w:rFonts w:hint="eastAsia" w:ascii="Times New Roman"/>
        </w:rPr>
        <w:t>期、报价有效期、技术标准和要求等实质性内容符合询价文件的要求，而没有重大偏离或保留。如报价人没有实质性响应询价文件的要求，评审小组将否决其报价。</w:t>
      </w:r>
    </w:p>
    <w:p w14:paraId="29E8CD15">
      <w:pPr>
        <w:pStyle w:val="17"/>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14:paraId="45867E10">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w:t>
      </w:r>
      <w:r>
        <w:rPr>
          <w:rFonts w:hint="eastAsia" w:ascii="Times New Roman"/>
          <w:lang w:val="en-US" w:eastAsia="zh-CN"/>
        </w:rPr>
        <w:t>经办</w:t>
      </w:r>
      <w:r>
        <w:rPr>
          <w:rFonts w:hint="eastAsia" w:ascii="Times New Roman"/>
        </w:rPr>
        <w:t>人可根据现场实际需要，有权取消部分</w:t>
      </w:r>
      <w:r>
        <w:rPr>
          <w:rFonts w:hint="eastAsia" w:ascii="Times New Roman"/>
          <w:lang w:val="en-US" w:eastAsia="zh-CN"/>
        </w:rPr>
        <w:t>处置</w:t>
      </w:r>
      <w:r>
        <w:rPr>
          <w:rFonts w:hint="eastAsia" w:ascii="Times New Roman"/>
        </w:rPr>
        <w:t>条目或增减</w:t>
      </w:r>
      <w:r>
        <w:rPr>
          <w:rFonts w:hint="eastAsia" w:ascii="Times New Roman"/>
          <w:lang w:val="en-US" w:eastAsia="zh-CN"/>
        </w:rPr>
        <w:t>处置</w:t>
      </w:r>
      <w:r>
        <w:rPr>
          <w:rFonts w:hint="eastAsia" w:ascii="Times New Roman"/>
        </w:rPr>
        <w:t>数量，并对所有报价人的报价（单价不变）进行修正。</w:t>
      </w:r>
    </w:p>
    <w:p w14:paraId="5DE99CC3">
      <w:pPr>
        <w:pStyle w:val="17"/>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14:paraId="1EA91B0C">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1783256A">
      <w:pPr>
        <w:pStyle w:val="17"/>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14:paraId="15D10D8A">
      <w:pPr>
        <w:pStyle w:val="17"/>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14:paraId="4E7B845E">
      <w:pPr>
        <w:pStyle w:val="17"/>
        <w:spacing w:before="0" w:beforeAutospacing="0" w:after="0" w:afterAutospacing="0" w:line="360" w:lineRule="auto"/>
        <w:ind w:left="0" w:firstLine="480" w:firstLineChars="200"/>
        <w:rPr>
          <w:rFonts w:ascii="Times New Roman"/>
        </w:rPr>
      </w:pPr>
      <w:r>
        <w:rPr>
          <w:rFonts w:hint="eastAsia" w:ascii="Times New Roman"/>
          <w:lang w:val="en-US" w:eastAsia="zh-CN"/>
        </w:rPr>
        <w:t>我司</w:t>
      </w:r>
      <w:r>
        <w:rPr>
          <w:rFonts w:hint="eastAsia" w:ascii="Times New Roman"/>
        </w:rPr>
        <w:t>将以书面形式向成交供应商发出成交通知书，接到成交通知书后，成交供应商应在二十四（24）小时内向</w:t>
      </w:r>
      <w:r>
        <w:rPr>
          <w:rFonts w:hint="eastAsia" w:ascii="Times New Roman"/>
          <w:lang w:val="en-US" w:eastAsia="zh-CN"/>
        </w:rPr>
        <w:t>我司</w:t>
      </w:r>
      <w:r>
        <w:rPr>
          <w:rFonts w:hint="eastAsia" w:ascii="Times New Roman"/>
        </w:rPr>
        <w:t>发出接受成交的函件。</w:t>
      </w:r>
    </w:p>
    <w:p w14:paraId="5D78C1EB">
      <w:pPr>
        <w:pStyle w:val="17"/>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14:paraId="774833F0">
      <w:pPr>
        <w:pStyle w:val="17"/>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14:paraId="5592DA9C">
      <w:pPr>
        <w:pStyle w:val="17"/>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14:paraId="4D35115D">
      <w:pPr>
        <w:pStyle w:val="17"/>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w:t>
      </w:r>
      <w:r>
        <w:rPr>
          <w:rFonts w:hint="eastAsia" w:ascii="Times New Roman" w:hAnsi="Times New Roman" w:cs="Times New Roman"/>
          <w:lang w:val="en-US" w:eastAsia="zh-CN"/>
        </w:rPr>
        <w:t>我司</w:t>
      </w:r>
      <w:r>
        <w:rPr>
          <w:rFonts w:ascii="Times New Roman" w:hAnsi="Times New Roman" w:cs="Times New Roman"/>
        </w:rPr>
        <w:t>签订合同</w:t>
      </w:r>
      <w:r>
        <w:rPr>
          <w:rFonts w:hint="eastAsia" w:ascii="Times New Roman" w:hAnsi="Times New Roman" w:cs="Times New Roman"/>
        </w:rPr>
        <w:t>，否则其报价保证金不予退还。</w:t>
      </w:r>
    </w:p>
    <w:p w14:paraId="1EC99258">
      <w:pPr>
        <w:pStyle w:val="17"/>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w:t>
      </w:r>
      <w:r>
        <w:rPr>
          <w:rFonts w:hint="eastAsia" w:ascii="Times New Roman" w:hAnsi="Times New Roman" w:cs="Times New Roman"/>
          <w:lang w:val="en-US" w:eastAsia="zh-CN"/>
        </w:rPr>
        <w:t>我司</w:t>
      </w:r>
      <w:r>
        <w:rPr>
          <w:rFonts w:hint="eastAsia" w:ascii="Times New Roman" w:hAnsi="Times New Roman" w:cs="Times New Roman"/>
        </w:rPr>
        <w:t>可根据需要有权对部分内容作局部调整或变更，但需经双方共同认定。</w:t>
      </w:r>
    </w:p>
    <w:p w14:paraId="1C7B5528">
      <w:pPr>
        <w:pStyle w:val="17"/>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w:t>
      </w:r>
      <w:r>
        <w:rPr>
          <w:rFonts w:hint="eastAsia" w:ascii="Times New Roman" w:hAnsi="Times New Roman" w:cs="Times New Roman"/>
          <w:lang w:val="en-US" w:eastAsia="zh-CN"/>
        </w:rPr>
        <w:t>经办人</w:t>
      </w:r>
      <w:r>
        <w:rPr>
          <w:rFonts w:hint="eastAsia" w:ascii="Times New Roman" w:hAnsi="Times New Roman" w:cs="Times New Roman"/>
        </w:rPr>
        <w:t>在成交候选人中重新确定成交供应商。</w:t>
      </w:r>
    </w:p>
    <w:p w14:paraId="2E488CC0">
      <w:pPr>
        <w:pStyle w:val="17"/>
        <w:spacing w:before="0" w:beforeAutospacing="0" w:after="0" w:afterAutospacing="0" w:line="360" w:lineRule="auto"/>
        <w:ind w:left="420" w:hanging="420" w:hangingChars="175"/>
        <w:rPr>
          <w:rFonts w:hint="eastAsia" w:ascii="Times New Roman" w:hAnsi="Times New Roman" w:cs="Times New Roman"/>
        </w:rPr>
        <w:sectPr>
          <w:headerReference r:id="rId6" w:type="default"/>
          <w:footerReference r:id="rId7" w:type="even"/>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ascii="Times New Roman" w:hAnsi="Times New Roman" w:cs="Times New Roman"/>
        </w:rPr>
        <w:t>6.4 本项目拟与成交供应商签订</w:t>
      </w:r>
      <w:r>
        <w:rPr>
          <w:rFonts w:hint="eastAsia" w:ascii="Times New Roman" w:hAnsi="Times New Roman" w:cs="Times New Roman"/>
          <w:b/>
          <w:bCs/>
          <w:lang w:val="en-US" w:eastAsia="zh-CN"/>
        </w:rPr>
        <w:t>三</w:t>
      </w:r>
      <w:r>
        <w:rPr>
          <w:rFonts w:hint="eastAsia" w:ascii="Times New Roman" w:hAnsi="Times New Roman" w:cs="Times New Roman"/>
          <w:b/>
          <w:bCs/>
        </w:rPr>
        <w:t>年期</w:t>
      </w:r>
      <w:r>
        <w:rPr>
          <w:rFonts w:hint="eastAsia" w:ascii="Times New Roman" w:hAnsi="Times New Roman" w:cs="Times New Roman"/>
        </w:rPr>
        <w:t>框架协议。</w:t>
      </w:r>
    </w:p>
    <w:p w14:paraId="5875226C">
      <w:pPr>
        <w:pStyle w:val="17"/>
        <w:spacing w:before="0" w:beforeAutospacing="0" w:after="0" w:afterAutospacing="0" w:line="360" w:lineRule="auto"/>
        <w:ind w:left="420" w:hanging="420" w:hangingChars="175"/>
        <w:rPr>
          <w:rFonts w:hint="eastAsia" w:ascii="Times New Roman" w:hAnsi="Times New Roman" w:cs="Times New Roman"/>
        </w:rPr>
      </w:pPr>
    </w:p>
    <w:p w14:paraId="6237B596">
      <w:pPr>
        <w:pStyle w:val="18"/>
        <w:spacing w:before="0" w:after="100" w:afterAutospacing="1" w:line="360" w:lineRule="auto"/>
        <w:jc w:val="center"/>
      </w:pPr>
      <w:r>
        <w:rPr>
          <w:rFonts w:hint="eastAsia"/>
        </w:rPr>
        <w:t>第三章 项目需求</w:t>
      </w:r>
    </w:p>
    <w:p w14:paraId="17705B18">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lang w:val="en-US" w:eastAsia="zh-CN"/>
        </w:rPr>
        <w:t>处置</w:t>
      </w:r>
      <w:r>
        <w:rPr>
          <w:rFonts w:hint="eastAsia"/>
          <w:kern w:val="0"/>
          <w:sz w:val="24"/>
          <w:szCs w:val="24"/>
          <w:highlight w:val="none"/>
        </w:rPr>
        <w:t>内容</w:t>
      </w:r>
    </w:p>
    <w:p w14:paraId="48471CC8">
      <w:pPr>
        <w:widowControl/>
        <w:spacing w:line="360" w:lineRule="auto"/>
        <w:ind w:firstLine="480" w:firstLineChars="200"/>
        <w:jc w:val="left"/>
        <w:rPr>
          <w:rFonts w:ascii="宋体" w:hAnsi="宋体"/>
          <w:sz w:val="24"/>
        </w:rPr>
      </w:pPr>
      <w:r>
        <w:rPr>
          <w:rFonts w:hint="eastAsia"/>
          <w:kern w:val="0"/>
          <w:sz w:val="24"/>
          <w:szCs w:val="24"/>
        </w:rPr>
        <w:t>本项目为</w:t>
      </w:r>
      <w:r>
        <w:rPr>
          <w:rFonts w:hint="eastAsia" w:ascii="宋体" w:hAnsi="宋体" w:cs="宋体"/>
          <w:sz w:val="24"/>
          <w:lang w:val="en-US" w:eastAsia="zh-CN"/>
        </w:rPr>
        <w:t>滁州轨道运营危险废弃物（废机油、废铅酸蓄电池、废墨盒）的处置</w:t>
      </w:r>
      <w:r>
        <w:rPr>
          <w:rFonts w:hint="eastAsia" w:ascii="宋体" w:hAnsi="宋体"/>
          <w:sz w:val="24"/>
        </w:rPr>
        <w:t>。</w:t>
      </w:r>
    </w:p>
    <w:p w14:paraId="6A627E86">
      <w:pPr>
        <w:pStyle w:val="17"/>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lang w:val="en-US" w:eastAsia="zh-CN"/>
        </w:rPr>
        <w:t>处置</w:t>
      </w:r>
      <w:r>
        <w:rPr>
          <w:rFonts w:ascii="Times New Roman" w:hAnsi="Times New Roman" w:cs="Times New Roman"/>
          <w:color w:val="auto"/>
          <w:highlight w:val="none"/>
        </w:rPr>
        <w:t>清单</w:t>
      </w:r>
    </w:p>
    <w:tbl>
      <w:tblPr>
        <w:tblStyle w:val="20"/>
        <w:tblW w:w="10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3129"/>
        <w:gridCol w:w="2978"/>
        <w:gridCol w:w="1386"/>
        <w:gridCol w:w="1940"/>
      </w:tblGrid>
      <w:tr w14:paraId="32F01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5" w:type="dxa"/>
            <w:vAlign w:val="center"/>
          </w:tcPr>
          <w:p w14:paraId="138289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序号</w:t>
            </w:r>
          </w:p>
        </w:tc>
        <w:tc>
          <w:tcPr>
            <w:tcW w:w="3129" w:type="dxa"/>
            <w:vAlign w:val="center"/>
          </w:tcPr>
          <w:p w14:paraId="5806C0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物资名称</w:t>
            </w:r>
          </w:p>
        </w:tc>
        <w:tc>
          <w:tcPr>
            <w:tcW w:w="2978" w:type="dxa"/>
            <w:vAlign w:val="center"/>
          </w:tcPr>
          <w:p w14:paraId="4AAA6B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危废代码</w:t>
            </w:r>
          </w:p>
        </w:tc>
        <w:tc>
          <w:tcPr>
            <w:tcW w:w="1386" w:type="dxa"/>
            <w:vAlign w:val="center"/>
          </w:tcPr>
          <w:p w14:paraId="102660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单位</w:t>
            </w:r>
          </w:p>
        </w:tc>
        <w:tc>
          <w:tcPr>
            <w:tcW w:w="1940" w:type="dxa"/>
            <w:vAlign w:val="center"/>
          </w:tcPr>
          <w:p w14:paraId="3AB189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三年预估数量</w:t>
            </w:r>
          </w:p>
        </w:tc>
      </w:tr>
      <w:tr w14:paraId="39B42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5" w:type="dxa"/>
            <w:vAlign w:val="center"/>
          </w:tcPr>
          <w:p w14:paraId="3098C2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3129" w:type="dxa"/>
            <w:vAlign w:val="center"/>
          </w:tcPr>
          <w:p w14:paraId="58AF7C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废机油</w:t>
            </w:r>
          </w:p>
        </w:tc>
        <w:tc>
          <w:tcPr>
            <w:tcW w:w="2978" w:type="dxa"/>
            <w:vAlign w:val="center"/>
          </w:tcPr>
          <w:p w14:paraId="48FD45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900-249-08</w:t>
            </w:r>
          </w:p>
        </w:tc>
        <w:tc>
          <w:tcPr>
            <w:tcW w:w="1386" w:type="dxa"/>
            <w:vAlign w:val="center"/>
          </w:tcPr>
          <w:p w14:paraId="6854C4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吨</w:t>
            </w:r>
          </w:p>
        </w:tc>
        <w:tc>
          <w:tcPr>
            <w:tcW w:w="1940" w:type="dxa"/>
            <w:vAlign w:val="center"/>
          </w:tcPr>
          <w:p w14:paraId="1C4F11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2.76</w:t>
            </w:r>
          </w:p>
        </w:tc>
      </w:tr>
      <w:tr w14:paraId="061E0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5" w:type="dxa"/>
            <w:vAlign w:val="center"/>
          </w:tcPr>
          <w:p w14:paraId="724ED3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3129" w:type="dxa"/>
            <w:vAlign w:val="center"/>
          </w:tcPr>
          <w:p w14:paraId="4027A8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废铅酸蓄电池</w:t>
            </w:r>
          </w:p>
        </w:tc>
        <w:tc>
          <w:tcPr>
            <w:tcW w:w="2978" w:type="dxa"/>
            <w:vAlign w:val="center"/>
          </w:tcPr>
          <w:p w14:paraId="4F1B05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900-052-31</w:t>
            </w:r>
          </w:p>
        </w:tc>
        <w:tc>
          <w:tcPr>
            <w:tcW w:w="1386" w:type="dxa"/>
            <w:vAlign w:val="center"/>
          </w:tcPr>
          <w:p w14:paraId="04CF35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吨</w:t>
            </w:r>
          </w:p>
        </w:tc>
        <w:tc>
          <w:tcPr>
            <w:tcW w:w="1940" w:type="dxa"/>
            <w:vAlign w:val="center"/>
          </w:tcPr>
          <w:p w14:paraId="12AC09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1.11</w:t>
            </w:r>
          </w:p>
        </w:tc>
      </w:tr>
      <w:tr w14:paraId="689C2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5" w:type="dxa"/>
            <w:vAlign w:val="center"/>
          </w:tcPr>
          <w:p w14:paraId="57EF4E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3129" w:type="dxa"/>
            <w:vAlign w:val="center"/>
          </w:tcPr>
          <w:p w14:paraId="56B7C9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废墨盒</w:t>
            </w:r>
          </w:p>
        </w:tc>
        <w:tc>
          <w:tcPr>
            <w:tcW w:w="2978" w:type="dxa"/>
            <w:vAlign w:val="center"/>
          </w:tcPr>
          <w:p w14:paraId="01D895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900-041-49</w:t>
            </w:r>
          </w:p>
        </w:tc>
        <w:tc>
          <w:tcPr>
            <w:tcW w:w="1386" w:type="dxa"/>
            <w:vAlign w:val="center"/>
          </w:tcPr>
          <w:p w14:paraId="43B91F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吨</w:t>
            </w:r>
          </w:p>
        </w:tc>
        <w:tc>
          <w:tcPr>
            <w:tcW w:w="1940" w:type="dxa"/>
            <w:vAlign w:val="center"/>
          </w:tcPr>
          <w:p w14:paraId="78510B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0.42</w:t>
            </w:r>
          </w:p>
        </w:tc>
      </w:tr>
      <w:tr w14:paraId="2DEDA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38" w:type="dxa"/>
            <w:gridSpan w:val="5"/>
            <w:vAlign w:val="center"/>
          </w:tcPr>
          <w:p w14:paraId="5D361313">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备注：</w:t>
            </w:r>
          </w:p>
          <w:p w14:paraId="177623C2">
            <w:pPr>
              <w:widowControl/>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（1）此为三年期框架协议，未税单价3年保持不变，实际</w:t>
            </w:r>
            <w:r>
              <w:rPr>
                <w:rFonts w:hint="eastAsia" w:ascii="宋体" w:hAnsi="宋体" w:cs="宋体"/>
                <w:kern w:val="0"/>
                <w:sz w:val="21"/>
                <w:szCs w:val="21"/>
                <w:lang w:val="en-US" w:eastAsia="zh-CN" w:bidi="ar-SA"/>
              </w:rPr>
              <w:t>处置</w:t>
            </w:r>
            <w:r>
              <w:rPr>
                <w:rFonts w:hint="eastAsia" w:ascii="宋体" w:hAnsi="宋体" w:eastAsia="宋体" w:cs="宋体"/>
                <w:kern w:val="0"/>
                <w:sz w:val="21"/>
                <w:szCs w:val="21"/>
                <w:lang w:val="en-US" w:eastAsia="zh-CN" w:bidi="ar-SA"/>
              </w:rPr>
              <w:t>数量根据我方生产需要调整；</w:t>
            </w:r>
          </w:p>
          <w:p w14:paraId="7697D4E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vertAlign w:val="baseline"/>
                <w:lang w:val="en-US" w:eastAsia="zh-CN"/>
              </w:rPr>
            </w:pPr>
            <w:r>
              <w:rPr>
                <w:rFonts w:hint="eastAsia" w:ascii="宋体" w:hAnsi="宋体" w:eastAsia="宋体" w:cs="宋体"/>
                <w:kern w:val="0"/>
                <w:sz w:val="21"/>
                <w:szCs w:val="21"/>
                <w:lang w:val="en-US" w:eastAsia="zh-CN" w:bidi="ar-SA"/>
              </w:rPr>
              <w:t>（2）报价时综合考虑运费，送货地点详见第</w:t>
            </w:r>
            <w:r>
              <w:rPr>
                <w:rFonts w:hint="eastAsia" w:ascii="宋体" w:hAnsi="宋体" w:cs="宋体"/>
                <w:kern w:val="0"/>
                <w:sz w:val="21"/>
                <w:szCs w:val="21"/>
                <w:lang w:val="en-US" w:eastAsia="zh-CN" w:bidi="ar-SA"/>
              </w:rPr>
              <w:t>3</w:t>
            </w:r>
            <w:r>
              <w:rPr>
                <w:rFonts w:hint="eastAsia" w:ascii="宋体" w:hAnsi="宋体" w:eastAsia="宋体" w:cs="宋体"/>
                <w:kern w:val="0"/>
                <w:sz w:val="21"/>
                <w:szCs w:val="21"/>
                <w:lang w:val="en-US" w:eastAsia="zh-CN" w:bidi="ar-SA"/>
              </w:rPr>
              <w:t>.</w:t>
            </w:r>
            <w:r>
              <w:rPr>
                <w:rFonts w:hint="eastAsia" w:ascii="宋体" w:hAnsi="宋体" w:cs="宋体"/>
                <w:kern w:val="0"/>
                <w:sz w:val="21"/>
                <w:szCs w:val="21"/>
                <w:lang w:val="en-US" w:eastAsia="zh-CN" w:bidi="ar-SA"/>
              </w:rPr>
              <w:t>4</w:t>
            </w:r>
            <w:r>
              <w:rPr>
                <w:rFonts w:hint="eastAsia" w:ascii="宋体" w:hAnsi="宋体" w:eastAsia="宋体" w:cs="宋体"/>
                <w:kern w:val="0"/>
                <w:sz w:val="21"/>
                <w:szCs w:val="21"/>
                <w:lang w:val="en-US" w:eastAsia="zh-CN" w:bidi="ar-SA"/>
              </w:rPr>
              <w:t>条。</w:t>
            </w:r>
          </w:p>
        </w:tc>
      </w:tr>
    </w:tbl>
    <w:p w14:paraId="21E2812A">
      <w:pPr>
        <w:pStyle w:val="17"/>
        <w:spacing w:before="0" w:beforeAutospacing="0" w:after="0" w:afterAutospacing="0" w:line="360" w:lineRule="auto"/>
        <w:ind w:left="420" w:hanging="420" w:hangingChars="175"/>
        <w:rPr>
          <w:rFonts w:ascii="Times New Roman" w:hAnsi="Times New Roman" w:cs="Times New Roman"/>
          <w:color w:val="auto"/>
          <w:highlight w:val="none"/>
        </w:rPr>
      </w:pPr>
    </w:p>
    <w:p w14:paraId="2D0A55DA">
      <w:pPr>
        <w:pStyle w:val="17"/>
        <w:spacing w:before="0" w:beforeAutospacing="0" w:after="0" w:afterAutospacing="0" w:line="360" w:lineRule="auto"/>
        <w:ind w:left="420" w:hanging="420" w:hangingChars="175"/>
        <w:rPr>
          <w:rFonts w:hint="eastAsia" w:ascii="Times New Roman" w:hAnsi="Times New Roman" w:cs="Times New Roman"/>
          <w:lang w:val="en-US" w:eastAsia="zh-CN"/>
        </w:rPr>
      </w:pPr>
      <w:r>
        <w:rPr>
          <w:rFonts w:hint="eastAsia" w:ascii="Times New Roman" w:hAnsi="Times New Roman" w:cs="Times New Roman"/>
          <w:lang w:val="en-US" w:eastAsia="zh-CN"/>
        </w:rPr>
        <w:t>3 交货要求</w:t>
      </w:r>
    </w:p>
    <w:p w14:paraId="0D2E3851">
      <w:pPr>
        <w:pStyle w:val="17"/>
        <w:spacing w:before="0" w:beforeAutospacing="0" w:after="0" w:afterAutospacing="0" w:line="360" w:lineRule="auto"/>
        <w:ind w:left="420" w:hanging="420" w:hangingChars="175"/>
        <w:rPr>
          <w:rFonts w:hint="eastAsia" w:ascii="Times New Roman" w:hAnsi="Times New Roman" w:cs="Times New Roman"/>
          <w:lang w:val="en-US" w:eastAsia="zh-CN"/>
        </w:rPr>
      </w:pPr>
      <w:r>
        <w:rPr>
          <w:rFonts w:hint="eastAsia" w:ascii="Times New Roman" w:hAnsi="Times New Roman" w:cs="Times New Roman"/>
          <w:lang w:val="en-US" w:eastAsia="zh-CN"/>
        </w:rPr>
        <w:t>3.1 交货时间：甲方向乙方发送《处置通知单》，乙方在接到甲方处置通知之时起3个日历天内，按照通知要求完成处置。</w:t>
      </w:r>
    </w:p>
    <w:p w14:paraId="4E2B4DB9">
      <w:pPr>
        <w:pStyle w:val="17"/>
        <w:spacing w:before="0" w:beforeAutospacing="0" w:after="0" w:afterAutospacing="0" w:line="360" w:lineRule="auto"/>
        <w:ind w:left="420" w:hanging="420" w:hangingChars="175"/>
        <w:rPr>
          <w:rFonts w:hint="eastAsia" w:ascii="Times New Roman" w:hAnsi="Times New Roman" w:cs="Times New Roman"/>
        </w:rPr>
      </w:pPr>
      <w:r>
        <w:rPr>
          <w:rFonts w:hint="eastAsia" w:ascii="Times New Roman" w:hAnsi="Times New Roman" w:cs="Times New Roman"/>
          <w:lang w:val="en-US" w:eastAsia="zh-CN"/>
        </w:rPr>
        <w:t xml:space="preserve">3.2 </w:t>
      </w:r>
      <w:r>
        <w:rPr>
          <w:rFonts w:hint="eastAsia" w:ascii="Times New Roman" w:hAnsi="Times New Roman" w:cs="Times New Roman"/>
        </w:rPr>
        <w:t>交货数量：以甲方实际生产产量为准。</w:t>
      </w:r>
    </w:p>
    <w:p w14:paraId="4DB2FC74">
      <w:pPr>
        <w:pStyle w:val="17"/>
        <w:spacing w:before="0" w:beforeAutospacing="0" w:after="0" w:afterAutospacing="0" w:line="360" w:lineRule="auto"/>
        <w:ind w:left="420" w:hanging="420" w:hangingChars="175"/>
        <w:rPr>
          <w:rFonts w:hint="eastAsia" w:ascii="Times New Roman" w:hAnsi="Times New Roman" w:cs="Times New Roman"/>
          <w:lang w:val="en-US" w:eastAsia="zh-CN"/>
        </w:rPr>
      </w:pPr>
      <w:r>
        <w:rPr>
          <w:rFonts w:hint="eastAsia" w:ascii="Times New Roman" w:hAnsi="Times New Roman" w:cs="Times New Roman"/>
          <w:lang w:val="en-US" w:eastAsia="zh-CN"/>
        </w:rPr>
        <w:t xml:space="preserve">3.3 </w:t>
      </w:r>
      <w:r>
        <w:rPr>
          <w:rFonts w:hint="eastAsia" w:ascii="Times New Roman" w:hAnsi="Times New Roman" w:cs="Times New Roman"/>
        </w:rPr>
        <w:t>交货频次：以甲方实际生产需求为准。</w:t>
      </w:r>
    </w:p>
    <w:p w14:paraId="309F482A">
      <w:pPr>
        <w:pStyle w:val="17"/>
        <w:spacing w:before="0" w:beforeAutospacing="0" w:after="0" w:afterAutospacing="0" w:line="360" w:lineRule="auto"/>
        <w:ind w:left="420" w:hanging="420" w:hangingChars="175"/>
        <w:rPr>
          <w:rFonts w:hint="eastAsia" w:ascii="Times New Roman" w:hAnsi="Times New Roman" w:cs="Times New Roman"/>
          <w:lang w:val="en-US" w:eastAsia="zh-CN"/>
        </w:rPr>
      </w:pPr>
      <w:r>
        <w:rPr>
          <w:rFonts w:hint="eastAsia" w:ascii="Times New Roman" w:hAnsi="Times New Roman" w:cs="Times New Roman"/>
          <w:lang w:val="en-US" w:eastAsia="zh-CN"/>
        </w:rPr>
        <w:t>3.4 交货地点：滁宁城际铁路（滁州段）全线各车站、车辆段以及控制中心。</w:t>
      </w:r>
    </w:p>
    <w:p w14:paraId="074894B3">
      <w:pPr>
        <w:pStyle w:val="17"/>
        <w:spacing w:before="0" w:beforeAutospacing="0" w:after="0" w:afterAutospacing="0" w:line="360" w:lineRule="auto"/>
        <w:ind w:left="420" w:hanging="420" w:hangingChars="175"/>
        <w:rPr>
          <w:rFonts w:hint="eastAsia" w:ascii="Times New Roman" w:hAnsi="Times New Roman" w:cs="Times New Roman"/>
        </w:rPr>
      </w:pPr>
      <w:r>
        <w:rPr>
          <w:rFonts w:hint="eastAsia" w:ascii="Times New Roman" w:hAnsi="Times New Roman" w:cs="Times New Roman"/>
          <w:lang w:val="en-US" w:eastAsia="zh-CN"/>
        </w:rPr>
        <w:t xml:space="preserve">3.5 </w:t>
      </w:r>
      <w:r>
        <w:rPr>
          <w:rFonts w:hint="eastAsia" w:ascii="Times New Roman" w:hAnsi="Times New Roman" w:cs="Times New Roman"/>
        </w:rPr>
        <w:t>本次报废处置采用过磅计重（部分同规格物品，可采取单个计重法，综合考虑损耗比例）。</w:t>
      </w:r>
    </w:p>
    <w:p w14:paraId="25C63777">
      <w:pPr>
        <w:pStyle w:val="17"/>
        <w:spacing w:before="0" w:beforeAutospacing="0" w:after="0" w:afterAutospacing="0" w:line="360" w:lineRule="auto"/>
        <w:ind w:left="420" w:hanging="420" w:hangingChars="175"/>
        <w:rPr>
          <w:rFonts w:hint="eastAsia" w:ascii="Times New Roman" w:hAnsi="Times New Roman" w:cs="Times New Roman"/>
        </w:rPr>
      </w:pPr>
      <w:r>
        <w:rPr>
          <w:rFonts w:hint="eastAsia" w:ascii="Times New Roman" w:hAnsi="Times New Roman" w:cs="Times New Roman"/>
          <w:lang w:val="en-US" w:eastAsia="zh-CN"/>
        </w:rPr>
        <w:t xml:space="preserve">3.6 </w:t>
      </w:r>
      <w:r>
        <w:rPr>
          <w:rFonts w:hint="eastAsia" w:ascii="Times New Roman" w:hAnsi="Times New Roman" w:cs="Times New Roman"/>
        </w:rPr>
        <w:t>乙方负责拆解过程中会用到的人力、机械、设备等，并承担发生的费用。</w:t>
      </w:r>
    </w:p>
    <w:p w14:paraId="7260C94B">
      <w:pPr>
        <w:pStyle w:val="17"/>
        <w:spacing w:before="0" w:beforeAutospacing="0" w:after="0" w:afterAutospacing="0" w:line="360" w:lineRule="auto"/>
        <w:ind w:left="420" w:hanging="420" w:hangingChars="175"/>
        <w:rPr>
          <w:rFonts w:hint="eastAsia" w:ascii="Times New Roman" w:hAnsi="Times New Roman" w:cs="Times New Roman"/>
        </w:rPr>
      </w:pPr>
      <w:r>
        <w:rPr>
          <w:rFonts w:hint="eastAsia" w:ascii="Times New Roman" w:hAnsi="Times New Roman" w:cs="Times New Roman"/>
          <w:lang w:val="en-US" w:eastAsia="zh-CN"/>
        </w:rPr>
        <w:t xml:space="preserve">3.7 </w:t>
      </w:r>
      <w:r>
        <w:rPr>
          <w:rFonts w:hint="eastAsia" w:ascii="Times New Roman" w:hAnsi="Times New Roman" w:cs="Times New Roman"/>
        </w:rPr>
        <w:t>乙方负责货物的包装（交易过程中所需各类包装物及打包服务）、装卸、运输及可能发生的第三方过磅，承担其发生的一切费用并对全过程中的人员、车辆、施工等所有安全事项负全责，并负责清理现场（因提货发生的清洁卫生）。</w:t>
      </w:r>
    </w:p>
    <w:p w14:paraId="7886926C">
      <w:pPr>
        <w:pStyle w:val="17"/>
        <w:spacing w:before="0" w:beforeAutospacing="0" w:after="0" w:afterAutospacing="0" w:line="360" w:lineRule="auto"/>
        <w:ind w:left="420" w:hanging="420" w:hangingChars="175"/>
        <w:rPr>
          <w:rFonts w:hint="eastAsia" w:ascii="Times New Roman" w:hAnsi="Times New Roman" w:cs="Times New Roman"/>
        </w:rPr>
      </w:pPr>
      <w:r>
        <w:rPr>
          <w:rFonts w:hint="eastAsia" w:ascii="Times New Roman" w:hAnsi="Times New Roman" w:cs="Times New Roman"/>
          <w:lang w:val="en-US" w:eastAsia="zh-CN"/>
        </w:rPr>
        <w:t xml:space="preserve">3.8 </w:t>
      </w:r>
      <w:r>
        <w:rPr>
          <w:rFonts w:hint="eastAsia" w:ascii="Times New Roman" w:hAnsi="Times New Roman" w:cs="Times New Roman"/>
        </w:rPr>
        <w:t>乙方在货物接收过程中有动火等操作需求，须提前申请并按照甲方公司安全规定进行操作。</w:t>
      </w:r>
    </w:p>
    <w:p w14:paraId="69DB5711">
      <w:pPr>
        <w:pStyle w:val="17"/>
        <w:spacing w:before="0" w:beforeAutospacing="0" w:after="0" w:afterAutospacing="0" w:line="360" w:lineRule="auto"/>
        <w:ind w:left="420" w:hanging="420" w:hangingChars="175"/>
        <w:rPr>
          <w:rFonts w:hint="default" w:ascii="Times New Roman" w:hAnsi="Times New Roman" w:eastAsia="宋体" w:cs="Times New Roman"/>
          <w:lang w:val="en-US" w:eastAsia="zh-CN"/>
        </w:rPr>
      </w:pPr>
      <w:r>
        <w:rPr>
          <w:rFonts w:hint="eastAsia" w:ascii="Times New Roman" w:hAnsi="Times New Roman" w:cs="Times New Roman"/>
          <w:lang w:val="en-US" w:eastAsia="zh-CN"/>
        </w:rPr>
        <w:t xml:space="preserve">3.9 </w:t>
      </w:r>
      <w:r>
        <w:rPr>
          <w:rFonts w:hint="eastAsia" w:ascii="Times New Roman" w:hAnsi="Times New Roman" w:cs="Times New Roman"/>
        </w:rPr>
        <w:t>乙方明确知道甲方本次处置物品为报废物品，甲方不对有关物品在质量、使用性能等方面存在的瑕疵或缺陷问题承担任何责任。</w:t>
      </w:r>
    </w:p>
    <w:p w14:paraId="211024F2">
      <w:pPr>
        <w:pStyle w:val="17"/>
        <w:spacing w:before="0" w:beforeAutospacing="0" w:after="0" w:afterAutospacing="0" w:line="360" w:lineRule="auto"/>
        <w:ind w:left="420" w:hanging="420" w:hangingChars="175"/>
        <w:rPr>
          <w:rFonts w:hint="eastAsia" w:ascii="Times New Roman" w:hAnsi="Times New Roman" w:cs="Times New Roman"/>
          <w:lang w:val="en-US" w:eastAsia="zh-CN"/>
        </w:rPr>
      </w:pPr>
    </w:p>
    <w:p w14:paraId="24BE7F95">
      <w:pPr>
        <w:pStyle w:val="18"/>
        <w:spacing w:before="0" w:after="100" w:afterAutospacing="1" w:line="360" w:lineRule="auto"/>
        <w:ind w:left="567" w:hanging="567"/>
      </w:pPr>
      <w:r>
        <w:br w:type="page"/>
      </w:r>
      <w:r>
        <w:rPr>
          <w:rFonts w:hint="eastAsia"/>
        </w:rPr>
        <w:t>第四章</w:t>
      </w:r>
      <w:r>
        <w:t xml:space="preserve"> </w:t>
      </w:r>
      <w:r>
        <w:rPr>
          <w:rFonts w:hint="eastAsia"/>
        </w:rPr>
        <w:t>报价文件格式要求</w:t>
      </w:r>
    </w:p>
    <w:p w14:paraId="5A6267E1">
      <w:pPr>
        <w:pStyle w:val="17"/>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14:paraId="0C38081F">
      <w:pPr>
        <w:pStyle w:val="17"/>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5C9C3785">
      <w:pPr>
        <w:pStyle w:val="17"/>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00AD43D">
      <w:pPr>
        <w:pStyle w:val="17"/>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14:paraId="12D1A9D5">
      <w:pPr>
        <w:pStyle w:val="17"/>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736A3944">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6CC18979">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合格供应商评审表</w:t>
      </w:r>
      <w:r>
        <w:rPr>
          <w:rFonts w:hint="eastAsia" w:ascii="Times New Roman" w:hAnsi="Times New Roman" w:cs="Times New Roman"/>
          <w:lang w:eastAsia="zh-CN"/>
        </w:rPr>
        <w:t>（</w:t>
      </w:r>
      <w:r>
        <w:rPr>
          <w:rFonts w:hint="eastAsia" w:ascii="Times New Roman" w:hAnsi="Times New Roman" w:cs="Times New Roman"/>
          <w:b/>
          <w:bCs/>
          <w:lang w:val="en-US" w:eastAsia="zh-CN"/>
        </w:rPr>
        <w:t>非滁宁城铁合格供应商必须提供，原件加盖法人公章，见格式3</w:t>
      </w:r>
      <w:r>
        <w:rPr>
          <w:rFonts w:hint="eastAsia" w:ascii="Times New Roman" w:hAnsi="Times New Roman" w:cs="Times New Roman"/>
          <w:lang w:eastAsia="zh-CN"/>
        </w:rPr>
        <w:t>）</w:t>
      </w:r>
    </w:p>
    <w:p w14:paraId="08266534">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1EE36D33">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w:t>
      </w:r>
      <w:r>
        <w:rPr>
          <w:rFonts w:hint="eastAsia" w:ascii="Times New Roman" w:hAnsi="Times New Roman" w:cs="Times New Roman"/>
          <w:b/>
          <w:bCs/>
          <w:lang w:val="en-US" w:eastAsia="zh-CN"/>
        </w:rPr>
        <w:t>4</w:t>
      </w:r>
      <w:r>
        <w:rPr>
          <w:rFonts w:ascii="Times New Roman" w:hAnsi="Times New Roman" w:cs="Times New Roman"/>
        </w:rPr>
        <w:t>）</w:t>
      </w:r>
    </w:p>
    <w:p w14:paraId="73683EE6">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w:t>
      </w:r>
      <w:r>
        <w:rPr>
          <w:rFonts w:hint="eastAsia" w:ascii="Times New Roman" w:hAnsi="Times New Roman" w:cs="Times New Roman"/>
          <w:b/>
          <w:bCs/>
          <w:lang w:val="en-US" w:eastAsia="zh-CN"/>
        </w:rPr>
        <w:t>5</w:t>
      </w:r>
      <w:r>
        <w:rPr>
          <w:rFonts w:hint="eastAsia" w:ascii="Times New Roman" w:hAnsi="Times New Roman" w:cs="Times New Roman"/>
        </w:rPr>
        <w:t>）</w:t>
      </w:r>
    </w:p>
    <w:p w14:paraId="598E687D">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危险废物经营许可</w:t>
      </w:r>
      <w:r>
        <w:rPr>
          <w:rFonts w:hint="eastAsia" w:ascii="Times New Roman" w:hAnsi="Times New Roman" w:cs="Times New Roman"/>
          <w:lang w:val="en-US" w:eastAsia="zh-CN"/>
        </w:rPr>
        <w:t>证</w:t>
      </w:r>
      <w:r>
        <w:rPr>
          <w:rFonts w:ascii="Times New Roman" w:hAnsi="Times New Roman" w:cs="Times New Roman"/>
        </w:rPr>
        <w:t>（</w:t>
      </w:r>
      <w:r>
        <w:rPr>
          <w:rFonts w:ascii="Times New Roman" w:hAnsi="Times New Roman" w:cs="Times New Roman"/>
          <w:b/>
          <w:bCs/>
        </w:rPr>
        <w:t>复印件加盖法人公章</w:t>
      </w:r>
      <w:r>
        <w:rPr>
          <w:rFonts w:ascii="Times New Roman" w:hAnsi="Times New Roman" w:cs="Times New Roman"/>
        </w:rPr>
        <w:t>）</w:t>
      </w:r>
    </w:p>
    <w:p w14:paraId="11ECE63B">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14:paraId="7AEC2225">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hint="eastAsia" w:ascii="Times New Roman" w:hAnsi="Times New Roman" w:cs="Times New Roman"/>
          <w:b/>
          <w:bCs/>
        </w:rPr>
        <w:t>至少提供3个合</w:t>
      </w:r>
      <w:r>
        <w:rPr>
          <w:rFonts w:hint="eastAsia" w:ascii="Times New Roman" w:hAnsi="Times New Roman" w:cs="Times New Roman"/>
          <w:b/>
          <w:bCs/>
          <w:lang w:val="en-US" w:eastAsia="zh-CN"/>
        </w:rPr>
        <w:t>同</w:t>
      </w:r>
      <w:r>
        <w:rPr>
          <w:rFonts w:hint="eastAsia" w:ascii="Times New Roman" w:hAnsi="Times New Roman" w:cs="Times New Roman"/>
          <w:b/>
          <w:bCs/>
        </w:rPr>
        <w:t>业绩</w:t>
      </w:r>
      <w:r>
        <w:rPr>
          <w:rFonts w:ascii="Times New Roman" w:hAnsi="Times New Roman" w:cs="Times New Roman"/>
          <w:b/>
          <w:bCs/>
        </w:rPr>
        <w:t>复印件</w:t>
      </w:r>
      <w:r>
        <w:rPr>
          <w:rFonts w:hint="eastAsia" w:ascii="Times New Roman" w:hAnsi="Times New Roman" w:cs="Times New Roman"/>
          <w:b/>
          <w:bCs/>
        </w:rPr>
        <w:t>，须有</w:t>
      </w:r>
      <w:r>
        <w:rPr>
          <w:rFonts w:hint="eastAsia" w:ascii="Times New Roman" w:hAnsi="Times New Roman" w:cs="Times New Roman"/>
          <w:b/>
          <w:bCs/>
          <w:lang w:val="en-US" w:eastAsia="zh-CN"/>
        </w:rPr>
        <w:t>甲乙</w:t>
      </w:r>
      <w:r>
        <w:rPr>
          <w:rFonts w:hint="eastAsia" w:ascii="Times New Roman" w:hAnsi="Times New Roman" w:cs="Times New Roman"/>
          <w:b/>
          <w:bCs/>
        </w:rPr>
        <w:t>双方的公章或者合同章，复印件加盖法人公章</w:t>
      </w:r>
      <w:r>
        <w:rPr>
          <w:rFonts w:ascii="Times New Roman" w:hAnsi="Times New Roman" w:cs="Times New Roman"/>
        </w:rPr>
        <w:t>）</w:t>
      </w:r>
    </w:p>
    <w:p w14:paraId="29C31AC1">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14:paraId="3092206A">
      <w:pPr>
        <w:widowControl/>
        <w:jc w:val="left"/>
        <w:rPr>
          <w:szCs w:val="21"/>
        </w:rPr>
      </w:pPr>
    </w:p>
    <w:p w14:paraId="5C04771D">
      <w:pPr>
        <w:pStyle w:val="2"/>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p>
    <w:p w14:paraId="5EF93B98">
      <w:pPr>
        <w:widowControl/>
        <w:jc w:val="left"/>
      </w:pPr>
      <w:r>
        <w:rPr>
          <w:rFonts w:hint="eastAsia"/>
        </w:rPr>
        <w:t>格式1</w:t>
      </w:r>
    </w:p>
    <w:p w14:paraId="430BA812">
      <w:pPr>
        <w:widowControl/>
        <w:jc w:val="left"/>
      </w:pPr>
    </w:p>
    <w:tbl>
      <w:tblPr>
        <w:tblStyle w:val="19"/>
        <w:tblW w:w="14900" w:type="dxa"/>
        <w:tblInd w:w="96" w:type="dxa"/>
        <w:tblLayout w:type="fixed"/>
        <w:tblCellMar>
          <w:top w:w="0" w:type="dxa"/>
          <w:left w:w="108" w:type="dxa"/>
          <w:bottom w:w="0" w:type="dxa"/>
          <w:right w:w="108" w:type="dxa"/>
        </w:tblCellMar>
      </w:tblPr>
      <w:tblGrid>
        <w:gridCol w:w="656"/>
        <w:gridCol w:w="3316"/>
        <w:gridCol w:w="2923"/>
        <w:gridCol w:w="1382"/>
        <w:gridCol w:w="240"/>
        <w:gridCol w:w="1094"/>
        <w:gridCol w:w="1035"/>
        <w:gridCol w:w="1133"/>
        <w:gridCol w:w="673"/>
        <w:gridCol w:w="882"/>
        <w:gridCol w:w="1566"/>
      </w:tblGrid>
      <w:tr w14:paraId="30AA4FB3">
        <w:tblPrEx>
          <w:tblCellMar>
            <w:top w:w="0" w:type="dxa"/>
            <w:left w:w="108" w:type="dxa"/>
            <w:bottom w:w="0" w:type="dxa"/>
            <w:right w:w="108" w:type="dxa"/>
          </w:tblCellMar>
        </w:tblPrEx>
        <w:trPr>
          <w:trHeight w:val="340" w:hRule="atLeast"/>
        </w:trPr>
        <w:tc>
          <w:tcPr>
            <w:tcW w:w="14900" w:type="dxa"/>
            <w:gridSpan w:val="11"/>
            <w:tcBorders>
              <w:top w:val="nil"/>
              <w:left w:val="nil"/>
              <w:bottom w:val="nil"/>
              <w:right w:val="nil"/>
            </w:tcBorders>
            <w:shd w:val="clear" w:color="auto" w:fill="auto"/>
            <w:vAlign w:val="bottom"/>
          </w:tcPr>
          <w:p w14:paraId="69D7553B">
            <w:pPr>
              <w:widowControl/>
              <w:jc w:val="right"/>
              <w:textAlignment w:val="bottom"/>
              <w:rPr>
                <w:szCs w:val="21"/>
              </w:rPr>
            </w:pPr>
            <w:r>
              <w:rPr>
                <w:kern w:val="0"/>
                <w:szCs w:val="21"/>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1"/>
                          <a:stretch>
                            <a:fillRect/>
                          </a:stretch>
                        </pic:blipFill>
                        <pic:spPr>
                          <a:xfrm>
                            <a:off x="0" y="0"/>
                            <a:ext cx="2172335" cy="480060"/>
                          </a:xfrm>
                          <a:prstGeom prst="rect">
                            <a:avLst/>
                          </a:prstGeom>
                          <a:noFill/>
                          <a:ln>
                            <a:noFill/>
                          </a:ln>
                        </pic:spPr>
                      </pic:pic>
                    </a:graphicData>
                  </a:graphic>
                </wp:anchor>
              </w:drawing>
            </w:r>
          </w:p>
        </w:tc>
      </w:tr>
      <w:tr w14:paraId="5DB5DA1B">
        <w:tblPrEx>
          <w:tblCellMar>
            <w:top w:w="0" w:type="dxa"/>
            <w:left w:w="108" w:type="dxa"/>
            <w:bottom w:w="0" w:type="dxa"/>
            <w:right w:w="108" w:type="dxa"/>
          </w:tblCellMar>
        </w:tblPrEx>
        <w:trPr>
          <w:trHeight w:val="340" w:hRule="atLeast"/>
        </w:trPr>
        <w:tc>
          <w:tcPr>
            <w:tcW w:w="14900" w:type="dxa"/>
            <w:gridSpan w:val="11"/>
            <w:tcBorders>
              <w:top w:val="nil"/>
              <w:left w:val="nil"/>
              <w:bottom w:val="nil"/>
              <w:right w:val="nil"/>
            </w:tcBorders>
            <w:shd w:val="clear" w:color="auto" w:fill="auto"/>
            <w:noWrap/>
            <w:vAlign w:val="center"/>
          </w:tcPr>
          <w:p w14:paraId="7E922629">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14:paraId="37D63B4F">
        <w:tblPrEx>
          <w:tblCellMar>
            <w:top w:w="0" w:type="dxa"/>
            <w:left w:w="108" w:type="dxa"/>
            <w:bottom w:w="0" w:type="dxa"/>
            <w:right w:w="108" w:type="dxa"/>
          </w:tblCellMar>
        </w:tblPrEx>
        <w:trPr>
          <w:trHeight w:val="340" w:hRule="atLeast"/>
        </w:trPr>
        <w:tc>
          <w:tcPr>
            <w:tcW w:w="656" w:type="dxa"/>
            <w:tcBorders>
              <w:top w:val="nil"/>
              <w:left w:val="nil"/>
              <w:bottom w:val="single" w:color="000000" w:sz="4" w:space="0"/>
              <w:right w:val="nil"/>
            </w:tcBorders>
            <w:shd w:val="clear" w:color="auto" w:fill="auto"/>
            <w:noWrap/>
            <w:vAlign w:val="center"/>
          </w:tcPr>
          <w:p w14:paraId="5C232C27">
            <w:pPr>
              <w:rPr>
                <w:rFonts w:ascii="黑体" w:hAnsi="宋体" w:eastAsia="黑体" w:cs="黑体"/>
                <w:sz w:val="24"/>
                <w:szCs w:val="24"/>
              </w:rPr>
            </w:pPr>
          </w:p>
        </w:tc>
        <w:tc>
          <w:tcPr>
            <w:tcW w:w="6239" w:type="dxa"/>
            <w:gridSpan w:val="2"/>
            <w:tcBorders>
              <w:top w:val="nil"/>
              <w:left w:val="nil"/>
              <w:bottom w:val="single" w:color="000000" w:sz="4" w:space="0"/>
              <w:right w:val="nil"/>
            </w:tcBorders>
            <w:shd w:val="clear" w:color="auto" w:fill="auto"/>
            <w:noWrap/>
            <w:vAlign w:val="center"/>
          </w:tcPr>
          <w:p w14:paraId="446E09B4">
            <w:pPr>
              <w:jc w:val="left"/>
              <w:rPr>
                <w:rFonts w:ascii="黑体" w:hAnsi="宋体" w:eastAsia="黑体" w:cs="黑体"/>
                <w:sz w:val="24"/>
                <w:szCs w:val="24"/>
              </w:rPr>
            </w:pPr>
          </w:p>
        </w:tc>
        <w:tc>
          <w:tcPr>
            <w:tcW w:w="1382" w:type="dxa"/>
            <w:tcBorders>
              <w:top w:val="nil"/>
              <w:left w:val="nil"/>
              <w:bottom w:val="single" w:color="000000" w:sz="4" w:space="0"/>
              <w:right w:val="nil"/>
            </w:tcBorders>
            <w:shd w:val="clear" w:color="auto" w:fill="auto"/>
            <w:noWrap/>
            <w:vAlign w:val="center"/>
          </w:tcPr>
          <w:p w14:paraId="5A625222">
            <w:pPr>
              <w:jc w:val="center"/>
              <w:rPr>
                <w:rFonts w:ascii="黑体" w:hAnsi="宋体" w:eastAsia="黑体" w:cs="黑体"/>
                <w:b/>
                <w:bCs/>
                <w:sz w:val="36"/>
                <w:szCs w:val="36"/>
              </w:rPr>
            </w:pPr>
          </w:p>
        </w:tc>
        <w:tc>
          <w:tcPr>
            <w:tcW w:w="240" w:type="dxa"/>
            <w:tcBorders>
              <w:top w:val="nil"/>
              <w:left w:val="nil"/>
              <w:bottom w:val="single" w:color="000000" w:sz="4" w:space="0"/>
              <w:right w:val="nil"/>
            </w:tcBorders>
            <w:shd w:val="clear" w:color="auto" w:fill="auto"/>
            <w:noWrap/>
            <w:vAlign w:val="center"/>
          </w:tcPr>
          <w:p w14:paraId="5F845543">
            <w:pPr>
              <w:jc w:val="center"/>
              <w:rPr>
                <w:rFonts w:ascii="黑体" w:hAnsi="宋体" w:eastAsia="黑体" w:cs="黑体"/>
                <w:b/>
                <w:bCs/>
                <w:sz w:val="36"/>
                <w:szCs w:val="36"/>
              </w:rPr>
            </w:pPr>
          </w:p>
        </w:tc>
        <w:tc>
          <w:tcPr>
            <w:tcW w:w="1094" w:type="dxa"/>
            <w:tcBorders>
              <w:top w:val="nil"/>
              <w:left w:val="nil"/>
              <w:bottom w:val="single" w:color="000000" w:sz="4" w:space="0"/>
              <w:right w:val="nil"/>
            </w:tcBorders>
            <w:shd w:val="clear" w:color="auto" w:fill="auto"/>
            <w:noWrap/>
            <w:vAlign w:val="center"/>
          </w:tcPr>
          <w:p w14:paraId="70EDD73C">
            <w:pPr>
              <w:jc w:val="center"/>
              <w:rPr>
                <w:rFonts w:ascii="黑体" w:hAnsi="宋体" w:eastAsia="黑体" w:cs="黑体"/>
                <w:b/>
                <w:bCs/>
                <w:sz w:val="36"/>
                <w:szCs w:val="36"/>
              </w:rPr>
            </w:pPr>
          </w:p>
        </w:tc>
        <w:tc>
          <w:tcPr>
            <w:tcW w:w="1035" w:type="dxa"/>
            <w:tcBorders>
              <w:top w:val="nil"/>
              <w:left w:val="nil"/>
              <w:bottom w:val="single" w:color="000000" w:sz="4" w:space="0"/>
              <w:right w:val="nil"/>
            </w:tcBorders>
            <w:shd w:val="clear" w:color="auto" w:fill="auto"/>
            <w:noWrap/>
            <w:vAlign w:val="bottom"/>
          </w:tcPr>
          <w:p w14:paraId="7861AFAF">
            <w:pPr>
              <w:rPr>
                <w:rFonts w:ascii="宋体" w:hAnsi="宋体" w:cs="宋体"/>
                <w:sz w:val="24"/>
                <w:szCs w:val="24"/>
              </w:rPr>
            </w:pPr>
          </w:p>
        </w:tc>
        <w:tc>
          <w:tcPr>
            <w:tcW w:w="4254" w:type="dxa"/>
            <w:gridSpan w:val="4"/>
            <w:tcBorders>
              <w:top w:val="nil"/>
              <w:left w:val="nil"/>
              <w:bottom w:val="single" w:color="000000" w:sz="4" w:space="0"/>
              <w:right w:val="nil"/>
            </w:tcBorders>
            <w:shd w:val="clear" w:color="auto" w:fill="auto"/>
            <w:noWrap/>
            <w:vAlign w:val="center"/>
          </w:tcPr>
          <w:p w14:paraId="1BE9290F">
            <w:pPr>
              <w:widowControl/>
              <w:jc w:val="right"/>
              <w:rPr>
                <w:rFonts w:hint="eastAsia" w:ascii="宋体" w:hAnsi="宋体" w:eastAsia="宋体" w:cs="宋体"/>
                <w:sz w:val="20"/>
                <w:highlight w:val="yellow"/>
                <w:lang w:eastAsia="zh-CN"/>
              </w:rPr>
            </w:pPr>
            <w:r>
              <w:rPr>
                <w:rFonts w:hint="eastAsia" w:ascii="宋体" w:hAnsi="宋体" w:cs="宋体"/>
                <w:kern w:val="0"/>
                <w:sz w:val="20"/>
                <w:highlight w:val="none"/>
                <w:lang w:bidi="ar"/>
              </w:rPr>
              <w:t>询价单编号：</w:t>
            </w:r>
            <w:r>
              <w:rPr>
                <w:rFonts w:hint="eastAsia"/>
                <w:sz w:val="22"/>
                <w:szCs w:val="22"/>
                <w:highlight w:val="none"/>
              </w:rPr>
              <w:t>CNCJ-XJ-202505-0001</w:t>
            </w:r>
          </w:p>
        </w:tc>
      </w:tr>
      <w:tr w14:paraId="0AF5D9CE">
        <w:tblPrEx>
          <w:tblCellMar>
            <w:top w:w="0" w:type="dxa"/>
            <w:left w:w="108" w:type="dxa"/>
            <w:bottom w:w="0" w:type="dxa"/>
            <w:right w:w="108" w:type="dxa"/>
          </w:tblCellMar>
        </w:tblPrEx>
        <w:trPr>
          <w:trHeight w:val="340" w:hRule="atLeast"/>
        </w:trPr>
        <w:tc>
          <w:tcPr>
            <w:tcW w:w="14900" w:type="dxa"/>
            <w:gridSpan w:val="11"/>
            <w:tcBorders>
              <w:top w:val="nil"/>
              <w:left w:val="single" w:color="000000" w:sz="4" w:space="0"/>
              <w:bottom w:val="nil"/>
              <w:right w:val="single" w:color="000000" w:sz="4" w:space="0"/>
            </w:tcBorders>
            <w:shd w:val="clear" w:color="auto" w:fill="auto"/>
            <w:noWrap/>
            <w:vAlign w:val="center"/>
          </w:tcPr>
          <w:p w14:paraId="33D75908">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14:paraId="270A044C">
        <w:tblPrEx>
          <w:tblCellMar>
            <w:top w:w="0" w:type="dxa"/>
            <w:left w:w="108" w:type="dxa"/>
            <w:bottom w:w="0" w:type="dxa"/>
            <w:right w:w="108" w:type="dxa"/>
          </w:tblCellMar>
        </w:tblPrEx>
        <w:trPr>
          <w:trHeight w:val="340" w:hRule="atLeast"/>
        </w:trPr>
        <w:tc>
          <w:tcPr>
            <w:tcW w:w="14900" w:type="dxa"/>
            <w:gridSpan w:val="11"/>
            <w:tcBorders>
              <w:top w:val="nil"/>
              <w:left w:val="single" w:color="000000" w:sz="4" w:space="0"/>
              <w:bottom w:val="nil"/>
              <w:right w:val="single" w:color="000000" w:sz="4" w:space="0"/>
            </w:tcBorders>
            <w:shd w:val="clear" w:color="auto" w:fill="auto"/>
            <w:noWrap/>
            <w:vAlign w:val="center"/>
          </w:tcPr>
          <w:p w14:paraId="6698B1FF">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滁宁城际铁路（滁州段）全线各车站、车辆段以及控制中心。</w:t>
            </w:r>
          </w:p>
        </w:tc>
      </w:tr>
      <w:tr w14:paraId="40629162">
        <w:tblPrEx>
          <w:tblCellMar>
            <w:top w:w="0" w:type="dxa"/>
            <w:left w:w="108" w:type="dxa"/>
            <w:bottom w:w="0" w:type="dxa"/>
            <w:right w:w="108" w:type="dxa"/>
          </w:tblCellMar>
        </w:tblPrEx>
        <w:trPr>
          <w:trHeight w:val="340" w:hRule="atLeast"/>
        </w:trPr>
        <w:tc>
          <w:tcPr>
            <w:tcW w:w="14900" w:type="dxa"/>
            <w:gridSpan w:val="11"/>
            <w:tcBorders>
              <w:top w:val="nil"/>
              <w:left w:val="single" w:color="000000" w:sz="4" w:space="0"/>
              <w:bottom w:val="nil"/>
              <w:right w:val="single" w:color="000000" w:sz="4" w:space="0"/>
            </w:tcBorders>
            <w:shd w:val="clear" w:color="auto" w:fill="auto"/>
            <w:vAlign w:val="center"/>
          </w:tcPr>
          <w:p w14:paraId="2CF2870C">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14:paraId="2C012C85">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E138">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24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318DCF">
            <w:pPr>
              <w:widowControl/>
              <w:jc w:val="left"/>
              <w:textAlignment w:val="center"/>
              <w:rPr>
                <w:rFonts w:ascii="宋体" w:hAnsi="宋体" w:cs="宋体"/>
                <w:sz w:val="20"/>
              </w:rPr>
            </w:pPr>
            <w:r>
              <w:rPr>
                <w:rFonts w:hint="eastAsia" w:ascii="宋体" w:hAnsi="宋体" w:cs="宋体"/>
                <w:kern w:val="0"/>
                <w:sz w:val="20"/>
                <w:lang w:bidi="ar"/>
              </w:rPr>
              <w:t>⑴报价须包含包装、运输、税金、装卸及相关服务等发生的所有费用。⑵总价与单价有偏差时，以单价为准。⑶付款方式：乙方完成危险废弃物处置，并向甲方提供合法有效的发票及相关证明文件后，于90个工作日内结清。</w:t>
            </w:r>
            <w:r>
              <w:rPr>
                <w:rFonts w:hint="eastAsia" w:ascii="宋体" w:hAnsi="宋体" w:cs="宋体"/>
                <w:kern w:val="0"/>
                <w:sz w:val="20"/>
                <w:lang w:val="en-US" w:eastAsia="zh-CN" w:bidi="ar"/>
              </w:rPr>
              <w:t>(4)</w:t>
            </w:r>
            <w:r>
              <w:rPr>
                <w:rFonts w:hint="eastAsia" w:ascii="宋体" w:hAnsi="宋体" w:cs="宋体"/>
                <w:kern w:val="0"/>
                <w:sz w:val="20"/>
                <w:lang w:bidi="ar"/>
              </w:rPr>
              <w:t>报价单盖章有效。</w:t>
            </w:r>
          </w:p>
        </w:tc>
      </w:tr>
      <w:tr w14:paraId="4ED73A60">
        <w:tblPrEx>
          <w:tblCellMar>
            <w:top w:w="0" w:type="dxa"/>
            <w:left w:w="108" w:type="dxa"/>
            <w:bottom w:w="0" w:type="dxa"/>
            <w:right w:w="108" w:type="dxa"/>
          </w:tblCellMar>
        </w:tblPrEx>
        <w:trPr>
          <w:trHeight w:val="340" w:hRule="atLeast"/>
        </w:trPr>
        <w:tc>
          <w:tcPr>
            <w:tcW w:w="8277" w:type="dxa"/>
            <w:gridSpan w:val="4"/>
            <w:tcBorders>
              <w:top w:val="single" w:color="000000" w:sz="4" w:space="0"/>
              <w:left w:val="single" w:color="000000" w:sz="4" w:space="0"/>
              <w:bottom w:val="nil"/>
              <w:right w:val="nil"/>
            </w:tcBorders>
            <w:shd w:val="clear" w:color="auto" w:fill="auto"/>
            <w:noWrap/>
            <w:vAlign w:val="center"/>
          </w:tcPr>
          <w:p w14:paraId="5ECBDC9D">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623" w:type="dxa"/>
            <w:gridSpan w:val="7"/>
            <w:tcBorders>
              <w:top w:val="single" w:color="000000" w:sz="4" w:space="0"/>
              <w:left w:val="nil"/>
              <w:bottom w:val="nil"/>
              <w:right w:val="single" w:color="000000" w:sz="4" w:space="0"/>
            </w:tcBorders>
            <w:shd w:val="clear" w:color="auto" w:fill="auto"/>
            <w:noWrap/>
            <w:vAlign w:val="center"/>
          </w:tcPr>
          <w:p w14:paraId="2F3E24E6">
            <w:pPr>
              <w:widowControl/>
              <w:jc w:val="left"/>
              <w:textAlignment w:val="center"/>
              <w:rPr>
                <w:rFonts w:ascii="宋体" w:hAnsi="宋体" w:cs="宋体"/>
                <w:sz w:val="20"/>
              </w:rPr>
            </w:pPr>
            <w:r>
              <w:rPr>
                <w:rFonts w:hint="eastAsia" w:ascii="宋体" w:hAnsi="宋体" w:cs="宋体"/>
                <w:kern w:val="0"/>
                <w:sz w:val="20"/>
                <w:lang w:bidi="ar"/>
              </w:rPr>
              <w:t>供方（盖章）：</w:t>
            </w:r>
          </w:p>
        </w:tc>
      </w:tr>
      <w:tr w14:paraId="00D64550">
        <w:tblPrEx>
          <w:tblCellMar>
            <w:top w:w="0" w:type="dxa"/>
            <w:left w:w="108" w:type="dxa"/>
            <w:bottom w:w="0" w:type="dxa"/>
            <w:right w:w="108" w:type="dxa"/>
          </w:tblCellMar>
        </w:tblPrEx>
        <w:trPr>
          <w:trHeight w:val="340" w:hRule="atLeast"/>
        </w:trPr>
        <w:tc>
          <w:tcPr>
            <w:tcW w:w="8277" w:type="dxa"/>
            <w:gridSpan w:val="4"/>
            <w:tcBorders>
              <w:top w:val="nil"/>
              <w:left w:val="single" w:color="000000" w:sz="4" w:space="0"/>
              <w:bottom w:val="nil"/>
              <w:right w:val="nil"/>
            </w:tcBorders>
            <w:shd w:val="clear" w:color="auto" w:fill="auto"/>
            <w:noWrap/>
            <w:vAlign w:val="center"/>
          </w:tcPr>
          <w:p w14:paraId="20537C33">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623" w:type="dxa"/>
            <w:gridSpan w:val="7"/>
            <w:tcBorders>
              <w:top w:val="nil"/>
              <w:left w:val="nil"/>
              <w:bottom w:val="nil"/>
              <w:right w:val="single" w:color="000000" w:sz="4" w:space="0"/>
            </w:tcBorders>
            <w:shd w:val="clear" w:color="auto" w:fill="auto"/>
            <w:noWrap/>
            <w:vAlign w:val="center"/>
          </w:tcPr>
          <w:p w14:paraId="1C533459">
            <w:pPr>
              <w:widowControl/>
              <w:jc w:val="left"/>
              <w:textAlignment w:val="center"/>
              <w:rPr>
                <w:rFonts w:ascii="宋体" w:hAnsi="宋体" w:cs="宋体"/>
                <w:sz w:val="20"/>
              </w:rPr>
            </w:pPr>
            <w:r>
              <w:rPr>
                <w:rFonts w:hint="eastAsia" w:ascii="宋体" w:hAnsi="宋体" w:cs="宋体"/>
                <w:kern w:val="0"/>
                <w:sz w:val="20"/>
                <w:lang w:bidi="ar"/>
              </w:rPr>
              <w:t>地址：</w:t>
            </w:r>
          </w:p>
        </w:tc>
      </w:tr>
      <w:tr w14:paraId="10E16520">
        <w:tblPrEx>
          <w:tblCellMar>
            <w:top w:w="0" w:type="dxa"/>
            <w:left w:w="108" w:type="dxa"/>
            <w:bottom w:w="0" w:type="dxa"/>
            <w:right w:w="108" w:type="dxa"/>
          </w:tblCellMar>
        </w:tblPrEx>
        <w:trPr>
          <w:trHeight w:val="340" w:hRule="atLeast"/>
        </w:trPr>
        <w:tc>
          <w:tcPr>
            <w:tcW w:w="8277" w:type="dxa"/>
            <w:gridSpan w:val="4"/>
            <w:tcBorders>
              <w:top w:val="nil"/>
              <w:left w:val="single" w:color="000000" w:sz="4" w:space="0"/>
              <w:bottom w:val="nil"/>
              <w:right w:val="nil"/>
            </w:tcBorders>
            <w:shd w:val="clear" w:color="auto" w:fill="auto"/>
            <w:noWrap/>
            <w:vAlign w:val="center"/>
          </w:tcPr>
          <w:p w14:paraId="76CB90EE">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623" w:type="dxa"/>
            <w:gridSpan w:val="7"/>
            <w:tcBorders>
              <w:top w:val="nil"/>
              <w:left w:val="nil"/>
              <w:bottom w:val="nil"/>
              <w:right w:val="single" w:color="000000" w:sz="4" w:space="0"/>
            </w:tcBorders>
            <w:shd w:val="clear" w:color="auto" w:fill="auto"/>
            <w:noWrap/>
            <w:vAlign w:val="center"/>
          </w:tcPr>
          <w:p w14:paraId="4260DEA1">
            <w:pPr>
              <w:widowControl/>
              <w:jc w:val="left"/>
              <w:textAlignment w:val="center"/>
              <w:rPr>
                <w:rFonts w:ascii="宋体" w:hAnsi="宋体" w:cs="宋体"/>
                <w:sz w:val="20"/>
              </w:rPr>
            </w:pPr>
            <w:r>
              <w:rPr>
                <w:rFonts w:hint="eastAsia" w:ascii="宋体" w:hAnsi="宋体" w:cs="宋体"/>
                <w:kern w:val="0"/>
                <w:sz w:val="20"/>
                <w:lang w:bidi="ar"/>
              </w:rPr>
              <w:t>电话：</w:t>
            </w:r>
          </w:p>
        </w:tc>
      </w:tr>
      <w:tr w14:paraId="7308BA29">
        <w:tblPrEx>
          <w:tblCellMar>
            <w:top w:w="0" w:type="dxa"/>
            <w:left w:w="108" w:type="dxa"/>
            <w:bottom w:w="0" w:type="dxa"/>
            <w:right w:w="108" w:type="dxa"/>
          </w:tblCellMar>
        </w:tblPrEx>
        <w:trPr>
          <w:trHeight w:val="340" w:hRule="atLeast"/>
        </w:trPr>
        <w:tc>
          <w:tcPr>
            <w:tcW w:w="8277" w:type="dxa"/>
            <w:gridSpan w:val="4"/>
            <w:tcBorders>
              <w:top w:val="nil"/>
              <w:left w:val="single" w:color="000000" w:sz="4" w:space="0"/>
              <w:bottom w:val="nil"/>
              <w:right w:val="nil"/>
            </w:tcBorders>
            <w:shd w:val="clear" w:color="auto" w:fill="auto"/>
            <w:noWrap/>
            <w:vAlign w:val="center"/>
          </w:tcPr>
          <w:p w14:paraId="72BBA91A">
            <w:pPr>
              <w:widowControl/>
              <w:jc w:val="left"/>
              <w:textAlignment w:val="center"/>
              <w:rPr>
                <w:rFonts w:hint="default" w:ascii="宋体" w:hAnsi="宋体" w:eastAsia="宋体" w:cs="宋体"/>
                <w:sz w:val="20"/>
                <w:lang w:val="en-US" w:eastAsia="zh-CN"/>
              </w:rPr>
            </w:pPr>
            <w:r>
              <w:rPr>
                <w:rFonts w:hint="eastAsia" w:ascii="宋体" w:hAnsi="宋体" w:cs="宋体"/>
                <w:kern w:val="0"/>
                <w:sz w:val="20"/>
                <w:lang w:bidi="ar"/>
              </w:rPr>
              <w:t>联系人：</w:t>
            </w:r>
            <w:r>
              <w:rPr>
                <w:rFonts w:hint="eastAsia" w:ascii="宋体" w:hAnsi="宋体" w:cs="宋体"/>
                <w:kern w:val="0"/>
                <w:sz w:val="20"/>
                <w:lang w:val="en-US" w:eastAsia="zh-CN" w:bidi="ar"/>
              </w:rPr>
              <w:t>张晓雨</w:t>
            </w:r>
          </w:p>
        </w:tc>
        <w:tc>
          <w:tcPr>
            <w:tcW w:w="6623" w:type="dxa"/>
            <w:gridSpan w:val="7"/>
            <w:tcBorders>
              <w:top w:val="nil"/>
              <w:left w:val="nil"/>
              <w:bottom w:val="nil"/>
              <w:right w:val="single" w:color="000000" w:sz="4" w:space="0"/>
            </w:tcBorders>
            <w:shd w:val="clear" w:color="auto" w:fill="auto"/>
            <w:noWrap/>
            <w:vAlign w:val="center"/>
          </w:tcPr>
          <w:p w14:paraId="45F2E36F">
            <w:pPr>
              <w:widowControl/>
              <w:jc w:val="left"/>
              <w:textAlignment w:val="center"/>
              <w:rPr>
                <w:rFonts w:ascii="宋体" w:hAnsi="宋体" w:cs="宋体"/>
                <w:sz w:val="20"/>
              </w:rPr>
            </w:pPr>
            <w:r>
              <w:rPr>
                <w:rFonts w:hint="eastAsia" w:ascii="宋体" w:hAnsi="宋体" w:cs="宋体"/>
                <w:kern w:val="0"/>
                <w:sz w:val="20"/>
                <w:lang w:bidi="ar"/>
              </w:rPr>
              <w:t>联系人：</w:t>
            </w:r>
          </w:p>
        </w:tc>
      </w:tr>
      <w:tr w14:paraId="612735C1">
        <w:tblPrEx>
          <w:tblCellMar>
            <w:top w:w="0" w:type="dxa"/>
            <w:left w:w="108" w:type="dxa"/>
            <w:bottom w:w="0" w:type="dxa"/>
            <w:right w:w="108" w:type="dxa"/>
          </w:tblCellMar>
        </w:tblPrEx>
        <w:trPr>
          <w:trHeight w:val="340" w:hRule="atLeast"/>
        </w:trPr>
        <w:tc>
          <w:tcPr>
            <w:tcW w:w="8277" w:type="dxa"/>
            <w:gridSpan w:val="4"/>
            <w:tcBorders>
              <w:top w:val="nil"/>
              <w:left w:val="single" w:color="000000" w:sz="4" w:space="0"/>
              <w:bottom w:val="single" w:color="000000" w:sz="4" w:space="0"/>
              <w:right w:val="nil"/>
            </w:tcBorders>
            <w:shd w:val="clear" w:color="auto" w:fill="auto"/>
            <w:noWrap/>
            <w:vAlign w:val="center"/>
          </w:tcPr>
          <w:p w14:paraId="3112B366">
            <w:pPr>
              <w:widowControl/>
              <w:jc w:val="left"/>
              <w:textAlignment w:val="center"/>
              <w:rPr>
                <w:rFonts w:ascii="宋体" w:hAnsi="宋体" w:cs="宋体"/>
                <w:sz w:val="20"/>
              </w:rPr>
            </w:pPr>
            <w:r>
              <w:rPr>
                <w:rFonts w:hint="eastAsia" w:ascii="宋体" w:hAnsi="宋体" w:cs="宋体"/>
                <w:kern w:val="0"/>
                <w:sz w:val="20"/>
                <w:lang w:bidi="ar"/>
              </w:rPr>
              <w:t>日期：</w:t>
            </w:r>
            <w:r>
              <w:rPr>
                <w:rFonts w:hint="eastAsia" w:ascii="宋体" w:hAnsi="宋体" w:cs="宋体"/>
                <w:kern w:val="0"/>
                <w:sz w:val="20"/>
                <w:highlight w:val="none"/>
                <w:lang w:bidi="ar"/>
              </w:rPr>
              <w:t>2</w:t>
            </w:r>
            <w:r>
              <w:rPr>
                <w:rFonts w:ascii="宋体" w:hAnsi="宋体" w:cs="宋体"/>
                <w:kern w:val="0"/>
                <w:sz w:val="20"/>
                <w:highlight w:val="none"/>
                <w:lang w:bidi="ar"/>
              </w:rPr>
              <w:t>02</w:t>
            </w:r>
            <w:r>
              <w:rPr>
                <w:rFonts w:hint="eastAsia" w:ascii="宋体" w:hAnsi="宋体" w:cs="宋体"/>
                <w:kern w:val="0"/>
                <w:sz w:val="20"/>
                <w:highlight w:val="none"/>
                <w:lang w:val="en-US" w:eastAsia="zh-CN" w:bidi="ar"/>
              </w:rPr>
              <w:t>5</w:t>
            </w:r>
            <w:r>
              <w:rPr>
                <w:rFonts w:hint="eastAsia" w:ascii="宋体" w:hAnsi="宋体" w:cs="宋体"/>
                <w:kern w:val="0"/>
                <w:sz w:val="20"/>
                <w:highlight w:val="none"/>
                <w:lang w:bidi="ar"/>
              </w:rPr>
              <w:t>年</w:t>
            </w:r>
            <w:r>
              <w:rPr>
                <w:rFonts w:hint="eastAsia" w:ascii="宋体" w:hAnsi="宋体" w:cs="宋体"/>
                <w:kern w:val="0"/>
                <w:sz w:val="20"/>
                <w:highlight w:val="none"/>
                <w:lang w:val="en-US" w:eastAsia="zh-CN" w:bidi="ar"/>
              </w:rPr>
              <w:t>05</w:t>
            </w:r>
            <w:r>
              <w:rPr>
                <w:rFonts w:hint="eastAsia" w:ascii="宋体" w:hAnsi="宋体" w:cs="宋体"/>
                <w:kern w:val="0"/>
                <w:sz w:val="20"/>
                <w:highlight w:val="none"/>
                <w:lang w:bidi="ar"/>
              </w:rPr>
              <w:t>月</w:t>
            </w:r>
            <w:r>
              <w:rPr>
                <w:rFonts w:hint="eastAsia" w:ascii="宋体" w:hAnsi="宋体" w:cs="宋体"/>
                <w:kern w:val="0"/>
                <w:sz w:val="20"/>
                <w:highlight w:val="none"/>
                <w:lang w:val="en-US" w:eastAsia="zh-CN" w:bidi="ar"/>
              </w:rPr>
              <w:t>29</w:t>
            </w:r>
            <w:r>
              <w:rPr>
                <w:rFonts w:hint="eastAsia" w:ascii="宋体" w:hAnsi="宋体" w:cs="宋体"/>
                <w:kern w:val="0"/>
                <w:sz w:val="20"/>
                <w:highlight w:val="none"/>
                <w:lang w:bidi="ar"/>
              </w:rPr>
              <w:t>日</w:t>
            </w:r>
          </w:p>
        </w:tc>
        <w:tc>
          <w:tcPr>
            <w:tcW w:w="6623" w:type="dxa"/>
            <w:gridSpan w:val="7"/>
            <w:tcBorders>
              <w:top w:val="nil"/>
              <w:left w:val="nil"/>
              <w:bottom w:val="single" w:color="000000" w:sz="4" w:space="0"/>
              <w:right w:val="single" w:color="000000" w:sz="4" w:space="0"/>
            </w:tcBorders>
            <w:shd w:val="clear" w:color="auto" w:fill="auto"/>
            <w:noWrap/>
            <w:vAlign w:val="center"/>
          </w:tcPr>
          <w:p w14:paraId="29677101">
            <w:pPr>
              <w:widowControl/>
              <w:jc w:val="left"/>
              <w:textAlignment w:val="center"/>
              <w:rPr>
                <w:rFonts w:ascii="宋体" w:hAnsi="宋体" w:cs="宋体"/>
                <w:sz w:val="20"/>
              </w:rPr>
            </w:pPr>
            <w:r>
              <w:rPr>
                <w:rFonts w:hint="eastAsia" w:ascii="宋体" w:hAnsi="宋体" w:cs="宋体"/>
                <w:kern w:val="0"/>
                <w:sz w:val="20"/>
                <w:lang w:bidi="ar"/>
              </w:rPr>
              <w:t>日期：</w:t>
            </w:r>
          </w:p>
        </w:tc>
      </w:tr>
      <w:tr w14:paraId="4BAAE91C">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F14D">
            <w:pPr>
              <w:widowControl/>
              <w:jc w:val="center"/>
              <w:textAlignment w:val="center"/>
              <w:rPr>
                <w:rFonts w:ascii="宋体" w:hAnsi="宋体" w:cs="宋体"/>
                <w:sz w:val="20"/>
              </w:rPr>
            </w:pPr>
            <w:r>
              <w:rPr>
                <w:rFonts w:hint="eastAsia" w:ascii="宋体" w:hAnsi="宋体" w:cs="宋体"/>
                <w:kern w:val="0"/>
                <w:sz w:val="20"/>
                <w:lang w:bidi="ar"/>
              </w:rPr>
              <w:t>序号</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0EC41">
            <w:pPr>
              <w:widowControl/>
              <w:jc w:val="center"/>
              <w:textAlignment w:val="center"/>
              <w:rPr>
                <w:rFonts w:ascii="宋体" w:hAnsi="宋体" w:cs="宋体"/>
                <w:sz w:val="20"/>
              </w:rPr>
            </w:pPr>
            <w:r>
              <w:rPr>
                <w:rFonts w:hint="eastAsia" w:ascii="宋体" w:hAnsi="宋体" w:cs="宋体"/>
                <w:kern w:val="0"/>
                <w:sz w:val="20"/>
                <w:lang w:val="en-US" w:eastAsia="zh-CN" w:bidi="ar"/>
              </w:rPr>
              <w:t>危废</w:t>
            </w:r>
            <w:r>
              <w:rPr>
                <w:rFonts w:hint="eastAsia" w:ascii="宋体" w:hAnsi="宋体" w:cs="宋体"/>
                <w:kern w:val="0"/>
                <w:sz w:val="20"/>
                <w:lang w:bidi="ar"/>
              </w:rPr>
              <w:t>名称</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10DA4">
            <w:pPr>
              <w:widowControl/>
              <w:jc w:val="center"/>
              <w:textAlignment w:val="center"/>
              <w:rPr>
                <w:rFonts w:ascii="宋体" w:hAnsi="宋体" w:cs="宋体"/>
                <w:sz w:val="20"/>
              </w:rPr>
            </w:pPr>
            <w:r>
              <w:rPr>
                <w:rFonts w:hint="eastAsia" w:ascii="宋体" w:hAnsi="宋体" w:cs="宋体"/>
                <w:kern w:val="0"/>
                <w:sz w:val="20"/>
                <w:lang w:bidi="ar"/>
              </w:rPr>
              <w:t>危废代码</w:t>
            </w:r>
          </w:p>
        </w:tc>
        <w:tc>
          <w:tcPr>
            <w:tcW w:w="16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C048B">
            <w:pPr>
              <w:widowControl/>
              <w:jc w:val="center"/>
              <w:textAlignment w:val="center"/>
              <w:rPr>
                <w:rFonts w:ascii="宋体" w:hAnsi="宋体" w:cs="宋体"/>
                <w:sz w:val="20"/>
              </w:rPr>
            </w:pPr>
            <w:r>
              <w:rPr>
                <w:rFonts w:hint="eastAsia" w:ascii="宋体" w:hAnsi="宋体" w:cs="宋体"/>
                <w:kern w:val="0"/>
                <w:sz w:val="20"/>
                <w:lang w:bidi="ar"/>
              </w:rPr>
              <w:t>单位</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E2D2">
            <w:pPr>
              <w:widowControl/>
              <w:jc w:val="center"/>
              <w:textAlignment w:val="center"/>
              <w:rPr>
                <w:rFonts w:ascii="宋体" w:hAnsi="宋体" w:cs="宋体"/>
                <w:sz w:val="20"/>
              </w:rPr>
            </w:pPr>
            <w:r>
              <w:rPr>
                <w:rFonts w:hint="eastAsia" w:ascii="宋体" w:hAnsi="宋体" w:cs="宋体"/>
                <w:kern w:val="0"/>
                <w:sz w:val="20"/>
                <w:lang w:val="en-US" w:eastAsia="zh-CN" w:bidi="ar"/>
              </w:rPr>
              <w:t>预估</w:t>
            </w:r>
            <w:r>
              <w:rPr>
                <w:rFonts w:hint="eastAsia" w:ascii="宋体" w:hAnsi="宋体" w:cs="宋体"/>
                <w:kern w:val="0"/>
                <w:sz w:val="20"/>
                <w:lang w:bidi="ar"/>
              </w:rPr>
              <w:t>数量</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3C31A">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7468">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DABE4">
            <w:pPr>
              <w:widowControl/>
              <w:jc w:val="center"/>
              <w:textAlignment w:val="center"/>
              <w:rPr>
                <w:rFonts w:ascii="宋体" w:hAnsi="宋体" w:cs="宋体"/>
                <w:sz w:val="20"/>
              </w:rPr>
            </w:pPr>
            <w:r>
              <w:rPr>
                <w:rFonts w:hint="eastAsia" w:ascii="宋体" w:hAnsi="宋体" w:cs="宋体"/>
                <w:kern w:val="0"/>
                <w:sz w:val="20"/>
                <w:lang w:bidi="ar"/>
              </w:rPr>
              <w:t>税率</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75C03">
            <w:pPr>
              <w:widowControl/>
              <w:jc w:val="center"/>
              <w:textAlignment w:val="center"/>
              <w:rPr>
                <w:rFonts w:ascii="宋体" w:hAnsi="宋体" w:cs="宋体"/>
                <w:sz w:val="20"/>
              </w:rPr>
            </w:pPr>
            <w:r>
              <w:rPr>
                <w:rFonts w:hint="eastAsia" w:ascii="宋体" w:hAnsi="宋体" w:cs="宋体"/>
                <w:kern w:val="0"/>
                <w:sz w:val="20"/>
                <w:lang w:bidi="ar"/>
              </w:rPr>
              <w:t>税额</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04DAF">
            <w:pPr>
              <w:widowControl/>
              <w:jc w:val="center"/>
              <w:textAlignment w:val="center"/>
              <w:rPr>
                <w:rFonts w:ascii="宋体" w:hAnsi="宋体" w:cs="宋体"/>
                <w:sz w:val="20"/>
              </w:rPr>
            </w:pPr>
            <w:r>
              <w:rPr>
                <w:rFonts w:hint="eastAsia" w:ascii="宋体" w:hAnsi="宋体" w:cs="宋体"/>
                <w:kern w:val="0"/>
                <w:sz w:val="20"/>
                <w:lang w:bidi="ar"/>
              </w:rPr>
              <w:t>备注</w:t>
            </w:r>
          </w:p>
        </w:tc>
      </w:tr>
      <w:tr w14:paraId="5E668968">
        <w:tblPrEx>
          <w:tblCellMar>
            <w:top w:w="0" w:type="dxa"/>
            <w:left w:w="108" w:type="dxa"/>
            <w:bottom w:w="0" w:type="dxa"/>
            <w:right w:w="108" w:type="dxa"/>
          </w:tblCellMar>
        </w:tblPrEx>
        <w:trPr>
          <w:trHeight w:val="49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CCE1">
            <w:pPr>
              <w:widowControl/>
              <w:jc w:val="center"/>
              <w:textAlignment w:val="center"/>
              <w:rPr>
                <w:rFonts w:hint="eastAsia" w:ascii="宋体" w:hAnsi="宋体" w:cs="宋体"/>
                <w:kern w:val="0"/>
                <w:sz w:val="20"/>
                <w:lang w:val="en-US" w:eastAsia="zh-CN" w:bidi="ar"/>
              </w:rPr>
            </w:pPr>
            <w:r>
              <w:rPr>
                <w:rFonts w:hint="eastAsia" w:ascii="宋体" w:hAnsi="宋体" w:cs="宋体"/>
                <w:kern w:val="0"/>
                <w:sz w:val="20"/>
                <w:lang w:val="en-US" w:eastAsia="zh-CN" w:bidi="ar"/>
              </w:rPr>
              <w:t>1</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3F2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lang w:val="en-US" w:eastAsia="zh-CN"/>
              </w:rPr>
              <w:t>废机油</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F0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lang w:val="en-US" w:eastAsia="zh-CN"/>
              </w:rPr>
              <w:t>900-249-08</w:t>
            </w:r>
          </w:p>
        </w:tc>
        <w:tc>
          <w:tcPr>
            <w:tcW w:w="16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F1E6A">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BAF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2.76</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A05C">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B9F6B">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2DB39">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19922">
            <w:pPr>
              <w:widowControl/>
              <w:jc w:val="center"/>
              <w:textAlignment w:val="center"/>
              <w:rPr>
                <w:rFonts w:ascii="宋体" w:hAnsi="宋体" w:cs="宋体"/>
                <w:sz w:val="20"/>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A13EC">
            <w:pPr>
              <w:rPr>
                <w:rFonts w:ascii="宋体" w:hAnsi="宋体" w:cs="宋体"/>
                <w:sz w:val="20"/>
              </w:rPr>
            </w:pPr>
          </w:p>
        </w:tc>
      </w:tr>
      <w:tr w14:paraId="6CA5551C">
        <w:tblPrEx>
          <w:tblCellMar>
            <w:top w:w="0" w:type="dxa"/>
            <w:left w:w="108" w:type="dxa"/>
            <w:bottom w:w="0" w:type="dxa"/>
            <w:right w:w="108" w:type="dxa"/>
          </w:tblCellMar>
        </w:tblPrEx>
        <w:trPr>
          <w:trHeight w:val="49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303FF">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2</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704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lang w:val="en-US" w:eastAsia="zh-CN"/>
              </w:rPr>
              <w:t>废铅酸蓄电池</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B02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lang w:val="en-US" w:eastAsia="zh-CN"/>
              </w:rPr>
              <w:t>900-052-31</w:t>
            </w:r>
          </w:p>
        </w:tc>
        <w:tc>
          <w:tcPr>
            <w:tcW w:w="16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596A7">
            <w:pPr>
              <w:widowControl/>
              <w:jc w:val="center"/>
              <w:textAlignment w:val="center"/>
              <w:rPr>
                <w:rFonts w:hint="eastAsia" w:ascii="宋体" w:hAnsi="宋体" w:cs="宋体"/>
                <w:kern w:val="0"/>
                <w:sz w:val="20"/>
                <w:lang w:val="en-US" w:eastAsia="zh-CN" w:bidi="ar"/>
              </w:rPr>
            </w:pPr>
            <w:r>
              <w:rPr>
                <w:rFonts w:hint="eastAsia" w:ascii="宋体" w:hAnsi="宋体" w:cs="宋体"/>
                <w:kern w:val="0"/>
                <w:sz w:val="20"/>
                <w:lang w:val="en-US" w:eastAsia="zh-CN" w:bidi="ar"/>
              </w:rPr>
              <w:t>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82E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1.11</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823C">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03A55">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56DA5">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C11C">
            <w:pPr>
              <w:widowControl/>
              <w:jc w:val="center"/>
              <w:textAlignment w:val="center"/>
              <w:rPr>
                <w:rFonts w:ascii="宋体" w:hAnsi="宋体" w:cs="宋体"/>
                <w:sz w:val="20"/>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A9617">
            <w:pPr>
              <w:rPr>
                <w:rFonts w:ascii="宋体" w:hAnsi="宋体" w:cs="宋体"/>
                <w:sz w:val="20"/>
              </w:rPr>
            </w:pPr>
          </w:p>
        </w:tc>
      </w:tr>
      <w:tr w14:paraId="406E6E27">
        <w:tblPrEx>
          <w:tblCellMar>
            <w:top w:w="0" w:type="dxa"/>
            <w:left w:w="108" w:type="dxa"/>
            <w:bottom w:w="0" w:type="dxa"/>
            <w:right w:w="108" w:type="dxa"/>
          </w:tblCellMar>
        </w:tblPrEx>
        <w:trPr>
          <w:trHeight w:val="49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F231C">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3</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122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lang w:val="en-US" w:eastAsia="zh-CN"/>
              </w:rPr>
              <w:t>废墨盒</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542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lang w:val="en-US" w:eastAsia="zh-CN"/>
              </w:rPr>
              <w:t>900-041-49</w:t>
            </w:r>
          </w:p>
        </w:tc>
        <w:tc>
          <w:tcPr>
            <w:tcW w:w="16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601A3">
            <w:pPr>
              <w:widowControl/>
              <w:jc w:val="center"/>
              <w:textAlignment w:val="center"/>
              <w:rPr>
                <w:rFonts w:hint="eastAsia" w:ascii="宋体" w:hAnsi="宋体" w:cs="宋体"/>
                <w:kern w:val="0"/>
                <w:sz w:val="20"/>
                <w:lang w:val="en-US" w:eastAsia="zh-CN" w:bidi="ar"/>
              </w:rPr>
            </w:pPr>
            <w:r>
              <w:rPr>
                <w:rFonts w:hint="eastAsia" w:ascii="宋体" w:hAnsi="宋体" w:cs="宋体"/>
                <w:kern w:val="0"/>
                <w:sz w:val="20"/>
                <w:lang w:val="en-US" w:eastAsia="zh-CN" w:bidi="ar"/>
              </w:rPr>
              <w:t>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0B1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0.42</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55B7E">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5096A">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684DF">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ADF67">
            <w:pPr>
              <w:widowControl/>
              <w:jc w:val="center"/>
              <w:textAlignment w:val="center"/>
              <w:rPr>
                <w:rFonts w:ascii="宋体" w:hAnsi="宋体" w:cs="宋体"/>
                <w:sz w:val="20"/>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4443F">
            <w:pPr>
              <w:rPr>
                <w:rFonts w:ascii="宋体" w:hAnsi="宋体" w:cs="宋体"/>
                <w:sz w:val="20"/>
              </w:rPr>
            </w:pPr>
          </w:p>
        </w:tc>
      </w:tr>
      <w:tr w14:paraId="366F8034">
        <w:tblPrEx>
          <w:tblCellMar>
            <w:top w:w="0" w:type="dxa"/>
            <w:left w:w="108" w:type="dxa"/>
            <w:bottom w:w="0" w:type="dxa"/>
            <w:right w:w="108" w:type="dxa"/>
          </w:tblCellMar>
        </w:tblPrEx>
        <w:trPr>
          <w:trHeight w:val="340" w:hRule="atLeast"/>
        </w:trPr>
        <w:tc>
          <w:tcPr>
            <w:tcW w:w="10646"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A79BC">
            <w:pPr>
              <w:widowControl/>
              <w:jc w:val="right"/>
              <w:textAlignment w:val="center"/>
              <w:rPr>
                <w:rFonts w:ascii="宋体" w:hAnsi="宋体" w:cs="宋体"/>
                <w:sz w:val="20"/>
              </w:rPr>
            </w:pPr>
            <w:r>
              <w:rPr>
                <w:rFonts w:hint="eastAsia" w:ascii="宋体" w:hAnsi="宋体" w:cs="宋体"/>
                <w:kern w:val="0"/>
                <w:sz w:val="20"/>
                <w:lang w:bidi="ar"/>
              </w:rPr>
              <w:t>合        计：</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C800">
            <w:pPr>
              <w:widowControl/>
              <w:jc w:val="center"/>
              <w:textAlignment w:val="center"/>
              <w:rPr>
                <w:rFonts w:ascii="宋体" w:hAnsi="宋体" w:cs="宋体"/>
                <w:sz w:val="20"/>
              </w:rPr>
            </w:pP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424D">
            <w:pPr>
              <w:widowControl/>
              <w:jc w:val="center"/>
              <w:textAlignment w:val="center"/>
              <w:rPr>
                <w:rFonts w:ascii="宋体" w:hAnsi="宋体" w:cs="宋体"/>
                <w:sz w:val="20"/>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E8424">
            <w:pPr>
              <w:jc w:val="center"/>
              <w:rPr>
                <w:rFonts w:ascii="宋体" w:hAnsi="宋体" w:cs="宋体"/>
                <w:sz w:val="20"/>
              </w:rPr>
            </w:pPr>
          </w:p>
        </w:tc>
      </w:tr>
      <w:tr w14:paraId="06AB77D1">
        <w:tblPrEx>
          <w:tblCellMar>
            <w:top w:w="0" w:type="dxa"/>
            <w:left w:w="108" w:type="dxa"/>
            <w:bottom w:w="0" w:type="dxa"/>
            <w:right w:w="108" w:type="dxa"/>
          </w:tblCellMar>
        </w:tblPrEx>
        <w:trPr>
          <w:trHeight w:val="340" w:hRule="atLeast"/>
        </w:trPr>
        <w:tc>
          <w:tcPr>
            <w:tcW w:w="10646"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CBA1">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25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0B4B1">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9"/>
                <w:rFonts w:hint="default"/>
                <w:color w:val="auto"/>
                <w:lang w:bidi="ar"/>
              </w:rPr>
              <w:t xml:space="preserve">            </w:t>
            </w:r>
            <w:r>
              <w:rPr>
                <w:rStyle w:val="77"/>
                <w:rFonts w:hint="default"/>
                <w:color w:val="auto"/>
                <w:lang w:bidi="ar"/>
              </w:rPr>
              <w:t>元</w:t>
            </w:r>
          </w:p>
        </w:tc>
      </w:tr>
      <w:tr w14:paraId="5D789398">
        <w:tblPrEx>
          <w:tblCellMar>
            <w:top w:w="0" w:type="dxa"/>
            <w:left w:w="108" w:type="dxa"/>
            <w:bottom w:w="0" w:type="dxa"/>
            <w:right w:w="108" w:type="dxa"/>
          </w:tblCellMar>
        </w:tblPrEx>
        <w:trPr>
          <w:trHeight w:val="340" w:hRule="atLeast"/>
        </w:trPr>
        <w:tc>
          <w:tcPr>
            <w:tcW w:w="14900" w:type="dxa"/>
            <w:gridSpan w:val="11"/>
            <w:tcBorders>
              <w:top w:val="single" w:color="000000" w:sz="4" w:space="0"/>
              <w:left w:val="single" w:color="000000" w:sz="4" w:space="0"/>
              <w:bottom w:val="nil"/>
              <w:right w:val="single" w:color="000000" w:sz="4" w:space="0"/>
            </w:tcBorders>
            <w:shd w:val="clear" w:color="auto" w:fill="auto"/>
            <w:noWrap/>
            <w:vAlign w:val="center"/>
          </w:tcPr>
          <w:p w14:paraId="54B507E0">
            <w:pPr>
              <w:widowControl/>
              <w:jc w:val="left"/>
              <w:textAlignment w:val="center"/>
              <w:rPr>
                <w:rFonts w:ascii="宋体" w:hAnsi="宋体" w:cs="宋体"/>
                <w:sz w:val="20"/>
              </w:rPr>
            </w:pPr>
            <w:r>
              <w:rPr>
                <w:rFonts w:hint="eastAsia" w:ascii="宋体" w:hAnsi="宋体" w:cs="宋体"/>
                <w:kern w:val="0"/>
                <w:sz w:val="20"/>
                <w:lang w:bidi="ar"/>
              </w:rPr>
              <w:t>报价有效期：</w:t>
            </w:r>
          </w:p>
        </w:tc>
      </w:tr>
      <w:tr w14:paraId="0C03B654">
        <w:tblPrEx>
          <w:tblCellMar>
            <w:top w:w="0" w:type="dxa"/>
            <w:left w:w="108" w:type="dxa"/>
            <w:bottom w:w="0" w:type="dxa"/>
            <w:right w:w="108" w:type="dxa"/>
          </w:tblCellMar>
        </w:tblPrEx>
        <w:trPr>
          <w:trHeight w:val="340" w:hRule="atLeast"/>
        </w:trPr>
        <w:tc>
          <w:tcPr>
            <w:tcW w:w="14900"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70A03">
            <w:pPr>
              <w:widowControl/>
              <w:jc w:val="left"/>
              <w:textAlignment w:val="center"/>
              <w:rPr>
                <w:rFonts w:ascii="宋体" w:hAnsi="宋体" w:cs="宋体"/>
                <w:sz w:val="20"/>
              </w:rPr>
            </w:pPr>
            <w:r>
              <w:rPr>
                <w:rFonts w:hint="eastAsia" w:ascii="宋体" w:hAnsi="宋体" w:cs="宋体"/>
                <w:kern w:val="0"/>
                <w:sz w:val="20"/>
                <w:lang w:val="en-US" w:eastAsia="zh-CN" w:bidi="ar"/>
              </w:rPr>
              <w:t>处置</w:t>
            </w:r>
            <w:r>
              <w:rPr>
                <w:rFonts w:hint="eastAsia" w:ascii="宋体" w:hAnsi="宋体" w:cs="宋体"/>
                <w:kern w:val="0"/>
                <w:sz w:val="20"/>
                <w:lang w:bidi="ar"/>
              </w:rPr>
              <w:t>期：</w:t>
            </w:r>
          </w:p>
        </w:tc>
      </w:tr>
      <w:tr w14:paraId="2C562509">
        <w:tblPrEx>
          <w:tblCellMar>
            <w:top w:w="0" w:type="dxa"/>
            <w:left w:w="108" w:type="dxa"/>
            <w:bottom w:w="0" w:type="dxa"/>
            <w:right w:w="108" w:type="dxa"/>
          </w:tblCellMar>
        </w:tblPrEx>
        <w:trPr>
          <w:trHeight w:val="340" w:hRule="atLeast"/>
        </w:trPr>
        <w:tc>
          <w:tcPr>
            <w:tcW w:w="14900"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C871">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14:paraId="5F20427A">
        <w:tblPrEx>
          <w:tblCellMar>
            <w:top w:w="0" w:type="dxa"/>
            <w:left w:w="108" w:type="dxa"/>
            <w:bottom w:w="0" w:type="dxa"/>
            <w:right w:w="108" w:type="dxa"/>
          </w:tblCellMar>
        </w:tblPrEx>
        <w:trPr>
          <w:trHeight w:val="340" w:hRule="atLeast"/>
        </w:trPr>
        <w:tc>
          <w:tcPr>
            <w:tcW w:w="14900" w:type="dxa"/>
            <w:gridSpan w:val="11"/>
            <w:tcBorders>
              <w:top w:val="single" w:color="000000" w:sz="4" w:space="0"/>
              <w:left w:val="nil"/>
              <w:bottom w:val="nil"/>
              <w:right w:val="nil"/>
            </w:tcBorders>
            <w:shd w:val="clear" w:color="auto" w:fill="auto"/>
            <w:vAlign w:val="center"/>
          </w:tcPr>
          <w:p w14:paraId="0FAC63C0">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80"/>
                <w:rFonts w:hint="default"/>
                <w:color w:val="auto"/>
                <w:highlight w:val="none"/>
                <w:lang w:bidi="ar"/>
              </w:rPr>
              <w:t>202</w:t>
            </w:r>
            <w:r>
              <w:rPr>
                <w:rStyle w:val="80"/>
                <w:rFonts w:hint="eastAsia"/>
                <w:color w:val="auto"/>
                <w:highlight w:val="none"/>
                <w:lang w:val="en-US" w:eastAsia="zh-CN" w:bidi="ar"/>
              </w:rPr>
              <w:t>5</w:t>
            </w:r>
            <w:r>
              <w:rPr>
                <w:rStyle w:val="76"/>
                <w:rFonts w:hint="default"/>
                <w:color w:val="auto"/>
                <w:highlight w:val="none"/>
                <w:lang w:bidi="ar"/>
              </w:rPr>
              <w:t xml:space="preserve">年 </w:t>
            </w:r>
            <w:r>
              <w:rPr>
                <w:rStyle w:val="80"/>
                <w:rFonts w:hint="default"/>
                <w:color w:val="auto"/>
                <w:highlight w:val="none"/>
                <w:lang w:bidi="ar"/>
              </w:rPr>
              <w:t xml:space="preserve"> </w:t>
            </w:r>
            <w:r>
              <w:rPr>
                <w:rStyle w:val="80"/>
                <w:rFonts w:hint="eastAsia"/>
                <w:color w:val="auto"/>
                <w:highlight w:val="none"/>
                <w:lang w:val="en-US" w:eastAsia="zh-CN" w:bidi="ar"/>
              </w:rPr>
              <w:t>06</w:t>
            </w:r>
            <w:r>
              <w:rPr>
                <w:rStyle w:val="80"/>
                <w:rFonts w:hint="default"/>
                <w:color w:val="auto"/>
                <w:highlight w:val="none"/>
                <w:lang w:bidi="ar"/>
              </w:rPr>
              <w:t xml:space="preserve"> </w:t>
            </w:r>
            <w:r>
              <w:rPr>
                <w:rStyle w:val="76"/>
                <w:rFonts w:hint="default"/>
                <w:color w:val="auto"/>
                <w:highlight w:val="none"/>
                <w:lang w:bidi="ar"/>
              </w:rPr>
              <w:t>月</w:t>
            </w:r>
            <w:r>
              <w:rPr>
                <w:rStyle w:val="80"/>
                <w:rFonts w:hint="default"/>
                <w:color w:val="auto"/>
                <w:highlight w:val="none"/>
                <w:lang w:bidi="ar"/>
              </w:rPr>
              <w:t xml:space="preserve"> </w:t>
            </w:r>
            <w:r>
              <w:rPr>
                <w:rStyle w:val="80"/>
                <w:rFonts w:hint="eastAsia"/>
                <w:color w:val="auto"/>
                <w:highlight w:val="none"/>
                <w:lang w:val="en-US" w:eastAsia="zh-CN" w:bidi="ar"/>
              </w:rPr>
              <w:t>12</w:t>
            </w:r>
            <w:r>
              <w:rPr>
                <w:rStyle w:val="76"/>
                <w:rFonts w:hint="default"/>
                <w:color w:val="auto"/>
                <w:highlight w:val="none"/>
                <w:lang w:bidi="ar"/>
              </w:rPr>
              <w:t>日</w:t>
            </w:r>
            <w:r>
              <w:rPr>
                <w:rStyle w:val="76"/>
                <w:rFonts w:hint="default"/>
                <w:color w:val="auto"/>
                <w:lang w:bidi="ar"/>
              </w:rPr>
              <w:t>前盖章寄回,并确保此报价至少在30天内有效。若该危险废弃物处置行情波动较大，请另行注明有效期。</w:t>
            </w:r>
            <w:bookmarkStart w:id="10" w:name="_GoBack"/>
            <w:bookmarkEnd w:id="10"/>
          </w:p>
        </w:tc>
      </w:tr>
    </w:tbl>
    <w:p w14:paraId="74A3E5C6">
      <w:pPr>
        <w:widowControl/>
        <w:jc w:val="left"/>
      </w:pPr>
    </w:p>
    <w:p w14:paraId="57173F16">
      <w:pPr>
        <w:widowControl/>
        <w:jc w:val="left"/>
        <w:rPr>
          <w:szCs w:val="21"/>
        </w:rPr>
        <w:sectPr>
          <w:pgSz w:w="16838" w:h="11906" w:orient="landscape"/>
          <w:pgMar w:top="754" w:right="1579" w:bottom="754" w:left="779" w:header="779" w:footer="992" w:gutter="0"/>
          <w:pgBorders>
            <w:top w:val="none" w:sz="0" w:space="0"/>
            <w:left w:val="none" w:sz="0" w:space="0"/>
            <w:bottom w:val="none" w:sz="0" w:space="0"/>
            <w:right w:val="none" w:sz="0" w:space="0"/>
          </w:pgBorders>
          <w:pgNumType w:fmt="numberInDash"/>
          <w:cols w:space="120" w:num="1"/>
        </w:sectPr>
      </w:pPr>
    </w:p>
    <w:p w14:paraId="68C709C4">
      <w:pPr>
        <w:widowControl/>
        <w:jc w:val="left"/>
      </w:pPr>
      <w:r>
        <w:rPr>
          <w:rFonts w:hint="eastAsia"/>
        </w:rPr>
        <w:t>格式2</w:t>
      </w:r>
    </w:p>
    <w:p w14:paraId="14468D19">
      <w:pPr>
        <w:widowControl/>
        <w:jc w:val="left"/>
      </w:pPr>
    </w:p>
    <w:p w14:paraId="10F64FAA">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14:paraId="486C12B8">
      <w:pPr>
        <w:snapToGrid w:val="0"/>
        <w:spacing w:line="360" w:lineRule="auto"/>
        <w:jc w:val="center"/>
        <w:rPr>
          <w:rFonts w:hint="eastAsia"/>
          <w:b/>
          <w:sz w:val="48"/>
          <w:szCs w:val="48"/>
          <w:highlight w:val="none"/>
          <w:lang w:eastAsia="zh-CN"/>
        </w:rPr>
      </w:pPr>
      <w:r>
        <w:rPr>
          <w:rFonts w:hint="eastAsia"/>
          <w:b/>
          <w:sz w:val="48"/>
          <w:szCs w:val="48"/>
          <w:highlight w:val="none"/>
          <w:lang w:eastAsia="zh-CN"/>
        </w:rPr>
        <w:t>2025年滁州轨道运营危险废弃物处置（废机油、废铅酸蓄电池、废墨盒）项目</w:t>
      </w:r>
    </w:p>
    <w:p w14:paraId="1C2D8EE5">
      <w:pPr>
        <w:snapToGrid w:val="0"/>
        <w:spacing w:line="360" w:lineRule="auto"/>
        <w:jc w:val="center"/>
      </w:pPr>
      <w:r>
        <w:rPr>
          <w:rFonts w:hint="eastAsia"/>
          <w:b/>
          <w:sz w:val="48"/>
          <w:szCs w:val="48"/>
          <w:highlight w:val="none"/>
          <w:lang w:eastAsia="zh-CN"/>
        </w:rPr>
        <w:t>（</w:t>
      </w:r>
      <w:r>
        <w:rPr>
          <w:rFonts w:hint="eastAsia"/>
          <w:b/>
          <w:sz w:val="48"/>
          <w:szCs w:val="48"/>
          <w:highlight w:val="none"/>
          <w:lang w:val="en-US" w:eastAsia="zh-CN"/>
        </w:rPr>
        <w:t>三年框架</w:t>
      </w:r>
      <w:r>
        <w:rPr>
          <w:rFonts w:hint="eastAsia"/>
          <w:b/>
          <w:sz w:val="48"/>
          <w:szCs w:val="48"/>
          <w:highlight w:val="none"/>
          <w:lang w:eastAsia="zh-CN"/>
        </w:rPr>
        <w:t>）</w:t>
      </w:r>
    </w:p>
    <w:p w14:paraId="7988C3C0">
      <w:pPr>
        <w:snapToGrid w:val="0"/>
        <w:spacing w:line="453" w:lineRule="atLeast"/>
        <w:rPr>
          <w:rFonts w:ascii="Arial Narrow"/>
          <w:b/>
          <w:szCs w:val="21"/>
        </w:rPr>
      </w:pPr>
    </w:p>
    <w:p w14:paraId="39D3126E">
      <w:pPr>
        <w:snapToGrid w:val="0"/>
        <w:spacing w:line="453" w:lineRule="atLeast"/>
        <w:rPr>
          <w:rFonts w:ascii="Arial Narrow"/>
          <w:b/>
          <w:szCs w:val="21"/>
        </w:rPr>
      </w:pPr>
    </w:p>
    <w:p w14:paraId="0B7FFA34">
      <w:pPr>
        <w:snapToGrid w:val="0"/>
        <w:spacing w:line="453" w:lineRule="atLeast"/>
        <w:rPr>
          <w:rFonts w:ascii="Arial Narrow"/>
          <w:b/>
          <w:szCs w:val="21"/>
        </w:rPr>
      </w:pPr>
    </w:p>
    <w:p w14:paraId="299C95C3">
      <w:pPr>
        <w:snapToGrid w:val="0"/>
        <w:spacing w:line="453" w:lineRule="atLeast"/>
        <w:rPr>
          <w:rFonts w:ascii="Arial Narrow"/>
          <w:b/>
          <w:szCs w:val="21"/>
        </w:rPr>
      </w:pPr>
    </w:p>
    <w:p w14:paraId="564A2C62">
      <w:pPr>
        <w:snapToGrid w:val="0"/>
        <w:spacing w:line="453" w:lineRule="atLeast"/>
        <w:jc w:val="center"/>
        <w:rPr>
          <w:rFonts w:ascii="黑体" w:eastAsia="黑体"/>
          <w:w w:val="80"/>
          <w:sz w:val="28"/>
        </w:rPr>
      </w:pPr>
      <w:r>
        <w:rPr>
          <w:rFonts w:hint="eastAsia" w:ascii="Arial Narrow"/>
          <w:b/>
          <w:sz w:val="96"/>
        </w:rPr>
        <w:t>报价文件</w:t>
      </w:r>
    </w:p>
    <w:p w14:paraId="6220CED1"/>
    <w:p w14:paraId="1602F32E">
      <w:pPr>
        <w:jc w:val="center"/>
      </w:pPr>
      <w:r>
        <w:rPr>
          <w:rFonts w:hint="eastAsia"/>
        </w:rPr>
        <w:t>（非密封部分）</w:t>
      </w:r>
    </w:p>
    <w:p w14:paraId="77672F07"/>
    <w:p w14:paraId="5DD43C0F"/>
    <w:p w14:paraId="3E5FA29B"/>
    <w:p w14:paraId="0BAF39A3"/>
    <w:p w14:paraId="087668AD"/>
    <w:p w14:paraId="04536AA5"/>
    <w:p w14:paraId="47630A5A"/>
    <w:p w14:paraId="5D8CEC74"/>
    <w:p w14:paraId="079E19D2"/>
    <w:p w14:paraId="155926B4"/>
    <w:p w14:paraId="043C1323"/>
    <w:p w14:paraId="1E2B0777"/>
    <w:p w14:paraId="0DFC0D79">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14:paraId="1936430C">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14:paraId="725FBD9E">
      <w:pPr>
        <w:widowControl/>
        <w:jc w:val="left"/>
        <w:rPr>
          <w:rFonts w:ascii="宋体" w:hAnsi="宋体"/>
          <w:sz w:val="32"/>
          <w:szCs w:val="32"/>
        </w:rPr>
      </w:pPr>
    </w:p>
    <w:p w14:paraId="0A6CC9A2">
      <w:pPr>
        <w:widowControl/>
        <w:jc w:val="left"/>
        <w:rPr>
          <w:szCs w:val="21"/>
        </w:rPr>
      </w:pPr>
    </w:p>
    <w:p w14:paraId="16822C7D">
      <w:pPr>
        <w:widowControl/>
        <w:jc w:val="left"/>
        <w:rPr>
          <w:szCs w:val="21"/>
        </w:rPr>
      </w:pPr>
    </w:p>
    <w:p w14:paraId="57B3C857">
      <w:pPr>
        <w:widowControl/>
        <w:jc w:val="center"/>
        <w:rPr>
          <w:rFonts w:hint="eastAsia"/>
          <w:sz w:val="32"/>
          <w:szCs w:val="32"/>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sz w:val="32"/>
          <w:szCs w:val="32"/>
        </w:rPr>
        <w:t>年    月    日</w:t>
      </w:r>
    </w:p>
    <w:p w14:paraId="508F0860">
      <w:pPr>
        <w:widowControl/>
        <w:jc w:val="left"/>
        <w:rPr>
          <w:rFonts w:hint="eastAsia"/>
          <w:lang w:val="en-US" w:eastAsia="zh-CN"/>
        </w:rPr>
      </w:pPr>
      <w:r>
        <w:rPr>
          <w:rFonts w:hint="eastAsia"/>
          <w:lang w:val="en-US" w:eastAsia="zh-CN"/>
        </w:rPr>
        <w:t>格式3</w:t>
      </w:r>
    </w:p>
    <w:p w14:paraId="15B19E51">
      <w:pPr>
        <w:pStyle w:val="75"/>
        <w:tabs>
          <w:tab w:val="center" w:pos="4201"/>
          <w:tab w:val="right" w:leader="dot" w:pos="9298"/>
        </w:tabs>
        <w:jc w:val="right"/>
        <w:rPr>
          <w:rFonts w:hint="eastAsia" w:ascii="黑体" w:hAnsi="黑体" w:eastAsia="黑体"/>
        </w:rPr>
      </w:pPr>
      <w:r>
        <w:rPr>
          <w:rFonts w:hint="eastAsia" w:ascii="黑体" w:hAnsi="黑体" w:eastAsia="黑体" w:cs="宋体"/>
        </w:rPr>
        <w:t>C</w:t>
      </w:r>
      <w:r>
        <w:rPr>
          <w:rFonts w:ascii="黑体" w:hAnsi="黑体" w:eastAsia="黑体" w:cs="宋体"/>
        </w:rPr>
        <w:t>GYR-105</w:t>
      </w:r>
      <w:r>
        <w:rPr>
          <w:rFonts w:hint="eastAsia" w:ascii="黑体" w:hAnsi="黑体" w:eastAsia="黑体" w:cs="宋体"/>
        </w:rPr>
        <w:t>物资部-</w:t>
      </w:r>
      <w:r>
        <w:rPr>
          <w:rFonts w:ascii="黑体" w:hAnsi="黑体" w:eastAsia="黑体" w:cs="宋体"/>
        </w:rPr>
        <w:t>0085</w:t>
      </w:r>
    </w:p>
    <w:p w14:paraId="263BD8E8">
      <w:pPr>
        <w:jc w:val="center"/>
        <w:rPr>
          <w:rFonts w:hint="eastAsia" w:ascii="黑体" w:hAnsi="黑体" w:eastAsia="黑体"/>
          <w:sz w:val="32"/>
          <w:szCs w:val="32"/>
        </w:rPr>
      </w:pPr>
      <w:r>
        <w:rPr>
          <w:rFonts w:hint="eastAsia" w:ascii="黑体" w:hAnsi="黑体" w:eastAsia="黑体"/>
          <w:sz w:val="32"/>
          <w:szCs w:val="32"/>
        </w:rPr>
        <w:t>　滁州市轨道交通运营有限公司合格供应商评审表</w:t>
      </w:r>
    </w:p>
    <w:tbl>
      <w:tblPr>
        <w:tblStyle w:val="19"/>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szCs w:val="21"/>
              </w:rPr>
            </w:pPr>
            <w:r>
              <w:rPr>
                <w:rFonts w:hint="eastAsia" w:ascii="黑体" w:hAnsi="黑体" w:eastAsia="黑体"/>
                <w:b/>
                <w:szCs w:val="21"/>
              </w:rPr>
              <w:t>供应商名称</w:t>
            </w:r>
          </w:p>
        </w:tc>
        <w:tc>
          <w:tcPr>
            <w:tcW w:w="3184" w:type="dxa"/>
            <w:vMerge w:val="restart"/>
            <w:tcBorders>
              <w:top w:val="single" w:color="auto" w:sz="4" w:space="0"/>
            </w:tcBorders>
            <w:noWrap w:val="0"/>
            <w:vAlign w:val="center"/>
          </w:tcPr>
          <w:p w14:paraId="04C3ABFD">
            <w:pPr>
              <w:spacing w:line="240" w:lineRule="exact"/>
              <w:jc w:val="left"/>
              <w:rPr>
                <w:b/>
                <w:szCs w:val="21"/>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szCs w:val="21"/>
              </w:rPr>
            </w:pPr>
            <w:r>
              <w:rPr>
                <w:rFonts w:hint="eastAsia"/>
                <w:b/>
                <w:szCs w:val="21"/>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szCs w:val="21"/>
              </w:rPr>
            </w:pPr>
            <w:r>
              <w:rPr>
                <w:rFonts w:hint="eastAsia" w:ascii="宋体" w:hAnsi="宋体" w:cs="宋体"/>
                <w:szCs w:val="21"/>
              </w:rPr>
              <w:t xml:space="preserve">□工程类  □委送外修类  □物资采购类   </w:t>
            </w:r>
          </w:p>
          <w:p w14:paraId="7D2A48B5">
            <w:pPr>
              <w:spacing w:line="240" w:lineRule="exact"/>
              <w:jc w:val="left"/>
              <w:rPr>
                <w:szCs w:val="21"/>
              </w:rPr>
            </w:pPr>
            <w:r>
              <w:rPr>
                <w:rFonts w:hint="eastAsia" w:ascii="宋体" w:hAnsi="宋体" w:cs="宋体"/>
                <w:szCs w:val="21"/>
                <w:lang w:eastAsia="zh-CN"/>
              </w:rPr>
              <w:t>□</w:t>
            </w:r>
            <w:r>
              <w:rPr>
                <w:rFonts w:hint="eastAsia" w:ascii="宋体" w:hAnsi="宋体" w:cs="宋体"/>
                <w:szCs w:val="21"/>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szCs w:val="21"/>
              </w:rPr>
            </w:pPr>
          </w:p>
        </w:tc>
        <w:tc>
          <w:tcPr>
            <w:tcW w:w="3184" w:type="dxa"/>
            <w:vMerge w:val="continue"/>
            <w:noWrap w:val="0"/>
            <w:vAlign w:val="center"/>
          </w:tcPr>
          <w:p w14:paraId="1C20FB00">
            <w:pPr>
              <w:spacing w:line="240" w:lineRule="exact"/>
              <w:jc w:val="left"/>
              <w:rPr>
                <w:b/>
                <w:szCs w:val="21"/>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szCs w:val="21"/>
              </w:rPr>
            </w:pPr>
            <w:r>
              <w:rPr>
                <w:rFonts w:hint="eastAsia"/>
                <w:b/>
                <w:szCs w:val="21"/>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szCs w:val="21"/>
              </w:rPr>
            </w:pPr>
            <w:r>
              <w:rPr>
                <w:rFonts w:hint="eastAsia" w:ascii="宋体" w:hAnsi="宋体" w:cs="宋体"/>
                <w:szCs w:val="21"/>
              </w:rPr>
              <w:t xml:space="preserve">□大众媒体  □市场调查  □业内询邀  </w:t>
            </w:r>
          </w:p>
          <w:p w14:paraId="7475A5FE">
            <w:pPr>
              <w:spacing w:line="240" w:lineRule="exact"/>
              <w:jc w:val="left"/>
              <w:rPr>
                <w:rFonts w:ascii="宋体" w:cs="宋体"/>
                <w:szCs w:val="21"/>
              </w:rPr>
            </w:pPr>
            <w:r>
              <w:rPr>
                <w:rFonts w:hint="eastAsia" w:ascii="宋体" w:hAnsi="宋体" w:cs="宋体"/>
                <w:szCs w:val="21"/>
              </w:rPr>
              <w:sym w:font="Wingdings 2" w:char="00A3"/>
            </w:r>
            <w:r>
              <w:rPr>
                <w:rFonts w:hint="eastAsia" w:ascii="宋体" w:hAnsi="宋体" w:cs="宋体"/>
                <w:szCs w:val="21"/>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szCs w:val="21"/>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szCs w:val="21"/>
              </w:rPr>
            </w:pPr>
            <w:r>
              <w:rPr>
                <w:rFonts w:hint="eastAsia" w:ascii="黑体" w:hAnsi="黑体" w:eastAsia="黑体"/>
                <w:b/>
                <w:szCs w:val="21"/>
              </w:rPr>
              <w:t>合同或项目名称</w:t>
            </w:r>
          </w:p>
        </w:tc>
        <w:tc>
          <w:tcPr>
            <w:tcW w:w="2558" w:type="dxa"/>
            <w:gridSpan w:val="3"/>
            <w:noWrap w:val="0"/>
            <w:vAlign w:val="center"/>
          </w:tcPr>
          <w:p w14:paraId="6233E0C0">
            <w:pPr>
              <w:spacing w:line="240" w:lineRule="exact"/>
              <w:jc w:val="center"/>
              <w:rPr>
                <w:b/>
                <w:szCs w:val="21"/>
              </w:rPr>
            </w:pPr>
            <w:r>
              <w:rPr>
                <w:rFonts w:hint="eastAsia"/>
                <w:b/>
                <w:szCs w:val="21"/>
              </w:rPr>
              <w:t>签约对方单位名称</w:t>
            </w:r>
          </w:p>
        </w:tc>
        <w:tc>
          <w:tcPr>
            <w:tcW w:w="2551" w:type="dxa"/>
            <w:noWrap w:val="0"/>
            <w:vAlign w:val="center"/>
          </w:tcPr>
          <w:p w14:paraId="4CFD9FA3">
            <w:pPr>
              <w:spacing w:line="240" w:lineRule="exact"/>
              <w:jc w:val="center"/>
              <w:rPr>
                <w:b/>
                <w:szCs w:val="21"/>
              </w:rPr>
            </w:pPr>
            <w:r>
              <w:rPr>
                <w:rFonts w:hint="eastAsia"/>
                <w:b/>
                <w:szCs w:val="21"/>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szCs w:val="21"/>
              </w:rPr>
            </w:pPr>
            <w:r>
              <w:rPr>
                <w:rFonts w:hint="eastAsia"/>
                <w:b/>
                <w:szCs w:val="21"/>
              </w:rPr>
              <w:t>近三年业绩</w:t>
            </w:r>
          </w:p>
        </w:tc>
        <w:tc>
          <w:tcPr>
            <w:tcW w:w="779" w:type="dxa"/>
            <w:noWrap w:val="0"/>
            <w:vAlign w:val="center"/>
          </w:tcPr>
          <w:p w14:paraId="1649D019">
            <w:pPr>
              <w:spacing w:line="240" w:lineRule="exact"/>
              <w:jc w:val="center"/>
              <w:rPr>
                <w:sz w:val="18"/>
                <w:szCs w:val="18"/>
              </w:rPr>
            </w:pPr>
            <w:r>
              <w:rPr>
                <w:rFonts w:hint="eastAsia"/>
                <w:sz w:val="18"/>
                <w:szCs w:val="18"/>
              </w:rPr>
              <w:t>1</w:t>
            </w:r>
          </w:p>
        </w:tc>
        <w:tc>
          <w:tcPr>
            <w:tcW w:w="3184" w:type="dxa"/>
            <w:noWrap w:val="0"/>
            <w:vAlign w:val="center"/>
          </w:tcPr>
          <w:p w14:paraId="6CDBE0DF">
            <w:pPr>
              <w:spacing w:line="240" w:lineRule="exact"/>
              <w:jc w:val="left"/>
              <w:rPr>
                <w:b/>
                <w:sz w:val="18"/>
                <w:szCs w:val="18"/>
              </w:rPr>
            </w:pPr>
          </w:p>
        </w:tc>
        <w:tc>
          <w:tcPr>
            <w:tcW w:w="2558" w:type="dxa"/>
            <w:gridSpan w:val="3"/>
            <w:noWrap w:val="0"/>
            <w:vAlign w:val="center"/>
          </w:tcPr>
          <w:p w14:paraId="34BD9CA4">
            <w:pPr>
              <w:spacing w:line="240" w:lineRule="exact"/>
              <w:jc w:val="left"/>
              <w:rPr>
                <w:b/>
                <w:sz w:val="18"/>
                <w:szCs w:val="18"/>
              </w:rPr>
            </w:pPr>
          </w:p>
        </w:tc>
        <w:tc>
          <w:tcPr>
            <w:tcW w:w="2551" w:type="dxa"/>
            <w:noWrap w:val="0"/>
            <w:vAlign w:val="center"/>
          </w:tcPr>
          <w:p w14:paraId="0AAB9092">
            <w:pPr>
              <w:spacing w:line="240" w:lineRule="exact"/>
              <w:jc w:val="left"/>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szCs w:val="21"/>
              </w:rPr>
            </w:pPr>
          </w:p>
        </w:tc>
        <w:tc>
          <w:tcPr>
            <w:tcW w:w="779" w:type="dxa"/>
            <w:noWrap w:val="0"/>
            <w:vAlign w:val="center"/>
          </w:tcPr>
          <w:p w14:paraId="03239B31">
            <w:pPr>
              <w:spacing w:line="240" w:lineRule="exact"/>
              <w:jc w:val="center"/>
              <w:rPr>
                <w:sz w:val="18"/>
                <w:szCs w:val="18"/>
              </w:rPr>
            </w:pPr>
            <w:r>
              <w:rPr>
                <w:rFonts w:hint="eastAsia"/>
                <w:sz w:val="18"/>
                <w:szCs w:val="18"/>
              </w:rPr>
              <w:t>2</w:t>
            </w:r>
          </w:p>
        </w:tc>
        <w:tc>
          <w:tcPr>
            <w:tcW w:w="3184" w:type="dxa"/>
            <w:noWrap w:val="0"/>
            <w:vAlign w:val="center"/>
          </w:tcPr>
          <w:p w14:paraId="253FBB97">
            <w:pPr>
              <w:spacing w:line="240" w:lineRule="exact"/>
              <w:jc w:val="left"/>
              <w:rPr>
                <w:b/>
                <w:sz w:val="18"/>
                <w:szCs w:val="18"/>
              </w:rPr>
            </w:pPr>
          </w:p>
        </w:tc>
        <w:tc>
          <w:tcPr>
            <w:tcW w:w="2558" w:type="dxa"/>
            <w:gridSpan w:val="3"/>
            <w:noWrap w:val="0"/>
            <w:vAlign w:val="center"/>
          </w:tcPr>
          <w:p w14:paraId="0559858B">
            <w:pPr>
              <w:spacing w:line="240" w:lineRule="exact"/>
              <w:jc w:val="left"/>
              <w:rPr>
                <w:b/>
                <w:sz w:val="18"/>
                <w:szCs w:val="18"/>
              </w:rPr>
            </w:pPr>
          </w:p>
        </w:tc>
        <w:tc>
          <w:tcPr>
            <w:tcW w:w="2551" w:type="dxa"/>
            <w:noWrap w:val="0"/>
            <w:vAlign w:val="center"/>
          </w:tcPr>
          <w:p w14:paraId="4A4409CD">
            <w:pPr>
              <w:spacing w:line="240" w:lineRule="exact"/>
              <w:jc w:val="left"/>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szCs w:val="21"/>
              </w:rPr>
            </w:pPr>
          </w:p>
        </w:tc>
        <w:tc>
          <w:tcPr>
            <w:tcW w:w="779" w:type="dxa"/>
            <w:noWrap w:val="0"/>
            <w:vAlign w:val="center"/>
          </w:tcPr>
          <w:p w14:paraId="269DD06C">
            <w:pPr>
              <w:spacing w:line="240" w:lineRule="exact"/>
              <w:jc w:val="center"/>
              <w:rPr>
                <w:sz w:val="18"/>
                <w:szCs w:val="18"/>
              </w:rPr>
            </w:pPr>
            <w:r>
              <w:rPr>
                <w:rFonts w:hint="eastAsia"/>
                <w:sz w:val="18"/>
                <w:szCs w:val="18"/>
              </w:rPr>
              <w:t>3</w:t>
            </w:r>
          </w:p>
        </w:tc>
        <w:tc>
          <w:tcPr>
            <w:tcW w:w="3184" w:type="dxa"/>
            <w:noWrap w:val="0"/>
            <w:vAlign w:val="center"/>
          </w:tcPr>
          <w:p w14:paraId="36FC27A6">
            <w:pPr>
              <w:spacing w:line="240" w:lineRule="exact"/>
              <w:jc w:val="left"/>
              <w:rPr>
                <w:b/>
                <w:sz w:val="18"/>
                <w:szCs w:val="18"/>
              </w:rPr>
            </w:pPr>
          </w:p>
        </w:tc>
        <w:tc>
          <w:tcPr>
            <w:tcW w:w="2558" w:type="dxa"/>
            <w:gridSpan w:val="3"/>
            <w:noWrap w:val="0"/>
            <w:vAlign w:val="center"/>
          </w:tcPr>
          <w:p w14:paraId="37D5ABF6">
            <w:pPr>
              <w:spacing w:line="240" w:lineRule="exact"/>
              <w:jc w:val="left"/>
              <w:rPr>
                <w:b/>
                <w:sz w:val="18"/>
                <w:szCs w:val="18"/>
              </w:rPr>
            </w:pPr>
          </w:p>
        </w:tc>
        <w:tc>
          <w:tcPr>
            <w:tcW w:w="2551" w:type="dxa"/>
            <w:noWrap w:val="0"/>
            <w:vAlign w:val="center"/>
          </w:tcPr>
          <w:p w14:paraId="44AC55A6">
            <w:pPr>
              <w:spacing w:line="240" w:lineRule="exact"/>
              <w:jc w:val="left"/>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szCs w:val="21"/>
              </w:rPr>
            </w:pPr>
          </w:p>
        </w:tc>
        <w:tc>
          <w:tcPr>
            <w:tcW w:w="779" w:type="dxa"/>
            <w:noWrap w:val="0"/>
            <w:vAlign w:val="center"/>
          </w:tcPr>
          <w:p w14:paraId="4B727EDB">
            <w:pPr>
              <w:spacing w:line="240" w:lineRule="exact"/>
              <w:jc w:val="center"/>
              <w:rPr>
                <w:sz w:val="18"/>
                <w:szCs w:val="18"/>
              </w:rPr>
            </w:pPr>
            <w:r>
              <w:rPr>
                <w:rFonts w:hint="eastAsia"/>
                <w:sz w:val="18"/>
                <w:szCs w:val="18"/>
              </w:rPr>
              <w:t>4</w:t>
            </w:r>
          </w:p>
        </w:tc>
        <w:tc>
          <w:tcPr>
            <w:tcW w:w="3184" w:type="dxa"/>
            <w:noWrap w:val="0"/>
            <w:vAlign w:val="center"/>
          </w:tcPr>
          <w:p w14:paraId="228DA95F">
            <w:pPr>
              <w:spacing w:line="240" w:lineRule="exact"/>
              <w:jc w:val="left"/>
              <w:rPr>
                <w:b/>
                <w:sz w:val="18"/>
                <w:szCs w:val="18"/>
              </w:rPr>
            </w:pPr>
          </w:p>
        </w:tc>
        <w:tc>
          <w:tcPr>
            <w:tcW w:w="2558" w:type="dxa"/>
            <w:gridSpan w:val="3"/>
            <w:noWrap w:val="0"/>
            <w:vAlign w:val="center"/>
          </w:tcPr>
          <w:p w14:paraId="2D6EC6D1">
            <w:pPr>
              <w:spacing w:line="240" w:lineRule="exact"/>
              <w:jc w:val="left"/>
              <w:rPr>
                <w:b/>
                <w:sz w:val="18"/>
                <w:szCs w:val="18"/>
              </w:rPr>
            </w:pPr>
          </w:p>
        </w:tc>
        <w:tc>
          <w:tcPr>
            <w:tcW w:w="2551" w:type="dxa"/>
            <w:noWrap w:val="0"/>
            <w:vAlign w:val="center"/>
          </w:tcPr>
          <w:p w14:paraId="74BD3435">
            <w:pPr>
              <w:spacing w:line="240" w:lineRule="exact"/>
              <w:jc w:val="left"/>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szCs w:val="21"/>
              </w:rPr>
            </w:pPr>
          </w:p>
        </w:tc>
        <w:tc>
          <w:tcPr>
            <w:tcW w:w="779" w:type="dxa"/>
            <w:noWrap w:val="0"/>
            <w:vAlign w:val="center"/>
          </w:tcPr>
          <w:p w14:paraId="7C775CD4">
            <w:pPr>
              <w:spacing w:line="240" w:lineRule="exact"/>
              <w:jc w:val="center"/>
              <w:rPr>
                <w:sz w:val="18"/>
                <w:szCs w:val="18"/>
              </w:rPr>
            </w:pPr>
            <w:r>
              <w:rPr>
                <w:rFonts w:hint="eastAsia"/>
                <w:sz w:val="18"/>
                <w:szCs w:val="18"/>
              </w:rPr>
              <w:t>5</w:t>
            </w:r>
          </w:p>
        </w:tc>
        <w:tc>
          <w:tcPr>
            <w:tcW w:w="3184" w:type="dxa"/>
            <w:noWrap w:val="0"/>
            <w:vAlign w:val="center"/>
          </w:tcPr>
          <w:p w14:paraId="2821E671">
            <w:pPr>
              <w:spacing w:line="240" w:lineRule="exact"/>
              <w:jc w:val="left"/>
              <w:rPr>
                <w:b/>
                <w:sz w:val="18"/>
                <w:szCs w:val="18"/>
              </w:rPr>
            </w:pPr>
          </w:p>
        </w:tc>
        <w:tc>
          <w:tcPr>
            <w:tcW w:w="2558" w:type="dxa"/>
            <w:gridSpan w:val="3"/>
            <w:noWrap w:val="0"/>
            <w:vAlign w:val="center"/>
          </w:tcPr>
          <w:p w14:paraId="7D1CD32B">
            <w:pPr>
              <w:spacing w:line="240" w:lineRule="exact"/>
              <w:jc w:val="left"/>
              <w:rPr>
                <w:b/>
                <w:sz w:val="18"/>
                <w:szCs w:val="18"/>
              </w:rPr>
            </w:pPr>
          </w:p>
        </w:tc>
        <w:tc>
          <w:tcPr>
            <w:tcW w:w="2551" w:type="dxa"/>
            <w:noWrap w:val="0"/>
            <w:vAlign w:val="center"/>
          </w:tcPr>
          <w:p w14:paraId="53A007F3">
            <w:pPr>
              <w:spacing w:line="240" w:lineRule="exact"/>
              <w:jc w:val="left"/>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szCs w:val="21"/>
              </w:rPr>
            </w:pPr>
            <w:r>
              <w:rPr>
                <w:rFonts w:hint="eastAsia"/>
                <w:b/>
                <w:szCs w:val="21"/>
              </w:rPr>
              <w:t>资质档案</w:t>
            </w:r>
          </w:p>
        </w:tc>
        <w:tc>
          <w:tcPr>
            <w:tcW w:w="9072" w:type="dxa"/>
            <w:gridSpan w:val="6"/>
            <w:tcBorders>
              <w:bottom w:val="nil"/>
            </w:tcBorders>
            <w:noWrap w:val="0"/>
            <w:vAlign w:val="center"/>
          </w:tcPr>
          <w:p w14:paraId="51B6EED4">
            <w:pPr>
              <w:spacing w:line="240" w:lineRule="exact"/>
              <w:jc w:val="left"/>
              <w:rPr>
                <w:sz w:val="18"/>
                <w:szCs w:val="18"/>
              </w:rPr>
            </w:pPr>
            <w:r>
              <w:rPr>
                <w:rFonts w:hint="eastAsia"/>
                <w:sz w:val="18"/>
                <w:szCs w:val="18"/>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sz w:val="18"/>
                <w:szCs w:val="18"/>
              </w:rPr>
            </w:pPr>
          </w:p>
          <w:p w14:paraId="574E021A">
            <w:pPr>
              <w:spacing w:line="240" w:lineRule="exact"/>
              <w:jc w:val="left"/>
              <w:rPr>
                <w:color w:val="999999"/>
                <w:sz w:val="18"/>
                <w:szCs w:val="18"/>
                <w:u w:val="single"/>
              </w:rPr>
            </w:pPr>
            <w:r>
              <w:rPr>
                <w:rFonts w:hint="eastAsia"/>
                <w:sz w:val="18"/>
                <w:szCs w:val="18"/>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szCs w:val="21"/>
              </w:rPr>
            </w:pPr>
            <w:r>
              <w:rPr>
                <w:rFonts w:hint="eastAsia"/>
                <w:b/>
                <w:szCs w:val="21"/>
              </w:rPr>
              <w:t>供应商申报</w:t>
            </w:r>
          </w:p>
        </w:tc>
        <w:tc>
          <w:tcPr>
            <w:tcW w:w="9072" w:type="dxa"/>
            <w:gridSpan w:val="6"/>
            <w:noWrap w:val="0"/>
            <w:vAlign w:val="top"/>
          </w:tcPr>
          <w:p w14:paraId="0D5260BA">
            <w:pPr>
              <w:spacing w:line="240" w:lineRule="exact"/>
              <w:jc w:val="center"/>
              <w:rPr>
                <w:sz w:val="18"/>
                <w:szCs w:val="18"/>
              </w:rPr>
            </w:pPr>
          </w:p>
          <w:p w14:paraId="11C76C37">
            <w:pPr>
              <w:spacing w:line="240" w:lineRule="exact"/>
              <w:jc w:val="left"/>
              <w:rPr>
                <w:sz w:val="18"/>
                <w:szCs w:val="18"/>
              </w:rPr>
            </w:pPr>
            <w:r>
              <w:rPr>
                <w:rFonts w:hint="eastAsia"/>
                <w:sz w:val="18"/>
                <w:szCs w:val="18"/>
              </w:rPr>
              <w:t>说明：本单位经研究决定，现申请加入贵公司的合格供应商名录，申请承接的项目类为：</w:t>
            </w:r>
            <w:r>
              <w:rPr>
                <w:rFonts w:hint="eastAsia"/>
                <w:sz w:val="18"/>
                <w:szCs w:val="18"/>
                <w:u w:val="single"/>
              </w:rPr>
              <w:t xml:space="preserve">                       。</w:t>
            </w:r>
          </w:p>
          <w:p w14:paraId="0C4FDEC1">
            <w:pPr>
              <w:spacing w:line="240" w:lineRule="exact"/>
              <w:rPr>
                <w:sz w:val="18"/>
                <w:szCs w:val="18"/>
              </w:rPr>
            </w:pPr>
          </w:p>
          <w:p w14:paraId="2B74C1F2">
            <w:pPr>
              <w:spacing w:line="240" w:lineRule="exact"/>
              <w:rPr>
                <w:sz w:val="18"/>
                <w:szCs w:val="18"/>
              </w:rPr>
            </w:pPr>
            <w:r>
              <w:rPr>
                <w:rFonts w:hint="eastAsia"/>
                <w:sz w:val="18"/>
                <w:szCs w:val="18"/>
              </w:rPr>
              <w:t>声明：本表所填事项及所提交的资质档案文件均真实可靠，决无虚假隐瞒或伪造，如有则本公司愿承担由此引起的一切后果。</w:t>
            </w:r>
          </w:p>
          <w:p w14:paraId="0A0465E1">
            <w:pPr>
              <w:spacing w:line="240" w:lineRule="exact"/>
              <w:ind w:firstLine="622" w:firstLineChars="346"/>
              <w:rPr>
                <w:sz w:val="18"/>
                <w:szCs w:val="18"/>
              </w:rPr>
            </w:pPr>
          </w:p>
          <w:p w14:paraId="0AB5FF6C">
            <w:pPr>
              <w:spacing w:line="240" w:lineRule="exact"/>
              <w:jc w:val="left"/>
              <w:rPr>
                <w:sz w:val="18"/>
                <w:szCs w:val="18"/>
              </w:rPr>
            </w:pPr>
            <w:r>
              <w:rPr>
                <w:rFonts w:hint="eastAsia"/>
                <w:sz w:val="18"/>
                <w:szCs w:val="18"/>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szCs w:val="21"/>
              </w:rPr>
            </w:pPr>
            <w:r>
              <w:rPr>
                <w:rFonts w:hint="eastAsia"/>
                <w:b/>
                <w:szCs w:val="21"/>
              </w:rPr>
              <w:t>质量保证能力</w:t>
            </w:r>
          </w:p>
        </w:tc>
        <w:tc>
          <w:tcPr>
            <w:tcW w:w="4536" w:type="dxa"/>
            <w:gridSpan w:val="3"/>
            <w:noWrap w:val="0"/>
            <w:vAlign w:val="center"/>
          </w:tcPr>
          <w:p w14:paraId="5F21DD21">
            <w:pPr>
              <w:spacing w:line="240" w:lineRule="exact"/>
              <w:jc w:val="left"/>
              <w:rPr>
                <w:sz w:val="18"/>
                <w:szCs w:val="18"/>
              </w:rPr>
            </w:pPr>
            <w:r>
              <w:rPr>
                <w:rFonts w:hint="eastAsia"/>
                <w:sz w:val="18"/>
                <w:szCs w:val="18"/>
              </w:rPr>
              <w:t>注册资本</w:t>
            </w:r>
          </w:p>
        </w:tc>
        <w:tc>
          <w:tcPr>
            <w:tcW w:w="4536" w:type="dxa"/>
            <w:gridSpan w:val="3"/>
            <w:noWrap w:val="0"/>
            <w:vAlign w:val="top"/>
          </w:tcPr>
          <w:p w14:paraId="128B7C1C">
            <w:pPr>
              <w:spacing w:line="240" w:lineRule="exact"/>
              <w:jc w:val="left"/>
              <w:rPr>
                <w:sz w:val="18"/>
                <w:szCs w:val="18"/>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szCs w:val="21"/>
              </w:rPr>
            </w:pPr>
          </w:p>
        </w:tc>
        <w:tc>
          <w:tcPr>
            <w:tcW w:w="4536" w:type="dxa"/>
            <w:gridSpan w:val="3"/>
            <w:noWrap w:val="0"/>
            <w:vAlign w:val="center"/>
          </w:tcPr>
          <w:p w14:paraId="7FE007AA">
            <w:pPr>
              <w:spacing w:line="240" w:lineRule="exact"/>
              <w:jc w:val="left"/>
              <w:rPr>
                <w:sz w:val="18"/>
                <w:szCs w:val="18"/>
              </w:rPr>
            </w:pPr>
            <w:r>
              <w:rPr>
                <w:rFonts w:hint="eastAsia"/>
                <w:sz w:val="18"/>
                <w:szCs w:val="18"/>
              </w:rPr>
              <w:t>固定资产</w:t>
            </w:r>
          </w:p>
        </w:tc>
        <w:tc>
          <w:tcPr>
            <w:tcW w:w="4536" w:type="dxa"/>
            <w:gridSpan w:val="3"/>
            <w:noWrap w:val="0"/>
            <w:vAlign w:val="top"/>
          </w:tcPr>
          <w:p w14:paraId="219EF32A">
            <w:pPr>
              <w:spacing w:line="240" w:lineRule="exact"/>
              <w:jc w:val="left"/>
              <w:rPr>
                <w:sz w:val="18"/>
                <w:szCs w:val="18"/>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szCs w:val="21"/>
              </w:rPr>
            </w:pPr>
          </w:p>
        </w:tc>
        <w:tc>
          <w:tcPr>
            <w:tcW w:w="4536" w:type="dxa"/>
            <w:gridSpan w:val="3"/>
            <w:noWrap w:val="0"/>
            <w:vAlign w:val="center"/>
          </w:tcPr>
          <w:p w14:paraId="64DDD47D">
            <w:pPr>
              <w:spacing w:line="240" w:lineRule="exact"/>
              <w:jc w:val="left"/>
              <w:rPr>
                <w:sz w:val="18"/>
                <w:szCs w:val="18"/>
              </w:rPr>
            </w:pPr>
            <w:r>
              <w:rPr>
                <w:rFonts w:hint="eastAsia"/>
                <w:sz w:val="18"/>
                <w:szCs w:val="18"/>
              </w:rPr>
              <w:t>员工数量</w:t>
            </w:r>
          </w:p>
        </w:tc>
        <w:tc>
          <w:tcPr>
            <w:tcW w:w="4536" w:type="dxa"/>
            <w:gridSpan w:val="3"/>
            <w:noWrap w:val="0"/>
            <w:vAlign w:val="top"/>
          </w:tcPr>
          <w:p w14:paraId="17BB7500">
            <w:pPr>
              <w:spacing w:line="240" w:lineRule="exact"/>
              <w:jc w:val="left"/>
              <w:rPr>
                <w:sz w:val="18"/>
                <w:szCs w:val="18"/>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szCs w:val="21"/>
              </w:rPr>
            </w:pPr>
          </w:p>
        </w:tc>
        <w:tc>
          <w:tcPr>
            <w:tcW w:w="4536" w:type="dxa"/>
            <w:gridSpan w:val="3"/>
            <w:noWrap w:val="0"/>
            <w:vAlign w:val="center"/>
          </w:tcPr>
          <w:p w14:paraId="27E5B09D">
            <w:pPr>
              <w:spacing w:line="240" w:lineRule="exact"/>
              <w:jc w:val="left"/>
              <w:rPr>
                <w:sz w:val="18"/>
                <w:szCs w:val="18"/>
              </w:rPr>
            </w:pPr>
            <w:r>
              <w:rPr>
                <w:rFonts w:hint="eastAsia"/>
                <w:sz w:val="18"/>
                <w:szCs w:val="18"/>
              </w:rPr>
              <w:t>何时通过何种体系认证</w:t>
            </w:r>
          </w:p>
        </w:tc>
        <w:tc>
          <w:tcPr>
            <w:tcW w:w="4536" w:type="dxa"/>
            <w:gridSpan w:val="3"/>
            <w:noWrap w:val="0"/>
            <w:vAlign w:val="top"/>
          </w:tcPr>
          <w:p w14:paraId="51F136D3">
            <w:pPr>
              <w:spacing w:line="240" w:lineRule="exact"/>
              <w:jc w:val="left"/>
              <w:rPr>
                <w:sz w:val="18"/>
                <w:szCs w:val="18"/>
              </w:rPr>
            </w:pPr>
            <w:r>
              <w:rPr>
                <w:rFonts w:hint="eastAsia"/>
                <w:sz w:val="18"/>
                <w:szCs w:val="18"/>
              </w:rPr>
              <w:t xml:space="preserve">□ISO9001                 </w:t>
            </w:r>
            <w:r>
              <w:rPr>
                <w:rFonts w:hint="eastAsia"/>
                <w:sz w:val="18"/>
                <w:szCs w:val="18"/>
                <w:lang w:val="en-US" w:eastAsia="zh-CN"/>
              </w:rPr>
              <w:t xml:space="preserve">  </w:t>
            </w:r>
            <w:r>
              <w:rPr>
                <w:rFonts w:hint="eastAsia"/>
                <w:sz w:val="18"/>
                <w:szCs w:val="18"/>
              </w:rPr>
              <w:t xml:space="preserve">   时间：</w:t>
            </w:r>
          </w:p>
          <w:p w14:paraId="28430BB1">
            <w:pPr>
              <w:spacing w:line="240" w:lineRule="exact"/>
              <w:jc w:val="left"/>
              <w:rPr>
                <w:sz w:val="18"/>
                <w:szCs w:val="18"/>
              </w:rPr>
            </w:pPr>
            <w:r>
              <w:rPr>
                <w:rFonts w:hint="eastAsia"/>
                <w:sz w:val="18"/>
                <w:szCs w:val="18"/>
              </w:rPr>
              <w:t xml:space="preserve">□ISO14001                 </w:t>
            </w:r>
            <w:r>
              <w:rPr>
                <w:rFonts w:hint="eastAsia"/>
                <w:sz w:val="18"/>
                <w:szCs w:val="18"/>
                <w:lang w:val="en-US" w:eastAsia="zh-CN"/>
              </w:rPr>
              <w:t xml:space="preserve">  </w:t>
            </w:r>
            <w:r>
              <w:rPr>
                <w:rFonts w:hint="eastAsia"/>
                <w:sz w:val="18"/>
                <w:szCs w:val="18"/>
              </w:rPr>
              <w:t xml:space="preserve">  时间：</w:t>
            </w:r>
          </w:p>
          <w:p w14:paraId="7C5F303E">
            <w:pPr>
              <w:spacing w:line="240" w:lineRule="exact"/>
              <w:jc w:val="left"/>
              <w:rPr>
                <w:sz w:val="18"/>
                <w:szCs w:val="18"/>
              </w:rPr>
            </w:pPr>
            <w:r>
              <w:rPr>
                <w:rFonts w:hint="eastAsia"/>
                <w:sz w:val="18"/>
                <w:szCs w:val="18"/>
              </w:rPr>
              <w:t xml:space="preserve">□OHSMS18000              </w:t>
            </w:r>
            <w:r>
              <w:rPr>
                <w:rFonts w:hint="eastAsia"/>
                <w:sz w:val="18"/>
                <w:szCs w:val="18"/>
                <w:lang w:val="en-US" w:eastAsia="zh-CN"/>
              </w:rPr>
              <w:t xml:space="preserve">   </w:t>
            </w:r>
            <w:r>
              <w:rPr>
                <w:rFonts w:hint="eastAsia"/>
                <w:sz w:val="18"/>
                <w:szCs w:val="18"/>
              </w:rPr>
              <w:t>时间：</w:t>
            </w:r>
          </w:p>
          <w:p w14:paraId="4031DFFB">
            <w:pPr>
              <w:spacing w:line="240" w:lineRule="exact"/>
              <w:jc w:val="left"/>
              <w:rPr>
                <w:sz w:val="18"/>
                <w:szCs w:val="18"/>
              </w:rPr>
            </w:pPr>
            <w:r>
              <w:rPr>
                <w:rFonts w:hint="eastAsia"/>
                <w:sz w:val="18"/>
                <w:szCs w:val="18"/>
              </w:rPr>
              <w:t xml:space="preserve">□其他                       </w:t>
            </w:r>
            <w:r>
              <w:rPr>
                <w:rFonts w:hint="eastAsia"/>
                <w:sz w:val="18"/>
                <w:szCs w:val="18"/>
                <w:lang w:val="en-US" w:eastAsia="zh-CN"/>
              </w:rPr>
              <w:t xml:space="preserve">  </w:t>
            </w:r>
            <w:r>
              <w:rPr>
                <w:rFonts w:hint="eastAsia"/>
                <w:sz w:val="18"/>
                <w:szCs w:val="18"/>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szCs w:val="21"/>
              </w:rPr>
            </w:pPr>
          </w:p>
        </w:tc>
        <w:tc>
          <w:tcPr>
            <w:tcW w:w="4536" w:type="dxa"/>
            <w:gridSpan w:val="3"/>
            <w:noWrap w:val="0"/>
            <w:vAlign w:val="top"/>
          </w:tcPr>
          <w:p w14:paraId="40ABDF32">
            <w:pPr>
              <w:spacing w:line="240" w:lineRule="exact"/>
              <w:jc w:val="left"/>
              <w:rPr>
                <w:sz w:val="18"/>
                <w:szCs w:val="18"/>
              </w:rPr>
            </w:pPr>
            <w:r>
              <w:rPr>
                <w:rFonts w:hint="eastAsia"/>
                <w:sz w:val="18"/>
                <w:szCs w:val="18"/>
              </w:rPr>
              <w:t>安全生产许可证</w:t>
            </w:r>
          </w:p>
        </w:tc>
        <w:tc>
          <w:tcPr>
            <w:tcW w:w="4536" w:type="dxa"/>
            <w:gridSpan w:val="3"/>
            <w:noWrap w:val="0"/>
            <w:vAlign w:val="top"/>
          </w:tcPr>
          <w:p w14:paraId="2AF72809">
            <w:pPr>
              <w:spacing w:line="240" w:lineRule="exact"/>
              <w:jc w:val="left"/>
              <w:rPr>
                <w:sz w:val="18"/>
                <w:szCs w:val="18"/>
              </w:rPr>
            </w:pPr>
            <w:r>
              <w:rPr>
                <w:rFonts w:hint="eastAsia"/>
                <w:sz w:val="18"/>
                <w:szCs w:val="18"/>
              </w:rPr>
              <w:t xml:space="preserve">□有 </w:t>
            </w:r>
            <w:r>
              <w:rPr>
                <w:rFonts w:hint="eastAsia"/>
                <w:sz w:val="18"/>
                <w:szCs w:val="18"/>
                <w:lang w:val="en-US" w:eastAsia="zh-CN"/>
              </w:rPr>
              <w:t xml:space="preserve">               </w:t>
            </w:r>
            <w:r>
              <w:rPr>
                <w:rFonts w:hint="eastAsia"/>
                <w:sz w:val="18"/>
                <w:szCs w:val="18"/>
                <w:lang w:eastAsia="zh-CN"/>
              </w:rPr>
              <w:t>□</w:t>
            </w:r>
            <w:r>
              <w:rPr>
                <w:rFonts w:hint="eastAsia"/>
                <w:sz w:val="18"/>
                <w:szCs w:val="18"/>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szCs w:val="21"/>
              </w:rPr>
            </w:pPr>
          </w:p>
        </w:tc>
        <w:tc>
          <w:tcPr>
            <w:tcW w:w="4536" w:type="dxa"/>
            <w:gridSpan w:val="3"/>
            <w:noWrap w:val="0"/>
            <w:vAlign w:val="top"/>
          </w:tcPr>
          <w:p w14:paraId="0AA28B20">
            <w:pPr>
              <w:spacing w:line="240" w:lineRule="exact"/>
              <w:jc w:val="left"/>
              <w:rPr>
                <w:sz w:val="18"/>
                <w:szCs w:val="18"/>
              </w:rPr>
            </w:pPr>
            <w:r>
              <w:rPr>
                <w:rFonts w:hint="eastAsia"/>
                <w:sz w:val="18"/>
                <w:szCs w:val="18"/>
              </w:rPr>
              <w:t xml:space="preserve">国家法定资质的检验机构报告 </w:t>
            </w:r>
          </w:p>
        </w:tc>
        <w:tc>
          <w:tcPr>
            <w:tcW w:w="4536" w:type="dxa"/>
            <w:gridSpan w:val="3"/>
            <w:noWrap w:val="0"/>
            <w:vAlign w:val="top"/>
          </w:tcPr>
          <w:p w14:paraId="5F5A0621">
            <w:pPr>
              <w:spacing w:line="240" w:lineRule="exact"/>
              <w:jc w:val="left"/>
              <w:rPr>
                <w:sz w:val="18"/>
                <w:szCs w:val="18"/>
              </w:rPr>
            </w:pPr>
            <w:r>
              <w:rPr>
                <w:rFonts w:hint="eastAsia"/>
                <w:sz w:val="18"/>
                <w:szCs w:val="18"/>
              </w:rPr>
              <w:t xml:space="preserve">□有      </w:t>
            </w:r>
            <w:r>
              <w:rPr>
                <w:rFonts w:hint="eastAsia"/>
                <w:sz w:val="18"/>
                <w:szCs w:val="18"/>
                <w:lang w:val="en-US" w:eastAsia="zh-CN"/>
              </w:rPr>
              <w:t xml:space="preserve">        </w:t>
            </w:r>
            <w:r>
              <w:rPr>
                <w:rFonts w:hint="eastAsia"/>
                <w:sz w:val="18"/>
                <w:szCs w:val="18"/>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szCs w:val="21"/>
              </w:rPr>
            </w:pPr>
          </w:p>
        </w:tc>
        <w:tc>
          <w:tcPr>
            <w:tcW w:w="4536" w:type="dxa"/>
            <w:gridSpan w:val="3"/>
            <w:noWrap w:val="0"/>
            <w:vAlign w:val="top"/>
          </w:tcPr>
          <w:p w14:paraId="58597FDC">
            <w:pPr>
              <w:spacing w:line="240" w:lineRule="exact"/>
              <w:jc w:val="left"/>
              <w:rPr>
                <w:rFonts w:hint="eastAsia"/>
                <w:sz w:val="18"/>
                <w:szCs w:val="18"/>
              </w:rPr>
            </w:pPr>
            <w:r>
              <w:rPr>
                <w:rFonts w:hint="eastAsia"/>
                <w:sz w:val="18"/>
                <w:szCs w:val="18"/>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sz w:val="18"/>
                <w:szCs w:val="18"/>
                <w:lang w:val="en-US" w:eastAsia="zh-CN" w:bidi="ar-SA"/>
              </w:rPr>
            </w:pPr>
            <w:r>
              <w:rPr>
                <w:rFonts w:hint="eastAsia"/>
                <w:sz w:val="18"/>
                <w:szCs w:val="18"/>
              </w:rPr>
              <w:t xml:space="preserve">□有        </w:t>
            </w:r>
            <w:r>
              <w:rPr>
                <w:rFonts w:hint="eastAsia"/>
                <w:sz w:val="18"/>
                <w:szCs w:val="18"/>
                <w:lang w:val="en-US" w:eastAsia="zh-CN"/>
              </w:rPr>
              <w:t xml:space="preserve">        </w:t>
            </w:r>
            <w:r>
              <w:rPr>
                <w:rFonts w:hint="eastAsia"/>
                <w:sz w:val="18"/>
                <w:szCs w:val="18"/>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szCs w:val="21"/>
              </w:rPr>
            </w:pPr>
          </w:p>
        </w:tc>
        <w:tc>
          <w:tcPr>
            <w:tcW w:w="4536" w:type="dxa"/>
            <w:gridSpan w:val="3"/>
            <w:noWrap w:val="0"/>
            <w:vAlign w:val="top"/>
          </w:tcPr>
          <w:p w14:paraId="515F3B96">
            <w:pPr>
              <w:spacing w:line="240" w:lineRule="exact"/>
              <w:jc w:val="left"/>
              <w:rPr>
                <w:sz w:val="18"/>
                <w:szCs w:val="18"/>
              </w:rPr>
            </w:pPr>
            <w:r>
              <w:rPr>
                <w:rFonts w:hint="eastAsia"/>
                <w:sz w:val="18"/>
                <w:szCs w:val="18"/>
              </w:rPr>
              <w:t xml:space="preserve">危险化学品经营许可证  </w:t>
            </w:r>
          </w:p>
        </w:tc>
        <w:tc>
          <w:tcPr>
            <w:tcW w:w="4536" w:type="dxa"/>
            <w:gridSpan w:val="3"/>
            <w:noWrap w:val="0"/>
            <w:vAlign w:val="top"/>
          </w:tcPr>
          <w:p w14:paraId="7D186059">
            <w:pPr>
              <w:spacing w:line="240" w:lineRule="exact"/>
              <w:jc w:val="left"/>
              <w:rPr>
                <w:sz w:val="18"/>
                <w:szCs w:val="18"/>
              </w:rPr>
            </w:pPr>
            <w:r>
              <w:rPr>
                <w:rFonts w:hint="eastAsia"/>
                <w:sz w:val="18"/>
                <w:szCs w:val="18"/>
              </w:rPr>
              <w:t xml:space="preserve">□有        </w:t>
            </w:r>
            <w:r>
              <w:rPr>
                <w:rFonts w:hint="eastAsia"/>
                <w:sz w:val="18"/>
                <w:szCs w:val="18"/>
                <w:lang w:val="en-US" w:eastAsia="zh-CN"/>
              </w:rPr>
              <w:t xml:space="preserve">        </w:t>
            </w:r>
            <w:r>
              <w:rPr>
                <w:rFonts w:hint="eastAsia"/>
                <w:sz w:val="18"/>
                <w:szCs w:val="18"/>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szCs w:val="21"/>
              </w:rPr>
            </w:pPr>
          </w:p>
        </w:tc>
        <w:tc>
          <w:tcPr>
            <w:tcW w:w="4536" w:type="dxa"/>
            <w:gridSpan w:val="3"/>
            <w:noWrap w:val="0"/>
            <w:vAlign w:val="top"/>
          </w:tcPr>
          <w:p w14:paraId="27548D5F">
            <w:pPr>
              <w:spacing w:line="240" w:lineRule="exact"/>
              <w:jc w:val="left"/>
              <w:rPr>
                <w:sz w:val="18"/>
                <w:szCs w:val="18"/>
              </w:rPr>
            </w:pPr>
            <w:r>
              <w:rPr>
                <w:rFonts w:hint="eastAsia"/>
                <w:sz w:val="18"/>
                <w:szCs w:val="18"/>
              </w:rPr>
              <w:t xml:space="preserve">代理品牌授权证书       </w:t>
            </w:r>
          </w:p>
        </w:tc>
        <w:tc>
          <w:tcPr>
            <w:tcW w:w="4536" w:type="dxa"/>
            <w:gridSpan w:val="3"/>
            <w:noWrap w:val="0"/>
            <w:vAlign w:val="top"/>
          </w:tcPr>
          <w:p w14:paraId="2504944D">
            <w:pPr>
              <w:spacing w:line="240" w:lineRule="exact"/>
              <w:jc w:val="left"/>
              <w:rPr>
                <w:sz w:val="18"/>
                <w:szCs w:val="18"/>
              </w:rPr>
            </w:pPr>
            <w:r>
              <w:rPr>
                <w:rFonts w:hint="eastAsia"/>
                <w:sz w:val="18"/>
                <w:szCs w:val="18"/>
              </w:rPr>
              <w:t>□有  代理品牌名称：</w:t>
            </w:r>
            <w:r>
              <w:rPr>
                <w:rFonts w:hint="eastAsia"/>
                <w:sz w:val="18"/>
                <w:szCs w:val="18"/>
              </w:rPr>
              <w:sym w:font="Wingdings 2" w:char="00A3"/>
            </w:r>
            <w:r>
              <w:rPr>
                <w:rFonts w:hint="eastAsia"/>
                <w:sz w:val="18"/>
                <w:szCs w:val="18"/>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szCs w:val="21"/>
              </w:rPr>
            </w:pPr>
          </w:p>
        </w:tc>
        <w:tc>
          <w:tcPr>
            <w:tcW w:w="4536" w:type="dxa"/>
            <w:gridSpan w:val="3"/>
            <w:noWrap w:val="0"/>
            <w:vAlign w:val="top"/>
          </w:tcPr>
          <w:p w14:paraId="3D519F8C">
            <w:pPr>
              <w:spacing w:line="240" w:lineRule="exact"/>
              <w:jc w:val="left"/>
              <w:rPr>
                <w:sz w:val="18"/>
                <w:szCs w:val="18"/>
              </w:rPr>
            </w:pPr>
            <w:r>
              <w:rPr>
                <w:rFonts w:hint="eastAsia"/>
                <w:sz w:val="18"/>
                <w:szCs w:val="18"/>
              </w:rPr>
              <w:t>企业施工、承包资质证书</w:t>
            </w:r>
          </w:p>
        </w:tc>
        <w:tc>
          <w:tcPr>
            <w:tcW w:w="4536" w:type="dxa"/>
            <w:gridSpan w:val="3"/>
            <w:noWrap w:val="0"/>
            <w:vAlign w:val="top"/>
          </w:tcPr>
          <w:p w14:paraId="48177475">
            <w:pPr>
              <w:spacing w:line="240" w:lineRule="exact"/>
              <w:jc w:val="left"/>
              <w:rPr>
                <w:sz w:val="18"/>
                <w:szCs w:val="18"/>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szCs w:val="21"/>
              </w:rPr>
            </w:pPr>
          </w:p>
        </w:tc>
        <w:tc>
          <w:tcPr>
            <w:tcW w:w="4536" w:type="dxa"/>
            <w:gridSpan w:val="3"/>
            <w:noWrap w:val="0"/>
            <w:vAlign w:val="top"/>
          </w:tcPr>
          <w:p w14:paraId="440D78A8">
            <w:pPr>
              <w:spacing w:line="240" w:lineRule="exact"/>
              <w:jc w:val="left"/>
              <w:rPr>
                <w:sz w:val="18"/>
                <w:szCs w:val="18"/>
              </w:rPr>
            </w:pPr>
            <w:r>
              <w:rPr>
                <w:rFonts w:hint="eastAsia"/>
                <w:sz w:val="18"/>
                <w:szCs w:val="18"/>
              </w:rPr>
              <w:t>其他资质</w:t>
            </w:r>
          </w:p>
        </w:tc>
        <w:tc>
          <w:tcPr>
            <w:tcW w:w="4536" w:type="dxa"/>
            <w:gridSpan w:val="3"/>
            <w:noWrap w:val="0"/>
            <w:vAlign w:val="top"/>
          </w:tcPr>
          <w:p w14:paraId="47C59016">
            <w:pPr>
              <w:spacing w:line="240" w:lineRule="exact"/>
              <w:jc w:val="left"/>
              <w:rPr>
                <w:sz w:val="18"/>
                <w:szCs w:val="18"/>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szCs w:val="21"/>
              </w:rPr>
            </w:pPr>
            <w:r>
              <w:rPr>
                <w:rFonts w:hint="eastAsia"/>
                <w:b/>
                <w:szCs w:val="21"/>
              </w:rPr>
              <w:t>专业单位</w:t>
            </w:r>
          </w:p>
        </w:tc>
        <w:tc>
          <w:tcPr>
            <w:tcW w:w="9072" w:type="dxa"/>
            <w:gridSpan w:val="6"/>
            <w:noWrap w:val="0"/>
            <w:vAlign w:val="top"/>
          </w:tcPr>
          <w:p w14:paraId="5F470C76">
            <w:pPr>
              <w:spacing w:line="240" w:lineRule="exact"/>
              <w:jc w:val="left"/>
              <w:rPr>
                <w:szCs w:val="21"/>
              </w:rPr>
            </w:pPr>
            <w:r>
              <w:rPr>
                <w:rFonts w:hint="eastAsia" w:ascii="宋体" w:hAnsi="宋体"/>
                <w:szCs w:val="21"/>
              </w:rPr>
              <w:t>□</w:t>
            </w:r>
            <w:r>
              <w:rPr>
                <w:rFonts w:hint="eastAsia"/>
                <w:szCs w:val="21"/>
              </w:rPr>
              <w:t xml:space="preserve">同意      </w:t>
            </w:r>
            <w:r>
              <w:rPr>
                <w:rFonts w:hint="eastAsia" w:ascii="宋体" w:hAnsi="宋体"/>
                <w:szCs w:val="21"/>
              </w:rPr>
              <w:t>□</w:t>
            </w:r>
            <w:r>
              <w:rPr>
                <w:rFonts w:hint="eastAsia"/>
                <w:szCs w:val="21"/>
              </w:rPr>
              <w:t>不同意</w:t>
            </w:r>
          </w:p>
          <w:p w14:paraId="30BA6AF0">
            <w:pPr>
              <w:spacing w:line="240" w:lineRule="exact"/>
              <w:jc w:val="left"/>
              <w:rPr>
                <w:b/>
                <w:sz w:val="18"/>
                <w:szCs w:val="18"/>
              </w:rPr>
            </w:pPr>
            <w:r>
              <w:rPr>
                <w:rFonts w:hint="eastAsia" w:ascii="仿宋_GB2312" w:eastAsia="仿宋_GB2312"/>
                <w:szCs w:val="21"/>
              </w:rPr>
              <w:t>（业绩与能力方面）说明：</w:t>
            </w:r>
          </w:p>
          <w:p w14:paraId="5EF1DAFB">
            <w:pPr>
              <w:spacing w:line="240" w:lineRule="exact"/>
              <w:jc w:val="left"/>
              <w:rPr>
                <w:b/>
                <w:sz w:val="18"/>
                <w:szCs w:val="18"/>
              </w:rPr>
            </w:pPr>
          </w:p>
          <w:p w14:paraId="6291F993">
            <w:pPr>
              <w:spacing w:line="240" w:lineRule="exact"/>
              <w:jc w:val="left"/>
              <w:rPr>
                <w:b/>
                <w:sz w:val="18"/>
                <w:szCs w:val="18"/>
              </w:rPr>
            </w:pPr>
          </w:p>
          <w:p w14:paraId="04B04B6F">
            <w:pPr>
              <w:spacing w:line="240" w:lineRule="exact"/>
              <w:jc w:val="left"/>
              <w:rPr>
                <w:sz w:val="18"/>
                <w:szCs w:val="18"/>
              </w:rPr>
            </w:pPr>
            <w:r>
              <w:rPr>
                <w:rFonts w:hint="eastAsia"/>
                <w:sz w:val="18"/>
                <w:szCs w:val="18"/>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szCs w:val="21"/>
              </w:rPr>
            </w:pPr>
            <w:r>
              <w:rPr>
                <w:rFonts w:hint="eastAsia"/>
                <w:b/>
                <w:szCs w:val="21"/>
              </w:rPr>
              <w:t>职能单位</w:t>
            </w:r>
          </w:p>
        </w:tc>
        <w:tc>
          <w:tcPr>
            <w:tcW w:w="9072" w:type="dxa"/>
            <w:gridSpan w:val="6"/>
            <w:noWrap w:val="0"/>
            <w:vAlign w:val="center"/>
          </w:tcPr>
          <w:p w14:paraId="7DFE7DA1">
            <w:pPr>
              <w:spacing w:line="240" w:lineRule="exact"/>
              <w:jc w:val="left"/>
              <w:rPr>
                <w:szCs w:val="21"/>
              </w:rPr>
            </w:pPr>
            <w:r>
              <w:rPr>
                <w:rFonts w:hint="eastAsia" w:ascii="宋体" w:hAnsi="宋体"/>
                <w:szCs w:val="21"/>
              </w:rPr>
              <w:t>□列入</w:t>
            </w:r>
            <w:r>
              <w:rPr>
                <w:rFonts w:hint="eastAsia"/>
                <w:szCs w:val="21"/>
              </w:rPr>
              <w:t xml:space="preserve">合格供应商名录        </w:t>
            </w:r>
            <w:r>
              <w:rPr>
                <w:rFonts w:hint="eastAsia" w:ascii="宋体" w:hAnsi="宋体"/>
                <w:szCs w:val="21"/>
              </w:rPr>
              <w:t>□暂缓列入</w:t>
            </w:r>
            <w:r>
              <w:rPr>
                <w:rFonts w:hint="eastAsia"/>
                <w:szCs w:val="21"/>
              </w:rPr>
              <w:t>合格供应商名录</w:t>
            </w:r>
          </w:p>
          <w:p w14:paraId="2788DD95">
            <w:pPr>
              <w:spacing w:line="240" w:lineRule="exact"/>
              <w:jc w:val="left"/>
              <w:rPr>
                <w:b/>
                <w:szCs w:val="21"/>
              </w:rPr>
            </w:pPr>
            <w:r>
              <w:rPr>
                <w:rFonts w:hint="eastAsia" w:ascii="仿宋_GB2312" w:eastAsia="仿宋_GB2312"/>
                <w:szCs w:val="21"/>
              </w:rPr>
              <w:t>综合评价及推荐意见：</w:t>
            </w:r>
          </w:p>
          <w:p w14:paraId="09E631C0">
            <w:pPr>
              <w:spacing w:line="240" w:lineRule="exact"/>
              <w:jc w:val="left"/>
              <w:rPr>
                <w:b/>
                <w:sz w:val="18"/>
                <w:szCs w:val="18"/>
              </w:rPr>
            </w:pPr>
          </w:p>
          <w:p w14:paraId="5BD38210">
            <w:pPr>
              <w:spacing w:line="240" w:lineRule="exact"/>
              <w:jc w:val="left"/>
              <w:rPr>
                <w:b/>
                <w:sz w:val="18"/>
                <w:szCs w:val="18"/>
              </w:rPr>
            </w:pPr>
          </w:p>
          <w:p w14:paraId="3F2890AC">
            <w:pPr>
              <w:spacing w:line="240" w:lineRule="exact"/>
              <w:jc w:val="left"/>
              <w:rPr>
                <w:b/>
                <w:sz w:val="18"/>
                <w:szCs w:val="18"/>
              </w:rPr>
            </w:pPr>
          </w:p>
          <w:p w14:paraId="5265232F">
            <w:pPr>
              <w:spacing w:line="240" w:lineRule="exact"/>
              <w:jc w:val="left"/>
              <w:rPr>
                <w:b/>
                <w:sz w:val="18"/>
                <w:szCs w:val="18"/>
              </w:rPr>
            </w:pPr>
            <w:r>
              <w:rPr>
                <w:rFonts w:hint="eastAsia"/>
                <w:sz w:val="18"/>
                <w:szCs w:val="18"/>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szCs w:val="21"/>
              </w:rPr>
            </w:pPr>
            <w:r>
              <w:rPr>
                <w:rFonts w:hint="eastAsia"/>
                <w:b/>
                <w:szCs w:val="21"/>
              </w:rPr>
              <w:t>物资部</w:t>
            </w:r>
          </w:p>
        </w:tc>
        <w:tc>
          <w:tcPr>
            <w:tcW w:w="9072" w:type="dxa"/>
            <w:gridSpan w:val="6"/>
            <w:noWrap w:val="0"/>
            <w:vAlign w:val="center"/>
          </w:tcPr>
          <w:p w14:paraId="61F4AE86">
            <w:pPr>
              <w:spacing w:line="240" w:lineRule="exact"/>
              <w:jc w:val="left"/>
              <w:rPr>
                <w:szCs w:val="21"/>
              </w:rPr>
            </w:pPr>
            <w:r>
              <w:rPr>
                <w:rFonts w:hint="eastAsia" w:ascii="宋体" w:hAnsi="宋体"/>
                <w:szCs w:val="21"/>
              </w:rPr>
              <w:t>□</w:t>
            </w:r>
            <w:r>
              <w:rPr>
                <w:rFonts w:hint="eastAsia"/>
                <w:szCs w:val="21"/>
              </w:rPr>
              <w:t xml:space="preserve">同意      </w:t>
            </w:r>
            <w:r>
              <w:rPr>
                <w:rFonts w:hint="eastAsia" w:ascii="宋体" w:hAnsi="宋体"/>
                <w:szCs w:val="21"/>
              </w:rPr>
              <w:t>□</w:t>
            </w:r>
            <w:r>
              <w:rPr>
                <w:rFonts w:hint="eastAsia"/>
                <w:szCs w:val="21"/>
              </w:rPr>
              <w:t>不同意</w:t>
            </w:r>
          </w:p>
          <w:p w14:paraId="21263DA6">
            <w:pPr>
              <w:spacing w:line="240" w:lineRule="exact"/>
              <w:jc w:val="left"/>
              <w:rPr>
                <w:b/>
                <w:szCs w:val="21"/>
              </w:rPr>
            </w:pPr>
            <w:r>
              <w:rPr>
                <w:rFonts w:hint="eastAsia" w:ascii="仿宋_GB2312" w:eastAsia="仿宋_GB2312"/>
                <w:szCs w:val="21"/>
              </w:rPr>
              <w:t>（商务与资质方面）说明：</w:t>
            </w:r>
          </w:p>
          <w:p w14:paraId="155BBC22">
            <w:pPr>
              <w:spacing w:line="240" w:lineRule="exact"/>
              <w:jc w:val="left"/>
              <w:rPr>
                <w:b/>
                <w:sz w:val="18"/>
                <w:szCs w:val="18"/>
              </w:rPr>
            </w:pPr>
          </w:p>
          <w:p w14:paraId="0CCAFB17">
            <w:pPr>
              <w:spacing w:line="240" w:lineRule="exact"/>
              <w:jc w:val="left"/>
              <w:rPr>
                <w:b/>
                <w:sz w:val="18"/>
                <w:szCs w:val="18"/>
              </w:rPr>
            </w:pPr>
          </w:p>
          <w:p w14:paraId="3FF5F4B3">
            <w:pPr>
              <w:spacing w:line="240" w:lineRule="exact"/>
              <w:jc w:val="left"/>
              <w:rPr>
                <w:b/>
                <w:sz w:val="18"/>
                <w:szCs w:val="18"/>
              </w:rPr>
            </w:pPr>
          </w:p>
          <w:p w14:paraId="5EA10815">
            <w:pPr>
              <w:spacing w:line="240" w:lineRule="exact"/>
              <w:jc w:val="left"/>
              <w:rPr>
                <w:b/>
                <w:sz w:val="18"/>
                <w:szCs w:val="18"/>
              </w:rPr>
            </w:pPr>
            <w:r>
              <w:rPr>
                <w:rFonts w:hint="eastAsia"/>
                <w:sz w:val="18"/>
                <w:szCs w:val="18"/>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szCs w:val="21"/>
              </w:rPr>
            </w:pPr>
            <w:r>
              <w:rPr>
                <w:rFonts w:hint="eastAsia"/>
                <w:b/>
                <w:szCs w:val="21"/>
              </w:rPr>
              <w:t>专业分管领导</w:t>
            </w:r>
          </w:p>
        </w:tc>
        <w:tc>
          <w:tcPr>
            <w:tcW w:w="9072" w:type="dxa"/>
            <w:gridSpan w:val="6"/>
            <w:noWrap w:val="0"/>
            <w:vAlign w:val="center"/>
          </w:tcPr>
          <w:p w14:paraId="7D22CA02">
            <w:pPr>
              <w:spacing w:line="240" w:lineRule="exact"/>
              <w:jc w:val="left"/>
              <w:rPr>
                <w:szCs w:val="21"/>
              </w:rPr>
            </w:pPr>
            <w:r>
              <w:rPr>
                <w:rFonts w:hint="eastAsia" w:ascii="宋体" w:hAnsi="宋体"/>
                <w:szCs w:val="21"/>
              </w:rPr>
              <w:t>□</w:t>
            </w:r>
            <w:r>
              <w:rPr>
                <w:rFonts w:hint="eastAsia"/>
                <w:szCs w:val="21"/>
              </w:rPr>
              <w:t xml:space="preserve">同意      </w:t>
            </w:r>
            <w:r>
              <w:rPr>
                <w:rFonts w:hint="eastAsia" w:ascii="宋体" w:hAnsi="宋体"/>
                <w:szCs w:val="21"/>
              </w:rPr>
              <w:t>□</w:t>
            </w:r>
            <w:r>
              <w:rPr>
                <w:rFonts w:hint="eastAsia"/>
                <w:szCs w:val="21"/>
              </w:rPr>
              <w:t>不同意</w:t>
            </w:r>
          </w:p>
          <w:p w14:paraId="76A9B082">
            <w:pPr>
              <w:spacing w:line="240" w:lineRule="exact"/>
              <w:jc w:val="left"/>
              <w:rPr>
                <w:rFonts w:ascii="仿宋_GB2312" w:eastAsia="仿宋_GB2312"/>
                <w:szCs w:val="21"/>
              </w:rPr>
            </w:pPr>
            <w:r>
              <w:rPr>
                <w:rFonts w:hint="eastAsia" w:ascii="仿宋_GB2312" w:eastAsia="仿宋_GB2312"/>
                <w:szCs w:val="21"/>
              </w:rPr>
              <w:t>说明：</w:t>
            </w:r>
          </w:p>
          <w:p w14:paraId="0AE9B68C">
            <w:pPr>
              <w:spacing w:line="240" w:lineRule="exact"/>
              <w:jc w:val="left"/>
              <w:rPr>
                <w:rFonts w:ascii="仿宋_GB2312" w:eastAsia="仿宋_GB2312"/>
                <w:szCs w:val="21"/>
              </w:rPr>
            </w:pPr>
          </w:p>
          <w:p w14:paraId="1C87A283">
            <w:pPr>
              <w:spacing w:line="240" w:lineRule="exact"/>
              <w:jc w:val="left"/>
              <w:rPr>
                <w:szCs w:val="21"/>
              </w:rPr>
            </w:pPr>
          </w:p>
          <w:p w14:paraId="6E821125">
            <w:pPr>
              <w:spacing w:line="240" w:lineRule="exact"/>
              <w:ind w:right="-53" w:rightChars="-25"/>
              <w:jc w:val="left"/>
              <w:rPr>
                <w:b/>
              </w:rPr>
            </w:pPr>
            <w:r>
              <w:rPr>
                <w:rFonts w:hint="eastAsia"/>
                <w:sz w:val="18"/>
                <w:szCs w:val="18"/>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szCs w:val="21"/>
              </w:rPr>
            </w:pPr>
            <w:r>
              <w:rPr>
                <w:rFonts w:hint="eastAsia"/>
                <w:b/>
                <w:szCs w:val="21"/>
              </w:rPr>
              <w:t>商务分管领导</w:t>
            </w:r>
          </w:p>
        </w:tc>
        <w:tc>
          <w:tcPr>
            <w:tcW w:w="9072" w:type="dxa"/>
            <w:gridSpan w:val="6"/>
            <w:noWrap w:val="0"/>
            <w:vAlign w:val="center"/>
          </w:tcPr>
          <w:p w14:paraId="066D10C2">
            <w:pPr>
              <w:spacing w:line="240" w:lineRule="exact"/>
              <w:jc w:val="left"/>
              <w:rPr>
                <w:szCs w:val="21"/>
              </w:rPr>
            </w:pPr>
            <w:r>
              <w:rPr>
                <w:rFonts w:hint="eastAsia" w:ascii="宋体" w:hAnsi="宋体"/>
                <w:szCs w:val="21"/>
              </w:rPr>
              <w:t>□</w:t>
            </w:r>
            <w:r>
              <w:rPr>
                <w:rFonts w:hint="eastAsia"/>
                <w:szCs w:val="21"/>
              </w:rPr>
              <w:t xml:space="preserve">同意      </w:t>
            </w:r>
            <w:r>
              <w:rPr>
                <w:rFonts w:hint="eastAsia" w:ascii="宋体" w:hAnsi="宋体"/>
                <w:szCs w:val="21"/>
              </w:rPr>
              <w:t>□</w:t>
            </w:r>
            <w:r>
              <w:rPr>
                <w:rFonts w:hint="eastAsia"/>
                <w:szCs w:val="21"/>
              </w:rPr>
              <w:t>不同意</w:t>
            </w:r>
          </w:p>
          <w:p w14:paraId="35690184">
            <w:pPr>
              <w:spacing w:line="240" w:lineRule="exact"/>
              <w:jc w:val="left"/>
              <w:rPr>
                <w:rFonts w:ascii="仿宋_GB2312" w:eastAsia="仿宋_GB2312"/>
                <w:szCs w:val="21"/>
              </w:rPr>
            </w:pPr>
            <w:r>
              <w:rPr>
                <w:rFonts w:hint="eastAsia" w:ascii="仿宋_GB2312" w:eastAsia="仿宋_GB2312"/>
                <w:szCs w:val="21"/>
              </w:rPr>
              <w:t>说明：</w:t>
            </w:r>
          </w:p>
          <w:p w14:paraId="2D40DAA2">
            <w:pPr>
              <w:spacing w:line="240" w:lineRule="exact"/>
              <w:jc w:val="left"/>
              <w:rPr>
                <w:rFonts w:ascii="仿宋_GB2312" w:eastAsia="仿宋_GB2312"/>
                <w:szCs w:val="21"/>
              </w:rPr>
            </w:pPr>
          </w:p>
          <w:p w14:paraId="7C419552">
            <w:pPr>
              <w:spacing w:line="240" w:lineRule="exact"/>
              <w:jc w:val="left"/>
              <w:rPr>
                <w:szCs w:val="21"/>
              </w:rPr>
            </w:pPr>
          </w:p>
          <w:p w14:paraId="2539A060">
            <w:pPr>
              <w:spacing w:line="240" w:lineRule="exact"/>
              <w:ind w:right="-53" w:rightChars="-25"/>
              <w:jc w:val="left"/>
              <w:rPr>
                <w:b/>
              </w:rPr>
            </w:pPr>
            <w:r>
              <w:rPr>
                <w:rFonts w:hint="eastAsia"/>
                <w:sz w:val="18"/>
                <w:szCs w:val="18"/>
              </w:rPr>
              <w:t xml:space="preserve">                                                           签字：                      年    月    日</w:t>
            </w:r>
          </w:p>
        </w:tc>
      </w:tr>
    </w:tbl>
    <w:p w14:paraId="71A57B95">
      <w:pPr>
        <w:spacing w:line="240" w:lineRule="exact"/>
        <w:ind w:left="-510" w:leftChars="-243"/>
        <w:rPr>
          <w:sz w:val="18"/>
          <w:szCs w:val="18"/>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rPr>
      </w:pPr>
      <w:r>
        <w:rPr>
          <w:rFonts w:hint="eastAsia" w:hAnsi="宋体"/>
          <w:b/>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rPr>
      </w:pPr>
      <w:bookmarkStart w:id="0" w:name="_Toc20976"/>
      <w:r>
        <w:rPr>
          <w:szCs w:val="21"/>
        </w:rPr>
        <w:t>1.</w:t>
      </w:r>
      <w:r>
        <w:rPr>
          <w:rFonts w:hint="eastAsia"/>
          <w:szCs w:val="21"/>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lang w:eastAsia="zh-CN"/>
        </w:rPr>
      </w:pPr>
      <w:r>
        <w:rPr>
          <w:rFonts w:hint="eastAsia"/>
          <w:szCs w:val="21"/>
        </w:rPr>
        <w:t>2</w:t>
      </w:r>
      <w:r>
        <w:rPr>
          <w:szCs w:val="21"/>
        </w:rPr>
        <w:t>.</w:t>
      </w:r>
      <w:r>
        <w:rPr>
          <w:rFonts w:hAnsi="宋体"/>
          <w:szCs w:val="21"/>
        </w:rPr>
        <w:t>工程</w:t>
      </w:r>
      <w:r>
        <w:rPr>
          <w:rFonts w:hint="eastAsia" w:hAnsi="宋体"/>
          <w:szCs w:val="21"/>
        </w:rPr>
        <w:t>类</w:t>
      </w:r>
      <w:r>
        <w:rPr>
          <w:rFonts w:hAnsi="宋体"/>
          <w:szCs w:val="21"/>
        </w:rPr>
        <w:t>项目：是指</w:t>
      </w:r>
      <w:r>
        <w:rPr>
          <w:rFonts w:hint="eastAsia" w:hAnsi="宋体"/>
          <w:szCs w:val="21"/>
          <w:lang w:val="en-US" w:eastAsia="zh-CN"/>
        </w:rPr>
        <w:t>滁宁城铁</w:t>
      </w:r>
      <w:r>
        <w:rPr>
          <w:rFonts w:hAnsi="宋体"/>
          <w:szCs w:val="21"/>
        </w:rPr>
        <w:t>运营期的设施工程的新建、扩建、缺陷整改</w:t>
      </w:r>
      <w:r>
        <w:rPr>
          <w:rFonts w:hint="eastAsia" w:hAnsi="宋体"/>
          <w:szCs w:val="21"/>
        </w:rPr>
        <w:t>、工程设计</w:t>
      </w:r>
      <w:r>
        <w:rPr>
          <w:rFonts w:hAnsi="宋体"/>
          <w:szCs w:val="21"/>
        </w:rPr>
        <w:t>等项目</w:t>
      </w:r>
      <w:r>
        <w:rPr>
          <w:rFonts w:hint="eastAsia" w:hAnsi="宋体"/>
          <w:szCs w:val="21"/>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lang w:eastAsia="zh-CN"/>
        </w:rPr>
      </w:pPr>
      <w:r>
        <w:rPr>
          <w:rFonts w:hint="eastAsia" w:hAnsi="宋体"/>
          <w:szCs w:val="21"/>
        </w:rPr>
        <w:t>3.委送外修类项目：是指</w:t>
      </w:r>
      <w:r>
        <w:rPr>
          <w:rFonts w:hint="eastAsia" w:hAnsi="宋体"/>
          <w:szCs w:val="21"/>
          <w:lang w:val="en-US" w:eastAsia="zh-CN"/>
        </w:rPr>
        <w:t>滁宁城铁</w:t>
      </w:r>
      <w:r>
        <w:rPr>
          <w:rFonts w:hint="eastAsia" w:hAnsi="宋体"/>
          <w:szCs w:val="21"/>
        </w:rPr>
        <w:t>运营期的设备委外维保、送外修等项目</w:t>
      </w:r>
      <w:r>
        <w:rPr>
          <w:rFonts w:hint="eastAsia" w:hAnsi="宋体"/>
          <w:szCs w:val="21"/>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szCs w:val="21"/>
          <w:lang w:eastAsia="zh-CN"/>
        </w:rPr>
      </w:pPr>
      <w:bookmarkStart w:id="1" w:name="_Toc10584"/>
      <w:r>
        <w:rPr>
          <w:rFonts w:hint="eastAsia" w:hAnsi="宋体"/>
          <w:szCs w:val="21"/>
        </w:rPr>
        <w:t>4.物资采购类项目：是指物资、设施采购项目</w:t>
      </w:r>
      <w:bookmarkEnd w:id="1"/>
      <w:r>
        <w:rPr>
          <w:rFonts w:hint="eastAsia" w:hAnsi="宋体"/>
          <w:szCs w:val="21"/>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lang w:eastAsia="zh-CN"/>
        </w:rPr>
      </w:pPr>
      <w:r>
        <w:rPr>
          <w:rFonts w:hint="eastAsia"/>
          <w:szCs w:val="21"/>
        </w:rPr>
        <w:t>5</w:t>
      </w:r>
      <w:r>
        <w:rPr>
          <w:szCs w:val="21"/>
        </w:rPr>
        <w:t>.</w:t>
      </w:r>
      <w:r>
        <w:rPr>
          <w:rFonts w:hAnsi="宋体"/>
          <w:szCs w:val="21"/>
        </w:rPr>
        <w:t>服务</w:t>
      </w:r>
      <w:r>
        <w:rPr>
          <w:rFonts w:hint="eastAsia" w:hAnsi="宋体"/>
          <w:szCs w:val="21"/>
        </w:rPr>
        <w:t>类</w:t>
      </w:r>
      <w:r>
        <w:rPr>
          <w:rFonts w:hAnsi="宋体"/>
          <w:szCs w:val="21"/>
        </w:rPr>
        <w:t>项目：是指</w:t>
      </w:r>
      <w:r>
        <w:rPr>
          <w:rFonts w:hint="eastAsia" w:hAnsi="宋体"/>
          <w:szCs w:val="21"/>
          <w:lang w:val="en-US" w:eastAsia="zh-CN"/>
        </w:rPr>
        <w:t>滁宁城铁</w:t>
      </w:r>
      <w:r>
        <w:rPr>
          <w:rFonts w:hAnsi="宋体"/>
          <w:szCs w:val="21"/>
        </w:rPr>
        <w:t>运营期的</w:t>
      </w:r>
      <w:r>
        <w:rPr>
          <w:rFonts w:hint="eastAsia" w:hAnsi="宋体"/>
          <w:szCs w:val="21"/>
        </w:rPr>
        <w:t>软件开发、咨询</w:t>
      </w:r>
      <w:r>
        <w:rPr>
          <w:rFonts w:hAnsi="宋体"/>
          <w:szCs w:val="21"/>
        </w:rPr>
        <w:t>、</w:t>
      </w:r>
      <w:r>
        <w:rPr>
          <w:rFonts w:hint="eastAsia" w:hAnsi="宋体"/>
          <w:szCs w:val="21"/>
        </w:rPr>
        <w:t>培训、安检服务、后勤保障</w:t>
      </w:r>
      <w:r>
        <w:rPr>
          <w:rFonts w:hAnsi="宋体"/>
          <w:szCs w:val="21"/>
        </w:rPr>
        <w:t>等项目</w:t>
      </w:r>
      <w:r>
        <w:rPr>
          <w:rFonts w:hint="eastAsia" w:hAnsi="宋体"/>
          <w:szCs w:val="21"/>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szCs w:val="21"/>
          <w:lang w:eastAsia="zh-CN"/>
        </w:rPr>
      </w:pPr>
      <w:bookmarkStart w:id="2" w:name="_Toc1802"/>
      <w:r>
        <w:rPr>
          <w:rFonts w:hint="eastAsia"/>
          <w:szCs w:val="21"/>
        </w:rPr>
        <w:t>6</w:t>
      </w:r>
      <w:r>
        <w:rPr>
          <w:szCs w:val="21"/>
        </w:rPr>
        <w:t>.</w:t>
      </w:r>
      <w:r>
        <w:rPr>
          <w:rFonts w:hAnsi="宋体"/>
          <w:szCs w:val="21"/>
        </w:rPr>
        <w:t>资质档案文件须提供</w:t>
      </w:r>
      <w:r>
        <w:rPr>
          <w:rFonts w:hint="eastAsia" w:hAnsi="宋体"/>
          <w:szCs w:val="21"/>
        </w:rPr>
        <w:t>加盖公章的复印件</w:t>
      </w:r>
      <w:r>
        <w:rPr>
          <w:rFonts w:hAnsi="宋体"/>
          <w:szCs w:val="21"/>
        </w:rPr>
        <w:t>存档，原件备查</w:t>
      </w:r>
      <w:bookmarkEnd w:id="2"/>
      <w:r>
        <w:rPr>
          <w:rFonts w:hint="eastAsia" w:hAnsi="宋体"/>
          <w:szCs w:val="21"/>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Cs w:val="21"/>
        </w:rPr>
      </w:pPr>
      <w:r>
        <w:rPr>
          <w:rFonts w:hint="eastAsia"/>
          <w:szCs w:val="21"/>
        </w:rPr>
        <w:t>7</w:t>
      </w:r>
      <w:r>
        <w:rPr>
          <w:szCs w:val="21"/>
        </w:rPr>
        <w:t>.</w:t>
      </w:r>
      <w:r>
        <w:rPr>
          <w:rFonts w:hint="eastAsia" w:hAnsi="宋体"/>
          <w:szCs w:val="21"/>
        </w:rPr>
        <w:t>供应商</w:t>
      </w:r>
      <w:r>
        <w:rPr>
          <w:rFonts w:hAnsi="宋体"/>
          <w:szCs w:val="21"/>
        </w:rPr>
        <w:t>所列业绩必须提供证明文件及相</w:t>
      </w:r>
      <w:r>
        <w:rPr>
          <w:szCs w:val="21"/>
        </w:rPr>
        <w:t>关合同，至少要提供3个合格业绩</w:t>
      </w:r>
      <w:r>
        <w:rPr>
          <w:rFonts w:hint="eastAsia"/>
          <w:szCs w:val="21"/>
        </w:rPr>
        <w:t>。</w:t>
      </w:r>
    </w:p>
    <w:p w14:paraId="2492FA76">
      <w:pPr>
        <w:widowControl/>
        <w:jc w:val="center"/>
        <w:rPr>
          <w:rFonts w:hint="eastAsia"/>
          <w:sz w:val="32"/>
          <w:szCs w:val="32"/>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rPr>
        <w:br w:type="page"/>
      </w:r>
    </w:p>
    <w:p w14:paraId="5801E914">
      <w:pPr>
        <w:widowControl/>
        <w:jc w:val="left"/>
        <w:rPr>
          <w:rFonts w:hint="eastAsia" w:eastAsia="宋体"/>
          <w:sz w:val="24"/>
          <w:szCs w:val="24"/>
          <w:lang w:val="en-US" w:eastAsia="zh-CN"/>
        </w:rPr>
      </w:pPr>
      <w:r>
        <w:rPr>
          <w:rFonts w:hint="eastAsia"/>
        </w:rPr>
        <w:t>格式</w:t>
      </w:r>
      <w:r>
        <w:rPr>
          <w:rFonts w:hint="eastAsia"/>
          <w:lang w:val="en-US" w:eastAsia="zh-CN"/>
        </w:rPr>
        <w:t>4</w:t>
      </w:r>
    </w:p>
    <w:p w14:paraId="29CD0196">
      <w:pPr>
        <w:pStyle w:val="3"/>
        <w:spacing w:line="360" w:lineRule="auto"/>
        <w:jc w:val="center"/>
        <w:rPr>
          <w:sz w:val="32"/>
          <w:szCs w:val="32"/>
        </w:rPr>
      </w:pPr>
      <w:r>
        <w:rPr>
          <w:rFonts w:hint="eastAsia"/>
          <w:sz w:val="32"/>
          <w:szCs w:val="32"/>
        </w:rPr>
        <w:t>法定代表人授权委托书</w:t>
      </w:r>
    </w:p>
    <w:p w14:paraId="49BC8493">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14:paraId="7AC80DE8">
      <w:pPr>
        <w:spacing w:line="360" w:lineRule="auto"/>
        <w:ind w:firstLine="480" w:firstLineChars="200"/>
        <w:rPr>
          <w:sz w:val="24"/>
          <w:szCs w:val="24"/>
        </w:rPr>
      </w:pPr>
      <w:r>
        <w:rPr>
          <w:rFonts w:hint="eastAsia"/>
          <w:sz w:val="24"/>
          <w:szCs w:val="24"/>
        </w:rPr>
        <w:t>特此声明！</w:t>
      </w:r>
    </w:p>
    <w:p w14:paraId="3981F608">
      <w:pPr>
        <w:spacing w:before="240" w:beforeLines="100" w:after="240" w:afterLines="100" w:line="360" w:lineRule="auto"/>
        <w:rPr>
          <w:sz w:val="24"/>
          <w:szCs w:val="24"/>
        </w:rPr>
      </w:pPr>
      <w:r>
        <w:rPr>
          <w:rFonts w:hint="eastAsia"/>
          <w:sz w:val="24"/>
          <w:szCs w:val="24"/>
        </w:rPr>
        <w:t>法定代表人签字：</w:t>
      </w:r>
    </w:p>
    <w:p w14:paraId="2D250F90">
      <w:pPr>
        <w:spacing w:before="240" w:beforeLines="100" w:after="240" w:afterLines="100" w:line="360" w:lineRule="auto"/>
        <w:rPr>
          <w:sz w:val="24"/>
          <w:szCs w:val="24"/>
        </w:rPr>
      </w:pPr>
      <w:r>
        <w:rPr>
          <w:rFonts w:hint="eastAsia"/>
          <w:sz w:val="24"/>
          <w:szCs w:val="24"/>
        </w:rPr>
        <w:t>法定代表人身份证号：</w:t>
      </w:r>
    </w:p>
    <w:p w14:paraId="322A5966">
      <w:pPr>
        <w:spacing w:before="240" w:beforeLines="100" w:after="240" w:afterLines="100" w:line="360" w:lineRule="auto"/>
        <w:rPr>
          <w:sz w:val="24"/>
          <w:szCs w:val="24"/>
        </w:rPr>
      </w:pPr>
      <w:r>
        <w:rPr>
          <w:rFonts w:hint="eastAsia"/>
          <w:sz w:val="24"/>
          <w:szCs w:val="24"/>
        </w:rPr>
        <w:t>代理人（被授权人）签字：</w:t>
      </w:r>
    </w:p>
    <w:p w14:paraId="15B66DC1">
      <w:pPr>
        <w:spacing w:before="240" w:beforeLines="100" w:after="240" w:afterLines="100" w:line="360" w:lineRule="auto"/>
        <w:rPr>
          <w:sz w:val="24"/>
          <w:szCs w:val="24"/>
        </w:rPr>
      </w:pPr>
      <w:r>
        <w:rPr>
          <w:rFonts w:hint="eastAsia"/>
          <w:sz w:val="24"/>
          <w:szCs w:val="24"/>
        </w:rPr>
        <w:t>代理人（被授权人）身份证号：</w:t>
      </w:r>
    </w:p>
    <w:p w14:paraId="50499D6C">
      <w:pPr>
        <w:spacing w:before="240" w:beforeLines="100" w:after="240" w:afterLines="100" w:line="360" w:lineRule="auto"/>
        <w:rPr>
          <w:sz w:val="24"/>
          <w:szCs w:val="24"/>
        </w:rPr>
      </w:pPr>
      <w:r>
        <w:rPr>
          <w:rFonts w:hint="eastAsia"/>
          <w:sz w:val="24"/>
          <w:szCs w:val="24"/>
        </w:rPr>
        <w:t>代理人（被授权人）职务：</w:t>
      </w:r>
    </w:p>
    <w:p w14:paraId="7ADBCD15">
      <w:pPr>
        <w:spacing w:before="240" w:beforeLines="100" w:after="240" w:afterLines="100" w:line="360" w:lineRule="auto"/>
        <w:rPr>
          <w:sz w:val="24"/>
          <w:szCs w:val="24"/>
        </w:rPr>
      </w:pPr>
      <w:r>
        <w:rPr>
          <w:rFonts w:hint="eastAsia"/>
          <w:sz w:val="24"/>
          <w:szCs w:val="24"/>
        </w:rPr>
        <w:t>单位名称（公章）：</w:t>
      </w:r>
    </w:p>
    <w:p w14:paraId="0D5F52EC">
      <w:pPr>
        <w:spacing w:before="240" w:beforeLines="100" w:after="240" w:afterLines="100" w:line="360" w:lineRule="auto"/>
        <w:rPr>
          <w:sz w:val="24"/>
          <w:szCs w:val="24"/>
        </w:rPr>
      </w:pPr>
      <w:r>
        <w:rPr>
          <w:rFonts w:hint="eastAsia"/>
          <w:sz w:val="24"/>
          <w:szCs w:val="24"/>
        </w:rPr>
        <w:t>单位地址：</w:t>
      </w:r>
    </w:p>
    <w:p w14:paraId="3B41DFBA">
      <w:pPr>
        <w:spacing w:before="240" w:beforeLines="100" w:after="240" w:afterLines="100" w:line="360" w:lineRule="auto"/>
        <w:rPr>
          <w:sz w:val="24"/>
          <w:szCs w:val="24"/>
        </w:rPr>
      </w:pPr>
    </w:p>
    <w:p w14:paraId="32F1CB1B">
      <w:pPr>
        <w:wordWrap w:val="0"/>
        <w:spacing w:before="240" w:beforeLines="100" w:after="240" w:afterLines="100" w:line="360" w:lineRule="auto"/>
        <w:jc w:val="right"/>
        <w:rPr>
          <w:sz w:val="28"/>
          <w:szCs w:val="28"/>
        </w:rPr>
      </w:pPr>
      <w:r>
        <w:rPr>
          <w:rFonts w:hint="eastAsia"/>
          <w:sz w:val="24"/>
          <w:szCs w:val="24"/>
        </w:rPr>
        <w:t xml:space="preserve">                                                             日期：   年   月   日</w:t>
      </w:r>
    </w:p>
    <w:p w14:paraId="1E87D8A1">
      <w:pPr>
        <w:widowControl/>
        <w:jc w:val="left"/>
        <w:rPr>
          <w:szCs w:val="21"/>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p>
    <w:p w14:paraId="28DB7CCC">
      <w:pPr>
        <w:widowControl/>
        <w:jc w:val="left"/>
        <w:rPr>
          <w:rFonts w:hint="eastAsia" w:eastAsia="宋体"/>
          <w:lang w:val="en-US" w:eastAsia="zh-CN"/>
        </w:rPr>
      </w:pPr>
      <w:r>
        <w:rPr>
          <w:rFonts w:hint="eastAsia"/>
        </w:rPr>
        <w:t>格式</w:t>
      </w:r>
      <w:r>
        <w:rPr>
          <w:rFonts w:hint="eastAsia"/>
          <w:lang w:val="en-US" w:eastAsia="zh-CN"/>
        </w:rPr>
        <w:t>5</w:t>
      </w:r>
    </w:p>
    <w:p w14:paraId="57B65C54">
      <w:pPr>
        <w:pStyle w:val="4"/>
        <w:spacing w:before="2" w:beforeLines="1" w:after="2" w:afterLines="1" w:line="360" w:lineRule="auto"/>
        <w:jc w:val="center"/>
        <w:rPr>
          <w:rFonts w:ascii="Arial" w:hAnsi="Arial" w:cs="Arial"/>
          <w:sz w:val="30"/>
          <w:szCs w:val="30"/>
        </w:rPr>
      </w:pPr>
      <w:bookmarkStart w:id="3" w:name="_Toc472325755"/>
      <w:bookmarkStart w:id="4" w:name="_Toc470617844"/>
      <w:bookmarkStart w:id="5" w:name="_Toc477250300"/>
      <w:bookmarkStart w:id="6" w:name="_Toc22503"/>
      <w:bookmarkStart w:id="7" w:name="_Toc92804592"/>
      <w:bookmarkStart w:id="8" w:name="_Toc471894962"/>
      <w:bookmarkStart w:id="9" w:name="_Toc10620851"/>
      <w:r>
        <w:rPr>
          <w:rFonts w:hint="eastAsia" w:ascii="Arial" w:hAnsi="Arial"/>
        </w:rPr>
        <w:t>诚信承诺书</w:t>
      </w:r>
      <w:bookmarkEnd w:id="3"/>
      <w:bookmarkEnd w:id="4"/>
      <w:bookmarkEnd w:id="5"/>
      <w:bookmarkEnd w:id="6"/>
      <w:bookmarkEnd w:id="7"/>
      <w:bookmarkEnd w:id="8"/>
      <w:bookmarkEnd w:id="9"/>
    </w:p>
    <w:p w14:paraId="4A50293A">
      <w:pPr>
        <w:pStyle w:val="10"/>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14:paraId="79152CB0">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14:paraId="47B7C359">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14:paraId="10BFE582">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14:paraId="0CEC3BDF">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14:paraId="0333742B">
      <w:pPr>
        <w:numPr>
          <w:ilvl w:val="0"/>
          <w:numId w:val="3"/>
        </w:numPr>
        <w:spacing w:line="360" w:lineRule="auto"/>
        <w:ind w:left="0" w:firstLine="480" w:firstLineChars="200"/>
        <w:rPr>
          <w:rFonts w:ascii="Arial" w:hAnsi="Arial"/>
          <w:sz w:val="24"/>
        </w:rPr>
      </w:pPr>
      <w:r>
        <w:rPr>
          <w:rFonts w:hint="eastAsia" w:ascii="Arial" w:hAnsi="Arial"/>
          <w:sz w:val="24"/>
        </w:rPr>
        <w:t>积极配合</w:t>
      </w:r>
      <w:r>
        <w:rPr>
          <w:rFonts w:hint="eastAsia" w:ascii="Arial" w:hAnsi="Arial"/>
          <w:sz w:val="24"/>
          <w:lang w:val="en-US" w:eastAsia="zh-CN"/>
        </w:rPr>
        <w:t>经办</w:t>
      </w:r>
      <w:r>
        <w:rPr>
          <w:rFonts w:hint="eastAsia" w:ascii="Arial" w:hAnsi="Arial"/>
          <w:sz w:val="24"/>
        </w:rPr>
        <w:t>人在报价有效期内对本单位报价文件的核实审查；</w:t>
      </w:r>
    </w:p>
    <w:p w14:paraId="13FBA4DE">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14:paraId="6F5C9B22">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w:t>
      </w:r>
      <w:r>
        <w:rPr>
          <w:rFonts w:hint="eastAsia" w:ascii="Arial" w:hAnsi="Arial"/>
          <w:sz w:val="24"/>
          <w:lang w:val="en-US" w:eastAsia="zh-CN"/>
        </w:rPr>
        <w:t>经办</w:t>
      </w:r>
      <w:r>
        <w:rPr>
          <w:rFonts w:hint="eastAsia" w:ascii="Arial" w:hAnsi="Arial"/>
          <w:sz w:val="24"/>
        </w:rPr>
        <w:t>人签订书面合同；</w:t>
      </w:r>
    </w:p>
    <w:p w14:paraId="0A90F074">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14:paraId="1D881B05">
      <w:pPr>
        <w:spacing w:line="360" w:lineRule="auto"/>
        <w:ind w:left="900"/>
        <w:rPr>
          <w:rFonts w:ascii="Arial" w:hAnsi="Arial"/>
          <w:sz w:val="24"/>
        </w:rPr>
      </w:pPr>
    </w:p>
    <w:p w14:paraId="27AF3046">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14:paraId="665AEBBB">
      <w:pPr>
        <w:numPr>
          <w:ilvl w:val="0"/>
          <w:numId w:val="4"/>
        </w:numPr>
        <w:spacing w:line="360" w:lineRule="auto"/>
        <w:rPr>
          <w:rFonts w:ascii="Arial" w:hAnsi="Arial"/>
          <w:sz w:val="24"/>
        </w:rPr>
      </w:pPr>
      <w:r>
        <w:rPr>
          <w:rFonts w:hint="eastAsia" w:ascii="Arial" w:hAnsi="Arial"/>
          <w:sz w:val="24"/>
        </w:rPr>
        <w:t xml:space="preserve">不予退还本单位的报价保证金； </w:t>
      </w:r>
    </w:p>
    <w:p w14:paraId="3A49C213">
      <w:pPr>
        <w:numPr>
          <w:ilvl w:val="0"/>
          <w:numId w:val="4"/>
        </w:numPr>
        <w:spacing w:line="360" w:lineRule="auto"/>
        <w:rPr>
          <w:rFonts w:ascii="Arial" w:hAnsi="Arial"/>
          <w:sz w:val="24"/>
        </w:rPr>
      </w:pPr>
      <w:r>
        <w:rPr>
          <w:rFonts w:hint="eastAsia" w:ascii="Arial" w:hAnsi="Arial"/>
          <w:sz w:val="24"/>
        </w:rPr>
        <w:t>如成交，取消本单位成交资格；</w:t>
      </w:r>
    </w:p>
    <w:p w14:paraId="61719BB7">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w:t>
      </w:r>
      <w:r>
        <w:rPr>
          <w:rFonts w:hint="eastAsia" w:ascii="Arial" w:hAnsi="Arial"/>
          <w:sz w:val="24"/>
          <w:lang w:val="en-US" w:eastAsia="zh-CN"/>
        </w:rPr>
        <w:t>我司</w:t>
      </w:r>
      <w:r>
        <w:rPr>
          <w:rFonts w:hint="eastAsia" w:ascii="Arial" w:hAnsi="Arial"/>
          <w:sz w:val="24"/>
        </w:rPr>
        <w:t>有权解除合同并追究法律责任；</w:t>
      </w:r>
    </w:p>
    <w:p w14:paraId="1321718A">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w:t>
      </w:r>
      <w:r>
        <w:rPr>
          <w:rFonts w:hint="eastAsia" w:ascii="Arial" w:hAnsi="Arial"/>
          <w:sz w:val="24"/>
          <w:lang w:val="en-US" w:eastAsia="zh-CN"/>
        </w:rPr>
        <w:t>我司</w:t>
      </w:r>
      <w:r>
        <w:rPr>
          <w:rFonts w:hint="eastAsia" w:ascii="Arial" w:hAnsi="Arial"/>
          <w:sz w:val="24"/>
        </w:rPr>
        <w:t>所有的采购项目。</w:t>
      </w:r>
    </w:p>
    <w:p w14:paraId="2CA721DF">
      <w:pPr>
        <w:spacing w:line="360" w:lineRule="auto"/>
        <w:ind w:firstLine="480" w:firstLineChars="200"/>
        <w:rPr>
          <w:rFonts w:ascii="Arial" w:hAnsi="Arial"/>
          <w:sz w:val="24"/>
        </w:rPr>
      </w:pPr>
    </w:p>
    <w:p w14:paraId="19B14CC9">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14:paraId="3E77ECDA">
      <w:pPr>
        <w:tabs>
          <w:tab w:val="left" w:pos="8364"/>
        </w:tabs>
        <w:snapToGrid w:val="0"/>
        <w:spacing w:line="360" w:lineRule="auto"/>
        <w:ind w:left="5677" w:leftChars="2500" w:right="-57" w:hanging="427" w:hangingChars="178"/>
        <w:rPr>
          <w:rFonts w:ascii="Arial" w:hAnsi="Arial"/>
          <w:sz w:val="24"/>
        </w:rPr>
      </w:pPr>
    </w:p>
    <w:p w14:paraId="42A0F633">
      <w:pPr>
        <w:tabs>
          <w:tab w:val="left" w:pos="8364"/>
        </w:tabs>
        <w:snapToGrid w:val="0"/>
        <w:spacing w:line="360" w:lineRule="auto"/>
        <w:ind w:left="5677" w:leftChars="2500" w:right="-57" w:hanging="427" w:hangingChars="178"/>
        <w:rPr>
          <w:rFonts w:ascii="Arial" w:hAnsi="Arial"/>
          <w:sz w:val="24"/>
        </w:rPr>
      </w:pPr>
    </w:p>
    <w:p w14:paraId="0DD43FE6">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14:paraId="527DEFF0">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14:paraId="322D0C3A">
      <w:pPr>
        <w:wordWrap w:val="0"/>
        <w:spacing w:before="240" w:beforeLines="100" w:after="240" w:afterLines="100" w:line="360" w:lineRule="auto"/>
        <w:jc w:val="right"/>
        <w:rPr>
          <w:sz w:val="28"/>
          <w:szCs w:val="28"/>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ascii="Arial" w:hAnsi="Arial"/>
          <w:sz w:val="24"/>
        </w:rPr>
        <w:t xml:space="preserve">                                            日期：    年   月   日</w:t>
      </w:r>
    </w:p>
    <w:p w14:paraId="682DD50F">
      <w:pPr>
        <w:pStyle w:val="18"/>
        <w:spacing w:before="0" w:after="100" w:afterAutospacing="1" w:line="360" w:lineRule="auto"/>
      </w:pPr>
      <w:r>
        <w:rPr>
          <w:rFonts w:hint="eastAsia"/>
        </w:rPr>
        <w:t>第五章 合同条款</w:t>
      </w:r>
    </w:p>
    <w:p w14:paraId="7B2D347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ighlight w:val="none"/>
        </w:rPr>
      </w:pPr>
      <w:r>
        <w:rPr>
          <w:rFonts w:hint="eastAsia"/>
          <w:highlight w:val="none"/>
        </w:rPr>
        <w:t>根据《中华人民共和国民法典》《中华人民共和国固体废物污染环境防治法》及相关法律法规的规定，甲乙双方就甲方产生的危险废弃物委托乙方处置事宜，经平等协商，达成如下协议：</w:t>
      </w:r>
    </w:p>
    <w:p w14:paraId="2BAD6DB0">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textAlignment w:val="auto"/>
        <w:rPr>
          <w:rFonts w:hint="default" w:eastAsia="宋体"/>
          <w:highlight w:val="none"/>
          <w:lang w:val="en-US" w:eastAsia="zh-CN"/>
        </w:rPr>
      </w:pPr>
      <w:r>
        <w:rPr>
          <w:rFonts w:hint="eastAsia"/>
          <w:b/>
          <w:bCs/>
          <w:highlight w:val="none"/>
          <w:lang w:val="en-US" w:eastAsia="zh-CN"/>
        </w:rPr>
        <w:t>处置内容</w:t>
      </w:r>
    </w:p>
    <w:p w14:paraId="7EBC62C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highlight w:val="none"/>
        </w:rPr>
      </w:pPr>
      <w:r>
        <w:rPr>
          <w:rFonts w:hint="eastAsia"/>
          <w:highlight w:val="none"/>
          <w:lang w:val="en-US" w:eastAsia="zh-CN"/>
        </w:rPr>
        <w:t xml:space="preserve">1.1 </w:t>
      </w:r>
      <w:r>
        <w:rPr>
          <w:rFonts w:hint="eastAsia"/>
          <w:highlight w:val="none"/>
        </w:rPr>
        <w:t>甲方委托乙方处置的危险废弃物</w:t>
      </w:r>
      <w:r>
        <w:rPr>
          <w:rFonts w:hint="eastAsia"/>
          <w:highlight w:val="none"/>
          <w:lang w:val="en-US" w:eastAsia="zh-CN"/>
        </w:rPr>
        <w:t>包括废机油、废铅酸蓄电池以及废墨盒</w:t>
      </w:r>
      <w:r>
        <w:rPr>
          <w:rFonts w:hint="eastAsia"/>
          <w:highlight w:val="none"/>
          <w:lang w:eastAsia="zh-CN"/>
        </w:rPr>
        <w:t>，</w:t>
      </w:r>
      <w:r>
        <w:rPr>
          <w:rFonts w:hint="eastAsia"/>
          <w:highlight w:val="none"/>
          <w:lang w:val="en-US" w:eastAsia="zh-CN"/>
        </w:rPr>
        <w:t>数量最终以实际处置为准</w:t>
      </w:r>
      <w:r>
        <w:rPr>
          <w:rFonts w:hint="eastAsia"/>
          <w:highlight w:val="none"/>
        </w:rPr>
        <w:t>。</w:t>
      </w:r>
    </w:p>
    <w:p w14:paraId="1748A16D">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highlight w:val="none"/>
        </w:rPr>
      </w:pPr>
      <w:r>
        <w:rPr>
          <w:rFonts w:hint="eastAsia"/>
          <w:highlight w:val="none"/>
          <w:lang w:val="en-US" w:eastAsia="zh-CN"/>
        </w:rPr>
        <w:t xml:space="preserve">1.2 </w:t>
      </w:r>
      <w:r>
        <w:rPr>
          <w:rFonts w:hint="eastAsia"/>
          <w:highlight w:val="none"/>
        </w:rPr>
        <w:t>乙方应依据国家有关法律法规和相关技术规范，对甲方提供的危险废弃物进行安全处置，确保处置过程符合环境保护要求，不对环境造成二次污染。</w:t>
      </w:r>
    </w:p>
    <w:p w14:paraId="6C80AFB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highlight w:val="none"/>
          <w:lang w:val="en-US" w:eastAsia="zh-CN"/>
        </w:rPr>
      </w:pPr>
      <w:r>
        <w:rPr>
          <w:rFonts w:hint="eastAsia"/>
          <w:b/>
          <w:bCs/>
          <w:highlight w:val="none"/>
          <w:lang w:val="en-US" w:eastAsia="zh-CN"/>
        </w:rPr>
        <w:t>2. 处置费用</w:t>
      </w:r>
    </w:p>
    <w:p w14:paraId="359E0A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lang w:eastAsia="zh-CN"/>
        </w:rPr>
      </w:pPr>
      <w:r>
        <w:rPr>
          <w:rFonts w:hint="eastAsia"/>
          <w:highlight w:val="none"/>
          <w:lang w:val="en-US" w:eastAsia="zh-CN"/>
        </w:rPr>
        <w:t>2.1 本框架合同的总金额（含税）上限为人民币（大写）</w:t>
      </w:r>
      <w:r>
        <w:rPr>
          <w:rFonts w:hint="eastAsia"/>
          <w:highlight w:val="none"/>
          <w:u w:val="single"/>
          <w:lang w:val="en-US" w:eastAsia="zh-CN"/>
        </w:rPr>
        <w:t xml:space="preserve">          </w:t>
      </w:r>
      <w:r>
        <w:rPr>
          <w:rFonts w:hint="eastAsia"/>
          <w:highlight w:val="none"/>
          <w:lang w:val="en-US" w:eastAsia="zh-CN"/>
        </w:rPr>
        <w:t>（¥</w:t>
      </w:r>
      <w:r>
        <w:rPr>
          <w:rFonts w:hint="eastAsia"/>
          <w:highlight w:val="none"/>
          <w:u w:val="single"/>
          <w:lang w:val="en-US" w:eastAsia="zh-CN"/>
        </w:rPr>
        <w:t xml:space="preserve">          </w:t>
      </w:r>
      <w:r>
        <w:rPr>
          <w:rFonts w:hint="eastAsia"/>
          <w:highlight w:val="none"/>
          <w:lang w:val="en-US" w:eastAsia="zh-CN"/>
        </w:rPr>
        <w:t xml:space="preserve">元）, </w:t>
      </w:r>
      <w:r>
        <w:rPr>
          <w:rFonts w:hint="eastAsia"/>
          <w:highlight w:val="none"/>
        </w:rPr>
        <w:t>具体种类、</w:t>
      </w:r>
      <w:r>
        <w:rPr>
          <w:rFonts w:hint="eastAsia"/>
          <w:highlight w:val="none"/>
          <w:lang w:val="en-US" w:eastAsia="zh-CN"/>
        </w:rPr>
        <w:t>处置单价</w:t>
      </w:r>
      <w:r>
        <w:rPr>
          <w:rFonts w:hint="eastAsia"/>
          <w:highlight w:val="none"/>
        </w:rPr>
        <w:t>等详见附件1《危险废弃物清单》</w:t>
      </w:r>
      <w:r>
        <w:rPr>
          <w:rFonts w:hint="eastAsia"/>
          <w:highlight w:val="none"/>
          <w:lang w:eastAsia="zh-CN"/>
        </w:rPr>
        <w:t>。乙方与甲方签订的各《处置通知单》的结算总金额达到本框架合同上限总金额的</w:t>
      </w:r>
      <w:r>
        <w:rPr>
          <w:rFonts w:hint="eastAsia"/>
          <w:highlight w:val="none"/>
          <w:u w:val="single"/>
          <w:lang w:eastAsia="zh-CN"/>
        </w:rPr>
        <w:t>95%</w:t>
      </w:r>
      <w:r>
        <w:rPr>
          <w:rFonts w:hint="eastAsia"/>
          <w:highlight w:val="none"/>
          <w:lang w:eastAsia="zh-CN"/>
        </w:rPr>
        <w:t>至</w:t>
      </w:r>
      <w:r>
        <w:rPr>
          <w:rFonts w:hint="eastAsia"/>
          <w:highlight w:val="none"/>
          <w:u w:val="single"/>
          <w:lang w:eastAsia="zh-CN"/>
        </w:rPr>
        <w:t>100%</w:t>
      </w:r>
      <w:r>
        <w:rPr>
          <w:rFonts w:hint="eastAsia"/>
          <w:highlight w:val="none"/>
          <w:lang w:eastAsia="zh-CN"/>
        </w:rPr>
        <w:t>，甲方有权终止本框架合同。</w:t>
      </w:r>
    </w:p>
    <w:p w14:paraId="1F3C889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highlight w:val="none"/>
          <w:lang w:val="en-US" w:eastAsia="zh-CN"/>
        </w:rPr>
      </w:pPr>
      <w:r>
        <w:rPr>
          <w:rFonts w:hint="eastAsia"/>
          <w:highlight w:val="none"/>
          <w:lang w:val="en-US" w:eastAsia="zh-CN"/>
        </w:rPr>
        <w:t xml:space="preserve">2.2 根据本框架合同签订的《处置通知单》受本框架合同的约束，在本合同终止或解除后，甲方不再签订《处置通知单》，但各方仍应按照本合同的其他约定和已签订的《处置通知单》履行各项义务，直到该处置通知单下的权利义务履行完毕并无争议时止。《处置通知单》的终止或解除，不影响本框架合同的效力。    </w:t>
      </w:r>
    </w:p>
    <w:p w14:paraId="110BE8B5">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2.3 本合同中约定的价格为合同有效期内（自本框架合同签订之日起至</w:t>
      </w:r>
      <w:r>
        <w:rPr>
          <w:rFonts w:hint="eastAsia"/>
          <w:u w:val="single"/>
          <w:lang w:val="en-US" w:eastAsia="zh-CN"/>
        </w:rPr>
        <w:t xml:space="preserve">        </w:t>
      </w:r>
      <w:r>
        <w:rPr>
          <w:rFonts w:hint="eastAsia"/>
          <w:lang w:val="en-US" w:eastAsia="zh-CN"/>
        </w:rPr>
        <w:t>年</w:t>
      </w:r>
      <w:r>
        <w:rPr>
          <w:rFonts w:hint="eastAsia"/>
          <w:u w:val="single"/>
          <w:lang w:val="en-US" w:eastAsia="zh-CN"/>
        </w:rPr>
        <w:t xml:space="preserve">     </w:t>
      </w:r>
      <w:r>
        <w:rPr>
          <w:rFonts w:hint="eastAsia"/>
          <w:lang w:val="en-US" w:eastAsia="zh-CN"/>
        </w:rPr>
        <w:t>月</w:t>
      </w:r>
      <w:r>
        <w:rPr>
          <w:rFonts w:hint="eastAsia"/>
          <w:u w:val="single"/>
          <w:lang w:val="en-US" w:eastAsia="zh-CN"/>
        </w:rPr>
        <w:t xml:space="preserve">    </w:t>
      </w:r>
      <w:r>
        <w:rPr>
          <w:rFonts w:hint="eastAsia"/>
          <w:lang w:val="en-US" w:eastAsia="zh-CN"/>
        </w:rPr>
        <w:t>日或甲方下次处置结果确定时止）的危险废弃物处置单价（见附件1《</w:t>
      </w:r>
      <w:r>
        <w:rPr>
          <w:rFonts w:hint="eastAsia"/>
          <w:highlight w:val="none"/>
        </w:rPr>
        <w:t>危险废弃物清单</w:t>
      </w:r>
      <w:r>
        <w:rPr>
          <w:rFonts w:hint="eastAsia"/>
          <w:lang w:val="en-US" w:eastAsia="zh-CN"/>
        </w:rPr>
        <w:t>》）。该费用包含包装、仓储、运输、装卸、税费、保险、售后服务等与危险废弃物处置相关的全部费用。</w:t>
      </w:r>
    </w:p>
    <w:p w14:paraId="06FCE51F">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b/>
          <w:bCs/>
          <w:lang w:val="en-US" w:eastAsia="zh-CN"/>
        </w:rPr>
      </w:pPr>
      <w:r>
        <w:rPr>
          <w:rFonts w:hint="eastAsia"/>
          <w:b/>
          <w:bCs/>
          <w:lang w:val="en-US" w:eastAsia="zh-CN"/>
        </w:rPr>
        <w:t>3. 支付方式</w:t>
      </w:r>
    </w:p>
    <w:p w14:paraId="0E3393B3">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3.1 乙方完成危险废弃物处置，并向甲方提供合法有效的发票及相关证明文件后，于</w:t>
      </w:r>
      <w:r>
        <w:rPr>
          <w:rFonts w:hint="eastAsia"/>
          <w:u w:val="single"/>
          <w:lang w:val="en-US" w:eastAsia="zh-CN"/>
        </w:rPr>
        <w:t>90</w:t>
      </w:r>
      <w:r>
        <w:rPr>
          <w:rFonts w:hint="eastAsia"/>
          <w:lang w:val="en-US" w:eastAsia="zh-CN"/>
        </w:rPr>
        <w:t>个工作日内结清。</w:t>
      </w:r>
    </w:p>
    <w:p w14:paraId="54BDC634">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3.2 结算方式为银行转账。</w:t>
      </w:r>
    </w:p>
    <w:p w14:paraId="7B419746">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3.3 本合同约定的不含税价款不因国家税率变化而变化。在合同履行期间，如遇国家的税率调整或其他政策影响税率的，则价税合计金额做相应调整。</w:t>
      </w:r>
    </w:p>
    <w:p w14:paraId="445EBDE9">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b/>
          <w:bCs/>
          <w:lang w:val="en-US" w:eastAsia="zh-CN"/>
        </w:rPr>
      </w:pPr>
      <w:r>
        <w:rPr>
          <w:rFonts w:hint="eastAsia"/>
          <w:b/>
          <w:bCs/>
          <w:lang w:val="en-US" w:eastAsia="zh-CN"/>
        </w:rPr>
        <w:t>4. 交货、质量、安全事项</w:t>
      </w:r>
    </w:p>
    <w:p w14:paraId="7DD264D7">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lang w:val="en-US" w:eastAsia="zh-CN"/>
        </w:rPr>
      </w:pPr>
      <w:r>
        <w:rPr>
          <w:rFonts w:hint="eastAsia"/>
          <w:lang w:val="en-US" w:eastAsia="zh-CN"/>
        </w:rPr>
        <w:t>4.1 交货时间：甲方向乙方发送《处置通知单》，乙方在接到甲方处置通知之时起3个日历天内，按照通知要求完成处置。</w:t>
      </w:r>
    </w:p>
    <w:p w14:paraId="1128E6D8">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4.2 交货数量：以甲方实际生产产量为准。</w:t>
      </w:r>
    </w:p>
    <w:p w14:paraId="6310BAC7">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4.3 交货频次：以甲方实际生产需求为准。</w:t>
      </w:r>
    </w:p>
    <w:p w14:paraId="4E479988">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4.4 交货地点：滁宁城际铁路（滁州段）全线各车站、车辆段以及控制中心。</w:t>
      </w:r>
    </w:p>
    <w:p w14:paraId="0A9DBE6F">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4.5 本次报废处置采用过磅计重（部分同规格物品，可采取单个计重法，综合考虑损耗比例）。</w:t>
      </w:r>
    </w:p>
    <w:p w14:paraId="478D765B">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4.6 乙方负责拆解过程中会用到的人力、机械、设备等，并承担发生的费用。</w:t>
      </w:r>
    </w:p>
    <w:p w14:paraId="7E3379A7">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4.7 乙方负责货物的包装（交易过程中所需各类包装物及打包服务）、装卸、运输及可能发生的第三方过磅，承担其发生的一切费用并对全过程中的人员、车辆、施工等所有安全事项负全责，并负责清理现场（因提货发生的清洁卫生）。</w:t>
      </w:r>
    </w:p>
    <w:p w14:paraId="77E7862E">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4.8 乙方在货物接收过程中有动火等操作需求，须提前申请并按照甲方公司安全规定进行操作。</w:t>
      </w:r>
    </w:p>
    <w:p w14:paraId="01196371">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4.9 乙方明确知道甲方本次处置物品为报废物品，甲方不对有关物品在质量、使用性能等方面存在的瑕疵或缺陷问题承担任何责任。</w:t>
      </w:r>
    </w:p>
    <w:p w14:paraId="6BEC90A5">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4.10 报价数量为预估数量，以实际交货数量为准。</w:t>
      </w:r>
    </w:p>
    <w:p w14:paraId="03A967C1">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4.11 乙方对回收处置过程中造成的物品及场地损坏进行恢复换新或照价赔偿。</w:t>
      </w:r>
    </w:p>
    <w:p w14:paraId="25F8F135">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4.12 乙方对施工全过程中的人员、车辆、施工等所有安全事项负全责。</w:t>
      </w:r>
    </w:p>
    <w:p w14:paraId="25C28C3F">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4.13 乙方在实物交付过程中如未按照合同规定执行，甲方有权提前终止本合同。</w:t>
      </w:r>
    </w:p>
    <w:p w14:paraId="11AF8FA9">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b/>
          <w:bCs/>
          <w:lang w:val="en-US" w:eastAsia="zh-CN"/>
        </w:rPr>
      </w:pPr>
      <w:r>
        <w:rPr>
          <w:rFonts w:hint="eastAsia"/>
          <w:b/>
          <w:bCs/>
          <w:lang w:val="en-US" w:eastAsia="zh-CN"/>
        </w:rPr>
        <w:t>5. 甲方权利义务</w:t>
      </w:r>
    </w:p>
    <w:p w14:paraId="0827E89C">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5.1 甲方应按照相关法律法规的规定，对产生的危险废弃物进行分类、收集、暂存。</w:t>
      </w:r>
    </w:p>
    <w:p w14:paraId="64B81066">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5.2 甲方应如实向乙方提供危险废弃物的种类、数量、性质、成分等信息，并按照乙方要求提供相关的技术资料和文件。</w:t>
      </w:r>
    </w:p>
    <w:p w14:paraId="26E75BD8">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5.3 甲方有权对乙方的处置工作进行监督和检查，如发现乙方存在违规操作或处置不符合要求的情况，有权要求乙方立即整改，并采取相应的补救措施。</w:t>
      </w:r>
    </w:p>
    <w:p w14:paraId="029FBA7E">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5.4 甲方应按照本合同约定的时间和方式向乙方支付处置费用。</w:t>
      </w:r>
    </w:p>
    <w:p w14:paraId="02F1D853">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lang w:val="en-US" w:eastAsia="zh-CN"/>
        </w:rPr>
      </w:pPr>
      <w:r>
        <w:rPr>
          <w:rFonts w:hint="eastAsia"/>
          <w:lang w:val="en-US" w:eastAsia="zh-CN"/>
        </w:rPr>
        <w:t>5.5 如遇不可抗力事件或甲方运营生产需要，甲方可临时调整处置计划。</w:t>
      </w:r>
    </w:p>
    <w:p w14:paraId="0A6A685A">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b/>
          <w:bCs/>
          <w:lang w:val="en-US" w:eastAsia="zh-CN"/>
        </w:rPr>
      </w:pPr>
      <w:r>
        <w:rPr>
          <w:rFonts w:hint="eastAsia"/>
          <w:b/>
          <w:bCs/>
          <w:lang w:val="en-US" w:eastAsia="zh-CN"/>
        </w:rPr>
        <w:t>6. 乙方权利义务</w:t>
      </w:r>
    </w:p>
    <w:p w14:paraId="506B1345">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6.1 乙方应具备合法有效的危险废弃物经营许可证、营业执照等资质，并确保其派来接收和处置危险废弃物的人员具备相应的专业资质和操作证书并对此承担相关法律责任。</w:t>
      </w:r>
    </w:p>
    <w:p w14:paraId="42150FA2">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6.2 乙方应按照国家环保相关法律法规的规定和标准，对接收的危险废弃物进行运输、储存和处置，并承担处置过程中的环境风险和安全责任。</w:t>
      </w:r>
    </w:p>
    <w:p w14:paraId="5026F4C5">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6.3 乙方应在接到甲方通知后，按照指定的时间和地点，及时安排专用车辆和专业人员接收危险废弃物，并按照《危险废物转移联单管理办法》的要求，填写、运行危险废物转移联单。</w:t>
      </w:r>
    </w:p>
    <w:p w14:paraId="6E0C267D">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lang w:val="en-US" w:eastAsia="zh-CN"/>
        </w:rPr>
      </w:pPr>
      <w:r>
        <w:rPr>
          <w:rFonts w:hint="eastAsia"/>
          <w:lang w:val="en-US" w:eastAsia="zh-CN"/>
        </w:rPr>
        <w:t>6.4 乙方应将危险废物接受情况、利用或者处置结果及时告知甲方。</w:t>
      </w:r>
    </w:p>
    <w:p w14:paraId="09D9C7DB">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6.5 乙方有权按照本合同约定向甲方收取处置费用，并在完成处置工作后，向甲方提供合法有效的发票及相关证明文件。</w:t>
      </w:r>
    </w:p>
    <w:p w14:paraId="7296BDC1">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b/>
          <w:bCs/>
          <w:lang w:val="en-US" w:eastAsia="zh-CN"/>
        </w:rPr>
      </w:pPr>
      <w:r>
        <w:rPr>
          <w:rFonts w:hint="eastAsia"/>
          <w:b/>
          <w:bCs/>
          <w:lang w:val="en-US" w:eastAsia="zh-CN"/>
        </w:rPr>
        <w:t>7. 危险废弃物的转移与运输</w:t>
      </w:r>
    </w:p>
    <w:p w14:paraId="7CDFBF21">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7.1 乙方负责按照国家有关危险货物运输的规定，安排具备资质的运输车辆和押运人员，将危险废弃物安全运输至其处置场所。</w:t>
      </w:r>
    </w:p>
    <w:p w14:paraId="35DE5345">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lang w:val="en-US" w:eastAsia="zh-CN"/>
        </w:rPr>
      </w:pPr>
      <w:r>
        <w:rPr>
          <w:rFonts w:hint="eastAsia"/>
          <w:lang w:val="en-US" w:eastAsia="zh-CN"/>
        </w:rPr>
        <w:t>7.2 运输过程中，乙方应采取必要的安全措施，确保危险废弃物不泄漏、不扩散、不丢失，如因乙方原因导致危险废弃物污染环境或造成人身伤害、财产损失的，乙方应承担全部赔偿责任。</w:t>
      </w:r>
    </w:p>
    <w:p w14:paraId="34584D29">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7.3 危险废弃物的转移和运输费用由乙方承担。</w:t>
      </w:r>
    </w:p>
    <w:p w14:paraId="2E18D613">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textAlignment w:val="auto"/>
        <w:rPr>
          <w:rFonts w:hint="default"/>
          <w:b/>
          <w:bCs/>
          <w:lang w:val="en-US" w:eastAsia="zh-CN"/>
        </w:rPr>
      </w:pPr>
      <w:r>
        <w:rPr>
          <w:rFonts w:hint="eastAsia"/>
          <w:b/>
          <w:bCs/>
          <w:lang w:val="en-US" w:eastAsia="zh-CN"/>
        </w:rPr>
        <w:t>8. 履约保证金</w:t>
      </w:r>
    </w:p>
    <w:p w14:paraId="6033D717">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8.1 在本合同签订时，乙方应向甲方提交履约保证金，金额为人民币（大写）</w:t>
      </w:r>
      <w:r>
        <w:rPr>
          <w:rFonts w:hint="eastAsia"/>
          <w:u w:val="single"/>
          <w:lang w:val="en-US" w:eastAsia="zh-CN"/>
        </w:rPr>
        <w:t xml:space="preserve">         </w:t>
      </w:r>
      <w:r>
        <w:rPr>
          <w:rFonts w:hint="eastAsia"/>
          <w:lang w:val="en-US" w:eastAsia="zh-CN"/>
        </w:rPr>
        <w:t>（¥</w:t>
      </w:r>
      <w:r>
        <w:rPr>
          <w:rFonts w:hint="eastAsia"/>
          <w:u w:val="single"/>
          <w:lang w:val="en-US" w:eastAsia="zh-CN"/>
        </w:rPr>
        <w:t xml:space="preserve">        </w:t>
      </w:r>
      <w:r>
        <w:rPr>
          <w:rFonts w:hint="eastAsia"/>
          <w:lang w:val="en-US" w:eastAsia="zh-CN"/>
        </w:rPr>
        <w:t>元）。</w:t>
      </w:r>
    </w:p>
    <w:p w14:paraId="58287116">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8.2 履约保证金提交方式：应按照本合同要求向甲方提交履约保证金或按甲方要求开具同等金额的银行保函。</w:t>
      </w:r>
    </w:p>
    <w:p w14:paraId="24306AF5">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8.3 履约保证金由甲方持有，甲方有权在该履约保证金内扣除任何乙方应付而未付之任何款项（包括但不限于合同约定的乙方应支付款项、甲方垫付的其他费用等），及任何因乙方在不遵守或不履行本合同条款之任何部分而导致的任何费用支出、违约金、损失或损害赔偿金。</w:t>
      </w:r>
    </w:p>
    <w:p w14:paraId="5C11B203">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8.4 如甲方根据本合同的约定扣除履约保证金，乙方必须在扣款后</w:t>
      </w:r>
      <w:r>
        <w:rPr>
          <w:rFonts w:hint="eastAsia"/>
          <w:u w:val="single"/>
          <w:lang w:val="en-US" w:eastAsia="zh-CN"/>
        </w:rPr>
        <w:t xml:space="preserve"> 5 </w:t>
      </w:r>
      <w:r>
        <w:rPr>
          <w:rFonts w:hint="eastAsia"/>
          <w:lang w:val="en-US" w:eastAsia="zh-CN"/>
        </w:rPr>
        <w:t>个工作日内，补足相等于该扣除款额的履约保证金，以保证合同履行期间履约保证金的完整。如履约保证金尚不能弥补甲方的损失，甲方有权向甲方另行主张赔偿。</w:t>
      </w:r>
    </w:p>
    <w:p w14:paraId="49DD8AE0">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8.5 履约保证金的有效期限至本合同项下最后一批废弃物处置完成之日止。履约保证金有效期满后，甲方审核无误后于</w:t>
      </w:r>
      <w:r>
        <w:rPr>
          <w:rFonts w:hint="eastAsia"/>
          <w:u w:val="single"/>
          <w:lang w:val="en-US" w:eastAsia="zh-CN"/>
        </w:rPr>
        <w:t>30</w:t>
      </w:r>
      <w:r>
        <w:rPr>
          <w:rFonts w:hint="eastAsia"/>
          <w:lang w:val="en-US" w:eastAsia="zh-CN"/>
        </w:rPr>
        <w:t>个工作日内无息退回。</w:t>
      </w:r>
    </w:p>
    <w:p w14:paraId="131C9E25">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b/>
          <w:bCs/>
          <w:lang w:val="en-US" w:eastAsia="zh-CN"/>
        </w:rPr>
      </w:pPr>
      <w:r>
        <w:rPr>
          <w:rFonts w:hint="eastAsia"/>
          <w:b/>
          <w:bCs/>
          <w:lang w:val="en-US" w:eastAsia="zh-CN"/>
        </w:rPr>
        <w:t>9. 保密条款</w:t>
      </w:r>
    </w:p>
    <w:p w14:paraId="2DD20F3C">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lang w:val="en-US" w:eastAsia="zh-CN"/>
        </w:rPr>
      </w:pPr>
      <w:r>
        <w:rPr>
          <w:rFonts w:hint="eastAsia"/>
          <w:lang w:val="en-US" w:eastAsia="zh-CN"/>
        </w:rPr>
        <w:t>9</w:t>
      </w:r>
      <w:r>
        <w:rPr>
          <w:rFonts w:hint="default"/>
          <w:lang w:val="en-US" w:eastAsia="zh-CN"/>
        </w:rPr>
        <w:t>.1甲、乙双方应对因履行合同而取得的另一方的信息、资料等予以保密。未经另一方书面同意，任何一方均不得为与履行合同无关的目的使用或向第三方披露另一方当事人提供的信息、资料。</w:t>
      </w:r>
    </w:p>
    <w:p w14:paraId="6E1A7F3F">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lang w:val="en-US" w:eastAsia="zh-CN"/>
        </w:rPr>
      </w:pPr>
      <w:r>
        <w:rPr>
          <w:rFonts w:hint="eastAsia"/>
          <w:lang w:val="en-US" w:eastAsia="zh-CN"/>
        </w:rPr>
        <w:t>9</w:t>
      </w:r>
      <w:r>
        <w:rPr>
          <w:rFonts w:hint="default"/>
          <w:lang w:val="en-US" w:eastAsia="zh-CN"/>
        </w:rPr>
        <w:t>.2甲、乙双方的保密义务不适用于下列信息：(1)非因接受信息一方的过失现在或以后进入公共领域的信息；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2C9DC210">
      <w:pPr>
        <w:pStyle w:val="7"/>
        <w:keepNext w:val="0"/>
        <w:keepLines w:val="0"/>
        <w:pageBreakBefore w:val="0"/>
        <w:widowControl w:val="0"/>
        <w:numPr>
          <w:ilvl w:val="0"/>
          <w:numId w:val="6"/>
        </w:numPr>
        <w:kinsoku/>
        <w:wordWrap/>
        <w:overflowPunct/>
        <w:topLinePunct w:val="0"/>
        <w:autoSpaceDE/>
        <w:autoSpaceDN/>
        <w:bidi w:val="0"/>
        <w:adjustRightInd/>
        <w:snapToGrid/>
        <w:spacing w:after="0" w:line="360" w:lineRule="auto"/>
        <w:textAlignment w:val="auto"/>
        <w:rPr>
          <w:rFonts w:hint="default"/>
          <w:b/>
          <w:bCs/>
          <w:lang w:val="en-US" w:eastAsia="zh-CN"/>
        </w:rPr>
      </w:pPr>
      <w:r>
        <w:rPr>
          <w:rFonts w:hint="eastAsia"/>
          <w:b/>
          <w:bCs/>
          <w:lang w:val="en-US" w:eastAsia="zh-CN"/>
        </w:rPr>
        <w:t>违约责任</w:t>
      </w:r>
    </w:p>
    <w:p w14:paraId="610477C5">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若甲方未按照本合同约定的时间和方式向乙方支付处置费用，每逾期一日，应按照未支付金额的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lang w:val="en-US" w:eastAsia="zh-CN"/>
        </w:rPr>
        <w:t xml:space="preserve"> 向乙方支付违约金；逾期超过</w:t>
      </w:r>
      <w:r>
        <w:rPr>
          <w:rFonts w:hint="eastAsia"/>
          <w:u w:val="single"/>
          <w:lang w:val="en-US" w:eastAsia="zh-CN"/>
        </w:rPr>
        <w:t>30</w:t>
      </w:r>
      <w:r>
        <w:rPr>
          <w:rFonts w:hint="eastAsia"/>
          <w:u w:val="none"/>
          <w:lang w:val="en-US" w:eastAsia="zh-CN"/>
        </w:rPr>
        <w:t>个工作</w:t>
      </w:r>
      <w:r>
        <w:rPr>
          <w:rFonts w:hint="eastAsia"/>
          <w:lang w:val="en-US" w:eastAsia="zh-CN"/>
        </w:rPr>
        <w:t>日的，乙方有权暂停处置工作，并要求甲方承担因此给乙方造成的全部损失。</w:t>
      </w:r>
    </w:p>
    <w:p w14:paraId="5B5E6AD4">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若乙方未按照本合同约定的时间和要求完成危险废弃物的处置工作（包括故意延期处置、减量处置等），每逾期一日，应按照处置费用总额的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lang w:val="en-US" w:eastAsia="zh-CN"/>
        </w:rPr>
        <w:t>向甲方支付违约金；逾期超过</w:t>
      </w:r>
      <w:r>
        <w:rPr>
          <w:rFonts w:hint="eastAsia"/>
          <w:u w:val="single"/>
          <w:lang w:val="en-US" w:eastAsia="zh-CN"/>
        </w:rPr>
        <w:t>30</w:t>
      </w:r>
      <w:r>
        <w:rPr>
          <w:rFonts w:hint="eastAsia"/>
          <w:u w:val="none"/>
          <w:lang w:val="en-US" w:eastAsia="zh-CN"/>
        </w:rPr>
        <w:t>个工作</w:t>
      </w:r>
      <w:r>
        <w:rPr>
          <w:rFonts w:hint="eastAsia"/>
          <w:lang w:val="en-US" w:eastAsia="zh-CN"/>
        </w:rPr>
        <w:t>日的，甲</w:t>
      </w:r>
      <w:r>
        <w:rPr>
          <w:rFonts w:hint="eastAsia" w:ascii="宋体" w:hAnsi="宋体"/>
          <w:szCs w:val="21"/>
          <w:highlight w:val="none"/>
        </w:rPr>
        <w:t>方有权书面通知</w:t>
      </w:r>
      <w:r>
        <w:rPr>
          <w:rFonts w:hint="eastAsia" w:ascii="宋体" w:hAnsi="宋体"/>
          <w:szCs w:val="21"/>
          <w:highlight w:val="none"/>
          <w:lang w:val="en-US" w:eastAsia="zh-CN"/>
        </w:rPr>
        <w:t>乙方</w:t>
      </w:r>
      <w:r>
        <w:rPr>
          <w:rFonts w:hint="eastAsia" w:ascii="宋体" w:hAnsi="宋体"/>
          <w:szCs w:val="21"/>
          <w:highlight w:val="none"/>
        </w:rPr>
        <w:t>单方面解除本合同，且有权要求</w:t>
      </w:r>
      <w:r>
        <w:rPr>
          <w:rFonts w:hint="eastAsia" w:ascii="宋体" w:hAnsi="宋体"/>
          <w:szCs w:val="21"/>
          <w:highlight w:val="none"/>
          <w:lang w:val="en-US" w:eastAsia="zh-CN"/>
        </w:rPr>
        <w:t>乙方</w:t>
      </w:r>
      <w:r>
        <w:rPr>
          <w:rFonts w:hint="eastAsia" w:ascii="宋体" w:hAnsi="宋体"/>
          <w:szCs w:val="21"/>
          <w:highlight w:val="none"/>
        </w:rPr>
        <w:t>支付相当于合同总价</w:t>
      </w:r>
      <w:r>
        <w:rPr>
          <w:rFonts w:hint="eastAsia" w:ascii="宋体" w:hAnsi="宋体"/>
          <w:szCs w:val="21"/>
          <w:highlight w:val="none"/>
          <w:u w:val="single"/>
        </w:rPr>
        <w:t>5%</w:t>
      </w:r>
      <w:r>
        <w:rPr>
          <w:rFonts w:hint="eastAsia" w:ascii="宋体" w:hAnsi="宋体"/>
          <w:szCs w:val="21"/>
          <w:highlight w:val="none"/>
        </w:rPr>
        <w:t>的违约金，若该违约金不足以补偿给</w:t>
      </w:r>
      <w:r>
        <w:rPr>
          <w:rFonts w:hint="eastAsia" w:ascii="宋体" w:hAnsi="宋体"/>
          <w:szCs w:val="21"/>
          <w:highlight w:val="none"/>
          <w:lang w:val="en-US" w:eastAsia="zh-CN"/>
        </w:rPr>
        <w:t>甲方</w:t>
      </w:r>
      <w:r>
        <w:rPr>
          <w:rFonts w:hint="eastAsia" w:ascii="宋体" w:hAnsi="宋体"/>
          <w:szCs w:val="21"/>
          <w:highlight w:val="none"/>
        </w:rPr>
        <w:t>造成的</w:t>
      </w:r>
      <w:r>
        <w:rPr>
          <w:rFonts w:hint="eastAsia" w:ascii="宋体" w:hAnsi="宋体"/>
          <w:szCs w:val="21"/>
          <w:highlight w:val="none"/>
          <w:lang w:val="en-US" w:eastAsia="zh-CN"/>
        </w:rPr>
        <w:t>全部</w:t>
      </w:r>
      <w:r>
        <w:rPr>
          <w:rFonts w:hint="eastAsia" w:ascii="宋体" w:hAnsi="宋体"/>
          <w:szCs w:val="21"/>
          <w:highlight w:val="none"/>
        </w:rPr>
        <w:t>损失，则</w:t>
      </w:r>
      <w:r>
        <w:rPr>
          <w:rFonts w:hint="eastAsia" w:ascii="宋体" w:hAnsi="宋体"/>
          <w:szCs w:val="21"/>
          <w:highlight w:val="none"/>
          <w:lang w:val="en-US" w:eastAsia="zh-CN"/>
        </w:rPr>
        <w:t>乙方</w:t>
      </w:r>
      <w:r>
        <w:rPr>
          <w:rFonts w:hint="eastAsia" w:ascii="宋体" w:hAnsi="宋体"/>
          <w:szCs w:val="21"/>
          <w:highlight w:val="none"/>
        </w:rPr>
        <w:t>还应当补足差额部分。</w:t>
      </w:r>
    </w:p>
    <w:p w14:paraId="17CE3DB0">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若乙方在处置过程中违反国家环保法律法规或操作规程，导致环境污染或安全事故的，乙方应承担全部赔偿责任，并负责消除污染、恢复环境原状；如因此给甲方造成损失的，乙方还应赔偿甲方的全部损失。</w:t>
      </w:r>
    </w:p>
    <w:p w14:paraId="4A65873F">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ascii="宋体" w:hAnsi="宋体"/>
          <w:color w:val="000000"/>
          <w:szCs w:val="21"/>
          <w:highlight w:val="none"/>
        </w:rPr>
        <w:t>无论何等原因，</w:t>
      </w:r>
      <w:r>
        <w:rPr>
          <w:rFonts w:hint="eastAsia" w:ascii="宋体" w:hAnsi="宋体"/>
          <w:color w:val="000000"/>
          <w:szCs w:val="21"/>
          <w:highlight w:val="none"/>
          <w:lang w:val="en-US" w:eastAsia="zh-CN"/>
        </w:rPr>
        <w:t>乙方</w:t>
      </w:r>
      <w:r>
        <w:rPr>
          <w:rFonts w:hint="eastAsia" w:ascii="宋体" w:hAnsi="宋体"/>
          <w:color w:val="000000"/>
          <w:szCs w:val="21"/>
          <w:highlight w:val="none"/>
        </w:rPr>
        <w:t>未履行合同约定主要义务，包括不限于</w:t>
      </w:r>
      <w:r>
        <w:rPr>
          <w:rFonts w:hint="eastAsia" w:ascii="宋体" w:hAnsi="宋体"/>
          <w:color w:val="000000"/>
          <w:szCs w:val="21"/>
          <w:highlight w:val="none"/>
          <w:lang w:val="en-US" w:eastAsia="zh-CN"/>
        </w:rPr>
        <w:t>10</w:t>
      </w:r>
      <w:r>
        <w:rPr>
          <w:rFonts w:hint="eastAsia" w:ascii="宋体" w:hAnsi="宋体"/>
          <w:color w:val="000000"/>
          <w:szCs w:val="21"/>
          <w:highlight w:val="none"/>
        </w:rPr>
        <w:t>.2-</w:t>
      </w:r>
      <w:r>
        <w:rPr>
          <w:rFonts w:hint="eastAsia" w:ascii="宋体" w:hAnsi="宋体"/>
          <w:color w:val="000000"/>
          <w:szCs w:val="21"/>
          <w:highlight w:val="none"/>
          <w:lang w:val="en-US" w:eastAsia="zh-CN"/>
        </w:rPr>
        <w:t>10</w:t>
      </w:r>
      <w:r>
        <w:rPr>
          <w:rFonts w:hint="eastAsia" w:ascii="宋体" w:hAnsi="宋体"/>
          <w:color w:val="000000"/>
          <w:szCs w:val="21"/>
          <w:highlight w:val="none"/>
        </w:rPr>
        <w:t>.</w:t>
      </w:r>
      <w:r>
        <w:rPr>
          <w:rFonts w:hint="eastAsia" w:ascii="宋体" w:hAnsi="宋体"/>
          <w:color w:val="000000"/>
          <w:szCs w:val="21"/>
          <w:highlight w:val="none"/>
          <w:lang w:val="en-US" w:eastAsia="zh-CN"/>
        </w:rPr>
        <w:t>3</w:t>
      </w:r>
      <w:r>
        <w:rPr>
          <w:rFonts w:hint="eastAsia" w:ascii="宋体" w:hAnsi="宋体"/>
          <w:color w:val="000000"/>
          <w:szCs w:val="21"/>
          <w:highlight w:val="none"/>
        </w:rPr>
        <w:t>条约定部分，或</w:t>
      </w:r>
      <w:r>
        <w:rPr>
          <w:rFonts w:hint="eastAsia" w:ascii="宋体" w:hAnsi="宋体"/>
          <w:color w:val="000000"/>
          <w:szCs w:val="21"/>
          <w:highlight w:val="none"/>
          <w:lang w:val="en-US" w:eastAsia="zh-CN"/>
        </w:rPr>
        <w:t>乙方</w:t>
      </w:r>
      <w:r>
        <w:rPr>
          <w:rFonts w:hint="eastAsia" w:ascii="宋体" w:hAnsi="宋体"/>
          <w:color w:val="000000"/>
          <w:szCs w:val="21"/>
          <w:highlight w:val="none"/>
        </w:rPr>
        <w:t>未能及时配合</w:t>
      </w:r>
      <w:r>
        <w:rPr>
          <w:rFonts w:hint="eastAsia" w:ascii="宋体" w:hAnsi="宋体"/>
          <w:color w:val="000000"/>
          <w:szCs w:val="21"/>
          <w:highlight w:val="none"/>
          <w:lang w:val="en-US" w:eastAsia="zh-CN"/>
        </w:rPr>
        <w:t>甲方</w:t>
      </w:r>
      <w:r>
        <w:rPr>
          <w:rFonts w:hint="eastAsia" w:ascii="宋体" w:hAnsi="宋体"/>
          <w:color w:val="000000"/>
          <w:szCs w:val="21"/>
          <w:highlight w:val="none"/>
        </w:rPr>
        <w:t>为实现合同的要求</w:t>
      </w:r>
      <w:r>
        <w:rPr>
          <w:rFonts w:hint="eastAsia" w:ascii="宋体" w:hAnsi="宋体"/>
          <w:color w:val="000000"/>
          <w:szCs w:val="21"/>
          <w:highlight w:val="none"/>
          <w:lang w:val="en-US" w:eastAsia="zh-CN"/>
        </w:rPr>
        <w:t>乙方</w:t>
      </w:r>
      <w:r>
        <w:rPr>
          <w:rFonts w:hint="eastAsia" w:ascii="宋体" w:hAnsi="宋体"/>
          <w:color w:val="000000"/>
          <w:szCs w:val="21"/>
          <w:highlight w:val="none"/>
        </w:rPr>
        <w:t>实施相关行为的，均视为</w:t>
      </w:r>
      <w:r>
        <w:rPr>
          <w:rFonts w:hint="eastAsia" w:ascii="宋体" w:hAnsi="宋体"/>
          <w:color w:val="000000"/>
          <w:szCs w:val="21"/>
          <w:highlight w:val="none"/>
          <w:lang w:val="en-US" w:eastAsia="zh-CN"/>
        </w:rPr>
        <w:t>乙方</w:t>
      </w:r>
      <w:r>
        <w:rPr>
          <w:rFonts w:hint="eastAsia" w:ascii="宋体" w:hAnsi="宋体"/>
          <w:color w:val="000000"/>
          <w:szCs w:val="21"/>
          <w:highlight w:val="none"/>
        </w:rPr>
        <w:t>违约。</w:t>
      </w:r>
      <w:r>
        <w:rPr>
          <w:rFonts w:hint="eastAsia" w:ascii="宋体" w:hAnsi="宋体"/>
          <w:color w:val="000000"/>
          <w:szCs w:val="21"/>
          <w:highlight w:val="none"/>
          <w:lang w:val="en-US" w:eastAsia="zh-CN"/>
        </w:rPr>
        <w:t>甲</w:t>
      </w:r>
      <w:r>
        <w:rPr>
          <w:rFonts w:hint="eastAsia" w:ascii="宋体" w:hAnsi="宋体"/>
          <w:color w:val="000000"/>
          <w:szCs w:val="21"/>
          <w:highlight w:val="none"/>
        </w:rPr>
        <w:t>、</w:t>
      </w:r>
      <w:r>
        <w:rPr>
          <w:rFonts w:hint="eastAsia" w:ascii="宋体" w:hAnsi="宋体"/>
          <w:color w:val="000000"/>
          <w:szCs w:val="21"/>
          <w:highlight w:val="none"/>
          <w:lang w:val="en-US" w:eastAsia="zh-CN"/>
        </w:rPr>
        <w:t>乙</w:t>
      </w:r>
      <w:r>
        <w:rPr>
          <w:rFonts w:hint="eastAsia" w:ascii="宋体" w:hAnsi="宋体"/>
          <w:color w:val="000000"/>
          <w:szCs w:val="21"/>
          <w:highlight w:val="none"/>
        </w:rPr>
        <w:t>双方一致同意，如果</w:t>
      </w:r>
      <w:r>
        <w:rPr>
          <w:rFonts w:hint="eastAsia" w:ascii="宋体" w:hAnsi="宋体"/>
          <w:color w:val="000000"/>
          <w:szCs w:val="21"/>
          <w:highlight w:val="none"/>
          <w:lang w:val="en-US" w:eastAsia="zh-CN"/>
        </w:rPr>
        <w:t>乙方</w:t>
      </w:r>
      <w:r>
        <w:rPr>
          <w:rFonts w:hint="eastAsia" w:ascii="宋体" w:hAnsi="宋体"/>
          <w:color w:val="000000"/>
          <w:szCs w:val="21"/>
          <w:highlight w:val="none"/>
        </w:rPr>
        <w:t>发生本合同约定的违约情形，</w:t>
      </w:r>
      <w:r>
        <w:rPr>
          <w:rFonts w:hint="eastAsia" w:ascii="宋体" w:hAnsi="宋体"/>
          <w:color w:val="000000"/>
          <w:szCs w:val="21"/>
          <w:highlight w:val="none"/>
          <w:lang w:val="en-US" w:eastAsia="zh-CN"/>
        </w:rPr>
        <w:t>甲方</w:t>
      </w:r>
      <w:r>
        <w:rPr>
          <w:rFonts w:hint="eastAsia" w:ascii="宋体" w:hAnsi="宋体"/>
          <w:color w:val="000000"/>
          <w:szCs w:val="21"/>
          <w:highlight w:val="none"/>
        </w:rPr>
        <w:t>有权按照</w:t>
      </w:r>
      <w:r>
        <w:rPr>
          <w:rFonts w:hint="eastAsia" w:ascii="宋体" w:hAnsi="宋体"/>
          <w:color w:val="000000"/>
          <w:szCs w:val="21"/>
          <w:highlight w:val="none"/>
          <w:lang w:val="en-US" w:eastAsia="zh-CN"/>
        </w:rPr>
        <w:t>10</w:t>
      </w:r>
      <w:r>
        <w:rPr>
          <w:rFonts w:hint="eastAsia" w:ascii="宋体" w:hAnsi="宋体"/>
          <w:color w:val="000000"/>
          <w:szCs w:val="21"/>
          <w:highlight w:val="none"/>
        </w:rPr>
        <w:t>.2-</w:t>
      </w:r>
      <w:r>
        <w:rPr>
          <w:rFonts w:hint="eastAsia" w:ascii="宋体" w:hAnsi="宋体"/>
          <w:color w:val="000000"/>
          <w:szCs w:val="21"/>
          <w:highlight w:val="none"/>
          <w:lang w:val="en-US" w:eastAsia="zh-CN"/>
        </w:rPr>
        <w:t>10</w:t>
      </w:r>
      <w:r>
        <w:rPr>
          <w:rFonts w:hint="eastAsia" w:ascii="宋体" w:hAnsi="宋体"/>
          <w:color w:val="000000"/>
          <w:szCs w:val="21"/>
          <w:highlight w:val="none"/>
        </w:rPr>
        <w:t>.</w:t>
      </w:r>
      <w:r>
        <w:rPr>
          <w:rFonts w:hint="eastAsia" w:ascii="宋体" w:hAnsi="宋体"/>
          <w:color w:val="000000"/>
          <w:szCs w:val="21"/>
          <w:highlight w:val="none"/>
          <w:lang w:val="en-US" w:eastAsia="zh-CN"/>
        </w:rPr>
        <w:t>4</w:t>
      </w:r>
      <w:r>
        <w:rPr>
          <w:rFonts w:hint="eastAsia" w:ascii="宋体" w:hAnsi="宋体"/>
          <w:color w:val="000000"/>
          <w:szCs w:val="21"/>
          <w:highlight w:val="none"/>
        </w:rPr>
        <w:t>条的规定，从合同价款、履约保证金中扣除相应的金额作为</w:t>
      </w:r>
      <w:r>
        <w:rPr>
          <w:rFonts w:hint="eastAsia" w:ascii="宋体" w:hAnsi="宋体"/>
          <w:color w:val="000000"/>
          <w:szCs w:val="21"/>
          <w:highlight w:val="none"/>
          <w:lang w:val="en-US" w:eastAsia="zh-CN"/>
        </w:rPr>
        <w:t>乙方</w:t>
      </w:r>
      <w:r>
        <w:rPr>
          <w:rFonts w:hint="eastAsia" w:ascii="宋体" w:hAnsi="宋体"/>
          <w:color w:val="000000"/>
          <w:szCs w:val="21"/>
          <w:highlight w:val="none"/>
        </w:rPr>
        <w:t>的违约金。</w:t>
      </w:r>
    </w:p>
    <w:p w14:paraId="4EDE9804">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如果出现如下情形之一或者全部的，甲方有权直接通知乙方解除或者终止合同：</w:t>
      </w:r>
    </w:p>
    <w:p w14:paraId="32EB59DC">
      <w:pPr>
        <w:pStyle w:val="7"/>
        <w:keepNext w:val="0"/>
        <w:keepLines w:val="0"/>
        <w:pageBreakBefore w:val="0"/>
        <w:widowControl w:val="0"/>
        <w:numPr>
          <w:ilvl w:val="0"/>
          <w:numId w:val="7"/>
        </w:numPr>
        <w:kinsoku/>
        <w:wordWrap/>
        <w:overflowPunct/>
        <w:topLinePunct w:val="0"/>
        <w:autoSpaceDE/>
        <w:autoSpaceDN/>
        <w:bidi w:val="0"/>
        <w:adjustRightInd/>
        <w:snapToGrid/>
        <w:spacing w:after="0" w:line="360" w:lineRule="auto"/>
        <w:ind w:left="420" w:leftChars="0" w:firstLine="0" w:firstLineChars="0"/>
        <w:textAlignment w:val="auto"/>
        <w:rPr>
          <w:rFonts w:hint="eastAsia"/>
          <w:lang w:val="en-US" w:eastAsia="zh-CN"/>
        </w:rPr>
      </w:pPr>
      <w:r>
        <w:rPr>
          <w:rFonts w:hint="eastAsia"/>
          <w:lang w:val="en-US" w:eastAsia="zh-CN"/>
        </w:rPr>
        <w:t>因不可抗力导致甲方不能实现合同目的；</w:t>
      </w:r>
    </w:p>
    <w:p w14:paraId="35B25C8C">
      <w:pPr>
        <w:pStyle w:val="7"/>
        <w:keepNext w:val="0"/>
        <w:keepLines w:val="0"/>
        <w:pageBreakBefore w:val="0"/>
        <w:widowControl w:val="0"/>
        <w:numPr>
          <w:ilvl w:val="0"/>
          <w:numId w:val="7"/>
        </w:numPr>
        <w:kinsoku/>
        <w:wordWrap/>
        <w:overflowPunct/>
        <w:topLinePunct w:val="0"/>
        <w:autoSpaceDE/>
        <w:autoSpaceDN/>
        <w:bidi w:val="0"/>
        <w:adjustRightInd/>
        <w:snapToGrid/>
        <w:spacing w:after="0" w:line="360" w:lineRule="auto"/>
        <w:ind w:left="420" w:leftChars="0" w:firstLine="0" w:firstLineChars="0"/>
        <w:textAlignment w:val="auto"/>
        <w:rPr>
          <w:rFonts w:hint="eastAsia"/>
          <w:lang w:val="en-US" w:eastAsia="zh-CN"/>
        </w:rPr>
      </w:pPr>
      <w:r>
        <w:rPr>
          <w:rFonts w:hint="eastAsia"/>
          <w:lang w:val="en-US" w:eastAsia="zh-CN"/>
        </w:rPr>
        <w:t>在合同约定的履行期届满之前，乙方明确表示或者以自己的行为表明不履行相应义务的；</w:t>
      </w:r>
    </w:p>
    <w:p w14:paraId="57C69E44">
      <w:pPr>
        <w:pStyle w:val="7"/>
        <w:keepNext w:val="0"/>
        <w:keepLines w:val="0"/>
        <w:pageBreakBefore w:val="0"/>
        <w:widowControl w:val="0"/>
        <w:numPr>
          <w:ilvl w:val="0"/>
          <w:numId w:val="7"/>
        </w:numPr>
        <w:kinsoku/>
        <w:wordWrap/>
        <w:overflowPunct/>
        <w:topLinePunct w:val="0"/>
        <w:autoSpaceDE/>
        <w:autoSpaceDN/>
        <w:bidi w:val="0"/>
        <w:adjustRightInd/>
        <w:snapToGrid/>
        <w:spacing w:after="0" w:line="360" w:lineRule="auto"/>
        <w:ind w:left="420" w:leftChars="0" w:firstLine="0" w:firstLineChars="0"/>
        <w:textAlignment w:val="auto"/>
        <w:rPr>
          <w:rFonts w:hint="eastAsia"/>
          <w:lang w:val="en-US" w:eastAsia="zh-CN"/>
        </w:rPr>
      </w:pPr>
      <w:r>
        <w:rPr>
          <w:rFonts w:hint="eastAsia"/>
          <w:lang w:val="en-US" w:eastAsia="zh-CN"/>
        </w:rPr>
        <w:t>乙方延迟履行部分或者全部义务，经催告后仍未在甲方规定期限履行的；</w:t>
      </w:r>
    </w:p>
    <w:p w14:paraId="48591CD8">
      <w:pPr>
        <w:pStyle w:val="7"/>
        <w:keepNext w:val="0"/>
        <w:keepLines w:val="0"/>
        <w:pageBreakBefore w:val="0"/>
        <w:widowControl w:val="0"/>
        <w:numPr>
          <w:ilvl w:val="0"/>
          <w:numId w:val="7"/>
        </w:numPr>
        <w:kinsoku/>
        <w:wordWrap/>
        <w:overflowPunct/>
        <w:topLinePunct w:val="0"/>
        <w:autoSpaceDE/>
        <w:autoSpaceDN/>
        <w:bidi w:val="0"/>
        <w:adjustRightInd/>
        <w:snapToGrid/>
        <w:spacing w:after="0" w:line="360" w:lineRule="auto"/>
        <w:ind w:left="420" w:leftChars="0" w:firstLine="0" w:firstLineChars="0"/>
        <w:textAlignment w:val="auto"/>
        <w:rPr>
          <w:rFonts w:hint="eastAsia"/>
          <w:lang w:val="en-US" w:eastAsia="zh-CN"/>
        </w:rPr>
      </w:pPr>
      <w:r>
        <w:rPr>
          <w:rFonts w:hint="eastAsia"/>
          <w:lang w:val="en-US" w:eastAsia="zh-CN"/>
        </w:rPr>
        <w:t>乙方发生其他根本违约行为的。</w:t>
      </w:r>
    </w:p>
    <w:p w14:paraId="2E819EE7">
      <w:pPr>
        <w:pStyle w:val="7"/>
        <w:keepNext w:val="0"/>
        <w:keepLines w:val="0"/>
        <w:pageBreakBefore w:val="0"/>
        <w:widowControl w:val="0"/>
        <w:numPr>
          <w:ilvl w:val="0"/>
          <w:numId w:val="6"/>
        </w:numPr>
        <w:kinsoku/>
        <w:wordWrap/>
        <w:overflowPunct/>
        <w:topLinePunct w:val="0"/>
        <w:autoSpaceDE/>
        <w:autoSpaceDN/>
        <w:bidi w:val="0"/>
        <w:adjustRightInd/>
        <w:snapToGrid/>
        <w:spacing w:after="0" w:line="360" w:lineRule="auto"/>
        <w:textAlignment w:val="auto"/>
        <w:rPr>
          <w:rFonts w:hint="default"/>
          <w:b/>
          <w:bCs/>
          <w:lang w:val="en-US" w:eastAsia="zh-CN"/>
        </w:rPr>
      </w:pPr>
      <w:r>
        <w:rPr>
          <w:rFonts w:hint="eastAsia"/>
          <w:b/>
          <w:bCs/>
          <w:lang w:val="en-US" w:eastAsia="zh-CN"/>
        </w:rPr>
        <w:t>不可抗力</w:t>
      </w:r>
    </w:p>
    <w:p w14:paraId="280A661E">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因出现不可预见、不可避免、不可克服的事件，导致本合同无法有效及时履行时，遭遇不可抗力方应立即用电话、传真、电子邮件等尽可能迅速的通讯方式通知对方，并在通知后的</w:t>
      </w:r>
      <w:r>
        <w:rPr>
          <w:rFonts w:hint="eastAsia"/>
          <w:u w:val="single"/>
          <w:lang w:val="en-US" w:eastAsia="zh-CN"/>
        </w:rPr>
        <w:t xml:space="preserve"> 30 </w:t>
      </w:r>
      <w:r>
        <w:rPr>
          <w:rFonts w:hint="eastAsia"/>
          <w:lang w:val="en-US" w:eastAsia="zh-CN"/>
        </w:rPr>
        <w:t>日内将不可抗力的书面有效证明及本合同无法有效及时履行的书面理由提交给对方确认。遭受不可抗力的一方凭此证明免除全部或部分违约责任，具体免除范围和方式由双方另行协商。</w:t>
      </w:r>
    </w:p>
    <w:p w14:paraId="77C5F650">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AC88BD7">
      <w:pPr>
        <w:pStyle w:val="7"/>
        <w:keepNext w:val="0"/>
        <w:keepLines w:val="0"/>
        <w:pageBreakBefore w:val="0"/>
        <w:widowControl w:val="0"/>
        <w:numPr>
          <w:ilvl w:val="0"/>
          <w:numId w:val="6"/>
        </w:numPr>
        <w:kinsoku/>
        <w:wordWrap/>
        <w:overflowPunct/>
        <w:topLinePunct w:val="0"/>
        <w:autoSpaceDE/>
        <w:autoSpaceDN/>
        <w:bidi w:val="0"/>
        <w:adjustRightInd/>
        <w:snapToGrid/>
        <w:spacing w:after="0" w:line="360" w:lineRule="auto"/>
        <w:textAlignment w:val="auto"/>
        <w:rPr>
          <w:rFonts w:hint="default"/>
          <w:b/>
          <w:bCs/>
          <w:lang w:val="en-US" w:eastAsia="zh-CN"/>
        </w:rPr>
      </w:pPr>
      <w:r>
        <w:rPr>
          <w:rFonts w:hint="eastAsia"/>
          <w:b/>
          <w:bCs/>
          <w:lang w:val="en-US" w:eastAsia="zh-CN"/>
        </w:rPr>
        <w:t>合同的变更或终止</w:t>
      </w:r>
    </w:p>
    <w:p w14:paraId="39875F15">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甲方有权向乙方发出书面通知，从以下方面对合同内容进行变更，乙方应无条件执行甲方的变更要求：</w:t>
      </w:r>
    </w:p>
    <w:p w14:paraId="2F52E25A">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12.1.1 提前、推迟或暂停合同废弃物的处置，但应在处置期1天前（含本数）通知乙方，以便乙方提前做好各项处置准备工作。提前、推迟、暂停及重新确定处置时间均应办理有关合同变更手续。</w:t>
      </w:r>
    </w:p>
    <w:p w14:paraId="5573B98C">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12.1.2 在处置期 1天前（含本数）通知乙方变更运输方式、包装方式、处置地点及乙方需提供的服务。</w:t>
      </w:r>
    </w:p>
    <w:p w14:paraId="5240617B">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除合同另有约定外，本框架合同在下列情况下终止：</w:t>
      </w:r>
    </w:p>
    <w:p w14:paraId="086F551F">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12.2.1 双方协商同意，并签署书面终止合同；</w:t>
      </w:r>
    </w:p>
    <w:p w14:paraId="1B979CAE">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12.2.2 合同一方或者其受让人、承继人严重违反本合同规定的其义务且在另一方书面通知其纠正违约后的</w:t>
      </w:r>
      <w:r>
        <w:rPr>
          <w:rFonts w:hint="eastAsia"/>
          <w:u w:val="single"/>
          <w:lang w:val="en-US" w:eastAsia="zh-CN"/>
        </w:rPr>
        <w:t>30</w:t>
      </w:r>
      <w:r>
        <w:rPr>
          <w:rFonts w:hint="eastAsia"/>
          <w:lang w:val="en-US" w:eastAsia="zh-CN"/>
        </w:rPr>
        <w:t>个工作日内未能纠正违约，另一方可以书面通知违约方终止本合同；</w:t>
      </w:r>
    </w:p>
    <w:p w14:paraId="4543A249">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12.2.3一方破产、解散或停业清理，另一方可以在向该方发出通知后的</w:t>
      </w:r>
      <w:r>
        <w:rPr>
          <w:rFonts w:hint="eastAsia"/>
          <w:u w:val="single"/>
          <w:lang w:val="en-US" w:eastAsia="zh-CN"/>
        </w:rPr>
        <w:t>10</w:t>
      </w:r>
      <w:r>
        <w:rPr>
          <w:rFonts w:hint="eastAsia"/>
          <w:lang w:val="en-US" w:eastAsia="zh-CN"/>
        </w:rPr>
        <w:t>个工作日内终止本合同。</w:t>
      </w:r>
    </w:p>
    <w:p w14:paraId="0962533C">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20" w:firstLineChars="200"/>
        <w:textAlignment w:val="auto"/>
        <w:rPr>
          <w:rFonts w:hint="eastAsia"/>
          <w:lang w:val="en-US" w:eastAsia="zh-CN"/>
        </w:rPr>
      </w:pPr>
      <w:r>
        <w:rPr>
          <w:rFonts w:hint="eastAsia"/>
          <w:lang w:val="en-US" w:eastAsia="zh-CN"/>
        </w:rPr>
        <w:t>本合同无论因何原因终止，均不影响各方因执行本合同已经产生的权利和利益；合同中设定的违约条款、争议解决条款、通知送达条款等并不因为合同权利义务终止而受到任何影响。</w:t>
      </w:r>
    </w:p>
    <w:p w14:paraId="34EADE21">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除非甲、乙双方签署书面变更合同，并成为本合同不可分割的一部分之情形外，本合同的条款不得有任何变化或修改。</w:t>
      </w:r>
    </w:p>
    <w:p w14:paraId="5600991D">
      <w:pPr>
        <w:pStyle w:val="7"/>
        <w:keepNext w:val="0"/>
        <w:keepLines w:val="0"/>
        <w:pageBreakBefore w:val="0"/>
        <w:widowControl w:val="0"/>
        <w:numPr>
          <w:ilvl w:val="0"/>
          <w:numId w:val="6"/>
        </w:numPr>
        <w:kinsoku/>
        <w:wordWrap/>
        <w:overflowPunct/>
        <w:topLinePunct w:val="0"/>
        <w:autoSpaceDE/>
        <w:autoSpaceDN/>
        <w:bidi w:val="0"/>
        <w:adjustRightInd/>
        <w:snapToGrid/>
        <w:spacing w:after="0" w:line="360" w:lineRule="auto"/>
        <w:textAlignment w:val="auto"/>
        <w:rPr>
          <w:rFonts w:hint="default"/>
          <w:b/>
          <w:bCs/>
          <w:lang w:val="en-US" w:eastAsia="zh-CN"/>
        </w:rPr>
      </w:pPr>
      <w:r>
        <w:rPr>
          <w:rFonts w:hint="eastAsia"/>
          <w:b/>
          <w:bCs/>
          <w:lang w:val="en-US" w:eastAsia="zh-CN"/>
        </w:rPr>
        <w:t>合同的转让</w:t>
      </w:r>
    </w:p>
    <w:p w14:paraId="6D248E62">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乙方不得部分转让或全部转让其应履行的合同义务，如甲方发现乙方有甲方不能接受的转让行为，甲方有权中止或解除合同，不予退还履约保证金，由此所造成的损失由甲方承担。</w:t>
      </w:r>
    </w:p>
    <w:p w14:paraId="7B6C4A0E">
      <w:pPr>
        <w:pStyle w:val="7"/>
        <w:keepNext w:val="0"/>
        <w:keepLines w:val="0"/>
        <w:pageBreakBefore w:val="0"/>
        <w:widowControl w:val="0"/>
        <w:numPr>
          <w:ilvl w:val="0"/>
          <w:numId w:val="6"/>
        </w:numPr>
        <w:kinsoku/>
        <w:wordWrap/>
        <w:overflowPunct/>
        <w:topLinePunct w:val="0"/>
        <w:autoSpaceDE/>
        <w:autoSpaceDN/>
        <w:bidi w:val="0"/>
        <w:adjustRightInd/>
        <w:snapToGrid/>
        <w:spacing w:after="0" w:line="360" w:lineRule="auto"/>
        <w:textAlignment w:val="auto"/>
        <w:rPr>
          <w:rFonts w:hint="eastAsia" w:ascii="Times New Roman" w:hAnsi="Times New Roman" w:cs="Times New Roman"/>
          <w:b/>
          <w:bCs/>
          <w:lang w:val="en-US" w:eastAsia="zh-CN"/>
        </w:rPr>
      </w:pPr>
      <w:r>
        <w:rPr>
          <w:rFonts w:hint="eastAsia" w:ascii="Times New Roman" w:hAnsi="Times New Roman" w:cs="Times New Roman"/>
          <w:b/>
          <w:bCs/>
          <w:lang w:val="en-US" w:eastAsia="zh-CN"/>
        </w:rPr>
        <w:t xml:space="preserve">合同的有效性 </w:t>
      </w:r>
    </w:p>
    <w:p w14:paraId="4ED420B5">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经甲方查证，乙方在本项目招投标/竞争性磋商/竞争性谈判/询价采购等过程中存在串通投标、弄虚作假、行贿以及其他违法违规、违反诚信原则行为的，合同无效，甲方有权要求甲方赔偿所有损失。</w:t>
      </w:r>
    </w:p>
    <w:p w14:paraId="67A5977D">
      <w:pPr>
        <w:pStyle w:val="7"/>
        <w:keepNext w:val="0"/>
        <w:keepLines w:val="0"/>
        <w:pageBreakBefore w:val="0"/>
        <w:widowControl w:val="0"/>
        <w:numPr>
          <w:ilvl w:val="0"/>
          <w:numId w:val="6"/>
        </w:numPr>
        <w:kinsoku/>
        <w:wordWrap/>
        <w:overflowPunct/>
        <w:topLinePunct w:val="0"/>
        <w:autoSpaceDE/>
        <w:autoSpaceDN/>
        <w:bidi w:val="0"/>
        <w:adjustRightInd/>
        <w:snapToGrid/>
        <w:spacing w:after="0" w:line="360" w:lineRule="auto"/>
        <w:textAlignment w:val="auto"/>
        <w:rPr>
          <w:rFonts w:hint="eastAsia" w:ascii="Times New Roman" w:hAnsi="Times New Roman" w:cs="Times New Roman"/>
          <w:b/>
          <w:bCs/>
          <w:lang w:val="en-US" w:eastAsia="zh-CN"/>
        </w:rPr>
      </w:pPr>
      <w:r>
        <w:rPr>
          <w:rFonts w:hint="eastAsia" w:ascii="Times New Roman" w:hAnsi="Times New Roman" w:cs="Times New Roman"/>
          <w:b/>
          <w:bCs/>
          <w:lang w:val="en-US" w:eastAsia="zh-CN"/>
        </w:rPr>
        <w:t>通知送达</w:t>
      </w:r>
    </w:p>
    <w:p w14:paraId="5688ED7F">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5</w:t>
      </w:r>
      <w:r>
        <w:rPr>
          <w:rFonts w:hint="eastAsia" w:ascii="宋体" w:hAnsi="宋体"/>
          <w:szCs w:val="21"/>
          <w:highlight w:val="none"/>
        </w:rPr>
        <w:t xml:space="preserve">.1 </w:t>
      </w:r>
      <w:r>
        <w:rPr>
          <w:rFonts w:hint="eastAsia" w:ascii="宋体" w:hAnsi="宋体"/>
          <w:szCs w:val="21"/>
          <w:highlight w:val="none"/>
          <w:lang w:val="en-US" w:eastAsia="zh-CN"/>
        </w:rPr>
        <w:t>甲</w:t>
      </w:r>
      <w:r>
        <w:rPr>
          <w:rFonts w:hint="eastAsia" w:ascii="宋体" w:hAnsi="宋体"/>
          <w:szCs w:val="21"/>
          <w:highlight w:val="none"/>
        </w:rPr>
        <w:t>、</w:t>
      </w:r>
      <w:r>
        <w:rPr>
          <w:rFonts w:hint="eastAsia" w:ascii="宋体" w:hAnsi="宋体"/>
          <w:szCs w:val="21"/>
          <w:highlight w:val="none"/>
          <w:lang w:val="en-US" w:eastAsia="zh-CN"/>
        </w:rPr>
        <w:t>乙</w:t>
      </w:r>
      <w:r>
        <w:rPr>
          <w:rFonts w:hint="eastAsia" w:ascii="宋体" w:hAnsi="宋体"/>
          <w:szCs w:val="21"/>
          <w:highlight w:val="none"/>
        </w:rPr>
        <w:t>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44BE0707">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     </w:t>
      </w:r>
      <w:r>
        <w:rPr>
          <w:rFonts w:hint="eastAsia" w:ascii="宋体" w:hAnsi="宋体"/>
          <w:szCs w:val="21"/>
          <w:highlight w:val="none"/>
          <w:lang w:val="en-US" w:eastAsia="zh-CN"/>
        </w:rPr>
        <w:t>甲方</w:t>
      </w:r>
      <w:r>
        <w:rPr>
          <w:rFonts w:hint="eastAsia" w:ascii="宋体" w:hAnsi="宋体"/>
          <w:szCs w:val="21"/>
          <w:highlight w:val="none"/>
        </w:rPr>
        <w:t>联系人：</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73D8789E">
      <w:pPr>
        <w:tabs>
          <w:tab w:val="left" w:pos="360"/>
        </w:tabs>
        <w:snapToGrid w:val="0"/>
        <w:spacing w:line="360" w:lineRule="auto"/>
        <w:ind w:left="525" w:leftChars="250"/>
        <w:rPr>
          <w:rFonts w:hint="eastAsia"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7CA78C97">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172F4286">
      <w:pPr>
        <w:tabs>
          <w:tab w:val="left" w:pos="360"/>
        </w:tabs>
        <w:snapToGrid w:val="0"/>
        <w:spacing w:line="360" w:lineRule="auto"/>
        <w:ind w:left="525" w:leftChars="250"/>
        <w:rPr>
          <w:rFonts w:hint="eastAsia" w:ascii="宋体" w:hAnsi="宋体" w:eastAsia="宋体"/>
          <w:szCs w:val="21"/>
          <w:highlight w:val="none"/>
          <w:lang w:eastAsia="zh-CN"/>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5A5888C5">
      <w:pPr>
        <w:tabs>
          <w:tab w:val="left" w:pos="360"/>
        </w:tabs>
        <w:snapToGrid w:val="0"/>
        <w:spacing w:line="360" w:lineRule="auto"/>
        <w:rPr>
          <w:rFonts w:hint="default" w:ascii="宋体" w:hAnsi="宋体"/>
          <w:szCs w:val="21"/>
          <w:highlight w:val="none"/>
          <w:lang w:val="en-US"/>
        </w:rPr>
      </w:pPr>
      <w:r>
        <w:rPr>
          <w:rFonts w:hint="eastAsia" w:ascii="宋体" w:hAnsi="宋体"/>
          <w:szCs w:val="21"/>
          <w:highlight w:val="none"/>
        </w:rPr>
        <w:t xml:space="preserve">     </w:t>
      </w:r>
      <w:r>
        <w:rPr>
          <w:rFonts w:hint="eastAsia" w:ascii="宋体" w:hAnsi="宋体"/>
          <w:szCs w:val="21"/>
          <w:highlight w:val="none"/>
          <w:lang w:val="en-US" w:eastAsia="zh-CN"/>
        </w:rPr>
        <w:t>乙方</w:t>
      </w:r>
      <w:r>
        <w:rPr>
          <w:rFonts w:hint="eastAsia" w:ascii="宋体" w:hAnsi="宋体"/>
          <w:szCs w:val="21"/>
          <w:highlight w:val="none"/>
        </w:rPr>
        <w:t>联系人：</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403A18BD">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7F67E92F">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07856EA9">
      <w:pPr>
        <w:tabs>
          <w:tab w:val="left" w:pos="360"/>
        </w:tabs>
        <w:snapToGrid w:val="0"/>
        <w:spacing w:line="360" w:lineRule="auto"/>
        <w:ind w:firstLine="525" w:firstLineChars="250"/>
        <w:rPr>
          <w:rFonts w:ascii="宋体" w:hAnsi="宋体"/>
          <w:szCs w:val="21"/>
          <w:highlight w:val="none"/>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42FD0C1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lang w:val="en-US" w:eastAsia="zh-CN"/>
        </w:rPr>
        <w:t>15</w:t>
      </w:r>
      <w:r>
        <w:rPr>
          <w:rFonts w:hint="eastAsia" w:ascii="宋体" w:hAnsi="宋体"/>
          <w:szCs w:val="21"/>
          <w:highlight w:val="none"/>
        </w:rPr>
        <w:t>.2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w:t>
      </w:r>
      <w:r>
        <w:rPr>
          <w:rFonts w:hint="eastAsia" w:ascii="宋体" w:hAnsi="宋体"/>
          <w:szCs w:val="21"/>
          <w:highlight w:val="none"/>
          <w:lang w:eastAsia="zh-CN"/>
        </w:rPr>
        <w:t>甲乙</w:t>
      </w:r>
      <w:r>
        <w:rPr>
          <w:rFonts w:hint="eastAsia" w:ascii="宋体" w:hAnsi="宋体"/>
          <w:szCs w:val="21"/>
          <w:highlight w:val="none"/>
        </w:rPr>
        <w:t>双方同意以电子邮箱、钉钉或者其他电子方式送达的，订货通知或者函件一旦发出至对方系统，即视为送达；任何一方明知对方向其发送通知寄送函件的，不得拒收，如拒收的视为通知已送达。</w:t>
      </w:r>
    </w:p>
    <w:p w14:paraId="363EF901">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5</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cs="Times New Roman"/>
          <w:sz w:val="21"/>
          <w:szCs w:val="21"/>
          <w:highlight w:val="none"/>
          <w:lang w:val="en-US" w:eastAsia="zh-CN"/>
        </w:rPr>
        <w:t>15</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6C06AE8A">
      <w:pPr>
        <w:tabs>
          <w:tab w:val="left" w:pos="360"/>
        </w:tabs>
        <w:snapToGrid w:val="0"/>
        <w:spacing w:line="360" w:lineRule="auto"/>
        <w:rPr>
          <w:rFonts w:hint="eastAsia"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09C99653">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16</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0F45A0C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16</w:t>
      </w:r>
      <w:r>
        <w:rPr>
          <w:rFonts w:hint="eastAsia" w:ascii="宋体" w:hAnsi="宋体" w:eastAsia="宋体" w:cs="Times New Roman"/>
          <w:color w:val="000000"/>
          <w:kern w:val="2"/>
          <w:sz w:val="21"/>
          <w:szCs w:val="21"/>
          <w:highlight w:val="none"/>
          <w:lang w:val="en-US" w:eastAsia="zh-CN" w:bidi="ar"/>
        </w:rPr>
        <w:t xml:space="preserve">.1 </w:t>
      </w:r>
      <w:r>
        <w:rPr>
          <w:rFonts w:hint="eastAsia" w:ascii="宋体" w:hAnsi="宋体" w:cs="Times New Roman"/>
          <w:color w:val="000000"/>
          <w:kern w:val="2"/>
          <w:sz w:val="21"/>
          <w:szCs w:val="21"/>
          <w:highlight w:val="none"/>
          <w:lang w:val="en-US" w:eastAsia="zh-CN" w:bidi="ar"/>
        </w:rPr>
        <w:t>乙方</w:t>
      </w:r>
      <w:r>
        <w:rPr>
          <w:rFonts w:hint="eastAsia" w:ascii="宋体" w:hAnsi="宋体" w:eastAsia="宋体" w:cs="Times New Roman"/>
          <w:color w:val="000000"/>
          <w:kern w:val="2"/>
          <w:sz w:val="21"/>
          <w:szCs w:val="21"/>
          <w:highlight w:val="none"/>
          <w:lang w:val="en-US" w:eastAsia="zh-CN" w:bidi="ar"/>
        </w:rPr>
        <w:t>充分理解并接受</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的合规管理要求，承诺并保证在与</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合作期间严格遵守以下条款，并积极采取有效措施确保关联方（包括但不限于董事、监事、管理人员、员工、外协人员、分包商及代理商等）遵守：</w:t>
      </w:r>
    </w:p>
    <w:p w14:paraId="337CA7F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w:t>
      </w:r>
      <w:r>
        <w:rPr>
          <w:rFonts w:hint="eastAsia" w:ascii="宋体" w:hAnsi="宋体" w:cs="Times New Roman"/>
          <w:color w:val="000000"/>
          <w:kern w:val="2"/>
          <w:sz w:val="21"/>
          <w:szCs w:val="21"/>
          <w:highlight w:val="none"/>
          <w:lang w:val="en-US" w:eastAsia="zh-CN" w:bidi="ar"/>
        </w:rPr>
        <w:t>乙方</w:t>
      </w:r>
      <w:r>
        <w:rPr>
          <w:rFonts w:hint="eastAsia" w:ascii="宋体" w:hAnsi="宋体" w:eastAsia="宋体" w:cs="Times New Roman"/>
          <w:color w:val="000000"/>
          <w:kern w:val="2"/>
          <w:sz w:val="21"/>
          <w:szCs w:val="21"/>
          <w:highlight w:val="none"/>
          <w:lang w:val="en-US" w:eastAsia="zh-CN" w:bidi="ar"/>
        </w:rPr>
        <w:t>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484C761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3D6F3C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7AB2C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CF8DD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5B2FB0F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7E742B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C80BBE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7D0ED4A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提供的相关证件（营业执照、权利证书、资质证书、各类许可证号、批准文号等）及人员资质均真实、有效，无任何伪造、变造、弄虚作假的行为。</w:t>
      </w:r>
    </w:p>
    <w:p w14:paraId="2EA5C1C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69D501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工作人员有违规行为或倾向的，应及时提醒、纠正并有责任向</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有关部门进行举报。</w:t>
      </w:r>
    </w:p>
    <w:p w14:paraId="7FBE844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16</w:t>
      </w:r>
      <w:r>
        <w:rPr>
          <w:rFonts w:hint="eastAsia" w:ascii="宋体" w:hAnsi="宋体" w:eastAsia="宋体" w:cs="Times New Roman"/>
          <w:color w:val="000000"/>
          <w:kern w:val="2"/>
          <w:sz w:val="21"/>
          <w:szCs w:val="21"/>
          <w:highlight w:val="none"/>
          <w:lang w:val="en-US" w:eastAsia="zh-CN" w:bidi="ar"/>
        </w:rPr>
        <w:t xml:space="preserve">.2 </w:t>
      </w:r>
      <w:r>
        <w:rPr>
          <w:rFonts w:hint="eastAsia" w:ascii="宋体" w:hAnsi="宋体" w:cs="Times New Roman"/>
          <w:color w:val="000000"/>
          <w:kern w:val="2"/>
          <w:sz w:val="21"/>
          <w:szCs w:val="21"/>
          <w:highlight w:val="none"/>
          <w:lang w:val="en-US" w:eastAsia="zh-CN" w:bidi="ar"/>
        </w:rPr>
        <w:t>乙方</w:t>
      </w:r>
      <w:r>
        <w:rPr>
          <w:rFonts w:hint="eastAsia" w:ascii="宋体" w:hAnsi="宋体" w:eastAsia="宋体" w:cs="Times New Roman"/>
          <w:color w:val="000000"/>
          <w:kern w:val="2"/>
          <w:sz w:val="21"/>
          <w:szCs w:val="21"/>
          <w:highlight w:val="none"/>
          <w:lang w:val="en-US" w:eastAsia="zh-CN" w:bidi="ar"/>
        </w:rPr>
        <w:t>不得隐瞒任何可能对</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利益造成影响的信息，在</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认为必要的情况下，</w:t>
      </w:r>
      <w:r>
        <w:rPr>
          <w:rFonts w:hint="eastAsia" w:ascii="宋体" w:hAnsi="宋体" w:cs="Times New Roman"/>
          <w:color w:val="000000"/>
          <w:kern w:val="2"/>
          <w:sz w:val="21"/>
          <w:szCs w:val="21"/>
          <w:highlight w:val="none"/>
          <w:lang w:val="en-US" w:eastAsia="zh-CN" w:bidi="ar"/>
        </w:rPr>
        <w:t>乙方</w:t>
      </w:r>
      <w:r>
        <w:rPr>
          <w:rFonts w:hint="eastAsia" w:ascii="宋体" w:hAnsi="宋体" w:eastAsia="宋体" w:cs="Times New Roman"/>
          <w:color w:val="000000"/>
          <w:kern w:val="2"/>
          <w:sz w:val="21"/>
          <w:szCs w:val="21"/>
          <w:highlight w:val="none"/>
          <w:lang w:val="en-US" w:eastAsia="zh-CN" w:bidi="ar"/>
        </w:rPr>
        <w:t>有义务配合其商业合作伙伴合规检查，包括但不限于提供与合规检查相关的文件、信息，如实陈述相关情况，根据</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合理要求及时采取有效整改措施等。</w:t>
      </w:r>
    </w:p>
    <w:p w14:paraId="0CF53C3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16</w:t>
      </w:r>
      <w:r>
        <w:rPr>
          <w:rFonts w:hint="eastAsia" w:ascii="宋体" w:hAnsi="宋体" w:eastAsia="宋体" w:cs="Times New Roman"/>
          <w:color w:val="000000"/>
          <w:kern w:val="2"/>
          <w:sz w:val="21"/>
          <w:szCs w:val="21"/>
          <w:highlight w:val="none"/>
          <w:lang w:val="en-US" w:eastAsia="zh-CN" w:bidi="ar"/>
        </w:rPr>
        <w:t>.3 在任何情形下，如果</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有实质性证据证明或有充分且合理的理由认为某一作为或不作为将可能会导致其违反合规管理要求，</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均有权拒绝实施或不实施该等行为且不构成违约。</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有权无条件立即终止与</w:t>
      </w:r>
      <w:r>
        <w:rPr>
          <w:rFonts w:hint="eastAsia" w:ascii="宋体" w:hAnsi="宋体" w:cs="Times New Roman"/>
          <w:color w:val="000000"/>
          <w:kern w:val="2"/>
          <w:sz w:val="21"/>
          <w:szCs w:val="21"/>
          <w:highlight w:val="none"/>
          <w:lang w:val="en-US" w:eastAsia="zh-CN" w:bidi="ar"/>
        </w:rPr>
        <w:t>乙方</w:t>
      </w:r>
      <w:r>
        <w:rPr>
          <w:rFonts w:hint="eastAsia" w:ascii="宋体" w:hAnsi="宋体" w:eastAsia="宋体" w:cs="Times New Roman"/>
          <w:color w:val="000000"/>
          <w:kern w:val="2"/>
          <w:sz w:val="21"/>
          <w:szCs w:val="21"/>
          <w:highlight w:val="none"/>
          <w:lang w:val="en-US" w:eastAsia="zh-CN" w:bidi="ar"/>
        </w:rPr>
        <w:t>的全部合作及相关合作协议，并进一步追究</w:t>
      </w:r>
      <w:r>
        <w:rPr>
          <w:rFonts w:hint="eastAsia" w:ascii="宋体" w:hAnsi="宋体" w:cs="Times New Roman"/>
          <w:color w:val="000000"/>
          <w:kern w:val="2"/>
          <w:sz w:val="21"/>
          <w:szCs w:val="21"/>
          <w:highlight w:val="none"/>
          <w:lang w:val="en-US" w:eastAsia="zh-CN" w:bidi="ar"/>
        </w:rPr>
        <w:t>乙方</w:t>
      </w:r>
      <w:r>
        <w:rPr>
          <w:rFonts w:hint="eastAsia" w:ascii="宋体" w:hAnsi="宋体" w:eastAsia="宋体" w:cs="Times New Roman"/>
          <w:color w:val="000000"/>
          <w:kern w:val="2"/>
          <w:sz w:val="21"/>
          <w:szCs w:val="21"/>
          <w:highlight w:val="none"/>
          <w:lang w:val="en-US" w:eastAsia="zh-CN" w:bidi="ar"/>
        </w:rPr>
        <w:t>的违规行为给</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造成的全部损失。</w:t>
      </w:r>
    </w:p>
    <w:p w14:paraId="286C8A1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b/>
          <w:bCs/>
          <w:szCs w:val="21"/>
          <w:highlight w:val="none"/>
        </w:rPr>
      </w:pPr>
      <w:r>
        <w:rPr>
          <w:rFonts w:hint="eastAsia" w:ascii="宋体" w:hAnsi="宋体" w:cs="Times New Roman"/>
          <w:color w:val="000000"/>
          <w:kern w:val="2"/>
          <w:sz w:val="21"/>
          <w:szCs w:val="21"/>
          <w:highlight w:val="none"/>
          <w:lang w:val="en-US" w:eastAsia="zh-CN" w:bidi="ar"/>
        </w:rPr>
        <w:t>16</w:t>
      </w:r>
      <w:r>
        <w:rPr>
          <w:rFonts w:hint="eastAsia" w:ascii="宋体" w:hAnsi="宋体" w:eastAsia="宋体" w:cs="Times New Roman"/>
          <w:color w:val="000000"/>
          <w:kern w:val="2"/>
          <w:sz w:val="21"/>
          <w:szCs w:val="21"/>
          <w:highlight w:val="none"/>
          <w:lang w:val="en-US" w:eastAsia="zh-CN" w:bidi="ar"/>
        </w:rPr>
        <w:t>.4 在任何情形下，</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均不因</w:t>
      </w:r>
      <w:r>
        <w:rPr>
          <w:rFonts w:hint="eastAsia" w:ascii="宋体" w:hAnsi="宋体" w:cs="Times New Roman"/>
          <w:color w:val="000000"/>
          <w:kern w:val="2"/>
          <w:sz w:val="21"/>
          <w:szCs w:val="21"/>
          <w:highlight w:val="none"/>
          <w:lang w:val="en-US" w:eastAsia="zh-CN" w:bidi="ar"/>
        </w:rPr>
        <w:t>乙方</w:t>
      </w:r>
      <w:r>
        <w:rPr>
          <w:rFonts w:hint="eastAsia" w:ascii="宋体" w:hAnsi="宋体" w:eastAsia="宋体" w:cs="Times New Roman"/>
          <w:color w:val="000000"/>
          <w:kern w:val="2"/>
          <w:sz w:val="21"/>
          <w:szCs w:val="21"/>
          <w:highlight w:val="none"/>
          <w:lang w:val="en-US" w:eastAsia="zh-CN" w:bidi="ar"/>
        </w:rPr>
        <w:t>及关联方所实施的任何不当行为而遭受任何损失（包括但不限于处理第三方索赔所支付的赔偿金、补偿金、诉讼费、仲裁费、保全费、律师费等），对于此等损失均由</w:t>
      </w:r>
      <w:r>
        <w:rPr>
          <w:rFonts w:hint="eastAsia" w:ascii="宋体" w:hAnsi="宋体" w:cs="Times New Roman"/>
          <w:color w:val="000000"/>
          <w:kern w:val="2"/>
          <w:sz w:val="21"/>
          <w:szCs w:val="21"/>
          <w:highlight w:val="none"/>
          <w:lang w:val="en-US" w:eastAsia="zh-CN" w:bidi="ar"/>
        </w:rPr>
        <w:t>乙方</w:t>
      </w:r>
      <w:r>
        <w:rPr>
          <w:rFonts w:hint="eastAsia" w:ascii="宋体" w:hAnsi="宋体" w:eastAsia="宋体" w:cs="Times New Roman"/>
          <w:color w:val="000000"/>
          <w:kern w:val="2"/>
          <w:sz w:val="21"/>
          <w:szCs w:val="21"/>
          <w:highlight w:val="none"/>
          <w:lang w:val="en-US" w:eastAsia="zh-CN" w:bidi="ar"/>
        </w:rPr>
        <w:t>承担，并且</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有权取消</w:t>
      </w:r>
      <w:r>
        <w:rPr>
          <w:rFonts w:hint="eastAsia" w:ascii="宋体" w:hAnsi="宋体" w:cs="Times New Roman"/>
          <w:color w:val="000000"/>
          <w:kern w:val="2"/>
          <w:sz w:val="21"/>
          <w:szCs w:val="21"/>
          <w:highlight w:val="none"/>
          <w:lang w:val="en-US" w:eastAsia="zh-CN" w:bidi="ar"/>
        </w:rPr>
        <w:t>乙方</w:t>
      </w:r>
      <w:r>
        <w:rPr>
          <w:rFonts w:hint="eastAsia" w:ascii="宋体" w:hAnsi="宋体" w:eastAsia="宋体" w:cs="Times New Roman"/>
          <w:color w:val="000000"/>
          <w:kern w:val="2"/>
          <w:sz w:val="21"/>
          <w:szCs w:val="21"/>
          <w:highlight w:val="none"/>
          <w:lang w:val="en-US" w:eastAsia="zh-CN" w:bidi="ar"/>
        </w:rPr>
        <w:t>的供应商资格。</w:t>
      </w:r>
    </w:p>
    <w:p w14:paraId="0FFC8891">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17</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5143D59F">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17</w:t>
      </w:r>
      <w:r>
        <w:rPr>
          <w:rFonts w:hint="eastAsia" w:ascii="宋体" w:hAnsi="宋体"/>
          <w:szCs w:val="21"/>
          <w:highlight w:val="none"/>
        </w:rPr>
        <w:t>.1 本合同的效力、履行及任何争议仅适用中华人民共和国法律。</w:t>
      </w:r>
    </w:p>
    <w:p w14:paraId="44BF56E6">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17</w:t>
      </w:r>
      <w:r>
        <w:rPr>
          <w:rFonts w:hint="eastAsia" w:ascii="宋体" w:hAnsi="宋体"/>
          <w:szCs w:val="21"/>
          <w:highlight w:val="none"/>
        </w:rPr>
        <w:t>.2 因本合同引起的或与本合同有关的争议，</w:t>
      </w:r>
      <w:r>
        <w:rPr>
          <w:rFonts w:hint="eastAsia" w:ascii="宋体" w:hAnsi="宋体"/>
          <w:szCs w:val="21"/>
          <w:highlight w:val="none"/>
          <w:lang w:eastAsia="zh-CN"/>
        </w:rPr>
        <w:t>甲乙</w:t>
      </w:r>
      <w:r>
        <w:rPr>
          <w:rFonts w:hint="eastAsia" w:ascii="宋体" w:hAnsi="宋体"/>
          <w:szCs w:val="21"/>
          <w:highlight w:val="none"/>
        </w:rPr>
        <w:t>双方应通过友好协商解决，如果协商不成，双方同意按照以下第（1）种方式处理：</w:t>
      </w:r>
    </w:p>
    <w:p w14:paraId="68E7D08F">
      <w:pPr>
        <w:snapToGrid w:val="0"/>
        <w:spacing w:line="360" w:lineRule="auto"/>
        <w:ind w:left="525" w:leftChars="250"/>
        <w:rPr>
          <w:rFonts w:ascii="宋体" w:hAnsi="宋体"/>
          <w:szCs w:val="21"/>
          <w:highlight w:val="none"/>
        </w:rPr>
      </w:pPr>
      <w:r>
        <w:rPr>
          <w:rFonts w:hint="eastAsia" w:ascii="宋体" w:hAnsi="宋体"/>
          <w:szCs w:val="21"/>
          <w:highlight w:val="none"/>
        </w:rPr>
        <w:t>1）向</w:t>
      </w:r>
      <w:r>
        <w:rPr>
          <w:rFonts w:hint="eastAsia" w:ascii="宋体" w:hAnsi="宋体"/>
          <w:szCs w:val="21"/>
          <w:highlight w:val="none"/>
          <w:lang w:eastAsia="zh-CN"/>
        </w:rPr>
        <w:t>甲方</w:t>
      </w:r>
      <w:r>
        <w:rPr>
          <w:rFonts w:hint="eastAsia" w:ascii="宋体" w:hAnsi="宋体"/>
          <w:szCs w:val="21"/>
          <w:highlight w:val="none"/>
        </w:rPr>
        <w:t>所在地有管辖权的人民法院提起诉讼；</w:t>
      </w:r>
    </w:p>
    <w:p w14:paraId="515CD10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4B10F6D4">
      <w:pPr>
        <w:snapToGrid w:val="0"/>
        <w:spacing w:line="360" w:lineRule="auto"/>
        <w:rPr>
          <w:rFonts w:ascii="宋体" w:hAnsi="宋体"/>
          <w:b/>
          <w:bCs/>
          <w:szCs w:val="21"/>
          <w:highlight w:val="none"/>
        </w:rPr>
      </w:pPr>
      <w:r>
        <w:rPr>
          <w:rFonts w:hint="eastAsia" w:ascii="宋体" w:hAnsi="宋体"/>
          <w:b/>
          <w:bCs/>
          <w:szCs w:val="21"/>
          <w:highlight w:val="none"/>
          <w:lang w:val="en-US" w:eastAsia="zh-CN"/>
        </w:rPr>
        <w:t>18</w:t>
      </w:r>
      <w:r>
        <w:rPr>
          <w:rFonts w:hint="eastAsia" w:ascii="宋体" w:hAnsi="宋体"/>
          <w:b/>
          <w:bCs/>
          <w:szCs w:val="21"/>
          <w:highlight w:val="none"/>
        </w:rPr>
        <w:t>.  其它</w:t>
      </w:r>
    </w:p>
    <w:p w14:paraId="6E12801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18</w:t>
      </w:r>
      <w:r>
        <w:rPr>
          <w:rFonts w:hint="eastAsia" w:ascii="宋体" w:hAnsi="宋体"/>
          <w:szCs w:val="21"/>
          <w:highlight w:val="none"/>
        </w:rPr>
        <w:t>.1 本合同经双方法定代表人或其授权代表签名（如授权代表签名，</w:t>
      </w:r>
      <w:r>
        <w:rPr>
          <w:rFonts w:hint="eastAsia" w:ascii="宋体" w:hAnsi="宋体"/>
          <w:szCs w:val="21"/>
          <w:highlight w:val="none"/>
          <w:lang w:eastAsia="zh-CN"/>
        </w:rPr>
        <w:t>乙方</w:t>
      </w:r>
      <w:r>
        <w:rPr>
          <w:rFonts w:hint="eastAsia" w:ascii="宋体" w:hAnsi="宋体"/>
          <w:szCs w:val="21"/>
          <w:highlight w:val="none"/>
        </w:rPr>
        <w:t>需提交法定代表人授权委托书）并加盖公章后生效。合同执行期间，</w:t>
      </w:r>
      <w:r>
        <w:rPr>
          <w:rFonts w:hint="eastAsia" w:ascii="宋体" w:hAnsi="宋体"/>
          <w:szCs w:val="21"/>
          <w:highlight w:val="none"/>
          <w:lang w:eastAsia="zh-CN"/>
        </w:rPr>
        <w:t>甲乙</w:t>
      </w:r>
      <w:r>
        <w:rPr>
          <w:rFonts w:hint="eastAsia" w:ascii="宋体" w:hAnsi="宋体"/>
          <w:szCs w:val="21"/>
          <w:highlight w:val="none"/>
        </w:rPr>
        <w:t>双方均不得随意变更或解除合同。</w:t>
      </w:r>
    </w:p>
    <w:p w14:paraId="48A77B61">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18</w:t>
      </w:r>
      <w:r>
        <w:rPr>
          <w:rFonts w:hint="eastAsia" w:ascii="宋体" w:hAnsi="宋体"/>
          <w:szCs w:val="21"/>
          <w:highlight w:val="none"/>
        </w:rPr>
        <w:t>.2 当</w:t>
      </w:r>
      <w:r>
        <w:rPr>
          <w:rFonts w:hint="eastAsia" w:ascii="宋体" w:hAnsi="宋体"/>
          <w:szCs w:val="21"/>
          <w:highlight w:val="none"/>
          <w:lang w:eastAsia="zh-CN"/>
        </w:rPr>
        <w:t>甲方</w:t>
      </w:r>
      <w:r>
        <w:rPr>
          <w:rFonts w:hint="eastAsia" w:ascii="宋体" w:hAnsi="宋体"/>
          <w:szCs w:val="21"/>
          <w:highlight w:val="none"/>
        </w:rPr>
        <w:t>与</w:t>
      </w:r>
      <w:r>
        <w:rPr>
          <w:rFonts w:hint="eastAsia" w:ascii="宋体" w:hAnsi="宋体"/>
          <w:szCs w:val="21"/>
          <w:highlight w:val="none"/>
          <w:lang w:eastAsia="zh-CN"/>
        </w:rPr>
        <w:t>乙方</w:t>
      </w:r>
      <w:r>
        <w:rPr>
          <w:rFonts w:hint="eastAsia" w:ascii="宋体" w:hAnsi="宋体"/>
          <w:szCs w:val="21"/>
          <w:highlight w:val="none"/>
        </w:rPr>
        <w:t>之间签署、确认的法律文件之间内容有冲突时，除另有明确书面约定外，其适用顺序如下：</w:t>
      </w:r>
    </w:p>
    <w:p w14:paraId="16D6B4CE">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4239150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66FA4FA6">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5089F3B2">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18</w:t>
      </w:r>
      <w:r>
        <w:rPr>
          <w:rFonts w:hint="eastAsia" w:ascii="宋体" w:hAnsi="宋体"/>
          <w:szCs w:val="21"/>
          <w:highlight w:val="none"/>
        </w:rPr>
        <w:t xml:space="preserve">.3 </w:t>
      </w:r>
      <w:r>
        <w:rPr>
          <w:rFonts w:hint="eastAsia" w:ascii="宋体" w:hAnsi="宋体"/>
          <w:szCs w:val="21"/>
          <w:highlight w:val="none"/>
          <w:lang w:eastAsia="zh-CN"/>
        </w:rPr>
        <w:t>乙方</w:t>
      </w:r>
      <w:r>
        <w:rPr>
          <w:rFonts w:hint="eastAsia" w:ascii="宋体" w:hAnsi="宋体"/>
          <w:szCs w:val="21"/>
          <w:highlight w:val="none"/>
        </w:rPr>
        <w:t>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w:t>
      </w:r>
      <w:r>
        <w:rPr>
          <w:rFonts w:hint="eastAsia" w:ascii="宋体" w:hAnsi="宋体"/>
          <w:szCs w:val="21"/>
          <w:highlight w:val="none"/>
          <w:lang w:eastAsia="zh-CN"/>
        </w:rPr>
        <w:t>甲方</w:t>
      </w:r>
      <w:r>
        <w:rPr>
          <w:rFonts w:hint="eastAsia" w:ascii="宋体" w:hAnsi="宋体"/>
          <w:szCs w:val="21"/>
          <w:highlight w:val="none"/>
        </w:rPr>
        <w:t>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49444F3A">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18</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73531543">
      <w:pPr>
        <w:tabs>
          <w:tab w:val="left" w:pos="360"/>
        </w:tabs>
        <w:snapToGrid w:val="0"/>
        <w:spacing w:line="360" w:lineRule="auto"/>
        <w:ind w:left="525" w:hanging="525" w:hangingChars="250"/>
        <w:rPr>
          <w:rFonts w:ascii="宋体" w:hAnsi="宋体"/>
          <w:bCs/>
          <w:szCs w:val="21"/>
          <w:highlight w:val="none"/>
        </w:rPr>
      </w:pPr>
      <w:r>
        <w:rPr>
          <w:rFonts w:hint="eastAsia" w:ascii="宋体" w:hAnsi="宋体"/>
          <w:szCs w:val="21"/>
          <w:highlight w:val="none"/>
          <w:lang w:val="en-US" w:eastAsia="zh-CN"/>
        </w:rPr>
        <w:t>18</w:t>
      </w:r>
      <w:r>
        <w:rPr>
          <w:rFonts w:hint="eastAsia" w:ascii="宋体" w:hAnsi="宋体"/>
          <w:szCs w:val="21"/>
          <w:highlight w:val="none"/>
        </w:rPr>
        <w:t xml:space="preserve">.5 </w:t>
      </w:r>
      <w:r>
        <w:rPr>
          <w:rFonts w:hint="eastAsia" w:ascii="宋体" w:hAnsi="宋体"/>
          <w:bCs/>
          <w:szCs w:val="21"/>
          <w:highlight w:val="none"/>
        </w:rPr>
        <w:t>本合同正本（包括附件）一式两份，</w:t>
      </w:r>
      <w:r>
        <w:rPr>
          <w:rFonts w:hint="eastAsia" w:ascii="宋体" w:hAnsi="宋体"/>
          <w:bCs/>
          <w:szCs w:val="21"/>
          <w:highlight w:val="none"/>
          <w:lang w:eastAsia="zh-CN"/>
        </w:rPr>
        <w:t>甲方</w:t>
      </w:r>
      <w:r>
        <w:rPr>
          <w:rFonts w:hint="eastAsia" w:ascii="宋体" w:hAnsi="宋体"/>
          <w:bCs/>
          <w:szCs w:val="21"/>
          <w:highlight w:val="none"/>
        </w:rPr>
        <w:t>执一份，</w:t>
      </w:r>
      <w:r>
        <w:rPr>
          <w:rFonts w:hint="eastAsia" w:ascii="宋体" w:hAnsi="宋体"/>
          <w:bCs/>
          <w:szCs w:val="21"/>
          <w:highlight w:val="none"/>
          <w:lang w:eastAsia="zh-CN"/>
        </w:rPr>
        <w:t>乙方</w:t>
      </w:r>
      <w:r>
        <w:rPr>
          <w:rFonts w:hint="eastAsia" w:ascii="宋体" w:hAnsi="宋体"/>
          <w:bCs/>
          <w:szCs w:val="21"/>
          <w:highlight w:val="none"/>
        </w:rPr>
        <w:t>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w:t>
      </w:r>
      <w:r>
        <w:rPr>
          <w:rFonts w:hint="eastAsia" w:ascii="宋体" w:hAnsi="宋体"/>
          <w:bCs/>
          <w:szCs w:val="21"/>
          <w:highlight w:val="none"/>
          <w:lang w:eastAsia="zh-CN"/>
        </w:rPr>
        <w:t>甲方</w:t>
      </w:r>
      <w:r>
        <w:rPr>
          <w:rFonts w:hint="eastAsia" w:ascii="宋体" w:hAnsi="宋体"/>
          <w:bCs/>
          <w:szCs w:val="21"/>
          <w:highlight w:val="none"/>
        </w:rPr>
        <w:t>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p>
    <w:p w14:paraId="1C516B3B">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Borders>
        <w:top w:val="none" w:sz="0" w:space="0"/>
        <w:left w:val="none" w:sz="0" w:space="0"/>
        <w:bottom w:val="none" w:sz="0" w:space="0"/>
        <w:right w:val="none" w:sz="0" w:space="0"/>
      </w:pgBorders>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8BCBC">
    <w:pPr>
      <w:pStyle w:val="12"/>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EEBE0">
    <w:pPr>
      <w:pStyle w:val="12"/>
      <w:framePr w:wrap="around" w:vAnchor="text" w:hAnchor="margin" w:xAlign="center" w:y="1"/>
      <w:rPr>
        <w:rStyle w:val="22"/>
      </w:rPr>
    </w:pPr>
    <w:r>
      <w:fldChar w:fldCharType="begin"/>
    </w:r>
    <w:r>
      <w:rPr>
        <w:rStyle w:val="22"/>
      </w:rPr>
      <w:instrText xml:space="preserve">PAGE  </w:instrText>
    </w:r>
    <w:r>
      <w:fldChar w:fldCharType="end"/>
    </w:r>
  </w:p>
  <w:p w14:paraId="52683950">
    <w:pPr>
      <w:pStyle w:val="1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CE62C">
    <w:pPr>
      <w:pStyle w:val="12"/>
      <w:framePr w:wrap="around" w:vAnchor="text" w:hAnchor="margin" w:xAlign="center" w:y="1"/>
      <w:ind w:left="360" w:hanging="360"/>
      <w:rPr>
        <w:rStyle w:val="22"/>
      </w:rPr>
    </w:pPr>
    <w:r>
      <w:fldChar w:fldCharType="begin"/>
    </w:r>
    <w:r>
      <w:rPr>
        <w:rStyle w:val="22"/>
      </w:rPr>
      <w:instrText xml:space="preserve">PAGE  </w:instrText>
    </w:r>
    <w:r>
      <w:fldChar w:fldCharType="separate"/>
    </w:r>
    <w:r>
      <w:rPr>
        <w:rStyle w:val="22"/>
      </w:rPr>
      <w:t>- 24 -</w:t>
    </w:r>
    <w:r>
      <w:fldChar w:fldCharType="end"/>
    </w:r>
  </w:p>
  <w:p w14:paraId="02F4F8DD">
    <w:pPr>
      <w:pStyle w:val="12"/>
      <w:framePr w:wrap="around" w:vAnchor="text" w:hAnchor="margin" w:xAlign="right" w:y="1"/>
      <w:ind w:left="360" w:hanging="360"/>
      <w:rPr>
        <w:rStyle w:val="22"/>
      </w:rPr>
    </w:pPr>
  </w:p>
  <w:p w14:paraId="7CAF7916">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481DE">
    <w:pPr>
      <w:pStyle w:val="12"/>
      <w:framePr w:wrap="around" w:vAnchor="text" w:hAnchor="margin" w:xAlign="center" w:y="1"/>
      <w:ind w:left="360" w:hanging="360"/>
      <w:rPr>
        <w:rStyle w:val="22"/>
      </w:rPr>
    </w:pPr>
    <w:r>
      <w:fldChar w:fldCharType="begin"/>
    </w:r>
    <w:r>
      <w:rPr>
        <w:rStyle w:val="22"/>
      </w:rPr>
      <w:instrText xml:space="preserve">PAGE  </w:instrText>
    </w:r>
    <w:r>
      <w:fldChar w:fldCharType="end"/>
    </w:r>
  </w:p>
  <w:p w14:paraId="113F0F14">
    <w:pPr>
      <w:pStyle w:val="12"/>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9AC9F">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DFA7E">
    <w:pPr>
      <w:pStyle w:val="1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01DA7">
    <w:pPr>
      <w:pStyle w:val="13"/>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562A25"/>
    <w:multiLevelType w:val="singleLevel"/>
    <w:tmpl w:val="B4562A25"/>
    <w:lvl w:ilvl="0" w:tentative="0">
      <w:start w:val="1"/>
      <w:numFmt w:val="decimal"/>
      <w:suff w:val="nothing"/>
      <w:lvlText w:val="%1）"/>
      <w:lvlJc w:val="left"/>
      <w:pPr>
        <w:ind w:left="420" w:leftChars="0" w:firstLine="0" w:firstLineChars="0"/>
      </w:pPr>
    </w:lvl>
  </w:abstractNum>
  <w:abstractNum w:abstractNumId="1">
    <w:nsid w:val="D5F5E4BC"/>
    <w:multiLevelType w:val="multilevel"/>
    <w:tmpl w:val="D5F5E4BC"/>
    <w:lvl w:ilvl="0" w:tentative="0">
      <w:start w:val="10"/>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
    <w:nsid w:val="D971292A"/>
    <w:multiLevelType w:val="singleLevel"/>
    <w:tmpl w:val="D971292A"/>
    <w:lvl w:ilvl="0" w:tentative="0">
      <w:start w:val="1"/>
      <w:numFmt w:val="decimal"/>
      <w:suff w:val="nothing"/>
      <w:lvlText w:val="%1）"/>
      <w:lvlJc w:val="left"/>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704A70A"/>
    <w:multiLevelType w:val="singleLevel"/>
    <w:tmpl w:val="2704A70A"/>
    <w:lvl w:ilvl="0" w:tentative="0">
      <w:start w:val="1"/>
      <w:numFmt w:val="decimal"/>
      <w:suff w:val="space"/>
      <w:lvlText w:val="%1."/>
      <w:lvlJc w:val="left"/>
    </w:lvl>
  </w:abstractNum>
  <w:abstractNum w:abstractNumId="5">
    <w:nsid w:val="315671BB"/>
    <w:multiLevelType w:val="singleLevel"/>
    <w:tmpl w:val="315671BB"/>
    <w:lvl w:ilvl="0" w:tentative="0">
      <w:start w:val="1"/>
      <w:numFmt w:val="decimal"/>
      <w:suff w:val="nothing"/>
      <w:lvlText w:val="%1）"/>
      <w:lvlJc w:val="left"/>
      <w:rPr>
        <w:rFonts w:hint="default"/>
        <w:b w:val="0"/>
        <w:bCs w:val="0"/>
      </w:rPr>
    </w:lvl>
  </w:abstractNum>
  <w:abstractNum w:abstractNumId="6">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5"/>
  </w:num>
  <w:num w:numId="3">
    <w:abstractNumId w:val="3"/>
  </w:num>
  <w:num w:numId="4">
    <w:abstractNumId w:val="6"/>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mZTE2ZGI3YWU5NWY2YmMxNTY4NDM4Y2E4N2JkMD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2A40"/>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4FC"/>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13B3"/>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01675"/>
    <w:rsid w:val="01113275"/>
    <w:rsid w:val="012873DD"/>
    <w:rsid w:val="01747E56"/>
    <w:rsid w:val="017B2452"/>
    <w:rsid w:val="01D134FA"/>
    <w:rsid w:val="01F114A6"/>
    <w:rsid w:val="02645583"/>
    <w:rsid w:val="029167E5"/>
    <w:rsid w:val="02F823F5"/>
    <w:rsid w:val="035D7AD7"/>
    <w:rsid w:val="03822CFE"/>
    <w:rsid w:val="03863E70"/>
    <w:rsid w:val="03AE3AF3"/>
    <w:rsid w:val="03B409DD"/>
    <w:rsid w:val="03C33DDE"/>
    <w:rsid w:val="040A2CF3"/>
    <w:rsid w:val="040C1AC8"/>
    <w:rsid w:val="04245B63"/>
    <w:rsid w:val="046B5540"/>
    <w:rsid w:val="04893C18"/>
    <w:rsid w:val="04ED064B"/>
    <w:rsid w:val="05043BFC"/>
    <w:rsid w:val="059511D6"/>
    <w:rsid w:val="05CB5336"/>
    <w:rsid w:val="05DE1D42"/>
    <w:rsid w:val="060774EA"/>
    <w:rsid w:val="060A660A"/>
    <w:rsid w:val="062067FE"/>
    <w:rsid w:val="068F6E11"/>
    <w:rsid w:val="06B238FA"/>
    <w:rsid w:val="07153E89"/>
    <w:rsid w:val="075B5D40"/>
    <w:rsid w:val="07D77390"/>
    <w:rsid w:val="081D1247"/>
    <w:rsid w:val="084E7652"/>
    <w:rsid w:val="08504A1F"/>
    <w:rsid w:val="085E7C8E"/>
    <w:rsid w:val="08DA2C94"/>
    <w:rsid w:val="09356F0C"/>
    <w:rsid w:val="097E3F67"/>
    <w:rsid w:val="09896468"/>
    <w:rsid w:val="09C37BCC"/>
    <w:rsid w:val="09F2400E"/>
    <w:rsid w:val="0A00672A"/>
    <w:rsid w:val="0A454A85"/>
    <w:rsid w:val="0A490A8C"/>
    <w:rsid w:val="0A64315D"/>
    <w:rsid w:val="0A8960BD"/>
    <w:rsid w:val="0A8E0EBA"/>
    <w:rsid w:val="0B2F1F4E"/>
    <w:rsid w:val="0BA3623F"/>
    <w:rsid w:val="0BA47042"/>
    <w:rsid w:val="0BAF665A"/>
    <w:rsid w:val="0BC35C62"/>
    <w:rsid w:val="0BCD7E05"/>
    <w:rsid w:val="0BD7170D"/>
    <w:rsid w:val="0BEF4CA9"/>
    <w:rsid w:val="0C69794B"/>
    <w:rsid w:val="0C6E02C3"/>
    <w:rsid w:val="0CB87790"/>
    <w:rsid w:val="0CDF583D"/>
    <w:rsid w:val="0D2766C4"/>
    <w:rsid w:val="0D474670"/>
    <w:rsid w:val="0D49488C"/>
    <w:rsid w:val="0DE325EB"/>
    <w:rsid w:val="0DF57165"/>
    <w:rsid w:val="0DFE3C20"/>
    <w:rsid w:val="0E41118E"/>
    <w:rsid w:val="0E567261"/>
    <w:rsid w:val="0E6F3E7F"/>
    <w:rsid w:val="0E9B2F86"/>
    <w:rsid w:val="0EC966A2"/>
    <w:rsid w:val="0ED62150"/>
    <w:rsid w:val="0F000F7B"/>
    <w:rsid w:val="0FAE35ED"/>
    <w:rsid w:val="0FB12275"/>
    <w:rsid w:val="106313BA"/>
    <w:rsid w:val="10FC7CB8"/>
    <w:rsid w:val="111555A1"/>
    <w:rsid w:val="11374340"/>
    <w:rsid w:val="1145536B"/>
    <w:rsid w:val="119360D6"/>
    <w:rsid w:val="11E903EC"/>
    <w:rsid w:val="123A47A4"/>
    <w:rsid w:val="126D1B09"/>
    <w:rsid w:val="127315B1"/>
    <w:rsid w:val="127A2BA1"/>
    <w:rsid w:val="12E24FBE"/>
    <w:rsid w:val="132760F1"/>
    <w:rsid w:val="132A63DF"/>
    <w:rsid w:val="13503F20"/>
    <w:rsid w:val="13623FB2"/>
    <w:rsid w:val="1367395A"/>
    <w:rsid w:val="1378114C"/>
    <w:rsid w:val="138B016E"/>
    <w:rsid w:val="138D1D96"/>
    <w:rsid w:val="13A20852"/>
    <w:rsid w:val="13BA2040"/>
    <w:rsid w:val="13D36C5E"/>
    <w:rsid w:val="13F80459"/>
    <w:rsid w:val="14AF2F65"/>
    <w:rsid w:val="14B73C5C"/>
    <w:rsid w:val="14C0186F"/>
    <w:rsid w:val="14E76E65"/>
    <w:rsid w:val="150F4102"/>
    <w:rsid w:val="15107A3E"/>
    <w:rsid w:val="15593193"/>
    <w:rsid w:val="155A1BBA"/>
    <w:rsid w:val="157D1577"/>
    <w:rsid w:val="15992018"/>
    <w:rsid w:val="15A13B32"/>
    <w:rsid w:val="15DD5B72"/>
    <w:rsid w:val="166D339A"/>
    <w:rsid w:val="17084E70"/>
    <w:rsid w:val="173619DD"/>
    <w:rsid w:val="1786728C"/>
    <w:rsid w:val="17DE3E23"/>
    <w:rsid w:val="17E31439"/>
    <w:rsid w:val="17E458DD"/>
    <w:rsid w:val="180A24D2"/>
    <w:rsid w:val="1824217E"/>
    <w:rsid w:val="188E75F7"/>
    <w:rsid w:val="18DF42F7"/>
    <w:rsid w:val="191A1950"/>
    <w:rsid w:val="197902A7"/>
    <w:rsid w:val="198E2A16"/>
    <w:rsid w:val="19A76BC3"/>
    <w:rsid w:val="19B906A4"/>
    <w:rsid w:val="19D96F98"/>
    <w:rsid w:val="19DB2D10"/>
    <w:rsid w:val="1A18361C"/>
    <w:rsid w:val="1A2F7C4C"/>
    <w:rsid w:val="1AAE5D2F"/>
    <w:rsid w:val="1AF8344E"/>
    <w:rsid w:val="1B247C05"/>
    <w:rsid w:val="1B776A68"/>
    <w:rsid w:val="1BE340FE"/>
    <w:rsid w:val="1C533032"/>
    <w:rsid w:val="1C6C5EA1"/>
    <w:rsid w:val="1C9F6277"/>
    <w:rsid w:val="1CC21F65"/>
    <w:rsid w:val="1CD463D5"/>
    <w:rsid w:val="1D1F6383"/>
    <w:rsid w:val="1D2E13A9"/>
    <w:rsid w:val="1DBC6559"/>
    <w:rsid w:val="1DBC71D5"/>
    <w:rsid w:val="1DD2442A"/>
    <w:rsid w:val="1E12046C"/>
    <w:rsid w:val="1E162569"/>
    <w:rsid w:val="1E4E3E8A"/>
    <w:rsid w:val="1EA062D6"/>
    <w:rsid w:val="1F330EF8"/>
    <w:rsid w:val="1F3D0BF1"/>
    <w:rsid w:val="1F4A7345"/>
    <w:rsid w:val="1F7D45D0"/>
    <w:rsid w:val="1F831D1F"/>
    <w:rsid w:val="1FA6126F"/>
    <w:rsid w:val="1FF22990"/>
    <w:rsid w:val="2009699D"/>
    <w:rsid w:val="20520081"/>
    <w:rsid w:val="207D242B"/>
    <w:rsid w:val="207D6856"/>
    <w:rsid w:val="20E44F18"/>
    <w:rsid w:val="20FF5536"/>
    <w:rsid w:val="21124FCE"/>
    <w:rsid w:val="21130FE1"/>
    <w:rsid w:val="213B4B4A"/>
    <w:rsid w:val="216141DA"/>
    <w:rsid w:val="21823A71"/>
    <w:rsid w:val="21C916A0"/>
    <w:rsid w:val="21E834B8"/>
    <w:rsid w:val="21EE1107"/>
    <w:rsid w:val="220D2C4E"/>
    <w:rsid w:val="222C308D"/>
    <w:rsid w:val="227A50AE"/>
    <w:rsid w:val="228D0920"/>
    <w:rsid w:val="22D12F02"/>
    <w:rsid w:val="23294AEC"/>
    <w:rsid w:val="232F393D"/>
    <w:rsid w:val="23353491"/>
    <w:rsid w:val="23E359CA"/>
    <w:rsid w:val="23F771B0"/>
    <w:rsid w:val="246477BF"/>
    <w:rsid w:val="24AC5BAF"/>
    <w:rsid w:val="24FF3D57"/>
    <w:rsid w:val="25826736"/>
    <w:rsid w:val="25966809"/>
    <w:rsid w:val="25D074A1"/>
    <w:rsid w:val="266320C3"/>
    <w:rsid w:val="26DB3F7D"/>
    <w:rsid w:val="27133AE9"/>
    <w:rsid w:val="275C189F"/>
    <w:rsid w:val="277E1FE6"/>
    <w:rsid w:val="278C2FD8"/>
    <w:rsid w:val="28921C90"/>
    <w:rsid w:val="289F580D"/>
    <w:rsid w:val="28A25500"/>
    <w:rsid w:val="28C826B1"/>
    <w:rsid w:val="28F45255"/>
    <w:rsid w:val="297B7724"/>
    <w:rsid w:val="298C1931"/>
    <w:rsid w:val="29A273A6"/>
    <w:rsid w:val="29A749BD"/>
    <w:rsid w:val="29FD638B"/>
    <w:rsid w:val="2A1831C5"/>
    <w:rsid w:val="2A1A0CEB"/>
    <w:rsid w:val="2A5921FA"/>
    <w:rsid w:val="2A944F41"/>
    <w:rsid w:val="2B7F044A"/>
    <w:rsid w:val="2B8B1E9A"/>
    <w:rsid w:val="2BB90BFC"/>
    <w:rsid w:val="2BF76571"/>
    <w:rsid w:val="2C3A1B18"/>
    <w:rsid w:val="2C90798A"/>
    <w:rsid w:val="2CAD4098"/>
    <w:rsid w:val="2CDB0E10"/>
    <w:rsid w:val="2CFF6CD5"/>
    <w:rsid w:val="2D053ED4"/>
    <w:rsid w:val="2D1C2FCC"/>
    <w:rsid w:val="2D3447B9"/>
    <w:rsid w:val="2D832FCE"/>
    <w:rsid w:val="2E7D46B4"/>
    <w:rsid w:val="2E884FDF"/>
    <w:rsid w:val="2E9372BE"/>
    <w:rsid w:val="2E9C2616"/>
    <w:rsid w:val="2F007C11"/>
    <w:rsid w:val="2F1013EF"/>
    <w:rsid w:val="2F1403FE"/>
    <w:rsid w:val="2F20249B"/>
    <w:rsid w:val="2F2443BA"/>
    <w:rsid w:val="2F34284F"/>
    <w:rsid w:val="2F344F45"/>
    <w:rsid w:val="2F4F7689"/>
    <w:rsid w:val="2F5E00BE"/>
    <w:rsid w:val="2F7610B9"/>
    <w:rsid w:val="2FDA3F8E"/>
    <w:rsid w:val="2FEF49C8"/>
    <w:rsid w:val="300372B7"/>
    <w:rsid w:val="30660AF7"/>
    <w:rsid w:val="31E247E4"/>
    <w:rsid w:val="31FB58A6"/>
    <w:rsid w:val="320209E2"/>
    <w:rsid w:val="329B0E37"/>
    <w:rsid w:val="32A001FB"/>
    <w:rsid w:val="32B56DE4"/>
    <w:rsid w:val="32F56799"/>
    <w:rsid w:val="330142AD"/>
    <w:rsid w:val="334119DE"/>
    <w:rsid w:val="334F3A78"/>
    <w:rsid w:val="33A1247D"/>
    <w:rsid w:val="33C9152D"/>
    <w:rsid w:val="33CF1916"/>
    <w:rsid w:val="33F20F2A"/>
    <w:rsid w:val="34340FDD"/>
    <w:rsid w:val="34367069"/>
    <w:rsid w:val="348F22D5"/>
    <w:rsid w:val="354142EA"/>
    <w:rsid w:val="354237EC"/>
    <w:rsid w:val="354C01C6"/>
    <w:rsid w:val="354C53DB"/>
    <w:rsid w:val="35B00755"/>
    <w:rsid w:val="366F23BE"/>
    <w:rsid w:val="368C2F70"/>
    <w:rsid w:val="36E36908"/>
    <w:rsid w:val="371A057C"/>
    <w:rsid w:val="371B60A2"/>
    <w:rsid w:val="37691503"/>
    <w:rsid w:val="37E4443E"/>
    <w:rsid w:val="37F0752F"/>
    <w:rsid w:val="381C0324"/>
    <w:rsid w:val="38685317"/>
    <w:rsid w:val="38844711"/>
    <w:rsid w:val="388A7983"/>
    <w:rsid w:val="38BA0182"/>
    <w:rsid w:val="38CA4224"/>
    <w:rsid w:val="38D46E50"/>
    <w:rsid w:val="38DE382B"/>
    <w:rsid w:val="39203BC8"/>
    <w:rsid w:val="394C2E8B"/>
    <w:rsid w:val="3967185D"/>
    <w:rsid w:val="39AB7BB1"/>
    <w:rsid w:val="39EE21C7"/>
    <w:rsid w:val="3A4B4EF0"/>
    <w:rsid w:val="3A63223A"/>
    <w:rsid w:val="3A687486"/>
    <w:rsid w:val="3AB27C7D"/>
    <w:rsid w:val="3AF85078"/>
    <w:rsid w:val="3B1765E0"/>
    <w:rsid w:val="3B691AD2"/>
    <w:rsid w:val="3B7B1805"/>
    <w:rsid w:val="3B824942"/>
    <w:rsid w:val="3B871F58"/>
    <w:rsid w:val="3B954675"/>
    <w:rsid w:val="3BB52F69"/>
    <w:rsid w:val="3C690CA9"/>
    <w:rsid w:val="3C90308E"/>
    <w:rsid w:val="3DFA4C63"/>
    <w:rsid w:val="3E530817"/>
    <w:rsid w:val="3E8B6203"/>
    <w:rsid w:val="3E8D5AD7"/>
    <w:rsid w:val="3EA70C81"/>
    <w:rsid w:val="3EB92D70"/>
    <w:rsid w:val="3EBA2645"/>
    <w:rsid w:val="3EC244C3"/>
    <w:rsid w:val="3F0A7128"/>
    <w:rsid w:val="3F1A0A47"/>
    <w:rsid w:val="3F6727CC"/>
    <w:rsid w:val="3FAE21A3"/>
    <w:rsid w:val="3FDA4D4C"/>
    <w:rsid w:val="3FF34060"/>
    <w:rsid w:val="3FF9638C"/>
    <w:rsid w:val="400662A3"/>
    <w:rsid w:val="401C02CA"/>
    <w:rsid w:val="404A7C61"/>
    <w:rsid w:val="40C81049"/>
    <w:rsid w:val="40EF4858"/>
    <w:rsid w:val="417967E7"/>
    <w:rsid w:val="41886A2A"/>
    <w:rsid w:val="41EB5FC4"/>
    <w:rsid w:val="4241362E"/>
    <w:rsid w:val="42641245"/>
    <w:rsid w:val="42642FF3"/>
    <w:rsid w:val="42964976"/>
    <w:rsid w:val="42D86687"/>
    <w:rsid w:val="430413D1"/>
    <w:rsid w:val="43234C5C"/>
    <w:rsid w:val="433B5A32"/>
    <w:rsid w:val="435F188A"/>
    <w:rsid w:val="436D237B"/>
    <w:rsid w:val="43C401ED"/>
    <w:rsid w:val="44044A8E"/>
    <w:rsid w:val="44074B47"/>
    <w:rsid w:val="44D04A95"/>
    <w:rsid w:val="44D86B0F"/>
    <w:rsid w:val="452324F1"/>
    <w:rsid w:val="453A03D8"/>
    <w:rsid w:val="455F301F"/>
    <w:rsid w:val="45A02594"/>
    <w:rsid w:val="45B97E8C"/>
    <w:rsid w:val="45F75F2C"/>
    <w:rsid w:val="461B60BF"/>
    <w:rsid w:val="465A0995"/>
    <w:rsid w:val="469B36C4"/>
    <w:rsid w:val="46A60EB0"/>
    <w:rsid w:val="46AE6F33"/>
    <w:rsid w:val="46C71DA3"/>
    <w:rsid w:val="46F32B98"/>
    <w:rsid w:val="472C6521"/>
    <w:rsid w:val="47503B46"/>
    <w:rsid w:val="47A729F1"/>
    <w:rsid w:val="47FB1D04"/>
    <w:rsid w:val="481D430D"/>
    <w:rsid w:val="48627FD5"/>
    <w:rsid w:val="48C804D3"/>
    <w:rsid w:val="48CE566A"/>
    <w:rsid w:val="48F0738F"/>
    <w:rsid w:val="49274542"/>
    <w:rsid w:val="493C2429"/>
    <w:rsid w:val="494D2A33"/>
    <w:rsid w:val="49971F00"/>
    <w:rsid w:val="49C2425D"/>
    <w:rsid w:val="49FE5ADB"/>
    <w:rsid w:val="4A0140FD"/>
    <w:rsid w:val="4A3B4EF1"/>
    <w:rsid w:val="4A5E7508"/>
    <w:rsid w:val="4A940469"/>
    <w:rsid w:val="4AE83552"/>
    <w:rsid w:val="4B212373"/>
    <w:rsid w:val="4B245A16"/>
    <w:rsid w:val="4B693428"/>
    <w:rsid w:val="4B907D32"/>
    <w:rsid w:val="4BB072A9"/>
    <w:rsid w:val="4BB87F0C"/>
    <w:rsid w:val="4BDA60D4"/>
    <w:rsid w:val="4BF278C2"/>
    <w:rsid w:val="4C147838"/>
    <w:rsid w:val="4C3B7B56"/>
    <w:rsid w:val="4C510955"/>
    <w:rsid w:val="4D0C050F"/>
    <w:rsid w:val="4D330192"/>
    <w:rsid w:val="4D7D31BB"/>
    <w:rsid w:val="4DF7516B"/>
    <w:rsid w:val="4E015B9A"/>
    <w:rsid w:val="4E033689"/>
    <w:rsid w:val="4E726A98"/>
    <w:rsid w:val="4ED90B67"/>
    <w:rsid w:val="4EF33865"/>
    <w:rsid w:val="4F021BCA"/>
    <w:rsid w:val="4F4162CB"/>
    <w:rsid w:val="4F4977F9"/>
    <w:rsid w:val="4F55619D"/>
    <w:rsid w:val="4F825B80"/>
    <w:rsid w:val="4F8E7BBB"/>
    <w:rsid w:val="4F9273F2"/>
    <w:rsid w:val="4FE94B38"/>
    <w:rsid w:val="50146059"/>
    <w:rsid w:val="50487AB0"/>
    <w:rsid w:val="507C59AC"/>
    <w:rsid w:val="507E34D2"/>
    <w:rsid w:val="50FC089B"/>
    <w:rsid w:val="5144296E"/>
    <w:rsid w:val="516A4762"/>
    <w:rsid w:val="51864D34"/>
    <w:rsid w:val="51A258E6"/>
    <w:rsid w:val="51AF7AE8"/>
    <w:rsid w:val="51E63A25"/>
    <w:rsid w:val="52003B26"/>
    <w:rsid w:val="52A97682"/>
    <w:rsid w:val="533802B0"/>
    <w:rsid w:val="533B1B4E"/>
    <w:rsid w:val="53413127"/>
    <w:rsid w:val="53517D1E"/>
    <w:rsid w:val="53B06098"/>
    <w:rsid w:val="53B10062"/>
    <w:rsid w:val="53B13BBE"/>
    <w:rsid w:val="53FC12DE"/>
    <w:rsid w:val="53FE7D63"/>
    <w:rsid w:val="5411465D"/>
    <w:rsid w:val="54601C62"/>
    <w:rsid w:val="54BE47E5"/>
    <w:rsid w:val="54E805FF"/>
    <w:rsid w:val="54FF6363"/>
    <w:rsid w:val="551876D5"/>
    <w:rsid w:val="5520724E"/>
    <w:rsid w:val="557E32D7"/>
    <w:rsid w:val="55801A9A"/>
    <w:rsid w:val="5583158B"/>
    <w:rsid w:val="56617B1E"/>
    <w:rsid w:val="566E223B"/>
    <w:rsid w:val="566E5A3F"/>
    <w:rsid w:val="567C04B4"/>
    <w:rsid w:val="56A62F15"/>
    <w:rsid w:val="56B93FA5"/>
    <w:rsid w:val="57825F9E"/>
    <w:rsid w:val="578A5B19"/>
    <w:rsid w:val="57A37CC2"/>
    <w:rsid w:val="57A852D8"/>
    <w:rsid w:val="57CC0FC7"/>
    <w:rsid w:val="580754AE"/>
    <w:rsid w:val="587B479B"/>
    <w:rsid w:val="58A3441E"/>
    <w:rsid w:val="58D71912"/>
    <w:rsid w:val="59934492"/>
    <w:rsid w:val="59AA17DC"/>
    <w:rsid w:val="5A014D41"/>
    <w:rsid w:val="5A5654C0"/>
    <w:rsid w:val="5A670E91"/>
    <w:rsid w:val="5AD85ED5"/>
    <w:rsid w:val="5B1A7EA6"/>
    <w:rsid w:val="5B415796"/>
    <w:rsid w:val="5B5555DB"/>
    <w:rsid w:val="5BAA161F"/>
    <w:rsid w:val="5C0160DE"/>
    <w:rsid w:val="5C8E7193"/>
    <w:rsid w:val="5C910A31"/>
    <w:rsid w:val="5CAE3391"/>
    <w:rsid w:val="5CD5691D"/>
    <w:rsid w:val="5CEC5C67"/>
    <w:rsid w:val="5CFE2219"/>
    <w:rsid w:val="5DEC1792"/>
    <w:rsid w:val="5EB822A5"/>
    <w:rsid w:val="5ED67896"/>
    <w:rsid w:val="5EE706DA"/>
    <w:rsid w:val="5F092B01"/>
    <w:rsid w:val="5F2636B2"/>
    <w:rsid w:val="5F69359F"/>
    <w:rsid w:val="5FA0604A"/>
    <w:rsid w:val="601B2AEB"/>
    <w:rsid w:val="60251BBC"/>
    <w:rsid w:val="60255718"/>
    <w:rsid w:val="602D6CC3"/>
    <w:rsid w:val="6083196C"/>
    <w:rsid w:val="60CD2CBF"/>
    <w:rsid w:val="60D72A94"/>
    <w:rsid w:val="60EB4BB4"/>
    <w:rsid w:val="60F021CA"/>
    <w:rsid w:val="613B0F6B"/>
    <w:rsid w:val="61686204"/>
    <w:rsid w:val="6189244E"/>
    <w:rsid w:val="61A86601"/>
    <w:rsid w:val="61D12D46"/>
    <w:rsid w:val="62173786"/>
    <w:rsid w:val="621912AD"/>
    <w:rsid w:val="622F6D22"/>
    <w:rsid w:val="626F5FC1"/>
    <w:rsid w:val="62D022B3"/>
    <w:rsid w:val="6347009B"/>
    <w:rsid w:val="6372336A"/>
    <w:rsid w:val="63C96D02"/>
    <w:rsid w:val="63D47B81"/>
    <w:rsid w:val="64654C7D"/>
    <w:rsid w:val="64715DE8"/>
    <w:rsid w:val="647608C2"/>
    <w:rsid w:val="64942E6C"/>
    <w:rsid w:val="64ED484B"/>
    <w:rsid w:val="652E1513"/>
    <w:rsid w:val="653C78A7"/>
    <w:rsid w:val="653F54CE"/>
    <w:rsid w:val="657A02B4"/>
    <w:rsid w:val="65F71905"/>
    <w:rsid w:val="66252916"/>
    <w:rsid w:val="662A7F2C"/>
    <w:rsid w:val="663C37BC"/>
    <w:rsid w:val="664E34EF"/>
    <w:rsid w:val="666D5980"/>
    <w:rsid w:val="67627252"/>
    <w:rsid w:val="67A42D64"/>
    <w:rsid w:val="67F74812"/>
    <w:rsid w:val="6821710D"/>
    <w:rsid w:val="68246BFD"/>
    <w:rsid w:val="68252676"/>
    <w:rsid w:val="68555008"/>
    <w:rsid w:val="68753308"/>
    <w:rsid w:val="68CC0866"/>
    <w:rsid w:val="68D45F2D"/>
    <w:rsid w:val="691C65F4"/>
    <w:rsid w:val="69750D65"/>
    <w:rsid w:val="69EA2C18"/>
    <w:rsid w:val="6A024D1C"/>
    <w:rsid w:val="6A0657AB"/>
    <w:rsid w:val="6A161774"/>
    <w:rsid w:val="6A3A2708"/>
    <w:rsid w:val="6A590DE0"/>
    <w:rsid w:val="6A6B0B13"/>
    <w:rsid w:val="6AEF704E"/>
    <w:rsid w:val="6AF6662F"/>
    <w:rsid w:val="6B056872"/>
    <w:rsid w:val="6B2A30BC"/>
    <w:rsid w:val="6B6E2926"/>
    <w:rsid w:val="6B772180"/>
    <w:rsid w:val="6BA53BB1"/>
    <w:rsid w:val="6BAE5077"/>
    <w:rsid w:val="6BB838E4"/>
    <w:rsid w:val="6BC1163D"/>
    <w:rsid w:val="6BCE09DE"/>
    <w:rsid w:val="6C047CFF"/>
    <w:rsid w:val="6C3B62C3"/>
    <w:rsid w:val="6C6B4C93"/>
    <w:rsid w:val="6C9003BD"/>
    <w:rsid w:val="6CAA14EC"/>
    <w:rsid w:val="6CFC1EF7"/>
    <w:rsid w:val="6D042B59"/>
    <w:rsid w:val="6D0448D5"/>
    <w:rsid w:val="6D21195D"/>
    <w:rsid w:val="6D504CBA"/>
    <w:rsid w:val="6DF3366F"/>
    <w:rsid w:val="6DF5118C"/>
    <w:rsid w:val="6DF97C92"/>
    <w:rsid w:val="6E283B6C"/>
    <w:rsid w:val="6E340E03"/>
    <w:rsid w:val="6E5806F2"/>
    <w:rsid w:val="6EC151A6"/>
    <w:rsid w:val="6EC92EC4"/>
    <w:rsid w:val="6ECB1B80"/>
    <w:rsid w:val="6EF26D5B"/>
    <w:rsid w:val="6F5A6ADB"/>
    <w:rsid w:val="6F984159"/>
    <w:rsid w:val="6FA7439C"/>
    <w:rsid w:val="6FAB5E6E"/>
    <w:rsid w:val="6FB96CE6"/>
    <w:rsid w:val="6FCB1EC4"/>
    <w:rsid w:val="708D66C2"/>
    <w:rsid w:val="7095177A"/>
    <w:rsid w:val="70BD374B"/>
    <w:rsid w:val="70CB2F29"/>
    <w:rsid w:val="70DC0D6F"/>
    <w:rsid w:val="71431EA2"/>
    <w:rsid w:val="714E5325"/>
    <w:rsid w:val="7169556A"/>
    <w:rsid w:val="72351CEA"/>
    <w:rsid w:val="72AE3C93"/>
    <w:rsid w:val="73375A36"/>
    <w:rsid w:val="7338355D"/>
    <w:rsid w:val="73C6509B"/>
    <w:rsid w:val="741E6BF6"/>
    <w:rsid w:val="74793E2D"/>
    <w:rsid w:val="747F29F4"/>
    <w:rsid w:val="748527D2"/>
    <w:rsid w:val="749F06E5"/>
    <w:rsid w:val="750E6C6B"/>
    <w:rsid w:val="75272958"/>
    <w:rsid w:val="753541DE"/>
    <w:rsid w:val="75AC354D"/>
    <w:rsid w:val="75B77529"/>
    <w:rsid w:val="75BC66C7"/>
    <w:rsid w:val="75BC6A36"/>
    <w:rsid w:val="75EA6B03"/>
    <w:rsid w:val="75FE3D53"/>
    <w:rsid w:val="76263B40"/>
    <w:rsid w:val="76E9789C"/>
    <w:rsid w:val="77876861"/>
    <w:rsid w:val="779A47E6"/>
    <w:rsid w:val="77A613DD"/>
    <w:rsid w:val="77D777E8"/>
    <w:rsid w:val="77E837A3"/>
    <w:rsid w:val="78302F30"/>
    <w:rsid w:val="785410B1"/>
    <w:rsid w:val="78882890"/>
    <w:rsid w:val="78CA62C2"/>
    <w:rsid w:val="792C393E"/>
    <w:rsid w:val="793D18CD"/>
    <w:rsid w:val="79800243"/>
    <w:rsid w:val="79881869"/>
    <w:rsid w:val="79C8563A"/>
    <w:rsid w:val="79E24BA3"/>
    <w:rsid w:val="7A573842"/>
    <w:rsid w:val="7A6C58FE"/>
    <w:rsid w:val="7A9B79C4"/>
    <w:rsid w:val="7AAA5D90"/>
    <w:rsid w:val="7AE2097E"/>
    <w:rsid w:val="7AF64429"/>
    <w:rsid w:val="7AFB1A3F"/>
    <w:rsid w:val="7B3B62E0"/>
    <w:rsid w:val="7B802EA9"/>
    <w:rsid w:val="7B9A4DB4"/>
    <w:rsid w:val="7BBD0AA3"/>
    <w:rsid w:val="7BD108C2"/>
    <w:rsid w:val="7BE566D0"/>
    <w:rsid w:val="7C1D1D83"/>
    <w:rsid w:val="7C556F2D"/>
    <w:rsid w:val="7CA51C63"/>
    <w:rsid w:val="7D0D549D"/>
    <w:rsid w:val="7D121F07"/>
    <w:rsid w:val="7D450D50"/>
    <w:rsid w:val="7D486ED6"/>
    <w:rsid w:val="7D4D6718"/>
    <w:rsid w:val="7D545437"/>
    <w:rsid w:val="7D605B8A"/>
    <w:rsid w:val="7D8831F6"/>
    <w:rsid w:val="7DD16A88"/>
    <w:rsid w:val="7DE04EC6"/>
    <w:rsid w:val="7DF804B8"/>
    <w:rsid w:val="7E262225"/>
    <w:rsid w:val="7E6E00C4"/>
    <w:rsid w:val="7E8B1421"/>
    <w:rsid w:val="7EC43731"/>
    <w:rsid w:val="7ED13252"/>
    <w:rsid w:val="7F0013D2"/>
    <w:rsid w:val="7F25708B"/>
    <w:rsid w:val="7F3948E4"/>
    <w:rsid w:val="7F3B356A"/>
    <w:rsid w:val="7F912972"/>
    <w:rsid w:val="7F941341"/>
    <w:rsid w:val="7FBC4335"/>
    <w:rsid w:val="7FC52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4,5"/>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5"/>
    <w:autoRedefine/>
    <w:qFormat/>
    <w:uiPriority w:val="9"/>
    <w:pPr>
      <w:keepNext/>
      <w:keepLines/>
      <w:spacing w:before="340" w:after="330" w:line="578" w:lineRule="auto"/>
      <w:outlineLvl w:val="0"/>
    </w:pPr>
    <w:rPr>
      <w:rFonts w:ascii="Calibri" w:hAnsi="Calibri"/>
      <w:b/>
      <w:bCs/>
      <w:kern w:val="44"/>
      <w:sz w:val="44"/>
      <w:szCs w:val="44"/>
    </w:rPr>
  </w:style>
  <w:style w:type="paragraph" w:styleId="2">
    <w:name w:val="heading 2"/>
    <w:basedOn w:val="1"/>
    <w:next w:val="1"/>
    <w:link w:val="26"/>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7"/>
    <w:autoRedefine/>
    <w:qFormat/>
    <w:uiPriority w:val="0"/>
    <w:pPr>
      <w:keepNext/>
      <w:keepLines/>
      <w:spacing w:before="260" w:after="260" w:line="416" w:lineRule="auto"/>
      <w:outlineLvl w:val="2"/>
    </w:pPr>
    <w:rPr>
      <w:b/>
      <w:bCs/>
      <w:kern w:val="0"/>
      <w:sz w:val="32"/>
      <w:szCs w:val="32"/>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8"/>
    <w:autoRedefine/>
    <w:semiHidden/>
    <w:unhideWhenUsed/>
    <w:qFormat/>
    <w:uiPriority w:val="99"/>
    <w:rPr>
      <w:rFonts w:ascii="宋体" w:hAnsi="Calibri"/>
      <w:sz w:val="18"/>
      <w:szCs w:val="18"/>
    </w:rPr>
  </w:style>
  <w:style w:type="paragraph" w:styleId="7">
    <w:name w:val="Body Text"/>
    <w:basedOn w:val="1"/>
    <w:semiHidden/>
    <w:unhideWhenUsed/>
    <w:qFormat/>
    <w:uiPriority w:val="99"/>
    <w:pPr>
      <w:spacing w:after="120"/>
    </w:pPr>
  </w:style>
  <w:style w:type="paragraph" w:styleId="8">
    <w:name w:val="toc 3"/>
    <w:basedOn w:val="1"/>
    <w:next w:val="1"/>
    <w:autoRedefine/>
    <w:unhideWhenUsed/>
    <w:qFormat/>
    <w:locked/>
    <w:uiPriority w:val="39"/>
    <w:pPr>
      <w:ind w:left="840" w:leftChars="400"/>
    </w:pPr>
  </w:style>
  <w:style w:type="paragraph" w:styleId="9">
    <w:name w:val="Date"/>
    <w:basedOn w:val="1"/>
    <w:next w:val="1"/>
    <w:link w:val="72"/>
    <w:autoRedefine/>
    <w:qFormat/>
    <w:uiPriority w:val="0"/>
    <w:pPr>
      <w:ind w:left="100" w:leftChars="2500"/>
    </w:pPr>
  </w:style>
  <w:style w:type="paragraph" w:styleId="10">
    <w:name w:val="Body Text Indent 2"/>
    <w:basedOn w:val="1"/>
    <w:link w:val="28"/>
    <w:autoRedefine/>
    <w:qFormat/>
    <w:uiPriority w:val="0"/>
    <w:pPr>
      <w:spacing w:after="120" w:line="480" w:lineRule="auto"/>
      <w:ind w:left="420" w:leftChars="200"/>
    </w:pPr>
    <w:rPr>
      <w:kern w:val="0"/>
      <w:sz w:val="20"/>
    </w:rPr>
  </w:style>
  <w:style w:type="paragraph" w:styleId="11">
    <w:name w:val="Balloon Text"/>
    <w:basedOn w:val="1"/>
    <w:link w:val="29"/>
    <w:autoRedefine/>
    <w:qFormat/>
    <w:uiPriority w:val="99"/>
    <w:pPr>
      <w:spacing w:beforeAutospacing="1" w:afterAutospacing="1"/>
      <w:ind w:left="150" w:hanging="150" w:hangingChars="150"/>
    </w:pPr>
    <w:rPr>
      <w:rFonts w:ascii="Calibri" w:hAnsi="Calibri"/>
      <w:kern w:val="0"/>
      <w:sz w:val="18"/>
      <w:szCs w:val="18"/>
    </w:rPr>
  </w:style>
  <w:style w:type="paragraph" w:styleId="12">
    <w:name w:val="footer"/>
    <w:basedOn w:val="1"/>
    <w:link w:val="30"/>
    <w:autoRedefine/>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31"/>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5">
    <w:name w:val="Subtitle"/>
    <w:basedOn w:val="1"/>
    <w:next w:val="1"/>
    <w:link w:val="71"/>
    <w:autoRedefine/>
    <w:qFormat/>
    <w:locked/>
    <w:uiPriority w:val="11"/>
    <w:pPr>
      <w:spacing w:before="240" w:after="60" w:line="312" w:lineRule="auto"/>
      <w:jc w:val="center"/>
      <w:outlineLvl w:val="1"/>
    </w:pPr>
    <w:rPr>
      <w:rFonts w:ascii="Cambria" w:hAnsi="Cambria"/>
      <w:b/>
      <w:bCs/>
      <w:kern w:val="28"/>
      <w:sz w:val="32"/>
      <w:szCs w:val="32"/>
    </w:rPr>
  </w:style>
  <w:style w:type="paragraph" w:styleId="16">
    <w:name w:val="toc 2"/>
    <w:basedOn w:val="1"/>
    <w:next w:val="1"/>
    <w:autoRedefine/>
    <w:unhideWhenUsed/>
    <w:qFormat/>
    <w:locked/>
    <w:uiPriority w:val="39"/>
    <w:pPr>
      <w:ind w:left="420" w:leftChars="200"/>
    </w:pPr>
  </w:style>
  <w:style w:type="paragraph" w:styleId="17">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8">
    <w:name w:val="Title"/>
    <w:basedOn w:val="1"/>
    <w:next w:val="1"/>
    <w:link w:val="32"/>
    <w:autoRedefine/>
    <w:qFormat/>
    <w:uiPriority w:val="0"/>
    <w:pPr>
      <w:spacing w:before="240" w:after="60"/>
      <w:jc w:val="center"/>
      <w:outlineLvl w:val="0"/>
    </w:pPr>
    <w:rPr>
      <w:rFonts w:ascii="Cambria" w:hAnsi="Cambria"/>
      <w:b/>
      <w:bCs/>
      <w:kern w:val="0"/>
      <w:sz w:val="32"/>
      <w:szCs w:val="32"/>
    </w:rPr>
  </w:style>
  <w:style w:type="table" w:styleId="20">
    <w:name w:val="Table Grid"/>
    <w:basedOn w:val="19"/>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autoRedefine/>
    <w:qFormat/>
    <w:uiPriority w:val="0"/>
    <w:rPr>
      <w:rFonts w:cs="Times New Roman"/>
    </w:rPr>
  </w:style>
  <w:style w:type="character" w:styleId="23">
    <w:name w:val="FollowedHyperlink"/>
    <w:autoRedefine/>
    <w:semiHidden/>
    <w:qFormat/>
    <w:uiPriority w:val="0"/>
    <w:rPr>
      <w:rFonts w:cs="Times New Roman"/>
      <w:color w:val="800080"/>
      <w:u w:val="single"/>
    </w:rPr>
  </w:style>
  <w:style w:type="character" w:styleId="24">
    <w:name w:val="Hyperlink"/>
    <w:autoRedefine/>
    <w:qFormat/>
    <w:uiPriority w:val="0"/>
    <w:rPr>
      <w:color w:val="000000"/>
      <w:u w:val="none"/>
    </w:rPr>
  </w:style>
  <w:style w:type="character" w:customStyle="1" w:styleId="25">
    <w:name w:val="标题 1 字符"/>
    <w:link w:val="3"/>
    <w:autoRedefine/>
    <w:qFormat/>
    <w:locked/>
    <w:uiPriority w:val="9"/>
    <w:rPr>
      <w:rFonts w:ascii="Calibri" w:hAnsi="Calibri" w:eastAsia="宋体" w:cs="Times New Roman"/>
      <w:b/>
      <w:bCs/>
      <w:kern w:val="44"/>
      <w:sz w:val="44"/>
      <w:szCs w:val="44"/>
    </w:rPr>
  </w:style>
  <w:style w:type="character" w:customStyle="1" w:styleId="26">
    <w:name w:val="标题 2 字符"/>
    <w:link w:val="2"/>
    <w:autoRedefine/>
    <w:qFormat/>
    <w:locked/>
    <w:uiPriority w:val="0"/>
    <w:rPr>
      <w:rFonts w:ascii="Cambria" w:hAnsi="Cambria" w:eastAsia="宋体" w:cs="Times New Roman"/>
      <w:b/>
      <w:bCs/>
      <w:sz w:val="32"/>
      <w:szCs w:val="32"/>
    </w:rPr>
  </w:style>
  <w:style w:type="character" w:customStyle="1" w:styleId="27">
    <w:name w:val="标题 3 字符"/>
    <w:link w:val="4"/>
    <w:autoRedefine/>
    <w:qFormat/>
    <w:locked/>
    <w:uiPriority w:val="0"/>
    <w:rPr>
      <w:rFonts w:ascii="Times New Roman" w:hAnsi="Times New Roman" w:eastAsia="宋体" w:cs="Times New Roman"/>
      <w:b/>
      <w:bCs/>
      <w:sz w:val="32"/>
      <w:szCs w:val="32"/>
    </w:rPr>
  </w:style>
  <w:style w:type="character" w:customStyle="1" w:styleId="28">
    <w:name w:val="正文文本缩进 2 字符"/>
    <w:link w:val="10"/>
    <w:autoRedefine/>
    <w:qFormat/>
    <w:locked/>
    <w:uiPriority w:val="0"/>
    <w:rPr>
      <w:rFonts w:ascii="Times New Roman" w:hAnsi="Times New Roman" w:eastAsia="宋体" w:cs="Times New Roman"/>
      <w:sz w:val="20"/>
      <w:szCs w:val="20"/>
    </w:rPr>
  </w:style>
  <w:style w:type="character" w:customStyle="1" w:styleId="29">
    <w:name w:val="批注框文本 字符"/>
    <w:link w:val="11"/>
    <w:autoRedefine/>
    <w:qFormat/>
    <w:locked/>
    <w:uiPriority w:val="99"/>
    <w:rPr>
      <w:rFonts w:ascii="Calibri" w:hAnsi="Calibri" w:eastAsia="宋体" w:cs="Times New Roman"/>
      <w:sz w:val="18"/>
      <w:szCs w:val="18"/>
    </w:rPr>
  </w:style>
  <w:style w:type="character" w:customStyle="1" w:styleId="30">
    <w:name w:val="页脚 字符"/>
    <w:link w:val="12"/>
    <w:autoRedefine/>
    <w:qFormat/>
    <w:locked/>
    <w:uiPriority w:val="99"/>
    <w:rPr>
      <w:rFonts w:cs="Times New Roman"/>
      <w:sz w:val="18"/>
      <w:szCs w:val="18"/>
    </w:rPr>
  </w:style>
  <w:style w:type="character" w:customStyle="1" w:styleId="31">
    <w:name w:val="页眉 字符"/>
    <w:link w:val="13"/>
    <w:autoRedefine/>
    <w:qFormat/>
    <w:locked/>
    <w:uiPriority w:val="0"/>
    <w:rPr>
      <w:rFonts w:cs="Times New Roman"/>
      <w:sz w:val="18"/>
      <w:szCs w:val="18"/>
    </w:rPr>
  </w:style>
  <w:style w:type="character" w:customStyle="1" w:styleId="32">
    <w:name w:val="标题 字符"/>
    <w:link w:val="18"/>
    <w:autoRedefine/>
    <w:qFormat/>
    <w:locked/>
    <w:uiPriority w:val="0"/>
    <w:rPr>
      <w:rFonts w:ascii="Cambria" w:hAnsi="Cambria" w:eastAsia="宋体" w:cs="Times New Roman"/>
      <w:b/>
      <w:bCs/>
      <w:sz w:val="32"/>
      <w:szCs w:val="32"/>
    </w:rPr>
  </w:style>
  <w:style w:type="paragraph" w:customStyle="1" w:styleId="33">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5">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6">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7">
    <w:name w:val="font9"/>
    <w:basedOn w:val="1"/>
    <w:autoRedefine/>
    <w:qFormat/>
    <w:uiPriority w:val="0"/>
    <w:pPr>
      <w:widowControl/>
      <w:spacing w:before="100" w:beforeAutospacing="1" w:after="100" w:afterAutospacing="1"/>
      <w:jc w:val="left"/>
    </w:pPr>
    <w:rPr>
      <w:kern w:val="0"/>
      <w:szCs w:val="21"/>
    </w:rPr>
  </w:style>
  <w:style w:type="paragraph" w:customStyle="1" w:styleId="38">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9">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0">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1">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2">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3">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4">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5">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7">
    <w:name w:val="列出段落1"/>
    <w:basedOn w:val="1"/>
    <w:autoRedefine/>
    <w:qFormat/>
    <w:uiPriority w:val="34"/>
    <w:pPr>
      <w:ind w:firstLine="420" w:firstLineChars="200"/>
    </w:pPr>
  </w:style>
  <w:style w:type="paragraph" w:customStyle="1" w:styleId="48">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9">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50">
    <w:name w:val="font8"/>
    <w:basedOn w:val="1"/>
    <w:autoRedefine/>
    <w:qFormat/>
    <w:uiPriority w:val="0"/>
    <w:pPr>
      <w:widowControl/>
      <w:spacing w:before="100" w:beforeAutospacing="1" w:after="100" w:afterAutospacing="1"/>
      <w:jc w:val="left"/>
    </w:pPr>
    <w:rPr>
      <w:kern w:val="0"/>
      <w:sz w:val="36"/>
      <w:szCs w:val="36"/>
    </w:rPr>
  </w:style>
  <w:style w:type="paragraph" w:customStyle="1" w:styleId="51">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2">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5">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6">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7">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8">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9">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60">
    <w:name w:val="列出段落2"/>
    <w:basedOn w:val="1"/>
    <w:autoRedefine/>
    <w:qFormat/>
    <w:uiPriority w:val="34"/>
    <w:pPr>
      <w:ind w:firstLine="420" w:firstLineChars="200"/>
    </w:pPr>
  </w:style>
  <w:style w:type="paragraph" w:customStyle="1" w:styleId="61">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2">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3">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4">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5">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6">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7">
    <w:name w:val="表格内容"/>
    <w:autoRedefine/>
    <w:qFormat/>
    <w:uiPriority w:val="0"/>
    <w:rPr>
      <w:sz w:val="24"/>
    </w:rPr>
  </w:style>
  <w:style w:type="character" w:customStyle="1" w:styleId="68">
    <w:name w:val="文档结构图 字符"/>
    <w:link w:val="6"/>
    <w:autoRedefine/>
    <w:semiHidden/>
    <w:qFormat/>
    <w:uiPriority w:val="99"/>
    <w:rPr>
      <w:rFonts w:ascii="宋体" w:cs="Times New Roman"/>
      <w:kern w:val="2"/>
      <w:sz w:val="18"/>
      <w:szCs w:val="18"/>
    </w:rPr>
  </w:style>
  <w:style w:type="paragraph" w:styleId="69">
    <w:name w:val="List Paragraph"/>
    <w:basedOn w:val="1"/>
    <w:autoRedefine/>
    <w:qFormat/>
    <w:uiPriority w:val="34"/>
    <w:pPr>
      <w:ind w:firstLine="420" w:firstLineChars="200"/>
    </w:pPr>
    <w:rPr>
      <w:rFonts w:ascii="Calibri" w:hAnsi="Calibri"/>
      <w:szCs w:val="22"/>
    </w:rPr>
  </w:style>
  <w:style w:type="paragraph" w:customStyle="1" w:styleId="70">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1">
    <w:name w:val="副标题 字符"/>
    <w:link w:val="15"/>
    <w:autoRedefine/>
    <w:qFormat/>
    <w:uiPriority w:val="11"/>
    <w:rPr>
      <w:rFonts w:ascii="Cambria" w:hAnsi="Cambria" w:cs="Times New Roman"/>
      <w:b/>
      <w:bCs/>
      <w:kern w:val="28"/>
      <w:sz w:val="32"/>
      <w:szCs w:val="32"/>
    </w:rPr>
  </w:style>
  <w:style w:type="character" w:customStyle="1" w:styleId="72">
    <w:name w:val="日期 字符"/>
    <w:link w:val="9"/>
    <w:autoRedefine/>
    <w:qFormat/>
    <w:uiPriority w:val="0"/>
    <w:rPr>
      <w:rFonts w:ascii="Times New Roman" w:hAnsi="Times New Roman" w:cs="Times New Roman"/>
      <w:kern w:val="2"/>
      <w:sz w:val="21"/>
    </w:rPr>
  </w:style>
  <w:style w:type="paragraph" w:customStyle="1" w:styleId="73">
    <w:name w:val="TOC 标题1"/>
    <w:basedOn w:val="3"/>
    <w:next w:val="1"/>
    <w:autoRedefine/>
    <w:semiHidden/>
    <w:unhideWhenUsed/>
    <w:qFormat/>
    <w:uiPriority w:val="39"/>
    <w:pPr>
      <w:outlineLvl w:val="9"/>
    </w:pPr>
    <w:rPr>
      <w:rFonts w:ascii="Times New Roman" w:hAnsi="Times New Roman"/>
    </w:rPr>
  </w:style>
  <w:style w:type="character" w:customStyle="1" w:styleId="74">
    <w:name w:val="15"/>
    <w:autoRedefine/>
    <w:qFormat/>
    <w:uiPriority w:val="0"/>
    <w:rPr>
      <w:rFonts w:hint="default" w:ascii="Times New Roman" w:hAnsi="Times New Roman" w:cs="Times New Roman"/>
      <w:i/>
      <w:iCs/>
    </w:rPr>
  </w:style>
  <w:style w:type="paragraph" w:customStyle="1" w:styleId="75">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6">
    <w:name w:val="font81"/>
    <w:autoRedefine/>
    <w:qFormat/>
    <w:uiPriority w:val="0"/>
    <w:rPr>
      <w:rFonts w:hint="eastAsia" w:ascii="宋体" w:hAnsi="宋体" w:eastAsia="宋体" w:cs="宋体"/>
      <w:b/>
      <w:bCs/>
      <w:color w:val="000000"/>
      <w:sz w:val="20"/>
      <w:szCs w:val="20"/>
      <w:u w:val="none"/>
    </w:rPr>
  </w:style>
  <w:style w:type="character" w:customStyle="1" w:styleId="77">
    <w:name w:val="font61"/>
    <w:autoRedefine/>
    <w:qFormat/>
    <w:uiPriority w:val="0"/>
    <w:rPr>
      <w:rFonts w:hint="eastAsia" w:ascii="宋体" w:hAnsi="宋体" w:eastAsia="宋体" w:cs="宋体"/>
      <w:color w:val="000000"/>
      <w:sz w:val="20"/>
      <w:szCs w:val="20"/>
      <w:u w:val="none"/>
    </w:rPr>
  </w:style>
  <w:style w:type="character" w:customStyle="1" w:styleId="78">
    <w:name w:val="font91"/>
    <w:autoRedefine/>
    <w:qFormat/>
    <w:uiPriority w:val="0"/>
    <w:rPr>
      <w:rFonts w:hint="eastAsia" w:ascii="宋体" w:hAnsi="宋体" w:eastAsia="宋体" w:cs="宋体"/>
      <w:color w:val="FF0000"/>
      <w:sz w:val="20"/>
      <w:szCs w:val="20"/>
      <w:u w:val="none"/>
    </w:rPr>
  </w:style>
  <w:style w:type="character" w:customStyle="1" w:styleId="79">
    <w:name w:val="font101"/>
    <w:autoRedefine/>
    <w:qFormat/>
    <w:uiPriority w:val="0"/>
    <w:rPr>
      <w:rFonts w:hint="eastAsia" w:ascii="宋体" w:hAnsi="宋体" w:eastAsia="宋体" w:cs="宋体"/>
      <w:color w:val="000000"/>
      <w:sz w:val="20"/>
      <w:szCs w:val="20"/>
      <w:u w:val="single"/>
    </w:rPr>
  </w:style>
  <w:style w:type="character" w:customStyle="1" w:styleId="80">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紫箫星空</Company>
  <Pages>23</Pages>
  <Words>12845</Words>
  <Characters>13632</Characters>
  <Lines>121</Lines>
  <Paragraphs>34</Paragraphs>
  <TotalTime>69</TotalTime>
  <ScaleCrop>false</ScaleCrop>
  <LinksUpToDate>false</LinksUpToDate>
  <CharactersWithSpaces>15076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light-rain</cp:lastModifiedBy>
  <cp:lastPrinted>2017-10-18T00:29:00Z</cp:lastPrinted>
  <dcterms:modified xsi:type="dcterms:W3CDTF">2025-05-28T06:44:24Z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0CCFC75874BE425FAC6E6700D6A3EBEE_13</vt:lpwstr>
  </property>
  <property fmtid="{D5CDD505-2E9C-101B-9397-08002B2CF9AE}" pid="4" name="KSOTemplateDocerSaveRecord">
    <vt:lpwstr>eyJoZGlkIjoiYzNmZTE2ZGI3YWU5NWY2YmMxNTY4NDM4Y2E4N2JkMDYiLCJ1c2VySWQiOiIyMzU5OTk5MDAifQ==</vt:lpwstr>
  </property>
</Properties>
</file>