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无纺清洁布采购项目（</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577B0C58"/>
    <w:p w14:paraId="7F83A8EC"/>
    <w:p w14:paraId="27BD218A"/>
    <w:p w14:paraId="76ED06CC"/>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w:t>
      </w:r>
      <w:r>
        <w:rPr>
          <w:rFonts w:hint="eastAsia" w:eastAsia="仿宋_GB2312"/>
          <w:sz w:val="44"/>
          <w:szCs w:val="44"/>
          <w:lang w:val="en-US" w:eastAsia="zh-CN"/>
        </w:rPr>
        <w:t>5</w:t>
      </w:r>
      <w:r>
        <w:rPr>
          <w:rFonts w:hint="eastAsia" w:eastAsia="仿宋_GB2312"/>
          <w:sz w:val="44"/>
          <w:szCs w:val="44"/>
        </w:rPr>
        <w:t>年</w:t>
      </w:r>
      <w:r>
        <w:rPr>
          <w:rFonts w:hint="eastAsia" w:eastAsia="仿宋_GB2312"/>
          <w:sz w:val="44"/>
          <w:szCs w:val="44"/>
          <w:lang w:val="en-US" w:eastAsia="zh-CN"/>
        </w:rPr>
        <w:t>5</w:t>
      </w:r>
      <w:r>
        <w:rPr>
          <w:rFonts w:hint="eastAsia" w:eastAsia="仿宋_GB2312"/>
          <w:sz w:val="44"/>
          <w:szCs w:val="44"/>
        </w:rPr>
        <w:t>月</w:t>
      </w:r>
      <w:r>
        <w:rPr>
          <w:rFonts w:hint="eastAsia" w:eastAsia="仿宋_GB2312"/>
          <w:sz w:val="44"/>
          <w:szCs w:val="44"/>
          <w:lang w:val="en-US" w:eastAsia="zh-CN"/>
        </w:rPr>
        <w:t>28</w:t>
      </w:r>
      <w:r>
        <w:rPr>
          <w:rFonts w:hint="eastAsia" w:eastAsia="仿宋_GB2312"/>
          <w:sz w:val="44"/>
          <w:szCs w:val="44"/>
        </w:rPr>
        <w:t>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公开询价采购公告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57CED98C">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pPr>
      <w:r>
        <w:rPr>
          <w:rFonts w:hint="eastAsia"/>
        </w:rPr>
        <w:t>第一章 公开询价采购公告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无纺清洁布采购项目（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无纺清洁布采购项目（</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39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C792536">
            <w:pPr>
              <w:jc w:val="left"/>
              <w:rPr>
                <w:sz w:val="24"/>
                <w:szCs w:val="24"/>
              </w:rPr>
            </w:pPr>
            <w:r>
              <w:rPr>
                <w:rFonts w:hint="eastAsia" w:ascii="宋体" w:hAnsi="宋体" w:cs="Arial"/>
                <w:sz w:val="24"/>
                <w:szCs w:val="24"/>
              </w:rPr>
              <w:t>（2）合同形式及采购期：</w:t>
            </w:r>
            <w:r>
              <w:rPr>
                <w:rFonts w:hint="eastAsia" w:ascii="宋体" w:hAnsi="宋体" w:cs="Arial"/>
                <w:sz w:val="24"/>
                <w:szCs w:val="24"/>
                <w:lang w:val="en-US" w:eastAsia="zh-CN"/>
              </w:rPr>
              <w:t>三</w:t>
            </w:r>
            <w:r>
              <w:rPr>
                <w:rFonts w:hint="eastAsia" w:ascii="宋体" w:hAnsi="宋体" w:cs="Arial"/>
                <w:sz w:val="24"/>
                <w:szCs w:val="24"/>
              </w:rPr>
              <w:t>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4285B569">
      <w:pPr>
        <w:pStyle w:val="16"/>
        <w:spacing w:before="0" w:beforeAutospacing="0" w:after="0" w:afterAutospacing="0" w:line="360" w:lineRule="auto"/>
        <w:ind w:left="420" w:hanging="420" w:hangingChars="175"/>
        <w:rPr>
          <w:rFonts w:hint="eastAsia" w:ascii="Times New Roman" w:cs="Times New Roman"/>
          <w:highlight w:val="none"/>
          <w:lang w:eastAsia="zh-CN"/>
        </w:rPr>
      </w:pPr>
      <w:r>
        <w:rPr>
          <w:rFonts w:ascii="Times New Roman" w:hAnsi="Times New Roman" w:cs="Times New Roman"/>
          <w:highlight w:val="none"/>
        </w:rPr>
        <w:t xml:space="preserve">2.1 </w:t>
      </w:r>
      <w:r>
        <w:rPr>
          <w:rFonts w:ascii="Times New Roman" w:cs="Times New Roman"/>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6CCE1092">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2</w:t>
      </w:r>
      <w:r>
        <w:rPr>
          <w:rFonts w:hint="eastAsia" w:ascii="Times New Roman" w:cs="Times New Roman"/>
        </w:rPr>
        <w:t>-202</w:t>
      </w:r>
      <w:r>
        <w:rPr>
          <w:rFonts w:hint="eastAsia" w:ascii="Times New Roman" w:cs="Times New Roman"/>
          <w:lang w:val="en-US" w:eastAsia="zh-CN"/>
        </w:rPr>
        <w:t>4</w:t>
      </w:r>
      <w:r>
        <w:rPr>
          <w:rFonts w:hint="eastAsia" w:ascii="Times New Roman" w:cs="Times New Roman"/>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5</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28</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4</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1C26017">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0B474301">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伍仟</w:t>
      </w:r>
      <w:r>
        <w:rPr>
          <w:rFonts w:hint="eastAsia" w:ascii="Times New Roman" w:cs="Times New Roman"/>
          <w:b/>
          <w:highlight w:val="none"/>
          <w:u w:val="single"/>
        </w:rPr>
        <w:t>元整</w:t>
      </w:r>
      <w:r>
        <w:rPr>
          <w:rFonts w:hint="eastAsia" w:ascii="Times New Roman" w:cs="Times New Roman"/>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6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6"/>
        <w:spacing w:before="0" w:beforeAutospacing="0" w:after="0" w:afterAutospacing="0" w:line="360" w:lineRule="auto"/>
        <w:ind w:left="149" w:firstLine="82" w:firstLineChars="0"/>
        <w:rPr>
          <w:u w:val="single"/>
        </w:rPr>
      </w:pPr>
    </w:p>
    <w:p w14:paraId="007CD720">
      <w:pPr>
        <w:pStyle w:val="16"/>
        <w:spacing w:before="0" w:beforeAutospacing="0" w:after="0" w:afterAutospacing="0" w:line="360" w:lineRule="auto"/>
        <w:ind w:left="149" w:firstLine="82" w:firstLineChars="0"/>
      </w:pPr>
      <w:r>
        <w:rPr>
          <w:rFonts w:hint="eastAsia"/>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5</w:t>
      </w:r>
      <w:r>
        <w:rPr>
          <w:rFonts w:hint="eastAsia"/>
          <w:kern w:val="0"/>
          <w:sz w:val="24"/>
          <w:szCs w:val="24"/>
          <w:highlight w:val="none"/>
        </w:rPr>
        <w:t>月</w:t>
      </w:r>
      <w:r>
        <w:rPr>
          <w:rFonts w:hint="eastAsia"/>
          <w:kern w:val="0"/>
          <w:sz w:val="24"/>
          <w:szCs w:val="24"/>
          <w:highlight w:val="none"/>
          <w:lang w:val="en-US" w:eastAsia="zh-CN"/>
        </w:rPr>
        <w:t>28</w:t>
      </w:r>
      <w:r>
        <w:rPr>
          <w:rFonts w:hint="eastAsia"/>
          <w:kern w:val="0"/>
          <w:sz w:val="24"/>
          <w:szCs w:val="24"/>
          <w:highlight w:val="none"/>
        </w:rPr>
        <w:t>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滁州轨道运营无纺清洁布</w:t>
            </w:r>
            <w:r>
              <w:rPr>
                <w:rFonts w:hint="eastAsia" w:ascii="宋体" w:hAnsi="宋体" w:cs="Arial"/>
                <w:szCs w:val="21"/>
                <w:highlight w:val="none"/>
                <w:lang w:eastAsia="zh-CN"/>
              </w:rPr>
              <w:t>采购项目（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7"/>
        <w:spacing w:before="0" w:after="100" w:afterAutospacing="1" w:line="360" w:lineRule="auto"/>
      </w:pPr>
      <w:r>
        <w:br w:type="page"/>
      </w:r>
      <w:r>
        <w:rPr>
          <w:rFonts w:hint="eastAsia"/>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rPr>
      </w:pPr>
      <w:r>
        <w:rPr>
          <w:rFonts w:hint="eastAsia" w:ascii="Times New Roman" w:hAnsi="Times New Roman" w:cs="Times New Roman"/>
        </w:rPr>
        <w:t>合格供应商评审表（</w:t>
      </w:r>
      <w:r>
        <w:rPr>
          <w:rFonts w:hint="eastAsia" w:ascii="Times New Roman" w:hAnsi="Times New Roman" w:cs="Times New Roman"/>
          <w:b/>
          <w:bCs/>
        </w:rPr>
        <w:t>非滁宁城铁合格供应商必须提供，原件加盖法人公章，见格式3</w:t>
      </w:r>
      <w:r>
        <w:rPr>
          <w:rFonts w:hint="eastAsia" w:ascii="Times New Roman" w:hAnsi="Times New Roman" w:cs="Times New Roman"/>
          <w:b w:val="0"/>
          <w:bCs w:val="0"/>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80E1AF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4F17706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SGS检测报告（</w:t>
      </w:r>
      <w:r>
        <w:rPr>
          <w:rFonts w:hint="eastAsia" w:ascii="Times New Roman" w:hAnsi="Times New Roman" w:cs="Times New Roman"/>
          <w:b/>
          <w:bCs/>
          <w:lang w:val="en-US" w:eastAsia="zh-CN"/>
        </w:rPr>
        <w:t>原件，评审工作结束后七个工作日内，</w:t>
      </w:r>
      <w:r>
        <w:rPr>
          <w:rFonts w:hint="eastAsia" w:ascii="宋体" w:hAnsi="宋体" w:eastAsia="宋体" w:cs="宋体"/>
          <w:b/>
          <w:bCs/>
          <w:color w:val="auto"/>
          <w:szCs w:val="21"/>
          <w:highlight w:val="none"/>
          <w:lang w:val="en-US" w:eastAsia="zh-CN"/>
        </w:rPr>
        <w:t>报价人应自行取回或选择邮件退回（顺丰到付），逾期采购人将不再承担相关文件的保管责任，并有权对逾期文件进行自行处置</w:t>
      </w:r>
      <w:r>
        <w:rPr>
          <w:rFonts w:hint="eastAsia" w:ascii="Times New Roman" w:hAnsi="Times New Roman" w:cs="Times New Roman"/>
          <w:color w:val="auto"/>
          <w:highlight w:val="none"/>
        </w:rPr>
        <w:t>）</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w:t>
      </w:r>
      <w:r>
        <w:rPr>
          <w:rFonts w:hint="eastAsia" w:ascii="Times New Roman" w:hAnsi="Times New Roman" w:cs="Times New Roman"/>
          <w:b/>
          <w:bCs/>
          <w:lang w:val="en-US" w:eastAsia="zh-CN"/>
        </w:rPr>
        <w:t>三</w:t>
      </w:r>
      <w:r>
        <w:rPr>
          <w:rFonts w:hint="eastAsia" w:ascii="Times New Roman" w:hAnsi="Times New Roman" w:cs="Times New Roman"/>
          <w:b/>
          <w:bCs/>
        </w:rPr>
        <w:t>年期</w:t>
      </w:r>
      <w:r>
        <w:rPr>
          <w:rFonts w:hint="eastAsia" w:ascii="Times New Roman" w:hAnsi="Times New Roman" w:cs="Times New Roman"/>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rPr>
      </w:pPr>
    </w:p>
    <w:p w14:paraId="6237B596">
      <w:pPr>
        <w:pStyle w:val="17"/>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ascii="宋体" w:hAnsi="宋体" w:cs="宋体"/>
          <w:sz w:val="24"/>
          <w:lang w:val="en-US" w:eastAsia="zh-CN"/>
        </w:rPr>
        <w:t>滁州轨道运营无纺清洁布的</w:t>
      </w:r>
      <w:r>
        <w:rPr>
          <w:rFonts w:hint="eastAsia" w:hAnsi="宋体"/>
          <w:kern w:val="0"/>
          <w:sz w:val="24"/>
          <w:szCs w:val="24"/>
        </w:rPr>
        <w:t>采购、供货及相关服务</w:t>
      </w:r>
      <w:r>
        <w:rPr>
          <w:rFonts w:hint="eastAsia" w:ascii="宋体" w:hAnsi="宋体"/>
          <w:sz w:val="24"/>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87"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055"/>
        <w:gridCol w:w="1470"/>
        <w:gridCol w:w="4107"/>
        <w:gridCol w:w="740"/>
        <w:gridCol w:w="880"/>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序号</w:t>
            </w:r>
          </w:p>
        </w:tc>
        <w:tc>
          <w:tcPr>
            <w:tcW w:w="2055"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物资编码</w:t>
            </w:r>
          </w:p>
        </w:tc>
        <w:tc>
          <w:tcPr>
            <w:tcW w:w="1470"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物资名称</w:t>
            </w:r>
          </w:p>
        </w:tc>
        <w:tc>
          <w:tcPr>
            <w:tcW w:w="4107"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规格型号</w:t>
            </w:r>
          </w:p>
        </w:tc>
        <w:tc>
          <w:tcPr>
            <w:tcW w:w="740"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单位</w:t>
            </w:r>
          </w:p>
        </w:tc>
        <w:tc>
          <w:tcPr>
            <w:tcW w:w="880"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35"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p>
        </w:tc>
        <w:tc>
          <w:tcPr>
            <w:tcW w:w="2055"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 name="Picture_1"/>
                  <wp:cNvGraphicFramePr/>
                  <a:graphic xmlns:a="http://schemas.openxmlformats.org/drawingml/2006/main">
                    <a:graphicData uri="http://schemas.openxmlformats.org/drawingml/2006/picture">
                      <pic:pic xmlns:pic="http://schemas.openxmlformats.org/drawingml/2006/picture">
                        <pic:nvPicPr>
                          <pic:cNvPr id="2"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3" name="Picture_1_SpCnt_1"/>
                  <wp:cNvGraphicFramePr/>
                  <a:graphic xmlns:a="http://schemas.openxmlformats.org/drawingml/2006/main">
                    <a:graphicData uri="http://schemas.openxmlformats.org/drawingml/2006/picture">
                      <pic:pic xmlns:pic="http://schemas.openxmlformats.org/drawingml/2006/picture">
                        <pic:nvPicPr>
                          <pic:cNvPr id="3" name="Picture_1_SpCnt_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4" name="Picture_1_SpCnt_2"/>
                  <wp:cNvGraphicFramePr/>
                  <a:graphic xmlns:a="http://schemas.openxmlformats.org/drawingml/2006/main">
                    <a:graphicData uri="http://schemas.openxmlformats.org/drawingml/2006/picture">
                      <pic:pic xmlns:pic="http://schemas.openxmlformats.org/drawingml/2006/picture">
                        <pic:nvPicPr>
                          <pic:cNvPr id="4"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t>71020600000001</w:t>
            </w:r>
          </w:p>
        </w:tc>
        <w:tc>
          <w:tcPr>
            <w:tcW w:w="1470"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_1_SpCnt_3"/>
                  <wp:cNvGraphicFramePr/>
                  <a:graphic xmlns:a="http://schemas.openxmlformats.org/drawingml/2006/main">
                    <a:graphicData uri="http://schemas.openxmlformats.org/drawingml/2006/picture">
                      <pic:pic xmlns:pic="http://schemas.openxmlformats.org/drawingml/2006/picture">
                        <pic:nvPicPr>
                          <pic:cNvPr id="5"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6" name="Picture_1_SpCnt_4"/>
                  <wp:cNvGraphicFramePr/>
                  <a:graphic xmlns:a="http://schemas.openxmlformats.org/drawingml/2006/main">
                    <a:graphicData uri="http://schemas.openxmlformats.org/drawingml/2006/picture">
                      <pic:pic xmlns:pic="http://schemas.openxmlformats.org/drawingml/2006/picture">
                        <pic:nvPicPr>
                          <pic:cNvPr id="6" name="Picture_1_SpCnt_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7" name="Picture_1_SpCnt_5"/>
                  <wp:cNvGraphicFramePr/>
                  <a:graphic xmlns:a="http://schemas.openxmlformats.org/drawingml/2006/main">
                    <a:graphicData uri="http://schemas.openxmlformats.org/drawingml/2006/picture">
                      <pic:pic xmlns:pic="http://schemas.openxmlformats.org/drawingml/2006/picture">
                        <pic:nvPicPr>
                          <pic:cNvPr id="7" name="Picture_1_SpCnt_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kern w:val="0"/>
                <w:sz w:val="21"/>
                <w:szCs w:val="21"/>
                <w:lang w:val="en-US" w:eastAsia="zh-CN" w:bidi="ar-SA"/>
              </w:rPr>
              <w:t>无纺清洁布</w:t>
            </w:r>
          </w:p>
        </w:tc>
        <w:tc>
          <w:tcPr>
            <w:tcW w:w="4107"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30CM*30CM;白色;500张/卷</w:t>
            </w:r>
          </w:p>
        </w:tc>
        <w:tc>
          <w:tcPr>
            <w:tcW w:w="740"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卷</w:t>
            </w:r>
          </w:p>
        </w:tc>
        <w:tc>
          <w:tcPr>
            <w:tcW w:w="880"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1741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998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C8D78">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备注：</w:t>
            </w:r>
          </w:p>
          <w:p w14:paraId="4FEC0DD5">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（1）此为三年期框架协议，未税单价3年保持不变，实际采购数量根据我方生产需要调整；</w:t>
            </w:r>
          </w:p>
          <w:p w14:paraId="23690DC0">
            <w:pPr>
              <w:keepNext w:val="0"/>
              <w:keepLines w:val="0"/>
              <w:widowControl/>
              <w:suppressLineNumbers w:val="0"/>
              <w:jc w:val="both"/>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（2）报价时综合考虑运费，送货地点详见第6.2条。</w:t>
            </w:r>
          </w:p>
        </w:tc>
      </w:tr>
    </w:tbl>
    <w:p w14:paraId="0F762E67">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rPr>
      </w:pPr>
    </w:p>
    <w:p w14:paraId="3C61D8A2">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rPr>
      </w:pPr>
      <w:r>
        <w:rPr>
          <w:rFonts w:hint="eastAsia" w:ascii="Times New Roman" w:hAnsi="Times New Roman" w:cs="Times New Roman"/>
        </w:rPr>
        <w:t>3技术参数</w:t>
      </w:r>
    </w:p>
    <w:tbl>
      <w:tblPr>
        <w:tblStyle w:val="18"/>
        <w:tblW w:w="10150" w:type="dxa"/>
        <w:jc w:val="center"/>
        <w:tblLayout w:type="fixed"/>
        <w:tblCellMar>
          <w:top w:w="0" w:type="dxa"/>
          <w:left w:w="108" w:type="dxa"/>
          <w:bottom w:w="0" w:type="dxa"/>
          <w:right w:w="108" w:type="dxa"/>
        </w:tblCellMar>
      </w:tblPr>
      <w:tblGrid>
        <w:gridCol w:w="2569"/>
        <w:gridCol w:w="1474"/>
        <w:gridCol w:w="3507"/>
        <w:gridCol w:w="1363"/>
        <w:gridCol w:w="1237"/>
      </w:tblGrid>
      <w:tr w14:paraId="05C75E17">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14:paraId="4AD78E28">
            <w:pPr>
              <w:jc w:val="center"/>
              <w:rPr>
                <w:rFonts w:ascii="宋体" w:hAnsi="宋体" w:cs="宋体"/>
                <w:b/>
                <w:bCs/>
                <w:kern w:val="0"/>
                <w:sz w:val="21"/>
                <w:szCs w:val="21"/>
              </w:rPr>
            </w:pPr>
            <w:r>
              <w:rPr>
                <w:rFonts w:hint="eastAsia" w:ascii="宋体" w:hAnsi="宋体" w:cs="宋体"/>
                <w:b/>
                <w:bCs/>
                <w:kern w:val="0"/>
                <w:sz w:val="21"/>
                <w:szCs w:val="21"/>
              </w:rPr>
              <w:t>项目</w:t>
            </w:r>
          </w:p>
        </w:tc>
        <w:tc>
          <w:tcPr>
            <w:tcW w:w="3507" w:type="dxa"/>
            <w:tcBorders>
              <w:top w:val="single" w:color="auto" w:sz="4" w:space="0"/>
              <w:left w:val="single" w:color="auto" w:sz="4" w:space="0"/>
              <w:bottom w:val="single" w:color="auto" w:sz="4" w:space="0"/>
              <w:right w:val="single" w:color="auto" w:sz="4" w:space="0"/>
            </w:tcBorders>
            <w:noWrap/>
            <w:vAlign w:val="center"/>
          </w:tcPr>
          <w:p w14:paraId="052CB5CC">
            <w:pPr>
              <w:jc w:val="center"/>
              <w:rPr>
                <w:rFonts w:ascii="宋体" w:hAnsi="宋体" w:cs="宋体"/>
                <w:b/>
                <w:bCs/>
                <w:kern w:val="0"/>
                <w:sz w:val="21"/>
                <w:szCs w:val="21"/>
              </w:rPr>
            </w:pPr>
            <w:r>
              <w:rPr>
                <w:rFonts w:hint="eastAsia" w:ascii="宋体" w:hAnsi="宋体" w:cs="宋体"/>
                <w:b/>
                <w:bCs/>
                <w:kern w:val="0"/>
                <w:sz w:val="21"/>
                <w:szCs w:val="21"/>
              </w:rPr>
              <w:t>检验依据</w:t>
            </w:r>
          </w:p>
        </w:tc>
        <w:tc>
          <w:tcPr>
            <w:tcW w:w="1363" w:type="dxa"/>
            <w:tcBorders>
              <w:top w:val="single" w:color="auto" w:sz="4" w:space="0"/>
              <w:left w:val="single" w:color="auto" w:sz="4" w:space="0"/>
              <w:bottom w:val="single" w:color="auto" w:sz="4" w:space="0"/>
              <w:right w:val="single" w:color="auto" w:sz="4" w:space="0"/>
            </w:tcBorders>
            <w:noWrap/>
            <w:vAlign w:val="center"/>
          </w:tcPr>
          <w:p w14:paraId="5A5DEF22">
            <w:pPr>
              <w:jc w:val="center"/>
              <w:rPr>
                <w:rFonts w:ascii="宋体" w:hAnsi="宋体" w:cs="宋体"/>
                <w:b/>
                <w:bCs/>
                <w:kern w:val="0"/>
                <w:sz w:val="21"/>
                <w:szCs w:val="21"/>
              </w:rPr>
            </w:pPr>
            <w:r>
              <w:rPr>
                <w:rFonts w:hint="eastAsia" w:ascii="宋体" w:hAnsi="宋体" w:cs="宋体"/>
                <w:b/>
                <w:bCs/>
                <w:kern w:val="0"/>
                <w:sz w:val="21"/>
                <w:szCs w:val="21"/>
              </w:rPr>
              <w:t>单位</w:t>
            </w:r>
          </w:p>
        </w:tc>
        <w:tc>
          <w:tcPr>
            <w:tcW w:w="1237" w:type="dxa"/>
            <w:tcBorders>
              <w:top w:val="single" w:color="auto" w:sz="4" w:space="0"/>
              <w:left w:val="single" w:color="auto" w:sz="4" w:space="0"/>
              <w:bottom w:val="single" w:color="auto" w:sz="4" w:space="0"/>
              <w:right w:val="single" w:color="auto" w:sz="4" w:space="0"/>
            </w:tcBorders>
            <w:noWrap/>
            <w:vAlign w:val="center"/>
          </w:tcPr>
          <w:p w14:paraId="2B06B222">
            <w:pPr>
              <w:jc w:val="center"/>
              <w:rPr>
                <w:rFonts w:ascii="宋体" w:hAnsi="宋体" w:cs="宋体"/>
                <w:b/>
                <w:bCs/>
                <w:kern w:val="0"/>
                <w:sz w:val="21"/>
                <w:szCs w:val="21"/>
              </w:rPr>
            </w:pPr>
            <w:r>
              <w:rPr>
                <w:rFonts w:hint="eastAsia" w:ascii="宋体" w:hAnsi="宋体" w:cs="宋体"/>
                <w:b/>
                <w:bCs/>
                <w:kern w:val="0"/>
                <w:sz w:val="21"/>
                <w:szCs w:val="21"/>
              </w:rPr>
              <w:t>标准</w:t>
            </w:r>
          </w:p>
        </w:tc>
      </w:tr>
      <w:tr w14:paraId="228AA0DA">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14:paraId="2A182D9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kern w:val="0"/>
                <w:sz w:val="21"/>
                <w:szCs w:val="21"/>
              </w:rPr>
            </w:pPr>
            <w:r>
              <w:rPr>
                <w:rFonts w:hint="eastAsia" w:ascii="宋体" w:hAnsi="宋体" w:cs="宋体"/>
                <w:kern w:val="0"/>
                <w:sz w:val="21"/>
                <w:szCs w:val="21"/>
              </w:rPr>
              <w:t>成分分析</w:t>
            </w:r>
            <w:r>
              <w:rPr>
                <w:rFonts w:hint="eastAsia" w:ascii="宋体" w:hAnsi="宋体" w:cs="宋体"/>
                <w:kern w:val="0"/>
                <w:sz w:val="21"/>
                <w:szCs w:val="21"/>
                <w:lang w:eastAsia="zh-CN"/>
              </w:rPr>
              <w:t>（</w:t>
            </w:r>
            <w:r>
              <w:rPr>
                <w:rFonts w:hint="eastAsia" w:ascii="宋体" w:hAnsi="宋体" w:cs="宋体"/>
                <w:kern w:val="0"/>
                <w:sz w:val="21"/>
                <w:szCs w:val="21"/>
              </w:rPr>
              <w:t>粘胶%</w:t>
            </w:r>
            <w:r>
              <w:rPr>
                <w:rFonts w:hint="eastAsia" w:ascii="宋体" w:hAnsi="宋体" w:cs="宋体"/>
                <w:kern w:val="0"/>
                <w:sz w:val="21"/>
                <w:szCs w:val="21"/>
                <w:lang w:eastAsia="zh-CN"/>
              </w:rPr>
              <w:t>）</w:t>
            </w:r>
          </w:p>
        </w:tc>
        <w:tc>
          <w:tcPr>
            <w:tcW w:w="3507" w:type="dxa"/>
            <w:tcBorders>
              <w:top w:val="single" w:color="auto" w:sz="4" w:space="0"/>
              <w:left w:val="single" w:color="auto" w:sz="4" w:space="0"/>
              <w:bottom w:val="single" w:color="auto" w:sz="4" w:space="0"/>
              <w:right w:val="single" w:color="auto" w:sz="4" w:space="0"/>
            </w:tcBorders>
            <w:noWrap/>
            <w:vAlign w:val="center"/>
          </w:tcPr>
          <w:p w14:paraId="11617163">
            <w:pPr>
              <w:jc w:val="center"/>
              <w:rPr>
                <w:rFonts w:ascii="宋体" w:hAnsi="宋体" w:cs="宋体"/>
                <w:kern w:val="0"/>
                <w:sz w:val="21"/>
                <w:szCs w:val="21"/>
              </w:rPr>
            </w:pPr>
            <w:r>
              <w:rPr>
                <w:rFonts w:hint="eastAsia" w:ascii="宋体" w:hAnsi="宋体" w:cs="宋体"/>
                <w:kern w:val="0"/>
                <w:sz w:val="21"/>
                <w:szCs w:val="21"/>
              </w:rPr>
              <w:t>ISO/TR11827:2012</w:t>
            </w:r>
          </w:p>
        </w:tc>
        <w:tc>
          <w:tcPr>
            <w:tcW w:w="1363" w:type="dxa"/>
            <w:tcBorders>
              <w:top w:val="single" w:color="auto" w:sz="4" w:space="0"/>
              <w:left w:val="single" w:color="auto" w:sz="4" w:space="0"/>
              <w:bottom w:val="single" w:color="auto" w:sz="4" w:space="0"/>
              <w:right w:val="single" w:color="auto" w:sz="4" w:space="0"/>
            </w:tcBorders>
            <w:noWrap/>
            <w:vAlign w:val="center"/>
          </w:tcPr>
          <w:p w14:paraId="004B25D1">
            <w:pPr>
              <w:jc w:val="center"/>
              <w:rPr>
                <w:rFonts w:ascii="宋体" w:hAnsi="宋体" w:cs="宋体"/>
                <w:kern w:val="0"/>
                <w:sz w:val="21"/>
                <w:szCs w:val="21"/>
              </w:rPr>
            </w:pPr>
            <w:r>
              <w:rPr>
                <w:rFonts w:hint="eastAsia" w:ascii="宋体" w:hAnsi="宋体" w:cs="宋体"/>
                <w:kern w:val="0"/>
                <w:sz w:val="21"/>
                <w:szCs w:val="21"/>
              </w:rPr>
              <w:t>%</w:t>
            </w:r>
          </w:p>
        </w:tc>
        <w:tc>
          <w:tcPr>
            <w:tcW w:w="1237" w:type="dxa"/>
            <w:tcBorders>
              <w:top w:val="single" w:color="auto" w:sz="4" w:space="0"/>
              <w:left w:val="single" w:color="auto" w:sz="4" w:space="0"/>
              <w:bottom w:val="single" w:color="auto" w:sz="4" w:space="0"/>
              <w:right w:val="single" w:color="auto" w:sz="4" w:space="0"/>
            </w:tcBorders>
            <w:noWrap/>
            <w:vAlign w:val="center"/>
          </w:tcPr>
          <w:p w14:paraId="68760F2D">
            <w:pPr>
              <w:jc w:val="center"/>
              <w:rPr>
                <w:rFonts w:ascii="宋体" w:hAnsi="宋体" w:cs="宋体"/>
                <w:kern w:val="0"/>
                <w:sz w:val="21"/>
                <w:szCs w:val="21"/>
              </w:rPr>
            </w:pPr>
            <w:r>
              <w:rPr>
                <w:rFonts w:hint="eastAsia" w:ascii="宋体" w:hAnsi="宋体" w:cs="宋体"/>
                <w:kern w:val="0"/>
                <w:sz w:val="21"/>
                <w:szCs w:val="21"/>
              </w:rPr>
              <w:t>≥96</w:t>
            </w:r>
          </w:p>
        </w:tc>
      </w:tr>
      <w:tr w14:paraId="76482E4A">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14:paraId="568162D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kern w:val="0"/>
                <w:sz w:val="21"/>
                <w:szCs w:val="21"/>
              </w:rPr>
            </w:pPr>
            <w:r>
              <w:rPr>
                <w:rFonts w:hint="eastAsia" w:ascii="宋体" w:hAnsi="宋体" w:cs="宋体"/>
                <w:kern w:val="0"/>
                <w:sz w:val="21"/>
                <w:szCs w:val="21"/>
              </w:rPr>
              <w:t>织物重量（g/㎡）</w:t>
            </w:r>
          </w:p>
        </w:tc>
        <w:tc>
          <w:tcPr>
            <w:tcW w:w="3507" w:type="dxa"/>
            <w:tcBorders>
              <w:top w:val="single" w:color="auto" w:sz="4" w:space="0"/>
              <w:left w:val="single" w:color="auto" w:sz="4" w:space="0"/>
              <w:bottom w:val="single" w:color="auto" w:sz="4" w:space="0"/>
              <w:right w:val="single" w:color="auto" w:sz="4" w:space="0"/>
            </w:tcBorders>
            <w:noWrap/>
            <w:vAlign w:val="center"/>
          </w:tcPr>
          <w:p w14:paraId="31BAB2F9">
            <w:pPr>
              <w:jc w:val="center"/>
              <w:rPr>
                <w:rFonts w:ascii="宋体" w:hAnsi="宋体" w:cs="宋体"/>
                <w:kern w:val="0"/>
                <w:sz w:val="21"/>
                <w:szCs w:val="21"/>
              </w:rPr>
            </w:pPr>
            <w:r>
              <w:rPr>
                <w:rFonts w:hint="eastAsia" w:ascii="宋体" w:hAnsi="宋体" w:cs="宋体"/>
                <w:kern w:val="0"/>
                <w:sz w:val="21"/>
                <w:szCs w:val="21"/>
              </w:rPr>
              <w:t>ISO3801:1977方法5</w:t>
            </w:r>
          </w:p>
        </w:tc>
        <w:tc>
          <w:tcPr>
            <w:tcW w:w="1363" w:type="dxa"/>
            <w:tcBorders>
              <w:top w:val="single" w:color="auto" w:sz="4" w:space="0"/>
              <w:left w:val="single" w:color="auto" w:sz="4" w:space="0"/>
              <w:bottom w:val="single" w:color="auto" w:sz="4" w:space="0"/>
              <w:right w:val="single" w:color="auto" w:sz="4" w:space="0"/>
            </w:tcBorders>
            <w:noWrap/>
            <w:vAlign w:val="center"/>
          </w:tcPr>
          <w:p w14:paraId="4A66D10C">
            <w:pPr>
              <w:jc w:val="center"/>
              <w:rPr>
                <w:rFonts w:ascii="宋体" w:hAnsi="宋体" w:cs="宋体"/>
                <w:kern w:val="0"/>
                <w:sz w:val="21"/>
                <w:szCs w:val="21"/>
              </w:rPr>
            </w:pPr>
            <w:r>
              <w:rPr>
                <w:rFonts w:hint="eastAsia" w:ascii="宋体" w:hAnsi="宋体" w:cs="宋体"/>
                <w:kern w:val="0"/>
                <w:sz w:val="21"/>
                <w:szCs w:val="21"/>
              </w:rPr>
              <w:t>g/㎡</w:t>
            </w:r>
          </w:p>
        </w:tc>
        <w:tc>
          <w:tcPr>
            <w:tcW w:w="1237" w:type="dxa"/>
            <w:tcBorders>
              <w:top w:val="single" w:color="auto" w:sz="4" w:space="0"/>
              <w:left w:val="single" w:color="auto" w:sz="4" w:space="0"/>
              <w:bottom w:val="single" w:color="auto" w:sz="4" w:space="0"/>
              <w:right w:val="single" w:color="auto" w:sz="4" w:space="0"/>
            </w:tcBorders>
            <w:noWrap/>
            <w:vAlign w:val="center"/>
          </w:tcPr>
          <w:p w14:paraId="731BE95A">
            <w:pPr>
              <w:jc w:val="center"/>
              <w:rPr>
                <w:rFonts w:ascii="宋体" w:hAnsi="宋体" w:cs="宋体"/>
                <w:kern w:val="0"/>
                <w:sz w:val="21"/>
                <w:szCs w:val="21"/>
              </w:rPr>
            </w:pPr>
            <w:r>
              <w:rPr>
                <w:rFonts w:hint="eastAsia" w:ascii="宋体" w:hAnsi="宋体" w:cs="宋体"/>
                <w:kern w:val="0"/>
                <w:sz w:val="21"/>
                <w:szCs w:val="21"/>
              </w:rPr>
              <w:t>≥85</w:t>
            </w:r>
          </w:p>
        </w:tc>
      </w:tr>
      <w:tr w14:paraId="72F1FA6C">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14:paraId="679614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kern w:val="0"/>
                <w:sz w:val="21"/>
                <w:szCs w:val="21"/>
              </w:rPr>
            </w:pPr>
            <w:r>
              <w:rPr>
                <w:rFonts w:hint="eastAsia" w:ascii="宋体" w:hAnsi="宋体" w:cs="宋体"/>
                <w:kern w:val="0"/>
                <w:sz w:val="21"/>
                <w:szCs w:val="21"/>
              </w:rPr>
              <w:t>材料厚度（mm）</w:t>
            </w:r>
          </w:p>
        </w:tc>
        <w:tc>
          <w:tcPr>
            <w:tcW w:w="3507" w:type="dxa"/>
            <w:tcBorders>
              <w:top w:val="single" w:color="auto" w:sz="4" w:space="0"/>
              <w:left w:val="single" w:color="auto" w:sz="4" w:space="0"/>
              <w:bottom w:val="single" w:color="auto" w:sz="4" w:space="0"/>
              <w:right w:val="single" w:color="auto" w:sz="4" w:space="0"/>
            </w:tcBorders>
            <w:noWrap/>
            <w:vAlign w:val="center"/>
          </w:tcPr>
          <w:p w14:paraId="0F14A7B5">
            <w:pPr>
              <w:jc w:val="center"/>
              <w:rPr>
                <w:rFonts w:ascii="宋体" w:hAnsi="宋体" w:cs="宋体"/>
                <w:kern w:val="0"/>
                <w:sz w:val="21"/>
                <w:szCs w:val="21"/>
              </w:rPr>
            </w:pPr>
            <w:r>
              <w:rPr>
                <w:rFonts w:hint="eastAsia" w:ascii="宋体" w:hAnsi="宋体" w:cs="宋体"/>
                <w:kern w:val="0"/>
                <w:sz w:val="21"/>
                <w:szCs w:val="21"/>
              </w:rPr>
              <w:t>ISO9073-2-1995+COR.1 1998</w:t>
            </w:r>
          </w:p>
        </w:tc>
        <w:tc>
          <w:tcPr>
            <w:tcW w:w="1363" w:type="dxa"/>
            <w:tcBorders>
              <w:top w:val="single" w:color="auto" w:sz="4" w:space="0"/>
              <w:left w:val="single" w:color="auto" w:sz="4" w:space="0"/>
              <w:bottom w:val="single" w:color="auto" w:sz="4" w:space="0"/>
              <w:right w:val="single" w:color="auto" w:sz="4" w:space="0"/>
            </w:tcBorders>
            <w:noWrap/>
            <w:vAlign w:val="center"/>
          </w:tcPr>
          <w:p w14:paraId="7F6B2AD5">
            <w:pPr>
              <w:jc w:val="center"/>
              <w:rPr>
                <w:rFonts w:ascii="宋体" w:hAnsi="宋体" w:cs="宋体"/>
                <w:kern w:val="0"/>
                <w:sz w:val="21"/>
                <w:szCs w:val="21"/>
              </w:rPr>
            </w:pPr>
            <w:r>
              <w:rPr>
                <w:rFonts w:hint="eastAsia" w:ascii="宋体" w:hAnsi="宋体" w:cs="宋体"/>
                <w:kern w:val="0"/>
                <w:sz w:val="21"/>
                <w:szCs w:val="21"/>
              </w:rPr>
              <w:t>mm</w:t>
            </w:r>
          </w:p>
        </w:tc>
        <w:tc>
          <w:tcPr>
            <w:tcW w:w="1237" w:type="dxa"/>
            <w:tcBorders>
              <w:top w:val="single" w:color="auto" w:sz="4" w:space="0"/>
              <w:left w:val="single" w:color="auto" w:sz="4" w:space="0"/>
              <w:bottom w:val="single" w:color="auto" w:sz="4" w:space="0"/>
              <w:right w:val="single" w:color="auto" w:sz="4" w:space="0"/>
            </w:tcBorders>
            <w:noWrap/>
            <w:vAlign w:val="center"/>
          </w:tcPr>
          <w:p w14:paraId="793CFB99">
            <w:pPr>
              <w:jc w:val="center"/>
              <w:rPr>
                <w:rFonts w:ascii="宋体" w:hAnsi="宋体" w:cs="宋体"/>
                <w:kern w:val="0"/>
                <w:sz w:val="21"/>
                <w:szCs w:val="21"/>
              </w:rPr>
            </w:pPr>
            <w:r>
              <w:rPr>
                <w:rFonts w:hint="eastAsia" w:ascii="宋体" w:hAnsi="宋体" w:cs="宋体"/>
                <w:kern w:val="0"/>
                <w:sz w:val="21"/>
                <w:szCs w:val="21"/>
              </w:rPr>
              <w:t>≥0.55</w:t>
            </w:r>
          </w:p>
        </w:tc>
      </w:tr>
      <w:tr w14:paraId="7DEA0C10">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14:paraId="598C478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kern w:val="0"/>
                <w:sz w:val="21"/>
                <w:szCs w:val="21"/>
              </w:rPr>
            </w:pPr>
            <w:r>
              <w:rPr>
                <w:rFonts w:hint="eastAsia" w:ascii="宋体" w:hAnsi="宋体" w:cs="宋体"/>
                <w:kern w:val="0"/>
                <w:sz w:val="21"/>
                <w:szCs w:val="21"/>
              </w:rPr>
              <w:t>吸水率（%）</w:t>
            </w:r>
          </w:p>
        </w:tc>
        <w:tc>
          <w:tcPr>
            <w:tcW w:w="3507" w:type="dxa"/>
            <w:tcBorders>
              <w:top w:val="single" w:color="auto" w:sz="4" w:space="0"/>
              <w:left w:val="single" w:color="auto" w:sz="4" w:space="0"/>
              <w:bottom w:val="single" w:color="auto" w:sz="4" w:space="0"/>
              <w:right w:val="single" w:color="auto" w:sz="4" w:space="0"/>
            </w:tcBorders>
            <w:noWrap/>
            <w:vAlign w:val="center"/>
          </w:tcPr>
          <w:p w14:paraId="6B560998">
            <w:pPr>
              <w:jc w:val="center"/>
              <w:rPr>
                <w:rFonts w:hint="default" w:ascii="宋体" w:hAnsi="宋体" w:eastAsia="宋体" w:cs="宋体"/>
                <w:kern w:val="0"/>
                <w:sz w:val="21"/>
                <w:szCs w:val="21"/>
                <w:lang w:val="en-US" w:eastAsia="zh-CN"/>
              </w:rPr>
            </w:pPr>
            <w:r>
              <w:rPr>
                <w:rFonts w:hint="eastAsia" w:ascii="宋体" w:hAnsi="宋体" w:cs="宋体"/>
                <w:kern w:val="0"/>
                <w:sz w:val="21"/>
                <w:szCs w:val="21"/>
              </w:rPr>
              <w:t>GB/T21655.1-</w:t>
            </w:r>
            <w:r>
              <w:rPr>
                <w:rFonts w:hint="eastAsia" w:ascii="宋体" w:hAnsi="宋体" w:cs="宋体"/>
                <w:kern w:val="0"/>
                <w:sz w:val="21"/>
                <w:szCs w:val="21"/>
                <w:lang w:val="en-US" w:eastAsia="zh-CN"/>
              </w:rPr>
              <w:t>2023</w:t>
            </w:r>
          </w:p>
        </w:tc>
        <w:tc>
          <w:tcPr>
            <w:tcW w:w="1363" w:type="dxa"/>
            <w:tcBorders>
              <w:top w:val="single" w:color="auto" w:sz="4" w:space="0"/>
              <w:left w:val="single" w:color="auto" w:sz="4" w:space="0"/>
              <w:bottom w:val="single" w:color="auto" w:sz="4" w:space="0"/>
              <w:right w:val="single" w:color="auto" w:sz="4" w:space="0"/>
            </w:tcBorders>
            <w:noWrap/>
            <w:vAlign w:val="center"/>
          </w:tcPr>
          <w:p w14:paraId="1D3C2D8B">
            <w:pPr>
              <w:jc w:val="center"/>
              <w:rPr>
                <w:rFonts w:ascii="宋体" w:hAnsi="宋体" w:cs="宋体"/>
                <w:kern w:val="0"/>
                <w:sz w:val="21"/>
                <w:szCs w:val="21"/>
              </w:rPr>
            </w:pPr>
            <w:r>
              <w:rPr>
                <w:rFonts w:hint="eastAsia" w:ascii="宋体" w:hAnsi="宋体" w:cs="宋体"/>
                <w:kern w:val="0"/>
                <w:sz w:val="21"/>
                <w:szCs w:val="21"/>
              </w:rPr>
              <w:t>ml/㎡</w:t>
            </w:r>
          </w:p>
        </w:tc>
        <w:tc>
          <w:tcPr>
            <w:tcW w:w="1237" w:type="dxa"/>
            <w:tcBorders>
              <w:top w:val="single" w:color="auto" w:sz="4" w:space="0"/>
              <w:left w:val="single" w:color="auto" w:sz="4" w:space="0"/>
              <w:bottom w:val="single" w:color="auto" w:sz="4" w:space="0"/>
              <w:right w:val="single" w:color="auto" w:sz="4" w:space="0"/>
            </w:tcBorders>
            <w:noWrap/>
            <w:vAlign w:val="center"/>
          </w:tcPr>
          <w:p w14:paraId="261BE950">
            <w:pPr>
              <w:jc w:val="center"/>
              <w:rPr>
                <w:rFonts w:ascii="宋体" w:hAnsi="宋体" w:cs="宋体"/>
                <w:kern w:val="0"/>
                <w:sz w:val="21"/>
                <w:szCs w:val="21"/>
              </w:rPr>
            </w:pPr>
            <w:r>
              <w:rPr>
                <w:rFonts w:hint="eastAsia" w:ascii="宋体" w:hAnsi="宋体" w:cs="宋体"/>
                <w:kern w:val="0"/>
                <w:sz w:val="21"/>
                <w:szCs w:val="21"/>
              </w:rPr>
              <w:t>≥700</w:t>
            </w:r>
          </w:p>
        </w:tc>
      </w:tr>
      <w:tr w14:paraId="73E23CA5">
        <w:tblPrEx>
          <w:tblCellMar>
            <w:top w:w="0" w:type="dxa"/>
            <w:left w:w="108" w:type="dxa"/>
            <w:bottom w:w="0" w:type="dxa"/>
            <w:right w:w="108" w:type="dxa"/>
          </w:tblCellMar>
        </w:tblPrEx>
        <w:trPr>
          <w:trHeight w:val="454" w:hRule="atLeast"/>
          <w:jc w:val="center"/>
        </w:trPr>
        <w:tc>
          <w:tcPr>
            <w:tcW w:w="2569" w:type="dxa"/>
            <w:vMerge w:val="restart"/>
            <w:tcBorders>
              <w:top w:val="single" w:color="auto" w:sz="4" w:space="0"/>
              <w:left w:val="single" w:color="auto" w:sz="4" w:space="0"/>
              <w:right w:val="single" w:color="auto" w:sz="4" w:space="0"/>
            </w:tcBorders>
            <w:noWrap/>
            <w:vAlign w:val="center"/>
          </w:tcPr>
          <w:p w14:paraId="35FE8C8E">
            <w:pPr>
              <w:jc w:val="center"/>
              <w:rPr>
                <w:rFonts w:ascii="宋体" w:hAnsi="宋体" w:cs="宋体"/>
                <w:kern w:val="0"/>
                <w:sz w:val="21"/>
                <w:szCs w:val="21"/>
              </w:rPr>
            </w:pPr>
            <w:r>
              <w:rPr>
                <w:rFonts w:hint="eastAsia" w:ascii="宋体" w:hAnsi="宋体" w:cs="宋体"/>
                <w:kern w:val="0"/>
                <w:sz w:val="21"/>
                <w:szCs w:val="21"/>
              </w:rPr>
              <w:t>断裂强力（N）</w:t>
            </w:r>
          </w:p>
        </w:tc>
        <w:tc>
          <w:tcPr>
            <w:tcW w:w="1474" w:type="dxa"/>
            <w:tcBorders>
              <w:top w:val="single" w:color="auto" w:sz="4" w:space="0"/>
              <w:left w:val="single" w:color="auto" w:sz="4" w:space="0"/>
              <w:bottom w:val="single" w:color="auto" w:sz="4" w:space="0"/>
              <w:right w:val="single" w:color="auto" w:sz="4" w:space="0"/>
            </w:tcBorders>
            <w:noWrap/>
            <w:vAlign w:val="center"/>
          </w:tcPr>
          <w:p w14:paraId="1F64446F">
            <w:pPr>
              <w:jc w:val="center"/>
              <w:rPr>
                <w:rFonts w:ascii="宋体" w:hAnsi="宋体" w:cs="宋体"/>
                <w:kern w:val="0"/>
                <w:sz w:val="21"/>
                <w:szCs w:val="21"/>
              </w:rPr>
            </w:pPr>
            <w:r>
              <w:rPr>
                <w:rFonts w:hint="eastAsia" w:ascii="宋体" w:hAnsi="宋体" w:cs="宋体"/>
                <w:kern w:val="0"/>
                <w:sz w:val="21"/>
                <w:szCs w:val="21"/>
              </w:rPr>
              <w:t>纵向（MD）</w:t>
            </w:r>
          </w:p>
        </w:tc>
        <w:tc>
          <w:tcPr>
            <w:tcW w:w="3507" w:type="dxa"/>
            <w:tcBorders>
              <w:top w:val="single" w:color="auto" w:sz="4" w:space="0"/>
              <w:left w:val="single" w:color="auto" w:sz="4" w:space="0"/>
              <w:bottom w:val="single" w:color="auto" w:sz="4" w:space="0"/>
              <w:right w:val="single" w:color="auto" w:sz="4" w:space="0"/>
            </w:tcBorders>
            <w:noWrap/>
            <w:vAlign w:val="center"/>
          </w:tcPr>
          <w:p w14:paraId="1512C8DF">
            <w:pPr>
              <w:jc w:val="center"/>
              <w:rPr>
                <w:rFonts w:ascii="宋体" w:hAnsi="宋体" w:cs="宋体"/>
                <w:kern w:val="0"/>
                <w:sz w:val="21"/>
                <w:szCs w:val="21"/>
              </w:rPr>
            </w:pPr>
            <w:r>
              <w:rPr>
                <w:rFonts w:hint="eastAsia" w:ascii="宋体" w:hAnsi="宋体" w:cs="宋体"/>
                <w:kern w:val="0"/>
                <w:sz w:val="21"/>
                <w:szCs w:val="21"/>
              </w:rPr>
              <w:t>GB/T3923.1-2013</w:t>
            </w:r>
          </w:p>
        </w:tc>
        <w:tc>
          <w:tcPr>
            <w:tcW w:w="1363" w:type="dxa"/>
            <w:tcBorders>
              <w:top w:val="single" w:color="auto" w:sz="4" w:space="0"/>
              <w:left w:val="single" w:color="auto" w:sz="4" w:space="0"/>
              <w:bottom w:val="single" w:color="auto" w:sz="4" w:space="0"/>
              <w:right w:val="single" w:color="auto" w:sz="4" w:space="0"/>
            </w:tcBorders>
            <w:noWrap/>
            <w:vAlign w:val="center"/>
          </w:tcPr>
          <w:p w14:paraId="244624CB">
            <w:pPr>
              <w:jc w:val="center"/>
              <w:rPr>
                <w:rFonts w:ascii="宋体" w:hAnsi="宋体" w:cs="宋体"/>
                <w:kern w:val="0"/>
                <w:sz w:val="21"/>
                <w:szCs w:val="21"/>
              </w:rPr>
            </w:pPr>
            <w:r>
              <w:rPr>
                <w:rFonts w:hint="eastAsia" w:ascii="宋体" w:hAnsi="宋体" w:cs="宋体"/>
                <w:kern w:val="0"/>
                <w:sz w:val="21"/>
                <w:szCs w:val="21"/>
              </w:rPr>
              <w:t>N/5cm</w:t>
            </w:r>
          </w:p>
        </w:tc>
        <w:tc>
          <w:tcPr>
            <w:tcW w:w="1237" w:type="dxa"/>
            <w:tcBorders>
              <w:top w:val="single" w:color="auto" w:sz="4" w:space="0"/>
              <w:left w:val="single" w:color="auto" w:sz="4" w:space="0"/>
              <w:bottom w:val="single" w:color="auto" w:sz="4" w:space="0"/>
              <w:right w:val="single" w:color="auto" w:sz="4" w:space="0"/>
            </w:tcBorders>
            <w:noWrap/>
            <w:vAlign w:val="center"/>
          </w:tcPr>
          <w:p w14:paraId="5A828F4C">
            <w:pPr>
              <w:jc w:val="center"/>
              <w:rPr>
                <w:rFonts w:ascii="宋体" w:hAnsi="宋体" w:cs="宋体"/>
                <w:kern w:val="0"/>
                <w:sz w:val="21"/>
                <w:szCs w:val="21"/>
              </w:rPr>
            </w:pPr>
            <w:r>
              <w:rPr>
                <w:rFonts w:hint="eastAsia" w:ascii="宋体" w:hAnsi="宋体" w:cs="宋体"/>
                <w:kern w:val="0"/>
                <w:sz w:val="21"/>
                <w:szCs w:val="21"/>
              </w:rPr>
              <w:t>≥95</w:t>
            </w:r>
          </w:p>
        </w:tc>
      </w:tr>
      <w:tr w14:paraId="33B4B03B">
        <w:tblPrEx>
          <w:tblCellMar>
            <w:top w:w="0" w:type="dxa"/>
            <w:left w:w="108" w:type="dxa"/>
            <w:bottom w:w="0" w:type="dxa"/>
            <w:right w:w="108" w:type="dxa"/>
          </w:tblCellMar>
        </w:tblPrEx>
        <w:trPr>
          <w:trHeight w:val="454" w:hRule="atLeast"/>
          <w:jc w:val="center"/>
        </w:trPr>
        <w:tc>
          <w:tcPr>
            <w:tcW w:w="2569" w:type="dxa"/>
            <w:vMerge w:val="continue"/>
            <w:tcBorders>
              <w:left w:val="single" w:color="auto" w:sz="4" w:space="0"/>
              <w:bottom w:val="single" w:color="auto" w:sz="4" w:space="0"/>
              <w:right w:val="single" w:color="auto" w:sz="4" w:space="0"/>
            </w:tcBorders>
            <w:noWrap/>
            <w:vAlign w:val="center"/>
          </w:tcPr>
          <w:p w14:paraId="278A692C">
            <w:pPr>
              <w:jc w:val="center"/>
              <w:rPr>
                <w:rFonts w:ascii="宋体" w:hAnsi="宋体" w:cs="宋体"/>
                <w:kern w:val="0"/>
                <w:sz w:val="21"/>
                <w:szCs w:val="21"/>
              </w:rPr>
            </w:pPr>
          </w:p>
        </w:tc>
        <w:tc>
          <w:tcPr>
            <w:tcW w:w="1474" w:type="dxa"/>
            <w:tcBorders>
              <w:top w:val="single" w:color="auto" w:sz="4" w:space="0"/>
              <w:left w:val="single" w:color="auto" w:sz="4" w:space="0"/>
              <w:bottom w:val="single" w:color="auto" w:sz="4" w:space="0"/>
              <w:right w:val="single" w:color="auto" w:sz="4" w:space="0"/>
            </w:tcBorders>
            <w:noWrap/>
            <w:vAlign w:val="center"/>
          </w:tcPr>
          <w:p w14:paraId="71EBB512">
            <w:pPr>
              <w:jc w:val="center"/>
              <w:rPr>
                <w:rFonts w:ascii="宋体" w:hAnsi="宋体" w:cs="宋体"/>
                <w:kern w:val="0"/>
                <w:sz w:val="21"/>
                <w:szCs w:val="21"/>
              </w:rPr>
            </w:pPr>
            <w:r>
              <w:rPr>
                <w:rFonts w:hint="eastAsia" w:ascii="宋体" w:hAnsi="宋体" w:cs="宋体"/>
                <w:kern w:val="0"/>
                <w:sz w:val="21"/>
                <w:szCs w:val="21"/>
              </w:rPr>
              <w:t>横向（CD）</w:t>
            </w:r>
          </w:p>
        </w:tc>
        <w:tc>
          <w:tcPr>
            <w:tcW w:w="3507" w:type="dxa"/>
            <w:tcBorders>
              <w:top w:val="single" w:color="auto" w:sz="4" w:space="0"/>
              <w:left w:val="single" w:color="auto" w:sz="4" w:space="0"/>
              <w:bottom w:val="single" w:color="auto" w:sz="4" w:space="0"/>
              <w:right w:val="single" w:color="auto" w:sz="4" w:space="0"/>
            </w:tcBorders>
            <w:noWrap/>
            <w:vAlign w:val="center"/>
          </w:tcPr>
          <w:p w14:paraId="3AE0BC8A">
            <w:pPr>
              <w:jc w:val="center"/>
              <w:rPr>
                <w:rFonts w:ascii="宋体" w:hAnsi="宋体" w:cs="宋体"/>
                <w:kern w:val="0"/>
                <w:sz w:val="21"/>
                <w:szCs w:val="21"/>
              </w:rPr>
            </w:pPr>
            <w:r>
              <w:rPr>
                <w:rFonts w:hint="eastAsia" w:ascii="宋体" w:hAnsi="宋体" w:cs="宋体"/>
                <w:kern w:val="0"/>
                <w:sz w:val="21"/>
                <w:szCs w:val="21"/>
              </w:rPr>
              <w:t>GB/T3923.1-2013</w:t>
            </w:r>
          </w:p>
        </w:tc>
        <w:tc>
          <w:tcPr>
            <w:tcW w:w="1363" w:type="dxa"/>
            <w:tcBorders>
              <w:top w:val="single" w:color="auto" w:sz="4" w:space="0"/>
              <w:left w:val="single" w:color="auto" w:sz="4" w:space="0"/>
              <w:bottom w:val="single" w:color="auto" w:sz="4" w:space="0"/>
              <w:right w:val="single" w:color="auto" w:sz="4" w:space="0"/>
            </w:tcBorders>
            <w:noWrap/>
            <w:vAlign w:val="center"/>
          </w:tcPr>
          <w:p w14:paraId="68073494">
            <w:pPr>
              <w:jc w:val="center"/>
              <w:rPr>
                <w:rFonts w:ascii="宋体" w:hAnsi="宋体" w:cs="宋体"/>
                <w:kern w:val="0"/>
                <w:sz w:val="21"/>
                <w:szCs w:val="21"/>
              </w:rPr>
            </w:pPr>
            <w:r>
              <w:rPr>
                <w:rFonts w:hint="eastAsia" w:ascii="宋体" w:hAnsi="宋体" w:cs="宋体"/>
                <w:kern w:val="0"/>
                <w:sz w:val="21"/>
                <w:szCs w:val="21"/>
              </w:rPr>
              <w:t>N/5cm</w:t>
            </w:r>
          </w:p>
        </w:tc>
        <w:tc>
          <w:tcPr>
            <w:tcW w:w="1237" w:type="dxa"/>
            <w:tcBorders>
              <w:top w:val="single" w:color="auto" w:sz="4" w:space="0"/>
              <w:left w:val="single" w:color="auto" w:sz="4" w:space="0"/>
              <w:bottom w:val="single" w:color="auto" w:sz="4" w:space="0"/>
              <w:right w:val="single" w:color="auto" w:sz="4" w:space="0"/>
            </w:tcBorders>
            <w:noWrap/>
            <w:vAlign w:val="center"/>
          </w:tcPr>
          <w:p w14:paraId="7BA13A6D">
            <w:pPr>
              <w:jc w:val="center"/>
              <w:rPr>
                <w:rFonts w:ascii="宋体" w:hAnsi="宋体" w:cs="宋体"/>
                <w:kern w:val="0"/>
                <w:sz w:val="21"/>
                <w:szCs w:val="21"/>
              </w:rPr>
            </w:pPr>
            <w:r>
              <w:rPr>
                <w:rFonts w:hint="eastAsia" w:ascii="宋体" w:hAnsi="宋体" w:cs="宋体"/>
                <w:kern w:val="0"/>
                <w:sz w:val="21"/>
                <w:szCs w:val="21"/>
              </w:rPr>
              <w:t>≥70</w:t>
            </w:r>
          </w:p>
        </w:tc>
      </w:tr>
      <w:tr w14:paraId="1DD071F5">
        <w:tblPrEx>
          <w:tblCellMar>
            <w:top w:w="0" w:type="dxa"/>
            <w:left w:w="108" w:type="dxa"/>
            <w:bottom w:w="0" w:type="dxa"/>
            <w:right w:w="108" w:type="dxa"/>
          </w:tblCellMar>
        </w:tblPrEx>
        <w:trPr>
          <w:trHeight w:val="454" w:hRule="atLeast"/>
          <w:jc w:val="center"/>
        </w:trPr>
        <w:tc>
          <w:tcPr>
            <w:tcW w:w="2569" w:type="dxa"/>
            <w:vMerge w:val="restart"/>
            <w:tcBorders>
              <w:top w:val="single" w:color="auto" w:sz="4" w:space="0"/>
              <w:left w:val="single" w:color="auto" w:sz="4" w:space="0"/>
              <w:right w:val="single" w:color="auto" w:sz="4" w:space="0"/>
            </w:tcBorders>
            <w:noWrap/>
            <w:vAlign w:val="center"/>
          </w:tcPr>
          <w:p w14:paraId="5131B6BB">
            <w:pPr>
              <w:jc w:val="center"/>
              <w:rPr>
                <w:rFonts w:ascii="宋体" w:hAnsi="宋体" w:cs="宋体"/>
                <w:kern w:val="0"/>
                <w:sz w:val="21"/>
                <w:szCs w:val="21"/>
              </w:rPr>
            </w:pPr>
            <w:r>
              <w:rPr>
                <w:rFonts w:hint="eastAsia" w:ascii="宋体" w:hAnsi="宋体" w:cs="宋体"/>
                <w:kern w:val="0"/>
                <w:sz w:val="21"/>
                <w:szCs w:val="21"/>
              </w:rPr>
              <w:t>断裂伸长率(%)</w:t>
            </w:r>
          </w:p>
        </w:tc>
        <w:tc>
          <w:tcPr>
            <w:tcW w:w="1474" w:type="dxa"/>
            <w:tcBorders>
              <w:top w:val="single" w:color="auto" w:sz="4" w:space="0"/>
              <w:left w:val="single" w:color="auto" w:sz="4" w:space="0"/>
              <w:bottom w:val="single" w:color="auto" w:sz="4" w:space="0"/>
              <w:right w:val="single" w:color="auto" w:sz="4" w:space="0"/>
            </w:tcBorders>
            <w:noWrap/>
            <w:vAlign w:val="center"/>
          </w:tcPr>
          <w:p w14:paraId="77BDD804">
            <w:pPr>
              <w:jc w:val="center"/>
              <w:rPr>
                <w:rFonts w:ascii="宋体" w:hAnsi="宋体" w:cs="宋体"/>
                <w:kern w:val="0"/>
                <w:sz w:val="21"/>
                <w:szCs w:val="21"/>
              </w:rPr>
            </w:pPr>
            <w:r>
              <w:rPr>
                <w:rFonts w:hint="eastAsia" w:ascii="宋体" w:hAnsi="宋体" w:cs="宋体"/>
                <w:kern w:val="0"/>
                <w:sz w:val="21"/>
                <w:szCs w:val="21"/>
              </w:rPr>
              <w:t>纵向（MD）</w:t>
            </w:r>
          </w:p>
        </w:tc>
        <w:tc>
          <w:tcPr>
            <w:tcW w:w="3507" w:type="dxa"/>
            <w:tcBorders>
              <w:top w:val="single" w:color="auto" w:sz="4" w:space="0"/>
              <w:left w:val="single" w:color="auto" w:sz="4" w:space="0"/>
              <w:bottom w:val="single" w:color="auto" w:sz="4" w:space="0"/>
              <w:right w:val="single" w:color="auto" w:sz="4" w:space="0"/>
            </w:tcBorders>
            <w:noWrap/>
            <w:vAlign w:val="center"/>
          </w:tcPr>
          <w:p w14:paraId="127E6477">
            <w:pPr>
              <w:jc w:val="center"/>
              <w:rPr>
                <w:rFonts w:ascii="宋体" w:hAnsi="宋体" w:cs="宋体"/>
                <w:kern w:val="0"/>
                <w:sz w:val="21"/>
                <w:szCs w:val="21"/>
              </w:rPr>
            </w:pPr>
            <w:r>
              <w:rPr>
                <w:rFonts w:hint="eastAsia" w:ascii="宋体" w:hAnsi="宋体" w:cs="宋体"/>
                <w:kern w:val="0"/>
                <w:sz w:val="21"/>
                <w:szCs w:val="21"/>
              </w:rPr>
              <w:t>GB/T3923.1-2013</w:t>
            </w:r>
          </w:p>
        </w:tc>
        <w:tc>
          <w:tcPr>
            <w:tcW w:w="1363" w:type="dxa"/>
            <w:tcBorders>
              <w:top w:val="single" w:color="auto" w:sz="4" w:space="0"/>
              <w:left w:val="single" w:color="auto" w:sz="4" w:space="0"/>
              <w:bottom w:val="single" w:color="auto" w:sz="4" w:space="0"/>
              <w:right w:val="single" w:color="auto" w:sz="4" w:space="0"/>
            </w:tcBorders>
            <w:noWrap/>
            <w:vAlign w:val="center"/>
          </w:tcPr>
          <w:p w14:paraId="70BDA076">
            <w:pPr>
              <w:jc w:val="center"/>
              <w:rPr>
                <w:rFonts w:ascii="宋体" w:hAnsi="宋体" w:cs="宋体"/>
                <w:kern w:val="0"/>
                <w:sz w:val="21"/>
                <w:szCs w:val="21"/>
              </w:rPr>
            </w:pPr>
            <w:r>
              <w:rPr>
                <w:rFonts w:hint="eastAsia" w:ascii="宋体" w:hAnsi="宋体" w:cs="宋体"/>
                <w:kern w:val="0"/>
                <w:sz w:val="21"/>
                <w:szCs w:val="21"/>
              </w:rPr>
              <w:t>%</w:t>
            </w:r>
          </w:p>
        </w:tc>
        <w:tc>
          <w:tcPr>
            <w:tcW w:w="1237" w:type="dxa"/>
            <w:tcBorders>
              <w:top w:val="single" w:color="auto" w:sz="4" w:space="0"/>
              <w:left w:val="single" w:color="auto" w:sz="4" w:space="0"/>
              <w:bottom w:val="single" w:color="auto" w:sz="4" w:space="0"/>
              <w:right w:val="single" w:color="auto" w:sz="4" w:space="0"/>
            </w:tcBorders>
            <w:noWrap/>
            <w:vAlign w:val="center"/>
          </w:tcPr>
          <w:p w14:paraId="79DEC6F3">
            <w:pPr>
              <w:jc w:val="center"/>
              <w:rPr>
                <w:rFonts w:ascii="宋体" w:hAnsi="宋体" w:cs="宋体"/>
                <w:kern w:val="0"/>
                <w:sz w:val="21"/>
                <w:szCs w:val="21"/>
              </w:rPr>
            </w:pPr>
            <w:r>
              <w:rPr>
                <w:rFonts w:hint="eastAsia" w:ascii="宋体" w:hAnsi="宋体" w:cs="宋体"/>
                <w:kern w:val="0"/>
                <w:sz w:val="21"/>
                <w:szCs w:val="21"/>
              </w:rPr>
              <w:t>≥25</w:t>
            </w:r>
          </w:p>
        </w:tc>
      </w:tr>
      <w:tr w14:paraId="07B711F9">
        <w:tblPrEx>
          <w:tblCellMar>
            <w:top w:w="0" w:type="dxa"/>
            <w:left w:w="108" w:type="dxa"/>
            <w:bottom w:w="0" w:type="dxa"/>
            <w:right w:w="108" w:type="dxa"/>
          </w:tblCellMar>
        </w:tblPrEx>
        <w:trPr>
          <w:trHeight w:val="454" w:hRule="atLeast"/>
          <w:jc w:val="center"/>
        </w:trPr>
        <w:tc>
          <w:tcPr>
            <w:tcW w:w="2569" w:type="dxa"/>
            <w:vMerge w:val="continue"/>
            <w:tcBorders>
              <w:left w:val="single" w:color="auto" w:sz="4" w:space="0"/>
              <w:bottom w:val="single" w:color="auto" w:sz="4" w:space="0"/>
              <w:right w:val="single" w:color="auto" w:sz="4" w:space="0"/>
            </w:tcBorders>
            <w:noWrap/>
            <w:vAlign w:val="center"/>
          </w:tcPr>
          <w:p w14:paraId="3EE9CBF4">
            <w:pPr>
              <w:jc w:val="center"/>
              <w:rPr>
                <w:rFonts w:ascii="宋体" w:hAnsi="宋体" w:cs="宋体"/>
                <w:kern w:val="0"/>
                <w:sz w:val="21"/>
                <w:szCs w:val="21"/>
              </w:rPr>
            </w:pPr>
          </w:p>
        </w:tc>
        <w:tc>
          <w:tcPr>
            <w:tcW w:w="1474" w:type="dxa"/>
            <w:tcBorders>
              <w:top w:val="single" w:color="auto" w:sz="4" w:space="0"/>
              <w:left w:val="single" w:color="auto" w:sz="4" w:space="0"/>
              <w:bottom w:val="single" w:color="auto" w:sz="4" w:space="0"/>
              <w:right w:val="single" w:color="auto" w:sz="4" w:space="0"/>
            </w:tcBorders>
            <w:noWrap/>
            <w:vAlign w:val="center"/>
          </w:tcPr>
          <w:p w14:paraId="65F11A62">
            <w:pPr>
              <w:jc w:val="center"/>
              <w:rPr>
                <w:rFonts w:ascii="宋体" w:hAnsi="宋体" w:cs="宋体"/>
                <w:kern w:val="0"/>
                <w:sz w:val="21"/>
                <w:szCs w:val="21"/>
              </w:rPr>
            </w:pPr>
            <w:r>
              <w:rPr>
                <w:rFonts w:hint="eastAsia" w:ascii="宋体" w:hAnsi="宋体" w:cs="宋体"/>
                <w:kern w:val="0"/>
                <w:sz w:val="21"/>
                <w:szCs w:val="21"/>
              </w:rPr>
              <w:t>横向（CD）</w:t>
            </w:r>
          </w:p>
        </w:tc>
        <w:tc>
          <w:tcPr>
            <w:tcW w:w="3507" w:type="dxa"/>
            <w:tcBorders>
              <w:top w:val="single" w:color="auto" w:sz="4" w:space="0"/>
              <w:left w:val="single" w:color="auto" w:sz="4" w:space="0"/>
              <w:bottom w:val="single" w:color="auto" w:sz="4" w:space="0"/>
              <w:right w:val="single" w:color="auto" w:sz="4" w:space="0"/>
            </w:tcBorders>
            <w:noWrap/>
            <w:vAlign w:val="center"/>
          </w:tcPr>
          <w:p w14:paraId="4FF80139">
            <w:pPr>
              <w:jc w:val="center"/>
              <w:rPr>
                <w:rFonts w:ascii="宋体" w:hAnsi="宋体" w:cs="宋体"/>
                <w:kern w:val="0"/>
                <w:sz w:val="21"/>
                <w:szCs w:val="21"/>
              </w:rPr>
            </w:pPr>
            <w:r>
              <w:rPr>
                <w:rFonts w:hint="eastAsia" w:ascii="宋体" w:hAnsi="宋体" w:cs="宋体"/>
                <w:kern w:val="0"/>
                <w:sz w:val="21"/>
                <w:szCs w:val="21"/>
              </w:rPr>
              <w:t>GB/T3923.1-2013</w:t>
            </w:r>
          </w:p>
        </w:tc>
        <w:tc>
          <w:tcPr>
            <w:tcW w:w="1363" w:type="dxa"/>
            <w:tcBorders>
              <w:top w:val="single" w:color="auto" w:sz="4" w:space="0"/>
              <w:left w:val="single" w:color="auto" w:sz="4" w:space="0"/>
              <w:bottom w:val="single" w:color="auto" w:sz="4" w:space="0"/>
              <w:right w:val="single" w:color="auto" w:sz="4" w:space="0"/>
            </w:tcBorders>
            <w:noWrap/>
            <w:vAlign w:val="center"/>
          </w:tcPr>
          <w:p w14:paraId="132D5967">
            <w:pPr>
              <w:jc w:val="center"/>
              <w:rPr>
                <w:rFonts w:ascii="宋体" w:hAnsi="宋体" w:cs="宋体"/>
                <w:kern w:val="0"/>
                <w:sz w:val="21"/>
                <w:szCs w:val="21"/>
              </w:rPr>
            </w:pPr>
            <w:r>
              <w:rPr>
                <w:rFonts w:hint="eastAsia" w:ascii="宋体" w:hAnsi="宋体" w:cs="宋体"/>
                <w:kern w:val="0"/>
                <w:sz w:val="21"/>
                <w:szCs w:val="21"/>
              </w:rPr>
              <w:t>%</w:t>
            </w:r>
          </w:p>
        </w:tc>
        <w:tc>
          <w:tcPr>
            <w:tcW w:w="1237" w:type="dxa"/>
            <w:tcBorders>
              <w:top w:val="single" w:color="auto" w:sz="4" w:space="0"/>
              <w:left w:val="single" w:color="auto" w:sz="4" w:space="0"/>
              <w:bottom w:val="single" w:color="auto" w:sz="4" w:space="0"/>
              <w:right w:val="single" w:color="auto" w:sz="4" w:space="0"/>
            </w:tcBorders>
            <w:noWrap/>
            <w:vAlign w:val="center"/>
          </w:tcPr>
          <w:p w14:paraId="6CBA0707">
            <w:pPr>
              <w:jc w:val="center"/>
              <w:rPr>
                <w:rFonts w:ascii="宋体" w:hAnsi="宋体" w:cs="宋体"/>
                <w:kern w:val="0"/>
                <w:sz w:val="21"/>
                <w:szCs w:val="21"/>
              </w:rPr>
            </w:pPr>
            <w:r>
              <w:rPr>
                <w:rFonts w:hint="eastAsia" w:ascii="宋体" w:hAnsi="宋体" w:cs="宋体"/>
                <w:kern w:val="0"/>
                <w:sz w:val="21"/>
                <w:szCs w:val="21"/>
              </w:rPr>
              <w:t>≥35</w:t>
            </w:r>
          </w:p>
        </w:tc>
      </w:tr>
    </w:tbl>
    <w:p w14:paraId="4C9B67CB">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*报价人须提供由第三方检测机构SGS出具的检测报告，且检测报告中须包含以上不低于相应技术参数标准的所有检测内容。</w:t>
      </w: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rPr>
      </w:pPr>
      <w:r>
        <w:rPr>
          <w:rFonts w:hint="eastAsia" w:ascii="Times New Roman" w:hAnsi="Times New Roman" w:cs="Times New Roman"/>
          <w:lang w:val="en-US" w:eastAsia="zh-CN"/>
        </w:rPr>
        <w:t>4</w:t>
      </w:r>
      <w:r>
        <w:rPr>
          <w:rFonts w:hint="eastAsia" w:ascii="Times New Roman" w:hAnsi="Times New Roman" w:cs="Times New Roman"/>
        </w:rPr>
        <w:t>质量要求</w:t>
      </w:r>
    </w:p>
    <w:p w14:paraId="01C00D5E">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4.1 报价产品必须是原厂生产全新货品。</w:t>
      </w:r>
    </w:p>
    <w:p w14:paraId="3E568071">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4.2 报价产品必须符合标准。</w:t>
      </w:r>
    </w:p>
    <w:p w14:paraId="492A418A">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5 质保要求</w:t>
      </w:r>
    </w:p>
    <w:p w14:paraId="294CEBF8">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5.1 自货物验收合格之日起（从次日起算）不少于12个月（货物依法标注有效期的，其有效期不得少于质保期；国家有期限规定的，从其规定）为质保期。</w:t>
      </w:r>
    </w:p>
    <w:p w14:paraId="53AA4BAA">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5.2 在质保期内正常使用中买方如发现卖方产品有质量问题，卖方在接到买方通知后应及时予以调换或修理。</w:t>
      </w:r>
    </w:p>
    <w:p w14:paraId="22EB4E4A">
      <w:pPr>
        <w:pStyle w:val="16"/>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rPr>
        <w:t>5.3 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2D0A55DA">
      <w:pPr>
        <w:pStyle w:val="16"/>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6 交货要求</w:t>
      </w:r>
    </w:p>
    <w:p w14:paraId="4DB2FC74">
      <w:pPr>
        <w:pStyle w:val="16"/>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6.1 交货时间：按照合同要求供货。</w:t>
      </w:r>
    </w:p>
    <w:p w14:paraId="309F482A">
      <w:pPr>
        <w:pStyle w:val="16"/>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6.2 交货地点：安徽省滁州市来安县水口镇新河村范庄组100号相官车辆段物资总库。</w:t>
      </w:r>
    </w:p>
    <w:p w14:paraId="24BE7F95">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12D1A9D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合格供应商评审表</w:t>
      </w:r>
      <w:r>
        <w:rPr>
          <w:rFonts w:hint="eastAsia" w:ascii="Times New Roman" w:hAnsi="Times New Roman" w:cs="Times New Roman"/>
          <w:lang w:eastAsia="zh-CN"/>
        </w:rPr>
        <w:t>（</w:t>
      </w:r>
      <w:r>
        <w:rPr>
          <w:rFonts w:hint="eastAsia" w:ascii="Times New Roman" w:hAnsi="Times New Roman" w:cs="Times New Roman"/>
          <w:b/>
          <w:bCs/>
          <w:lang w:val="en-US" w:eastAsia="zh-CN"/>
        </w:rPr>
        <w:t>非滁宁城铁合格供应商必须提供，原件加盖法人公章，见格式3</w:t>
      </w:r>
      <w:r>
        <w:rPr>
          <w:rFonts w:hint="eastAsia" w:ascii="Times New Roman" w:hAnsi="Times New Roman" w:cs="Times New Roman"/>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4</w:t>
      </w:r>
      <w:r>
        <w:rPr>
          <w:rFonts w:ascii="Times New Roman" w:hAnsi="Times New Roman" w:cs="Times New Roman"/>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5</w:t>
      </w:r>
      <w:r>
        <w:rPr>
          <w:rFonts w:hint="eastAsia" w:ascii="Times New Roman" w:hAnsi="Times New Roman" w:cs="Times New Roman"/>
        </w:rPr>
        <w:t>）</w:t>
      </w:r>
    </w:p>
    <w:p w14:paraId="1E204D3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w:t>
      </w:r>
      <w:r>
        <w:rPr>
          <w:rFonts w:hint="eastAsia" w:ascii="Times New Roman" w:hAnsi="Times New Roman" w:cs="Times New Roman"/>
          <w:b/>
          <w:bCs/>
          <w:lang w:val="en-US" w:eastAsia="zh-CN"/>
        </w:rPr>
        <w:t>证</w:t>
      </w:r>
      <w:r>
        <w:rPr>
          <w:rFonts w:hint="eastAsia" w:ascii="Times New Roman" w:hAnsi="Times New Roman" w:cs="Times New Roman"/>
          <w:b/>
          <w:bCs/>
        </w:rPr>
        <w:t>的必须提供</w:t>
      </w:r>
      <w:r>
        <w:rPr>
          <w:rFonts w:ascii="Times New Roman" w:hAnsi="Times New Roman" w:cs="Times New Roman"/>
          <w:b/>
          <w:bCs/>
        </w:rPr>
        <w:t>，复印件加盖法人公章</w:t>
      </w:r>
      <w:r>
        <w:rPr>
          <w:rFonts w:ascii="Times New Roman" w:hAnsi="Times New Roman" w:cs="Times New Roman"/>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hint="eastAsia" w:ascii="Times New Roman" w:hAnsi="Times New Roman" w:cs="Times New Roman"/>
          <w:b/>
          <w:bCs/>
        </w:rPr>
        <w:t>至少提供3个合</w:t>
      </w:r>
      <w:r>
        <w:rPr>
          <w:rFonts w:hint="eastAsia" w:ascii="Times New Roman" w:hAnsi="Times New Roman" w:cs="Times New Roman"/>
          <w:b/>
          <w:bCs/>
          <w:lang w:val="en-US" w:eastAsia="zh-CN"/>
        </w:rPr>
        <w:t>同</w:t>
      </w:r>
      <w:r>
        <w:rPr>
          <w:rFonts w:hint="eastAsia" w:ascii="Times New Roman" w:hAnsi="Times New Roman" w:cs="Times New Roman"/>
          <w:b/>
          <w:bCs/>
        </w:rPr>
        <w:t>业绩</w:t>
      </w:r>
      <w:r>
        <w:rPr>
          <w:rFonts w:ascii="Times New Roman" w:hAnsi="Times New Roman" w:cs="Times New Roman"/>
          <w:b/>
          <w:bCs/>
        </w:rPr>
        <w:t>复印件</w:t>
      </w:r>
      <w:r>
        <w:rPr>
          <w:rFonts w:hint="eastAsia" w:ascii="Times New Roman" w:hAnsi="Times New Roman" w:cs="Times New Roman"/>
          <w:b/>
          <w:bCs/>
        </w:rPr>
        <w:t>，须有买卖双方的公章或者合同章，复印件加盖法人公章</w:t>
      </w:r>
      <w:r>
        <w:rPr>
          <w:rFonts w:ascii="Times New Roman" w:hAnsi="Times New Roman" w:cs="Times New Roman"/>
        </w:rPr>
        <w:t>）</w:t>
      </w:r>
    </w:p>
    <w:p w14:paraId="29C31AC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7EA2842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SGS检测报告（</w:t>
      </w:r>
      <w:r>
        <w:rPr>
          <w:rFonts w:hint="eastAsia" w:ascii="Times New Roman" w:hAnsi="Times New Roman" w:cs="Times New Roman"/>
          <w:b/>
          <w:bCs/>
          <w:lang w:val="en-US" w:eastAsia="zh-CN"/>
        </w:rPr>
        <w:t>原件，评审工作结束后七个工作日内，</w:t>
      </w:r>
      <w:r>
        <w:rPr>
          <w:rFonts w:hint="eastAsia" w:ascii="宋体" w:hAnsi="宋体" w:eastAsia="宋体" w:cs="宋体"/>
          <w:b/>
          <w:bCs/>
          <w:color w:val="auto"/>
          <w:szCs w:val="21"/>
          <w:highlight w:val="none"/>
          <w:lang w:val="en-US" w:eastAsia="zh-CN"/>
        </w:rPr>
        <w:t>报价人应自行取回或选择邮件退回（顺丰到付），逾期采购人将不再承担相关文件的保管责任，并有权对逾期文件进行自行处置</w:t>
      </w:r>
      <w:r>
        <w:rPr>
          <w:rFonts w:hint="eastAsia" w:ascii="Times New Roman" w:hAnsi="Times New Roman" w:cs="Times New Roman"/>
        </w:rPr>
        <w:t>）</w:t>
      </w:r>
    </w:p>
    <w:p w14:paraId="3092206A">
      <w:pPr>
        <w:widowControl/>
        <w:jc w:val="left"/>
        <w:rPr>
          <w:szCs w:val="21"/>
        </w:rPr>
      </w:pPr>
    </w:p>
    <w:p w14:paraId="3841FF0D">
      <w:pPr>
        <w:pStyle w:val="2"/>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8"/>
        <w:tblW w:w="14900" w:type="dxa"/>
        <w:tblInd w:w="96" w:type="dxa"/>
        <w:tblLayout w:type="fixed"/>
        <w:tblCellMar>
          <w:top w:w="0" w:type="dxa"/>
          <w:left w:w="108" w:type="dxa"/>
          <w:bottom w:w="0" w:type="dxa"/>
          <w:right w:w="108" w:type="dxa"/>
        </w:tblCellMar>
      </w:tblPr>
      <w:tblGrid>
        <w:gridCol w:w="656"/>
        <w:gridCol w:w="1754"/>
        <w:gridCol w:w="1562"/>
        <w:gridCol w:w="2923"/>
        <w:gridCol w:w="1382"/>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3"/>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623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CNCJ-XJ-20250</w:t>
            </w:r>
            <w:r>
              <w:rPr>
                <w:rFonts w:hint="eastAsia"/>
                <w:sz w:val="22"/>
                <w:szCs w:val="22"/>
                <w:highlight w:val="none"/>
                <w:lang w:val="en-US" w:eastAsia="zh-CN"/>
              </w:rPr>
              <w:t>5</w:t>
            </w:r>
            <w:r>
              <w:rPr>
                <w:rFonts w:hint="eastAsia"/>
                <w:sz w:val="22"/>
                <w:szCs w:val="22"/>
                <w:highlight w:val="none"/>
              </w:rPr>
              <w:t>-000</w:t>
            </w:r>
            <w:r>
              <w:rPr>
                <w:rFonts w:hint="eastAsia"/>
                <w:sz w:val="22"/>
                <w:szCs w:val="22"/>
                <w:highlight w:val="none"/>
                <w:lang w:val="en-US" w:eastAsia="zh-CN"/>
              </w:rPr>
              <w:t>3</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05</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28</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1754"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rPr>
            </w:pPr>
            <w:r>
              <w:rPr>
                <w:rFonts w:hint="eastAsia" w:ascii="宋体" w:hAnsi="宋体" w:cs="宋体"/>
                <w:kern w:val="0"/>
                <w:sz w:val="20"/>
                <w:lang w:bidi="ar"/>
              </w:rPr>
              <w:t>名称</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rPr>
            </w:pPr>
            <w:r>
              <w:rPr>
                <w:rFonts w:hint="eastAsia" w:ascii="宋体" w:hAnsi="宋体" w:cs="宋体"/>
                <w:kern w:val="0"/>
                <w:sz w:val="20"/>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rPr>
            </w:pPr>
            <w:r>
              <w:rPr>
                <w:rFonts w:hint="eastAsia" w:ascii="宋体" w:hAnsi="宋体" w:cs="宋体"/>
                <w:kern w:val="0"/>
                <w:sz w:val="20"/>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1</w:t>
            </w: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8" name="Picture_1"/>
                  <wp:cNvGraphicFramePr/>
                  <a:graphic xmlns:a="http://schemas.openxmlformats.org/drawingml/2006/main">
                    <a:graphicData uri="http://schemas.openxmlformats.org/drawingml/2006/picture">
                      <pic:pic xmlns:pic="http://schemas.openxmlformats.org/drawingml/2006/picture">
                        <pic:nvPicPr>
                          <pic:cNvPr id="8"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8890"/>
                  <wp:effectExtent l="0" t="0" r="0" b="0"/>
                  <wp:wrapNone/>
                  <wp:docPr id="9" name="Picture_1_SpCnt_1"/>
                  <wp:cNvGraphicFramePr/>
                  <a:graphic xmlns:a="http://schemas.openxmlformats.org/drawingml/2006/main">
                    <a:graphicData uri="http://schemas.openxmlformats.org/drawingml/2006/picture">
                      <pic:pic xmlns:pic="http://schemas.openxmlformats.org/drawingml/2006/picture">
                        <pic:nvPicPr>
                          <pic:cNvPr id="9" name="Picture_1_SpCnt_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cs="宋体"/>
                <w:kern w:val="0"/>
                <w:sz w:val="2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10" name="Picture_1_SpCnt_2"/>
                  <wp:cNvGraphicFramePr/>
                  <a:graphic xmlns:a="http://schemas.openxmlformats.org/drawingml/2006/main">
                    <a:graphicData uri="http://schemas.openxmlformats.org/drawingml/2006/picture">
                      <pic:pic xmlns:pic="http://schemas.openxmlformats.org/drawingml/2006/picture">
                        <pic:nvPicPr>
                          <pic:cNvPr id="10"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lang w:val="en-US" w:eastAsia="zh-CN" w:bidi="ar"/>
              </w:rPr>
              <w:t>71020600000001</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11" name="Picture_1_SpCnt_3"/>
                  <wp:cNvGraphicFramePr/>
                  <a:graphic xmlns:a="http://schemas.openxmlformats.org/drawingml/2006/main">
                    <a:graphicData uri="http://schemas.openxmlformats.org/drawingml/2006/picture">
                      <pic:pic xmlns:pic="http://schemas.openxmlformats.org/drawingml/2006/picture">
                        <pic:nvPicPr>
                          <pic:cNvPr id="11"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12" name="Picture_1_SpCnt_4"/>
                  <wp:cNvGraphicFramePr/>
                  <a:graphic xmlns:a="http://schemas.openxmlformats.org/drawingml/2006/main">
                    <a:graphicData uri="http://schemas.openxmlformats.org/drawingml/2006/picture">
                      <pic:pic xmlns:pic="http://schemas.openxmlformats.org/drawingml/2006/picture">
                        <pic:nvPicPr>
                          <pic:cNvPr id="12" name="Picture_1_SpCnt_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cs="宋体"/>
                <w:kern w:val="0"/>
                <w:sz w:val="2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13" name="Picture_1_SpCnt_5"/>
                  <wp:cNvGraphicFramePr/>
                  <a:graphic xmlns:a="http://schemas.openxmlformats.org/drawingml/2006/main">
                    <a:graphicData uri="http://schemas.openxmlformats.org/drawingml/2006/picture">
                      <pic:pic xmlns:pic="http://schemas.openxmlformats.org/drawingml/2006/picture">
                        <pic:nvPicPr>
                          <pic:cNvPr id="13" name="Picture_1_SpCnt_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cs="宋体"/>
                <w:kern w:val="0"/>
                <w:sz w:val="20"/>
                <w:lang w:val="en-US" w:eastAsia="zh-CN" w:bidi="ar"/>
              </w:rPr>
              <w:t>无纺清洁布</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hint="eastAsia" w:ascii="宋体" w:hAnsi="宋体" w:cs="宋体"/>
                <w:kern w:val="0"/>
                <w:sz w:val="20"/>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hint="eastAsia" w:ascii="宋体" w:hAnsi="宋体" w:cs="宋体"/>
                <w:kern w:val="0"/>
                <w:sz w:val="20"/>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卷</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widowControl/>
              <w:jc w:val="center"/>
              <w:textAlignment w:val="center"/>
              <w:rPr>
                <w:rFonts w:hint="default" w:ascii="宋体" w:hAnsi="宋体" w:cs="宋体"/>
                <w:kern w:val="0"/>
                <w:sz w:val="20"/>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06</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11</w:t>
            </w:r>
            <w:bookmarkStart w:id="12" w:name="_GoBack"/>
            <w:bookmarkEnd w:id="12"/>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14:paraId="103D3202">
      <w:pPr>
        <w:widowControl/>
        <w:jc w:val="left"/>
      </w:pPr>
    </w:p>
    <w:p w14:paraId="5D2DC808">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无纺清洁布采购项目</w:t>
      </w:r>
    </w:p>
    <w:p w14:paraId="1C2D8EE5">
      <w:pPr>
        <w:snapToGrid w:val="0"/>
        <w:spacing w:line="360" w:lineRule="auto"/>
        <w:jc w:val="cente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0432DB1E">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08F0860">
      <w:pPr>
        <w:widowControl/>
        <w:jc w:val="left"/>
        <w:rPr>
          <w:rFonts w:hint="eastAsia"/>
          <w:lang w:val="en-US" w:eastAsia="zh-CN"/>
        </w:rPr>
      </w:pPr>
      <w:r>
        <w:rPr>
          <w:rFonts w:hint="eastAsia"/>
          <w:lang w:val="en-US" w:eastAsia="zh-CN"/>
        </w:rPr>
        <w:t>格式3</w:t>
      </w:r>
    </w:p>
    <w:p w14:paraId="15B19E51">
      <w:pPr>
        <w:pStyle w:val="74"/>
        <w:tabs>
          <w:tab w:val="center" w:pos="4201"/>
          <w:tab w:val="right" w:leader="dot" w:pos="9298"/>
        </w:tabs>
        <w:jc w:val="right"/>
        <w:rPr>
          <w:rFonts w:hint="eastAsia" w:ascii="黑体" w:hAnsi="黑体" w:eastAsia="黑体"/>
        </w:rPr>
      </w:pPr>
      <w:r>
        <w:rPr>
          <w:rFonts w:hint="eastAsia" w:ascii="黑体" w:hAnsi="黑体" w:eastAsia="黑体" w:cs="宋体"/>
        </w:rPr>
        <w:t>C</w:t>
      </w:r>
      <w:r>
        <w:rPr>
          <w:rFonts w:ascii="黑体" w:hAnsi="黑体" w:eastAsia="黑体" w:cs="宋体"/>
        </w:rPr>
        <w:t>GYR-105</w:t>
      </w:r>
      <w:r>
        <w:rPr>
          <w:rFonts w:hint="eastAsia" w:ascii="黑体" w:hAnsi="黑体" w:eastAsia="黑体" w:cs="宋体"/>
        </w:rPr>
        <w:t>物资部-</w:t>
      </w:r>
      <w:r>
        <w:rPr>
          <w:rFonts w:ascii="黑体" w:hAnsi="黑体" w:eastAsia="黑体" w:cs="宋体"/>
        </w:rPr>
        <w:t>0085</w:t>
      </w:r>
    </w:p>
    <w:p w14:paraId="263BD8E8">
      <w:pPr>
        <w:jc w:val="center"/>
        <w:rPr>
          <w:rFonts w:hint="eastAsia" w:ascii="黑体" w:hAnsi="黑体" w:eastAsia="黑体"/>
          <w:sz w:val="32"/>
          <w:szCs w:val="32"/>
        </w:rPr>
      </w:pPr>
      <w:r>
        <w:rPr>
          <w:rFonts w:hint="eastAsia" w:ascii="黑体" w:hAnsi="黑体" w:eastAsia="黑体"/>
          <w:sz w:val="32"/>
          <w:szCs w:val="32"/>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rPr>
            </w:pPr>
            <w:r>
              <w:rPr>
                <w:rFonts w:hint="eastAsia" w:ascii="黑体" w:hAnsi="黑体" w:eastAsia="黑体"/>
                <w:b/>
                <w:szCs w:val="21"/>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rPr>
            </w:pPr>
            <w:r>
              <w:rPr>
                <w:rFonts w:hint="eastAsia"/>
                <w:b/>
                <w:szCs w:val="21"/>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rPr>
            </w:pPr>
            <w:r>
              <w:rPr>
                <w:rFonts w:hint="eastAsia" w:ascii="宋体" w:hAnsi="宋体" w:cs="宋体"/>
                <w:szCs w:val="21"/>
              </w:rPr>
              <w:t xml:space="preserve">□工程类  □委送外修类  □物资采购类   </w:t>
            </w:r>
          </w:p>
          <w:p w14:paraId="7D2A48B5">
            <w:pPr>
              <w:spacing w:line="240" w:lineRule="exact"/>
              <w:jc w:val="left"/>
              <w:rPr>
                <w:szCs w:val="21"/>
              </w:rPr>
            </w:pPr>
            <w:r>
              <w:rPr>
                <w:rFonts w:hint="eastAsia" w:ascii="宋体" w:hAnsi="宋体" w:cs="宋体"/>
                <w:szCs w:val="21"/>
                <w:lang w:eastAsia="zh-CN"/>
              </w:rPr>
              <w:t>□</w:t>
            </w:r>
            <w:r>
              <w:rPr>
                <w:rFonts w:hint="eastAsia" w:ascii="宋体" w:hAnsi="宋体" w:cs="宋体"/>
                <w:szCs w:val="21"/>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rPr>
            </w:pPr>
          </w:p>
        </w:tc>
        <w:tc>
          <w:tcPr>
            <w:tcW w:w="3184" w:type="dxa"/>
            <w:vMerge w:val="continue"/>
            <w:noWrap w:val="0"/>
            <w:vAlign w:val="center"/>
          </w:tcPr>
          <w:p w14:paraId="1C20FB00">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rPr>
            </w:pPr>
            <w:r>
              <w:rPr>
                <w:rFonts w:hint="eastAsia"/>
                <w:b/>
                <w:szCs w:val="21"/>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rPr>
            </w:pPr>
            <w:r>
              <w:rPr>
                <w:rFonts w:hint="eastAsia" w:ascii="宋体" w:hAnsi="宋体" w:cs="宋体"/>
                <w:szCs w:val="21"/>
              </w:rPr>
              <w:t xml:space="preserve">□大众媒体  □市场调查  □业内询邀  </w:t>
            </w:r>
          </w:p>
          <w:p w14:paraId="7475A5FE">
            <w:pPr>
              <w:spacing w:line="240" w:lineRule="exact"/>
              <w:jc w:val="left"/>
              <w:rPr>
                <w:rFonts w:ascii="宋体" w:cs="宋体"/>
                <w:szCs w:val="21"/>
              </w:rPr>
            </w:pPr>
            <w:r>
              <w:rPr>
                <w:rFonts w:hint="eastAsia" w:ascii="宋体" w:hAnsi="宋体" w:cs="宋体"/>
                <w:szCs w:val="21"/>
              </w:rPr>
              <w:sym w:font="Wingdings 2" w:char="00A3"/>
            </w:r>
            <w:r>
              <w:rPr>
                <w:rFonts w:hint="eastAsia" w:ascii="宋体" w:hAnsi="宋体" w:cs="宋体"/>
                <w:szCs w:val="21"/>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rPr>
            </w:pPr>
            <w:r>
              <w:rPr>
                <w:rFonts w:hint="eastAsia" w:ascii="黑体" w:hAnsi="黑体" w:eastAsia="黑体"/>
                <w:b/>
                <w:szCs w:val="21"/>
              </w:rPr>
              <w:t>合同或项目名称</w:t>
            </w:r>
          </w:p>
        </w:tc>
        <w:tc>
          <w:tcPr>
            <w:tcW w:w="2558" w:type="dxa"/>
            <w:gridSpan w:val="3"/>
            <w:noWrap w:val="0"/>
            <w:vAlign w:val="center"/>
          </w:tcPr>
          <w:p w14:paraId="6233E0C0">
            <w:pPr>
              <w:spacing w:line="240" w:lineRule="exact"/>
              <w:jc w:val="center"/>
              <w:rPr>
                <w:b/>
                <w:szCs w:val="21"/>
              </w:rPr>
            </w:pPr>
            <w:r>
              <w:rPr>
                <w:rFonts w:hint="eastAsia"/>
                <w:b/>
                <w:szCs w:val="21"/>
              </w:rPr>
              <w:t>签约对方单位名称</w:t>
            </w:r>
          </w:p>
        </w:tc>
        <w:tc>
          <w:tcPr>
            <w:tcW w:w="2551" w:type="dxa"/>
            <w:noWrap w:val="0"/>
            <w:vAlign w:val="center"/>
          </w:tcPr>
          <w:p w14:paraId="4CFD9FA3">
            <w:pPr>
              <w:spacing w:line="240" w:lineRule="exact"/>
              <w:jc w:val="center"/>
              <w:rPr>
                <w:b/>
                <w:szCs w:val="21"/>
              </w:rPr>
            </w:pPr>
            <w:r>
              <w:rPr>
                <w:rFonts w:hint="eastAsia"/>
                <w:b/>
                <w:szCs w:val="21"/>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rPr>
            </w:pPr>
            <w:r>
              <w:rPr>
                <w:rFonts w:hint="eastAsia"/>
                <w:b/>
                <w:szCs w:val="21"/>
              </w:rPr>
              <w:t>近三年业绩</w:t>
            </w:r>
          </w:p>
        </w:tc>
        <w:tc>
          <w:tcPr>
            <w:tcW w:w="779" w:type="dxa"/>
            <w:noWrap w:val="0"/>
            <w:vAlign w:val="center"/>
          </w:tcPr>
          <w:p w14:paraId="1649D019">
            <w:pPr>
              <w:spacing w:line="240" w:lineRule="exact"/>
              <w:jc w:val="center"/>
              <w:rPr>
                <w:sz w:val="18"/>
                <w:szCs w:val="18"/>
              </w:rPr>
            </w:pPr>
            <w:r>
              <w:rPr>
                <w:rFonts w:hint="eastAsia"/>
                <w:sz w:val="18"/>
                <w:szCs w:val="18"/>
              </w:rPr>
              <w:t>1</w:t>
            </w:r>
          </w:p>
        </w:tc>
        <w:tc>
          <w:tcPr>
            <w:tcW w:w="3184" w:type="dxa"/>
            <w:noWrap w:val="0"/>
            <w:vAlign w:val="center"/>
          </w:tcPr>
          <w:p w14:paraId="6CDBE0DF">
            <w:pPr>
              <w:spacing w:line="240" w:lineRule="exact"/>
              <w:jc w:val="left"/>
              <w:rPr>
                <w:b/>
                <w:sz w:val="18"/>
                <w:szCs w:val="18"/>
              </w:rPr>
            </w:pPr>
          </w:p>
        </w:tc>
        <w:tc>
          <w:tcPr>
            <w:tcW w:w="2558" w:type="dxa"/>
            <w:gridSpan w:val="3"/>
            <w:noWrap w:val="0"/>
            <w:vAlign w:val="center"/>
          </w:tcPr>
          <w:p w14:paraId="34BD9CA4">
            <w:pPr>
              <w:spacing w:line="240" w:lineRule="exact"/>
              <w:jc w:val="left"/>
              <w:rPr>
                <w:b/>
                <w:sz w:val="18"/>
                <w:szCs w:val="18"/>
              </w:rPr>
            </w:pPr>
          </w:p>
        </w:tc>
        <w:tc>
          <w:tcPr>
            <w:tcW w:w="2551" w:type="dxa"/>
            <w:noWrap w:val="0"/>
            <w:vAlign w:val="center"/>
          </w:tcPr>
          <w:p w14:paraId="0AAB9092">
            <w:pPr>
              <w:spacing w:line="240" w:lineRule="exact"/>
              <w:jc w:val="left"/>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rPr>
            </w:pPr>
          </w:p>
        </w:tc>
        <w:tc>
          <w:tcPr>
            <w:tcW w:w="779" w:type="dxa"/>
            <w:noWrap w:val="0"/>
            <w:vAlign w:val="center"/>
          </w:tcPr>
          <w:p w14:paraId="03239B31">
            <w:pPr>
              <w:spacing w:line="240" w:lineRule="exact"/>
              <w:jc w:val="center"/>
              <w:rPr>
                <w:sz w:val="18"/>
                <w:szCs w:val="18"/>
              </w:rPr>
            </w:pPr>
            <w:r>
              <w:rPr>
                <w:rFonts w:hint="eastAsia"/>
                <w:sz w:val="18"/>
                <w:szCs w:val="18"/>
              </w:rPr>
              <w:t>2</w:t>
            </w:r>
          </w:p>
        </w:tc>
        <w:tc>
          <w:tcPr>
            <w:tcW w:w="3184" w:type="dxa"/>
            <w:noWrap w:val="0"/>
            <w:vAlign w:val="center"/>
          </w:tcPr>
          <w:p w14:paraId="253FBB97">
            <w:pPr>
              <w:spacing w:line="240" w:lineRule="exact"/>
              <w:jc w:val="left"/>
              <w:rPr>
                <w:b/>
                <w:sz w:val="18"/>
                <w:szCs w:val="18"/>
              </w:rPr>
            </w:pPr>
          </w:p>
        </w:tc>
        <w:tc>
          <w:tcPr>
            <w:tcW w:w="2558" w:type="dxa"/>
            <w:gridSpan w:val="3"/>
            <w:noWrap w:val="0"/>
            <w:vAlign w:val="center"/>
          </w:tcPr>
          <w:p w14:paraId="0559858B">
            <w:pPr>
              <w:spacing w:line="240" w:lineRule="exact"/>
              <w:jc w:val="left"/>
              <w:rPr>
                <w:b/>
                <w:sz w:val="18"/>
                <w:szCs w:val="18"/>
              </w:rPr>
            </w:pPr>
          </w:p>
        </w:tc>
        <w:tc>
          <w:tcPr>
            <w:tcW w:w="2551" w:type="dxa"/>
            <w:noWrap w:val="0"/>
            <w:vAlign w:val="center"/>
          </w:tcPr>
          <w:p w14:paraId="4A4409CD">
            <w:pPr>
              <w:spacing w:line="240" w:lineRule="exact"/>
              <w:jc w:val="left"/>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rPr>
            </w:pPr>
          </w:p>
        </w:tc>
        <w:tc>
          <w:tcPr>
            <w:tcW w:w="779" w:type="dxa"/>
            <w:noWrap w:val="0"/>
            <w:vAlign w:val="center"/>
          </w:tcPr>
          <w:p w14:paraId="269DD06C">
            <w:pPr>
              <w:spacing w:line="240" w:lineRule="exact"/>
              <w:jc w:val="center"/>
              <w:rPr>
                <w:sz w:val="18"/>
                <w:szCs w:val="18"/>
              </w:rPr>
            </w:pPr>
            <w:r>
              <w:rPr>
                <w:rFonts w:hint="eastAsia"/>
                <w:sz w:val="18"/>
                <w:szCs w:val="18"/>
              </w:rPr>
              <w:t>3</w:t>
            </w:r>
          </w:p>
        </w:tc>
        <w:tc>
          <w:tcPr>
            <w:tcW w:w="3184" w:type="dxa"/>
            <w:noWrap w:val="0"/>
            <w:vAlign w:val="center"/>
          </w:tcPr>
          <w:p w14:paraId="36FC27A6">
            <w:pPr>
              <w:spacing w:line="240" w:lineRule="exact"/>
              <w:jc w:val="left"/>
              <w:rPr>
                <w:b/>
                <w:sz w:val="18"/>
                <w:szCs w:val="18"/>
              </w:rPr>
            </w:pPr>
          </w:p>
        </w:tc>
        <w:tc>
          <w:tcPr>
            <w:tcW w:w="2558" w:type="dxa"/>
            <w:gridSpan w:val="3"/>
            <w:noWrap w:val="0"/>
            <w:vAlign w:val="center"/>
          </w:tcPr>
          <w:p w14:paraId="37D5ABF6">
            <w:pPr>
              <w:spacing w:line="240" w:lineRule="exact"/>
              <w:jc w:val="left"/>
              <w:rPr>
                <w:b/>
                <w:sz w:val="18"/>
                <w:szCs w:val="18"/>
              </w:rPr>
            </w:pPr>
          </w:p>
        </w:tc>
        <w:tc>
          <w:tcPr>
            <w:tcW w:w="2551" w:type="dxa"/>
            <w:noWrap w:val="0"/>
            <w:vAlign w:val="center"/>
          </w:tcPr>
          <w:p w14:paraId="44AC55A6">
            <w:pPr>
              <w:spacing w:line="240" w:lineRule="exact"/>
              <w:jc w:val="left"/>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rPr>
            </w:pPr>
          </w:p>
        </w:tc>
        <w:tc>
          <w:tcPr>
            <w:tcW w:w="779" w:type="dxa"/>
            <w:noWrap w:val="0"/>
            <w:vAlign w:val="center"/>
          </w:tcPr>
          <w:p w14:paraId="4B727EDB">
            <w:pPr>
              <w:spacing w:line="240" w:lineRule="exact"/>
              <w:jc w:val="center"/>
              <w:rPr>
                <w:sz w:val="18"/>
                <w:szCs w:val="18"/>
              </w:rPr>
            </w:pPr>
            <w:r>
              <w:rPr>
                <w:rFonts w:hint="eastAsia"/>
                <w:sz w:val="18"/>
                <w:szCs w:val="18"/>
              </w:rPr>
              <w:t>4</w:t>
            </w:r>
          </w:p>
        </w:tc>
        <w:tc>
          <w:tcPr>
            <w:tcW w:w="3184" w:type="dxa"/>
            <w:noWrap w:val="0"/>
            <w:vAlign w:val="center"/>
          </w:tcPr>
          <w:p w14:paraId="228DA95F">
            <w:pPr>
              <w:spacing w:line="240" w:lineRule="exact"/>
              <w:jc w:val="left"/>
              <w:rPr>
                <w:b/>
                <w:sz w:val="18"/>
                <w:szCs w:val="18"/>
              </w:rPr>
            </w:pPr>
          </w:p>
        </w:tc>
        <w:tc>
          <w:tcPr>
            <w:tcW w:w="2558" w:type="dxa"/>
            <w:gridSpan w:val="3"/>
            <w:noWrap w:val="0"/>
            <w:vAlign w:val="center"/>
          </w:tcPr>
          <w:p w14:paraId="2D6EC6D1">
            <w:pPr>
              <w:spacing w:line="240" w:lineRule="exact"/>
              <w:jc w:val="left"/>
              <w:rPr>
                <w:b/>
                <w:sz w:val="18"/>
                <w:szCs w:val="18"/>
              </w:rPr>
            </w:pPr>
          </w:p>
        </w:tc>
        <w:tc>
          <w:tcPr>
            <w:tcW w:w="2551" w:type="dxa"/>
            <w:noWrap w:val="0"/>
            <w:vAlign w:val="center"/>
          </w:tcPr>
          <w:p w14:paraId="74BD3435">
            <w:pPr>
              <w:spacing w:line="240" w:lineRule="exact"/>
              <w:jc w:val="left"/>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rPr>
            </w:pPr>
          </w:p>
        </w:tc>
        <w:tc>
          <w:tcPr>
            <w:tcW w:w="779" w:type="dxa"/>
            <w:noWrap w:val="0"/>
            <w:vAlign w:val="center"/>
          </w:tcPr>
          <w:p w14:paraId="7C775CD4">
            <w:pPr>
              <w:spacing w:line="240" w:lineRule="exact"/>
              <w:jc w:val="center"/>
              <w:rPr>
                <w:sz w:val="18"/>
                <w:szCs w:val="18"/>
              </w:rPr>
            </w:pPr>
            <w:r>
              <w:rPr>
                <w:rFonts w:hint="eastAsia"/>
                <w:sz w:val="18"/>
                <w:szCs w:val="18"/>
              </w:rPr>
              <w:t>5</w:t>
            </w:r>
          </w:p>
        </w:tc>
        <w:tc>
          <w:tcPr>
            <w:tcW w:w="3184" w:type="dxa"/>
            <w:noWrap w:val="0"/>
            <w:vAlign w:val="center"/>
          </w:tcPr>
          <w:p w14:paraId="2821E671">
            <w:pPr>
              <w:spacing w:line="240" w:lineRule="exact"/>
              <w:jc w:val="left"/>
              <w:rPr>
                <w:b/>
                <w:sz w:val="18"/>
                <w:szCs w:val="18"/>
              </w:rPr>
            </w:pPr>
          </w:p>
        </w:tc>
        <w:tc>
          <w:tcPr>
            <w:tcW w:w="2558" w:type="dxa"/>
            <w:gridSpan w:val="3"/>
            <w:noWrap w:val="0"/>
            <w:vAlign w:val="center"/>
          </w:tcPr>
          <w:p w14:paraId="7D1CD32B">
            <w:pPr>
              <w:spacing w:line="240" w:lineRule="exact"/>
              <w:jc w:val="left"/>
              <w:rPr>
                <w:b/>
                <w:sz w:val="18"/>
                <w:szCs w:val="18"/>
              </w:rPr>
            </w:pPr>
          </w:p>
        </w:tc>
        <w:tc>
          <w:tcPr>
            <w:tcW w:w="2551" w:type="dxa"/>
            <w:noWrap w:val="0"/>
            <w:vAlign w:val="center"/>
          </w:tcPr>
          <w:p w14:paraId="53A007F3">
            <w:pPr>
              <w:spacing w:line="240" w:lineRule="exact"/>
              <w:jc w:val="left"/>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rPr>
            </w:pPr>
            <w:r>
              <w:rPr>
                <w:rFonts w:hint="eastAsia"/>
                <w:b/>
                <w:szCs w:val="21"/>
              </w:rPr>
              <w:t>资质档案</w:t>
            </w:r>
          </w:p>
        </w:tc>
        <w:tc>
          <w:tcPr>
            <w:tcW w:w="9072" w:type="dxa"/>
            <w:gridSpan w:val="6"/>
            <w:tcBorders>
              <w:bottom w:val="nil"/>
            </w:tcBorders>
            <w:noWrap w:val="0"/>
            <w:vAlign w:val="center"/>
          </w:tcPr>
          <w:p w14:paraId="51B6EED4">
            <w:pPr>
              <w:spacing w:line="240" w:lineRule="exact"/>
              <w:jc w:val="left"/>
              <w:rPr>
                <w:sz w:val="18"/>
                <w:szCs w:val="18"/>
              </w:rPr>
            </w:pPr>
            <w:r>
              <w:rPr>
                <w:rFonts w:hint="eastAsia"/>
                <w:sz w:val="18"/>
                <w:szCs w:val="18"/>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rPr>
            </w:pPr>
          </w:p>
          <w:p w14:paraId="574E021A">
            <w:pPr>
              <w:spacing w:line="240" w:lineRule="exact"/>
              <w:jc w:val="left"/>
              <w:rPr>
                <w:color w:val="999999"/>
                <w:sz w:val="18"/>
                <w:szCs w:val="18"/>
                <w:u w:val="single"/>
              </w:rPr>
            </w:pPr>
            <w:r>
              <w:rPr>
                <w:rFonts w:hint="eastAsia"/>
                <w:sz w:val="18"/>
                <w:szCs w:val="18"/>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rPr>
            </w:pPr>
            <w:r>
              <w:rPr>
                <w:rFonts w:hint="eastAsia"/>
                <w:b/>
                <w:szCs w:val="21"/>
              </w:rPr>
              <w:t>供应商申报</w:t>
            </w:r>
          </w:p>
        </w:tc>
        <w:tc>
          <w:tcPr>
            <w:tcW w:w="9072" w:type="dxa"/>
            <w:gridSpan w:val="6"/>
            <w:noWrap w:val="0"/>
            <w:vAlign w:val="top"/>
          </w:tcPr>
          <w:p w14:paraId="0D5260BA">
            <w:pPr>
              <w:spacing w:line="240" w:lineRule="exact"/>
              <w:jc w:val="center"/>
              <w:rPr>
                <w:sz w:val="18"/>
                <w:szCs w:val="18"/>
              </w:rPr>
            </w:pPr>
          </w:p>
          <w:p w14:paraId="11C76C37">
            <w:pPr>
              <w:spacing w:line="240" w:lineRule="exact"/>
              <w:jc w:val="left"/>
              <w:rPr>
                <w:sz w:val="18"/>
                <w:szCs w:val="18"/>
              </w:rPr>
            </w:pPr>
            <w:r>
              <w:rPr>
                <w:rFonts w:hint="eastAsia"/>
                <w:sz w:val="18"/>
                <w:szCs w:val="18"/>
              </w:rPr>
              <w:t>说明：本单位经研究决定，现申请加入贵公司的合格供应商名录，申请承接的项目类为：</w:t>
            </w:r>
            <w:r>
              <w:rPr>
                <w:rFonts w:hint="eastAsia"/>
                <w:sz w:val="18"/>
                <w:szCs w:val="18"/>
                <w:u w:val="single"/>
              </w:rPr>
              <w:t xml:space="preserve">                       。</w:t>
            </w:r>
          </w:p>
          <w:p w14:paraId="0C4FDEC1">
            <w:pPr>
              <w:spacing w:line="240" w:lineRule="exact"/>
              <w:rPr>
                <w:sz w:val="18"/>
                <w:szCs w:val="18"/>
              </w:rPr>
            </w:pPr>
          </w:p>
          <w:p w14:paraId="2B74C1F2">
            <w:pPr>
              <w:spacing w:line="240" w:lineRule="exact"/>
              <w:rPr>
                <w:sz w:val="18"/>
                <w:szCs w:val="18"/>
              </w:rPr>
            </w:pPr>
            <w:r>
              <w:rPr>
                <w:rFonts w:hint="eastAsia"/>
                <w:sz w:val="18"/>
                <w:szCs w:val="18"/>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rPr>
            </w:pPr>
          </w:p>
          <w:p w14:paraId="0AB5FF6C">
            <w:pPr>
              <w:spacing w:line="240" w:lineRule="exact"/>
              <w:jc w:val="left"/>
              <w:rPr>
                <w:sz w:val="18"/>
                <w:szCs w:val="18"/>
              </w:rPr>
            </w:pPr>
            <w:r>
              <w:rPr>
                <w:rFonts w:hint="eastAsia"/>
                <w:sz w:val="18"/>
                <w:szCs w:val="18"/>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rPr>
            </w:pPr>
            <w:r>
              <w:rPr>
                <w:rFonts w:hint="eastAsia"/>
                <w:b/>
                <w:szCs w:val="21"/>
              </w:rPr>
              <w:t>质量保证能力</w:t>
            </w:r>
          </w:p>
        </w:tc>
        <w:tc>
          <w:tcPr>
            <w:tcW w:w="4536" w:type="dxa"/>
            <w:gridSpan w:val="3"/>
            <w:noWrap w:val="0"/>
            <w:vAlign w:val="center"/>
          </w:tcPr>
          <w:p w14:paraId="5F21DD21">
            <w:pPr>
              <w:spacing w:line="240" w:lineRule="exact"/>
              <w:jc w:val="left"/>
              <w:rPr>
                <w:sz w:val="18"/>
                <w:szCs w:val="18"/>
              </w:rPr>
            </w:pPr>
            <w:r>
              <w:rPr>
                <w:rFonts w:hint="eastAsia"/>
                <w:sz w:val="18"/>
                <w:szCs w:val="18"/>
              </w:rPr>
              <w:t>注册资本</w:t>
            </w:r>
          </w:p>
        </w:tc>
        <w:tc>
          <w:tcPr>
            <w:tcW w:w="4536" w:type="dxa"/>
            <w:gridSpan w:val="3"/>
            <w:noWrap w:val="0"/>
            <w:vAlign w:val="top"/>
          </w:tcPr>
          <w:p w14:paraId="128B7C1C">
            <w:pPr>
              <w:spacing w:line="240" w:lineRule="exact"/>
              <w:jc w:val="left"/>
              <w:rPr>
                <w:sz w:val="18"/>
                <w:szCs w:val="18"/>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rPr>
            </w:pPr>
          </w:p>
        </w:tc>
        <w:tc>
          <w:tcPr>
            <w:tcW w:w="4536" w:type="dxa"/>
            <w:gridSpan w:val="3"/>
            <w:noWrap w:val="0"/>
            <w:vAlign w:val="center"/>
          </w:tcPr>
          <w:p w14:paraId="7FE007AA">
            <w:pPr>
              <w:spacing w:line="240" w:lineRule="exact"/>
              <w:jc w:val="left"/>
              <w:rPr>
                <w:sz w:val="18"/>
                <w:szCs w:val="18"/>
              </w:rPr>
            </w:pPr>
            <w:r>
              <w:rPr>
                <w:rFonts w:hint="eastAsia"/>
                <w:sz w:val="18"/>
                <w:szCs w:val="18"/>
              </w:rPr>
              <w:t>固定资产</w:t>
            </w:r>
          </w:p>
        </w:tc>
        <w:tc>
          <w:tcPr>
            <w:tcW w:w="4536" w:type="dxa"/>
            <w:gridSpan w:val="3"/>
            <w:noWrap w:val="0"/>
            <w:vAlign w:val="top"/>
          </w:tcPr>
          <w:p w14:paraId="219EF32A">
            <w:pPr>
              <w:spacing w:line="240" w:lineRule="exact"/>
              <w:jc w:val="left"/>
              <w:rPr>
                <w:sz w:val="18"/>
                <w:szCs w:val="18"/>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rPr>
            </w:pPr>
          </w:p>
        </w:tc>
        <w:tc>
          <w:tcPr>
            <w:tcW w:w="4536" w:type="dxa"/>
            <w:gridSpan w:val="3"/>
            <w:noWrap w:val="0"/>
            <w:vAlign w:val="center"/>
          </w:tcPr>
          <w:p w14:paraId="64DDD47D">
            <w:pPr>
              <w:spacing w:line="240" w:lineRule="exact"/>
              <w:jc w:val="left"/>
              <w:rPr>
                <w:sz w:val="18"/>
                <w:szCs w:val="18"/>
              </w:rPr>
            </w:pPr>
            <w:r>
              <w:rPr>
                <w:rFonts w:hint="eastAsia"/>
                <w:sz w:val="18"/>
                <w:szCs w:val="18"/>
              </w:rPr>
              <w:t>员工数量</w:t>
            </w:r>
          </w:p>
        </w:tc>
        <w:tc>
          <w:tcPr>
            <w:tcW w:w="4536" w:type="dxa"/>
            <w:gridSpan w:val="3"/>
            <w:noWrap w:val="0"/>
            <w:vAlign w:val="top"/>
          </w:tcPr>
          <w:p w14:paraId="17BB7500">
            <w:pPr>
              <w:spacing w:line="240" w:lineRule="exact"/>
              <w:jc w:val="left"/>
              <w:rPr>
                <w:sz w:val="18"/>
                <w:szCs w:val="18"/>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rPr>
            </w:pPr>
          </w:p>
        </w:tc>
        <w:tc>
          <w:tcPr>
            <w:tcW w:w="4536" w:type="dxa"/>
            <w:gridSpan w:val="3"/>
            <w:noWrap w:val="0"/>
            <w:vAlign w:val="center"/>
          </w:tcPr>
          <w:p w14:paraId="27E5B09D">
            <w:pPr>
              <w:spacing w:line="240" w:lineRule="exact"/>
              <w:jc w:val="left"/>
              <w:rPr>
                <w:sz w:val="18"/>
                <w:szCs w:val="18"/>
              </w:rPr>
            </w:pPr>
            <w:r>
              <w:rPr>
                <w:rFonts w:hint="eastAsia"/>
                <w:sz w:val="18"/>
                <w:szCs w:val="18"/>
              </w:rPr>
              <w:t>何时通过何种体系认证</w:t>
            </w:r>
          </w:p>
        </w:tc>
        <w:tc>
          <w:tcPr>
            <w:tcW w:w="4536" w:type="dxa"/>
            <w:gridSpan w:val="3"/>
            <w:noWrap w:val="0"/>
            <w:vAlign w:val="top"/>
          </w:tcPr>
          <w:p w14:paraId="51F136D3">
            <w:pPr>
              <w:spacing w:line="240" w:lineRule="exact"/>
              <w:jc w:val="left"/>
              <w:rPr>
                <w:sz w:val="18"/>
                <w:szCs w:val="18"/>
              </w:rPr>
            </w:pPr>
            <w:r>
              <w:rPr>
                <w:rFonts w:hint="eastAsia"/>
                <w:sz w:val="18"/>
                <w:szCs w:val="18"/>
              </w:rPr>
              <w:t xml:space="preserve">□ISO9001                 </w:t>
            </w:r>
            <w:r>
              <w:rPr>
                <w:rFonts w:hint="eastAsia"/>
                <w:sz w:val="18"/>
                <w:szCs w:val="18"/>
                <w:lang w:val="en-US" w:eastAsia="zh-CN"/>
              </w:rPr>
              <w:t xml:space="preserve">  </w:t>
            </w:r>
            <w:r>
              <w:rPr>
                <w:rFonts w:hint="eastAsia"/>
                <w:sz w:val="18"/>
                <w:szCs w:val="18"/>
              </w:rPr>
              <w:t xml:space="preserve">   时间：</w:t>
            </w:r>
          </w:p>
          <w:p w14:paraId="28430BB1">
            <w:pPr>
              <w:spacing w:line="240" w:lineRule="exact"/>
              <w:jc w:val="left"/>
              <w:rPr>
                <w:sz w:val="18"/>
                <w:szCs w:val="18"/>
              </w:rPr>
            </w:pPr>
            <w:r>
              <w:rPr>
                <w:rFonts w:hint="eastAsia"/>
                <w:sz w:val="18"/>
                <w:szCs w:val="18"/>
              </w:rPr>
              <w:t xml:space="preserve">□ISO14001                 </w:t>
            </w:r>
            <w:r>
              <w:rPr>
                <w:rFonts w:hint="eastAsia"/>
                <w:sz w:val="18"/>
                <w:szCs w:val="18"/>
                <w:lang w:val="en-US" w:eastAsia="zh-CN"/>
              </w:rPr>
              <w:t xml:space="preserve">  </w:t>
            </w:r>
            <w:r>
              <w:rPr>
                <w:rFonts w:hint="eastAsia"/>
                <w:sz w:val="18"/>
                <w:szCs w:val="18"/>
              </w:rPr>
              <w:t xml:space="preserve">  时间：</w:t>
            </w:r>
          </w:p>
          <w:p w14:paraId="7C5F303E">
            <w:pPr>
              <w:spacing w:line="240" w:lineRule="exact"/>
              <w:jc w:val="left"/>
              <w:rPr>
                <w:sz w:val="18"/>
                <w:szCs w:val="18"/>
              </w:rPr>
            </w:pPr>
            <w:r>
              <w:rPr>
                <w:rFonts w:hint="eastAsia"/>
                <w:sz w:val="18"/>
                <w:szCs w:val="18"/>
              </w:rPr>
              <w:t xml:space="preserve">□OHSMS18000              </w:t>
            </w:r>
            <w:r>
              <w:rPr>
                <w:rFonts w:hint="eastAsia"/>
                <w:sz w:val="18"/>
                <w:szCs w:val="18"/>
                <w:lang w:val="en-US" w:eastAsia="zh-CN"/>
              </w:rPr>
              <w:t xml:space="preserve">   </w:t>
            </w:r>
            <w:r>
              <w:rPr>
                <w:rFonts w:hint="eastAsia"/>
                <w:sz w:val="18"/>
                <w:szCs w:val="18"/>
              </w:rPr>
              <w:t>时间：</w:t>
            </w:r>
          </w:p>
          <w:p w14:paraId="4031DFFB">
            <w:pPr>
              <w:spacing w:line="240" w:lineRule="exact"/>
              <w:jc w:val="left"/>
              <w:rPr>
                <w:sz w:val="18"/>
                <w:szCs w:val="18"/>
              </w:rPr>
            </w:pPr>
            <w:r>
              <w:rPr>
                <w:rFonts w:hint="eastAsia"/>
                <w:sz w:val="18"/>
                <w:szCs w:val="18"/>
              </w:rPr>
              <w:t xml:space="preserve">□其他                       </w:t>
            </w:r>
            <w:r>
              <w:rPr>
                <w:rFonts w:hint="eastAsia"/>
                <w:sz w:val="18"/>
                <w:szCs w:val="18"/>
                <w:lang w:val="en-US" w:eastAsia="zh-CN"/>
              </w:rPr>
              <w:t xml:space="preserve">  </w:t>
            </w:r>
            <w:r>
              <w:rPr>
                <w:rFonts w:hint="eastAsia"/>
                <w:sz w:val="18"/>
                <w:szCs w:val="18"/>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rPr>
            </w:pPr>
          </w:p>
        </w:tc>
        <w:tc>
          <w:tcPr>
            <w:tcW w:w="4536" w:type="dxa"/>
            <w:gridSpan w:val="3"/>
            <w:noWrap w:val="0"/>
            <w:vAlign w:val="top"/>
          </w:tcPr>
          <w:p w14:paraId="40ABDF32">
            <w:pPr>
              <w:spacing w:line="240" w:lineRule="exact"/>
              <w:jc w:val="left"/>
              <w:rPr>
                <w:sz w:val="18"/>
                <w:szCs w:val="18"/>
              </w:rPr>
            </w:pPr>
            <w:r>
              <w:rPr>
                <w:rFonts w:hint="eastAsia"/>
                <w:sz w:val="18"/>
                <w:szCs w:val="18"/>
              </w:rPr>
              <w:t>安全生产许可证</w:t>
            </w:r>
          </w:p>
        </w:tc>
        <w:tc>
          <w:tcPr>
            <w:tcW w:w="4536" w:type="dxa"/>
            <w:gridSpan w:val="3"/>
            <w:noWrap w:val="0"/>
            <w:vAlign w:val="top"/>
          </w:tcPr>
          <w:p w14:paraId="2AF7280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lang w:eastAsia="zh-CN"/>
              </w:rPr>
              <w:t>□</w:t>
            </w:r>
            <w:r>
              <w:rPr>
                <w:rFonts w:hint="eastAsia"/>
                <w:sz w:val="18"/>
                <w:szCs w:val="18"/>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rPr>
            </w:pPr>
          </w:p>
        </w:tc>
        <w:tc>
          <w:tcPr>
            <w:tcW w:w="4536" w:type="dxa"/>
            <w:gridSpan w:val="3"/>
            <w:noWrap w:val="0"/>
            <w:vAlign w:val="top"/>
          </w:tcPr>
          <w:p w14:paraId="0AA28B20">
            <w:pPr>
              <w:spacing w:line="240" w:lineRule="exact"/>
              <w:jc w:val="left"/>
              <w:rPr>
                <w:sz w:val="18"/>
                <w:szCs w:val="18"/>
              </w:rPr>
            </w:pPr>
            <w:r>
              <w:rPr>
                <w:rFonts w:hint="eastAsia"/>
                <w:sz w:val="18"/>
                <w:szCs w:val="18"/>
              </w:rPr>
              <w:t xml:space="preserve">国家法定资质的检验机构报告 </w:t>
            </w:r>
          </w:p>
        </w:tc>
        <w:tc>
          <w:tcPr>
            <w:tcW w:w="4536" w:type="dxa"/>
            <w:gridSpan w:val="3"/>
            <w:noWrap w:val="0"/>
            <w:vAlign w:val="top"/>
          </w:tcPr>
          <w:p w14:paraId="5F5A0621">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rPr>
            </w:pPr>
          </w:p>
        </w:tc>
        <w:tc>
          <w:tcPr>
            <w:tcW w:w="4536" w:type="dxa"/>
            <w:gridSpan w:val="3"/>
            <w:noWrap w:val="0"/>
            <w:vAlign w:val="top"/>
          </w:tcPr>
          <w:p w14:paraId="58597FDC">
            <w:pPr>
              <w:spacing w:line="240" w:lineRule="exact"/>
              <w:jc w:val="left"/>
              <w:rPr>
                <w:rFonts w:hint="eastAsia"/>
                <w:sz w:val="18"/>
                <w:szCs w:val="18"/>
              </w:rPr>
            </w:pPr>
            <w:r>
              <w:rPr>
                <w:rFonts w:hint="eastAsia"/>
                <w:sz w:val="18"/>
                <w:szCs w:val="18"/>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lang w:val="en-US" w:eastAsia="zh-CN" w:bidi="ar-SA"/>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rPr>
            </w:pPr>
          </w:p>
        </w:tc>
        <w:tc>
          <w:tcPr>
            <w:tcW w:w="4536" w:type="dxa"/>
            <w:gridSpan w:val="3"/>
            <w:noWrap w:val="0"/>
            <w:vAlign w:val="top"/>
          </w:tcPr>
          <w:p w14:paraId="515F3B96">
            <w:pPr>
              <w:spacing w:line="240" w:lineRule="exact"/>
              <w:jc w:val="left"/>
              <w:rPr>
                <w:sz w:val="18"/>
                <w:szCs w:val="18"/>
              </w:rPr>
            </w:pPr>
            <w:r>
              <w:rPr>
                <w:rFonts w:hint="eastAsia"/>
                <w:sz w:val="18"/>
                <w:szCs w:val="18"/>
              </w:rPr>
              <w:t xml:space="preserve">危险化学品经营许可证  </w:t>
            </w:r>
          </w:p>
        </w:tc>
        <w:tc>
          <w:tcPr>
            <w:tcW w:w="4536" w:type="dxa"/>
            <w:gridSpan w:val="3"/>
            <w:noWrap w:val="0"/>
            <w:vAlign w:val="top"/>
          </w:tcPr>
          <w:p w14:paraId="7D18605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rPr>
            </w:pPr>
          </w:p>
        </w:tc>
        <w:tc>
          <w:tcPr>
            <w:tcW w:w="4536" w:type="dxa"/>
            <w:gridSpan w:val="3"/>
            <w:noWrap w:val="0"/>
            <w:vAlign w:val="top"/>
          </w:tcPr>
          <w:p w14:paraId="27548D5F">
            <w:pPr>
              <w:spacing w:line="240" w:lineRule="exact"/>
              <w:jc w:val="left"/>
              <w:rPr>
                <w:sz w:val="18"/>
                <w:szCs w:val="18"/>
              </w:rPr>
            </w:pPr>
            <w:r>
              <w:rPr>
                <w:rFonts w:hint="eastAsia"/>
                <w:sz w:val="18"/>
                <w:szCs w:val="18"/>
              </w:rPr>
              <w:t xml:space="preserve">代理品牌授权证书       </w:t>
            </w:r>
          </w:p>
        </w:tc>
        <w:tc>
          <w:tcPr>
            <w:tcW w:w="4536" w:type="dxa"/>
            <w:gridSpan w:val="3"/>
            <w:noWrap w:val="0"/>
            <w:vAlign w:val="top"/>
          </w:tcPr>
          <w:p w14:paraId="2504944D">
            <w:pPr>
              <w:spacing w:line="240" w:lineRule="exact"/>
              <w:jc w:val="left"/>
              <w:rPr>
                <w:sz w:val="18"/>
                <w:szCs w:val="18"/>
              </w:rPr>
            </w:pPr>
            <w:r>
              <w:rPr>
                <w:rFonts w:hint="eastAsia"/>
                <w:sz w:val="18"/>
                <w:szCs w:val="18"/>
              </w:rPr>
              <w:t>□有  代理品牌名称：</w:t>
            </w:r>
            <w:r>
              <w:rPr>
                <w:rFonts w:hint="eastAsia"/>
                <w:sz w:val="18"/>
                <w:szCs w:val="18"/>
              </w:rPr>
              <w:sym w:font="Wingdings 2" w:char="00A3"/>
            </w:r>
            <w:r>
              <w:rPr>
                <w:rFonts w:hint="eastAsia"/>
                <w:sz w:val="18"/>
                <w:szCs w:val="18"/>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rPr>
            </w:pPr>
          </w:p>
        </w:tc>
        <w:tc>
          <w:tcPr>
            <w:tcW w:w="4536" w:type="dxa"/>
            <w:gridSpan w:val="3"/>
            <w:noWrap w:val="0"/>
            <w:vAlign w:val="top"/>
          </w:tcPr>
          <w:p w14:paraId="3D519F8C">
            <w:pPr>
              <w:spacing w:line="240" w:lineRule="exact"/>
              <w:jc w:val="left"/>
              <w:rPr>
                <w:sz w:val="18"/>
                <w:szCs w:val="18"/>
              </w:rPr>
            </w:pPr>
            <w:r>
              <w:rPr>
                <w:rFonts w:hint="eastAsia"/>
                <w:sz w:val="18"/>
                <w:szCs w:val="18"/>
              </w:rPr>
              <w:t>企业施工、承包资质证书</w:t>
            </w:r>
          </w:p>
        </w:tc>
        <w:tc>
          <w:tcPr>
            <w:tcW w:w="4536" w:type="dxa"/>
            <w:gridSpan w:val="3"/>
            <w:noWrap w:val="0"/>
            <w:vAlign w:val="top"/>
          </w:tcPr>
          <w:p w14:paraId="48177475">
            <w:pPr>
              <w:spacing w:line="240" w:lineRule="exact"/>
              <w:jc w:val="left"/>
              <w:rPr>
                <w:sz w:val="18"/>
                <w:szCs w:val="18"/>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rPr>
            </w:pPr>
          </w:p>
        </w:tc>
        <w:tc>
          <w:tcPr>
            <w:tcW w:w="4536" w:type="dxa"/>
            <w:gridSpan w:val="3"/>
            <w:noWrap w:val="0"/>
            <w:vAlign w:val="top"/>
          </w:tcPr>
          <w:p w14:paraId="440D78A8">
            <w:pPr>
              <w:spacing w:line="240" w:lineRule="exact"/>
              <w:jc w:val="left"/>
              <w:rPr>
                <w:sz w:val="18"/>
                <w:szCs w:val="18"/>
              </w:rPr>
            </w:pPr>
            <w:r>
              <w:rPr>
                <w:rFonts w:hint="eastAsia"/>
                <w:sz w:val="18"/>
                <w:szCs w:val="18"/>
              </w:rPr>
              <w:t>其他资质</w:t>
            </w:r>
          </w:p>
        </w:tc>
        <w:tc>
          <w:tcPr>
            <w:tcW w:w="4536" w:type="dxa"/>
            <w:gridSpan w:val="3"/>
            <w:noWrap w:val="0"/>
            <w:vAlign w:val="top"/>
          </w:tcPr>
          <w:p w14:paraId="47C59016">
            <w:pPr>
              <w:spacing w:line="240" w:lineRule="exact"/>
              <w:jc w:val="left"/>
              <w:rPr>
                <w:sz w:val="18"/>
                <w:szCs w:val="18"/>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rPr>
            </w:pPr>
            <w:r>
              <w:rPr>
                <w:rFonts w:hint="eastAsia"/>
                <w:b/>
                <w:szCs w:val="21"/>
              </w:rPr>
              <w:t>专业单位</w:t>
            </w:r>
          </w:p>
        </w:tc>
        <w:tc>
          <w:tcPr>
            <w:tcW w:w="9072" w:type="dxa"/>
            <w:gridSpan w:val="6"/>
            <w:noWrap w:val="0"/>
            <w:vAlign w:val="top"/>
          </w:tcPr>
          <w:p w14:paraId="5F470C7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0BA6AF0">
            <w:pPr>
              <w:spacing w:line="240" w:lineRule="exact"/>
              <w:jc w:val="left"/>
              <w:rPr>
                <w:b/>
                <w:sz w:val="18"/>
                <w:szCs w:val="18"/>
              </w:rPr>
            </w:pPr>
            <w:r>
              <w:rPr>
                <w:rFonts w:hint="eastAsia" w:ascii="仿宋_GB2312" w:eastAsia="仿宋_GB2312"/>
                <w:szCs w:val="21"/>
              </w:rPr>
              <w:t>（业绩与能力方面）说明：</w:t>
            </w:r>
          </w:p>
          <w:p w14:paraId="5EF1DAFB">
            <w:pPr>
              <w:spacing w:line="240" w:lineRule="exact"/>
              <w:jc w:val="left"/>
              <w:rPr>
                <w:b/>
                <w:sz w:val="18"/>
                <w:szCs w:val="18"/>
              </w:rPr>
            </w:pPr>
          </w:p>
          <w:p w14:paraId="6291F993">
            <w:pPr>
              <w:spacing w:line="240" w:lineRule="exact"/>
              <w:jc w:val="left"/>
              <w:rPr>
                <w:b/>
                <w:sz w:val="18"/>
                <w:szCs w:val="18"/>
              </w:rPr>
            </w:pPr>
          </w:p>
          <w:p w14:paraId="04B04B6F">
            <w:pPr>
              <w:spacing w:line="240" w:lineRule="exact"/>
              <w:jc w:val="left"/>
              <w:rPr>
                <w:sz w:val="18"/>
                <w:szCs w:val="18"/>
              </w:rPr>
            </w:pPr>
            <w:r>
              <w:rPr>
                <w:rFonts w:hint="eastAsia"/>
                <w:sz w:val="18"/>
                <w:szCs w:val="18"/>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rPr>
            </w:pPr>
            <w:r>
              <w:rPr>
                <w:rFonts w:hint="eastAsia"/>
                <w:b/>
                <w:szCs w:val="21"/>
              </w:rPr>
              <w:t>职能单位</w:t>
            </w:r>
          </w:p>
        </w:tc>
        <w:tc>
          <w:tcPr>
            <w:tcW w:w="9072" w:type="dxa"/>
            <w:gridSpan w:val="6"/>
            <w:noWrap w:val="0"/>
            <w:vAlign w:val="center"/>
          </w:tcPr>
          <w:p w14:paraId="7DFE7DA1">
            <w:pPr>
              <w:spacing w:line="240" w:lineRule="exact"/>
              <w:jc w:val="left"/>
              <w:rPr>
                <w:szCs w:val="21"/>
              </w:rPr>
            </w:pPr>
            <w:r>
              <w:rPr>
                <w:rFonts w:hint="eastAsia" w:ascii="宋体" w:hAnsi="宋体"/>
                <w:szCs w:val="21"/>
              </w:rPr>
              <w:t>□列入</w:t>
            </w:r>
            <w:r>
              <w:rPr>
                <w:rFonts w:hint="eastAsia"/>
                <w:szCs w:val="21"/>
              </w:rPr>
              <w:t xml:space="preserve">合格供应商名录        </w:t>
            </w:r>
            <w:r>
              <w:rPr>
                <w:rFonts w:hint="eastAsia" w:ascii="宋体" w:hAnsi="宋体"/>
                <w:szCs w:val="21"/>
              </w:rPr>
              <w:t>□暂缓列入</w:t>
            </w:r>
            <w:r>
              <w:rPr>
                <w:rFonts w:hint="eastAsia"/>
                <w:szCs w:val="21"/>
              </w:rPr>
              <w:t>合格供应商名录</w:t>
            </w:r>
          </w:p>
          <w:p w14:paraId="2788DD95">
            <w:pPr>
              <w:spacing w:line="240" w:lineRule="exact"/>
              <w:jc w:val="left"/>
              <w:rPr>
                <w:b/>
                <w:szCs w:val="21"/>
              </w:rPr>
            </w:pPr>
            <w:r>
              <w:rPr>
                <w:rFonts w:hint="eastAsia" w:ascii="仿宋_GB2312" w:eastAsia="仿宋_GB2312"/>
                <w:szCs w:val="21"/>
              </w:rPr>
              <w:t>综合评价及推荐意见：</w:t>
            </w:r>
          </w:p>
          <w:p w14:paraId="09E631C0">
            <w:pPr>
              <w:spacing w:line="240" w:lineRule="exact"/>
              <w:jc w:val="left"/>
              <w:rPr>
                <w:b/>
                <w:sz w:val="18"/>
                <w:szCs w:val="18"/>
              </w:rPr>
            </w:pPr>
          </w:p>
          <w:p w14:paraId="5BD38210">
            <w:pPr>
              <w:spacing w:line="240" w:lineRule="exact"/>
              <w:jc w:val="left"/>
              <w:rPr>
                <w:b/>
                <w:sz w:val="18"/>
                <w:szCs w:val="18"/>
              </w:rPr>
            </w:pPr>
          </w:p>
          <w:p w14:paraId="3F2890AC">
            <w:pPr>
              <w:spacing w:line="240" w:lineRule="exact"/>
              <w:jc w:val="left"/>
              <w:rPr>
                <w:b/>
                <w:sz w:val="18"/>
                <w:szCs w:val="18"/>
              </w:rPr>
            </w:pPr>
          </w:p>
          <w:p w14:paraId="5265232F">
            <w:pPr>
              <w:spacing w:line="240" w:lineRule="exact"/>
              <w:jc w:val="left"/>
              <w:rPr>
                <w:b/>
                <w:sz w:val="18"/>
                <w:szCs w:val="18"/>
              </w:rPr>
            </w:pPr>
            <w:r>
              <w:rPr>
                <w:rFonts w:hint="eastAsia"/>
                <w:sz w:val="18"/>
                <w:szCs w:val="18"/>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rPr>
            </w:pPr>
            <w:r>
              <w:rPr>
                <w:rFonts w:hint="eastAsia"/>
                <w:b/>
                <w:szCs w:val="21"/>
              </w:rPr>
              <w:t>物资部</w:t>
            </w:r>
          </w:p>
        </w:tc>
        <w:tc>
          <w:tcPr>
            <w:tcW w:w="9072" w:type="dxa"/>
            <w:gridSpan w:val="6"/>
            <w:noWrap w:val="0"/>
            <w:vAlign w:val="center"/>
          </w:tcPr>
          <w:p w14:paraId="61F4AE8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21263DA6">
            <w:pPr>
              <w:spacing w:line="240" w:lineRule="exact"/>
              <w:jc w:val="left"/>
              <w:rPr>
                <w:b/>
                <w:szCs w:val="21"/>
              </w:rPr>
            </w:pPr>
            <w:r>
              <w:rPr>
                <w:rFonts w:hint="eastAsia" w:ascii="仿宋_GB2312" w:eastAsia="仿宋_GB2312"/>
                <w:szCs w:val="21"/>
              </w:rPr>
              <w:t>（商务与资质方面）说明：</w:t>
            </w:r>
          </w:p>
          <w:p w14:paraId="155BBC22">
            <w:pPr>
              <w:spacing w:line="240" w:lineRule="exact"/>
              <w:jc w:val="left"/>
              <w:rPr>
                <w:b/>
                <w:sz w:val="18"/>
                <w:szCs w:val="18"/>
              </w:rPr>
            </w:pPr>
          </w:p>
          <w:p w14:paraId="0CCAFB17">
            <w:pPr>
              <w:spacing w:line="240" w:lineRule="exact"/>
              <w:jc w:val="left"/>
              <w:rPr>
                <w:b/>
                <w:sz w:val="18"/>
                <w:szCs w:val="18"/>
              </w:rPr>
            </w:pPr>
          </w:p>
          <w:p w14:paraId="3FF5F4B3">
            <w:pPr>
              <w:spacing w:line="240" w:lineRule="exact"/>
              <w:jc w:val="left"/>
              <w:rPr>
                <w:b/>
                <w:sz w:val="18"/>
                <w:szCs w:val="18"/>
              </w:rPr>
            </w:pPr>
          </w:p>
          <w:p w14:paraId="5EA10815">
            <w:pPr>
              <w:spacing w:line="240" w:lineRule="exact"/>
              <w:jc w:val="left"/>
              <w:rPr>
                <w:b/>
                <w:sz w:val="18"/>
                <w:szCs w:val="18"/>
              </w:rPr>
            </w:pPr>
            <w:r>
              <w:rPr>
                <w:rFonts w:hint="eastAsia"/>
                <w:sz w:val="18"/>
                <w:szCs w:val="18"/>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rPr>
            </w:pPr>
            <w:r>
              <w:rPr>
                <w:rFonts w:hint="eastAsia"/>
                <w:b/>
                <w:szCs w:val="21"/>
              </w:rPr>
              <w:t>专业分管领导</w:t>
            </w:r>
          </w:p>
        </w:tc>
        <w:tc>
          <w:tcPr>
            <w:tcW w:w="9072" w:type="dxa"/>
            <w:gridSpan w:val="6"/>
            <w:noWrap w:val="0"/>
            <w:vAlign w:val="center"/>
          </w:tcPr>
          <w:p w14:paraId="7D22CA0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76A9B082">
            <w:pPr>
              <w:spacing w:line="240" w:lineRule="exact"/>
              <w:jc w:val="left"/>
              <w:rPr>
                <w:rFonts w:ascii="仿宋_GB2312" w:eastAsia="仿宋_GB2312"/>
                <w:szCs w:val="21"/>
              </w:rPr>
            </w:pPr>
            <w:r>
              <w:rPr>
                <w:rFonts w:hint="eastAsia" w:ascii="仿宋_GB2312" w:eastAsia="仿宋_GB2312"/>
                <w:szCs w:val="21"/>
              </w:rPr>
              <w:t>说明：</w:t>
            </w:r>
          </w:p>
          <w:p w14:paraId="0AE9B68C">
            <w:pPr>
              <w:spacing w:line="240" w:lineRule="exact"/>
              <w:jc w:val="left"/>
              <w:rPr>
                <w:rFonts w:ascii="仿宋_GB2312" w:eastAsia="仿宋_GB2312"/>
                <w:szCs w:val="21"/>
              </w:rPr>
            </w:pPr>
          </w:p>
          <w:p w14:paraId="1C87A283">
            <w:pPr>
              <w:spacing w:line="240" w:lineRule="exact"/>
              <w:jc w:val="left"/>
              <w:rPr>
                <w:szCs w:val="21"/>
              </w:rPr>
            </w:pPr>
          </w:p>
          <w:p w14:paraId="6E821125">
            <w:pPr>
              <w:spacing w:line="240" w:lineRule="exact"/>
              <w:ind w:right="-53" w:rightChars="-25"/>
              <w:jc w:val="left"/>
              <w:rPr>
                <w:b/>
              </w:rPr>
            </w:pPr>
            <w:r>
              <w:rPr>
                <w:rFonts w:hint="eastAsia"/>
                <w:sz w:val="18"/>
                <w:szCs w:val="18"/>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rPr>
            </w:pPr>
            <w:r>
              <w:rPr>
                <w:rFonts w:hint="eastAsia"/>
                <w:b/>
                <w:szCs w:val="21"/>
              </w:rPr>
              <w:t>商务分管领导</w:t>
            </w:r>
          </w:p>
        </w:tc>
        <w:tc>
          <w:tcPr>
            <w:tcW w:w="9072" w:type="dxa"/>
            <w:gridSpan w:val="6"/>
            <w:noWrap w:val="0"/>
            <w:vAlign w:val="center"/>
          </w:tcPr>
          <w:p w14:paraId="066D10C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5690184">
            <w:pPr>
              <w:spacing w:line="240" w:lineRule="exact"/>
              <w:jc w:val="left"/>
              <w:rPr>
                <w:rFonts w:ascii="仿宋_GB2312" w:eastAsia="仿宋_GB2312"/>
                <w:szCs w:val="21"/>
              </w:rPr>
            </w:pPr>
            <w:r>
              <w:rPr>
                <w:rFonts w:hint="eastAsia" w:ascii="仿宋_GB2312" w:eastAsia="仿宋_GB2312"/>
                <w:szCs w:val="21"/>
              </w:rPr>
              <w:t>说明：</w:t>
            </w:r>
          </w:p>
          <w:p w14:paraId="2D40DAA2">
            <w:pPr>
              <w:spacing w:line="240" w:lineRule="exact"/>
              <w:jc w:val="left"/>
              <w:rPr>
                <w:rFonts w:ascii="仿宋_GB2312" w:eastAsia="仿宋_GB2312"/>
                <w:szCs w:val="21"/>
              </w:rPr>
            </w:pPr>
          </w:p>
          <w:p w14:paraId="7C419552">
            <w:pPr>
              <w:spacing w:line="240" w:lineRule="exact"/>
              <w:jc w:val="left"/>
              <w:rPr>
                <w:szCs w:val="21"/>
              </w:rPr>
            </w:pPr>
          </w:p>
          <w:p w14:paraId="2539A060">
            <w:pPr>
              <w:spacing w:line="240" w:lineRule="exact"/>
              <w:ind w:right="-53" w:rightChars="-25"/>
              <w:jc w:val="left"/>
              <w:rPr>
                <w:b/>
              </w:rPr>
            </w:pPr>
            <w:r>
              <w:rPr>
                <w:rFonts w:hint="eastAsia"/>
                <w:sz w:val="18"/>
                <w:szCs w:val="18"/>
              </w:rPr>
              <w:t xml:space="preserve">                                                           签字：                      年    月    日</w:t>
            </w:r>
          </w:p>
        </w:tc>
      </w:tr>
    </w:tbl>
    <w:p w14:paraId="71A57B95">
      <w:pPr>
        <w:spacing w:line="240" w:lineRule="exact"/>
        <w:ind w:left="-510" w:leftChars="-243"/>
        <w:rPr>
          <w:sz w:val="18"/>
          <w:szCs w:val="18"/>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rPr>
      </w:pPr>
      <w:r>
        <w:rPr>
          <w:rFonts w:hint="eastAsia" w:hAnsi="宋体"/>
          <w:b/>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rPr>
      </w:pPr>
      <w:bookmarkStart w:id="0" w:name="_Toc20976"/>
      <w:r>
        <w:rPr>
          <w:szCs w:val="21"/>
        </w:rPr>
        <w:t>1.</w:t>
      </w:r>
      <w:r>
        <w:rPr>
          <w:rFonts w:hint="eastAsia"/>
          <w:szCs w:val="21"/>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2</w:t>
      </w:r>
      <w:r>
        <w:rPr>
          <w:szCs w:val="21"/>
        </w:rPr>
        <w:t>.</w:t>
      </w:r>
      <w:r>
        <w:rPr>
          <w:rFonts w:hAnsi="宋体"/>
          <w:szCs w:val="21"/>
        </w:rPr>
        <w:t>工程</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运营期的设施工程的新建、扩建、缺陷整改</w:t>
      </w:r>
      <w:r>
        <w:rPr>
          <w:rFonts w:hint="eastAsia" w:hAnsi="宋体"/>
          <w:szCs w:val="21"/>
        </w:rPr>
        <w:t>、工程设计</w:t>
      </w:r>
      <w:r>
        <w:rPr>
          <w:rFonts w:hAnsi="宋体"/>
          <w:szCs w:val="21"/>
        </w:rPr>
        <w:t>等项目</w:t>
      </w:r>
      <w:r>
        <w:rPr>
          <w:rFonts w:hint="eastAsia" w:hAnsi="宋体"/>
          <w:szCs w:val="21"/>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hAnsi="宋体"/>
          <w:szCs w:val="21"/>
        </w:rPr>
        <w:t>3.委送外修类项目：是指</w:t>
      </w:r>
      <w:r>
        <w:rPr>
          <w:rFonts w:hint="eastAsia" w:hAnsi="宋体"/>
          <w:szCs w:val="21"/>
          <w:lang w:val="en-US" w:eastAsia="zh-CN"/>
        </w:rPr>
        <w:t>滁宁城铁</w:t>
      </w:r>
      <w:r>
        <w:rPr>
          <w:rFonts w:hint="eastAsia" w:hAnsi="宋体"/>
          <w:szCs w:val="21"/>
        </w:rPr>
        <w:t>运营期的设备委外维保、送外修等项目</w:t>
      </w:r>
      <w:r>
        <w:rPr>
          <w:rFonts w:hint="eastAsia" w:hAnsi="宋体"/>
          <w:szCs w:val="21"/>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lang w:eastAsia="zh-CN"/>
        </w:rPr>
      </w:pPr>
      <w:bookmarkStart w:id="1" w:name="_Toc10584"/>
      <w:r>
        <w:rPr>
          <w:rFonts w:hint="eastAsia" w:hAnsi="宋体"/>
          <w:szCs w:val="21"/>
        </w:rPr>
        <w:t>4.物资采购类项目：是指物资、设施采购项目</w:t>
      </w:r>
      <w:bookmarkEnd w:id="1"/>
      <w:r>
        <w:rPr>
          <w:rFonts w:hint="eastAsia" w:hAnsi="宋体"/>
          <w:szCs w:val="21"/>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5</w:t>
      </w:r>
      <w:r>
        <w:rPr>
          <w:szCs w:val="21"/>
        </w:rPr>
        <w:t>.</w:t>
      </w:r>
      <w:r>
        <w:rPr>
          <w:rFonts w:hAnsi="宋体"/>
          <w:szCs w:val="21"/>
        </w:rPr>
        <w:t>服务</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w:t>
      </w:r>
      <w:r>
        <w:rPr>
          <w:rFonts w:hint="eastAsia" w:hAnsi="宋体"/>
          <w:szCs w:val="21"/>
        </w:rPr>
        <w:t>软件开发、咨询</w:t>
      </w:r>
      <w:r>
        <w:rPr>
          <w:rFonts w:hAnsi="宋体"/>
          <w:szCs w:val="21"/>
        </w:rPr>
        <w:t>、</w:t>
      </w:r>
      <w:r>
        <w:rPr>
          <w:rFonts w:hint="eastAsia" w:hAnsi="宋体"/>
          <w:szCs w:val="21"/>
        </w:rPr>
        <w:t>培训、安检服务、后勤保障</w:t>
      </w:r>
      <w:r>
        <w:rPr>
          <w:rFonts w:hAnsi="宋体"/>
          <w:szCs w:val="21"/>
        </w:rPr>
        <w:t>等项目</w:t>
      </w:r>
      <w:r>
        <w:rPr>
          <w:rFonts w:hint="eastAsia" w:hAnsi="宋体"/>
          <w:szCs w:val="21"/>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lang w:eastAsia="zh-CN"/>
        </w:rPr>
      </w:pPr>
      <w:bookmarkStart w:id="2" w:name="_Toc1802"/>
      <w:r>
        <w:rPr>
          <w:rFonts w:hint="eastAsia"/>
          <w:szCs w:val="21"/>
        </w:rPr>
        <w:t>6</w:t>
      </w:r>
      <w:r>
        <w:rPr>
          <w:szCs w:val="21"/>
        </w:rPr>
        <w:t>.</w:t>
      </w:r>
      <w:r>
        <w:rPr>
          <w:rFonts w:hAnsi="宋体"/>
          <w:szCs w:val="21"/>
        </w:rPr>
        <w:t>资质档案文件须提供</w:t>
      </w:r>
      <w:r>
        <w:rPr>
          <w:rFonts w:hint="eastAsia" w:hAnsi="宋体"/>
          <w:szCs w:val="21"/>
        </w:rPr>
        <w:t>加盖公章的复印件</w:t>
      </w:r>
      <w:r>
        <w:rPr>
          <w:rFonts w:hAnsi="宋体"/>
          <w:szCs w:val="21"/>
        </w:rPr>
        <w:t>存档，原件备查</w:t>
      </w:r>
      <w:bookmarkEnd w:id="2"/>
      <w:r>
        <w:rPr>
          <w:rFonts w:hint="eastAsia" w:hAnsi="宋体"/>
          <w:szCs w:val="21"/>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rPr>
      </w:pPr>
      <w:r>
        <w:rPr>
          <w:rFonts w:hint="eastAsia"/>
          <w:szCs w:val="21"/>
        </w:rPr>
        <w:t>7</w:t>
      </w:r>
      <w:r>
        <w:rPr>
          <w:szCs w:val="21"/>
        </w:rPr>
        <w:t>.</w:t>
      </w:r>
      <w:r>
        <w:rPr>
          <w:rFonts w:hint="eastAsia" w:hAnsi="宋体"/>
          <w:szCs w:val="21"/>
        </w:rPr>
        <w:t>供应商</w:t>
      </w:r>
      <w:r>
        <w:rPr>
          <w:rFonts w:hAnsi="宋体"/>
          <w:szCs w:val="21"/>
        </w:rPr>
        <w:t>所列业绩必须提供证明文件及相</w:t>
      </w:r>
      <w:r>
        <w:rPr>
          <w:szCs w:val="21"/>
        </w:rPr>
        <w:t>关合同，至少要提供3个合格业绩</w:t>
      </w:r>
      <w:r>
        <w:rPr>
          <w:rFonts w:hint="eastAsia"/>
          <w:szCs w:val="21"/>
        </w:rPr>
        <w:t>。</w:t>
      </w:r>
    </w:p>
    <w:p w14:paraId="11EC0293">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rPr>
        <w:br w:type="page"/>
      </w:r>
    </w:p>
    <w:p w14:paraId="5801E914">
      <w:pPr>
        <w:widowControl/>
        <w:jc w:val="left"/>
        <w:rPr>
          <w:rFonts w:hint="eastAsia" w:eastAsia="宋体"/>
          <w:sz w:val="24"/>
          <w:szCs w:val="24"/>
          <w:lang w:val="en-US" w:eastAsia="zh-CN"/>
        </w:rPr>
      </w:pPr>
      <w:r>
        <w:rPr>
          <w:rFonts w:hint="eastAsia"/>
        </w:rPr>
        <w:t>格式</w:t>
      </w:r>
      <w:r>
        <w:rPr>
          <w:rFonts w:hint="eastAsia"/>
          <w:lang w:val="en-US" w:eastAsia="zh-CN"/>
        </w:rPr>
        <w:t>4</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437DE835">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lang w:val="en-US" w:eastAsia="zh-CN"/>
        </w:rPr>
      </w:pPr>
      <w:r>
        <w:rPr>
          <w:rFonts w:hint="eastAsia"/>
        </w:rPr>
        <w:t>格式</w:t>
      </w:r>
      <w:r>
        <w:rPr>
          <w:rFonts w:hint="eastAsia"/>
          <w:lang w:val="en-US" w:eastAsia="zh-CN"/>
        </w:rPr>
        <w:t>5</w:t>
      </w:r>
    </w:p>
    <w:p w14:paraId="57B65C54">
      <w:pPr>
        <w:pStyle w:val="4"/>
        <w:spacing w:before="2" w:beforeLines="1" w:after="2" w:afterLines="1" w:line="360" w:lineRule="auto"/>
        <w:jc w:val="center"/>
        <w:rPr>
          <w:rFonts w:ascii="Arial" w:hAnsi="Arial" w:cs="Arial"/>
          <w:sz w:val="30"/>
          <w:szCs w:val="30"/>
        </w:rPr>
      </w:pPr>
      <w:bookmarkStart w:id="3" w:name="_Toc477250300"/>
      <w:bookmarkStart w:id="4" w:name="_Toc470617844"/>
      <w:bookmarkStart w:id="5" w:name="_Toc471894962"/>
      <w:bookmarkStart w:id="6" w:name="_Toc10620851"/>
      <w:bookmarkStart w:id="7" w:name="_Toc22503"/>
      <w:bookmarkStart w:id="8" w:name="_Toc472325755"/>
      <w:bookmarkStart w:id="9" w:name="_Toc92804592"/>
      <w:r>
        <w:rPr>
          <w:rFonts w:hint="eastAsia" w:ascii="Arial" w:hAnsi="Arial"/>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4"/>
        </w:numPr>
        <w:spacing w:line="360" w:lineRule="auto"/>
        <w:rPr>
          <w:rFonts w:ascii="Arial" w:hAnsi="Arial"/>
          <w:sz w:val="24"/>
        </w:rPr>
      </w:pPr>
      <w:r>
        <w:rPr>
          <w:rFonts w:hint="eastAsia" w:ascii="Arial" w:hAnsi="Arial"/>
          <w:sz w:val="24"/>
        </w:rPr>
        <w:t>如成交，取消本单位成交资格；</w:t>
      </w:r>
    </w:p>
    <w:p w14:paraId="61719BB7">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6226A2D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7"/>
        <w:spacing w:before="0" w:after="100" w:afterAutospacing="1" w:line="360" w:lineRule="auto"/>
      </w:pPr>
      <w:r>
        <w:rPr>
          <w:rFonts w:hint="eastAsia"/>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1C516B3B">
      <w:pPr>
        <w:tabs>
          <w:tab w:val="left" w:pos="360"/>
        </w:tabs>
        <w:snapToGrid w:val="0"/>
        <w:spacing w:line="360" w:lineRule="auto"/>
        <w:ind w:left="643" w:hanging="642" w:hangingChars="306"/>
        <w:rPr>
          <w:rFonts w:ascii="宋体" w:hAnsi="宋体"/>
          <w:szCs w:val="21"/>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60774EA"/>
    <w:rsid w:val="060A660A"/>
    <w:rsid w:val="062067FE"/>
    <w:rsid w:val="068F6E11"/>
    <w:rsid w:val="06B238FA"/>
    <w:rsid w:val="07153E89"/>
    <w:rsid w:val="075B5D40"/>
    <w:rsid w:val="07D77390"/>
    <w:rsid w:val="081D1247"/>
    <w:rsid w:val="084E7652"/>
    <w:rsid w:val="08504A1F"/>
    <w:rsid w:val="085E7C8E"/>
    <w:rsid w:val="08DA2C94"/>
    <w:rsid w:val="08E055B3"/>
    <w:rsid w:val="09356F0C"/>
    <w:rsid w:val="097E3F67"/>
    <w:rsid w:val="09896468"/>
    <w:rsid w:val="09C37BCC"/>
    <w:rsid w:val="09F2400E"/>
    <w:rsid w:val="0A00672A"/>
    <w:rsid w:val="0A454A85"/>
    <w:rsid w:val="0A490A8C"/>
    <w:rsid w:val="0A64315D"/>
    <w:rsid w:val="0A8960BD"/>
    <w:rsid w:val="0A8E0EBA"/>
    <w:rsid w:val="0B2F1F4E"/>
    <w:rsid w:val="0BA3623F"/>
    <w:rsid w:val="0BAF665A"/>
    <w:rsid w:val="0BC35C62"/>
    <w:rsid w:val="0BCD7E05"/>
    <w:rsid w:val="0BD7170D"/>
    <w:rsid w:val="0BEF4CA9"/>
    <w:rsid w:val="0C69794B"/>
    <w:rsid w:val="0CB87790"/>
    <w:rsid w:val="0CDF583D"/>
    <w:rsid w:val="0D2766C4"/>
    <w:rsid w:val="0D474670"/>
    <w:rsid w:val="0D49488C"/>
    <w:rsid w:val="0DF57165"/>
    <w:rsid w:val="0DFE3C20"/>
    <w:rsid w:val="0E41118E"/>
    <w:rsid w:val="0E567261"/>
    <w:rsid w:val="0E6F3E7F"/>
    <w:rsid w:val="0E9B2F86"/>
    <w:rsid w:val="0EC966A2"/>
    <w:rsid w:val="0ED62150"/>
    <w:rsid w:val="0F000F7B"/>
    <w:rsid w:val="0FAE35ED"/>
    <w:rsid w:val="0FB12275"/>
    <w:rsid w:val="106313BA"/>
    <w:rsid w:val="10FC7CB8"/>
    <w:rsid w:val="111555A1"/>
    <w:rsid w:val="11374340"/>
    <w:rsid w:val="1145536B"/>
    <w:rsid w:val="119360D6"/>
    <w:rsid w:val="11E903EC"/>
    <w:rsid w:val="123A47A4"/>
    <w:rsid w:val="126D1B09"/>
    <w:rsid w:val="127315B1"/>
    <w:rsid w:val="127A2BA1"/>
    <w:rsid w:val="12E24FBE"/>
    <w:rsid w:val="132A63DF"/>
    <w:rsid w:val="13503F20"/>
    <w:rsid w:val="13623FB2"/>
    <w:rsid w:val="1367395A"/>
    <w:rsid w:val="1378114C"/>
    <w:rsid w:val="138B016E"/>
    <w:rsid w:val="138D1D96"/>
    <w:rsid w:val="13A20852"/>
    <w:rsid w:val="13D36C5E"/>
    <w:rsid w:val="13F80459"/>
    <w:rsid w:val="14AF2F65"/>
    <w:rsid w:val="14B73C5C"/>
    <w:rsid w:val="14E76E65"/>
    <w:rsid w:val="150F4102"/>
    <w:rsid w:val="15107A3E"/>
    <w:rsid w:val="15593193"/>
    <w:rsid w:val="155A1BBA"/>
    <w:rsid w:val="157D1577"/>
    <w:rsid w:val="15992018"/>
    <w:rsid w:val="15A13B32"/>
    <w:rsid w:val="15DD5B72"/>
    <w:rsid w:val="161E0866"/>
    <w:rsid w:val="166D339A"/>
    <w:rsid w:val="17084E70"/>
    <w:rsid w:val="1786728C"/>
    <w:rsid w:val="17DE3E23"/>
    <w:rsid w:val="17E31439"/>
    <w:rsid w:val="17E458DD"/>
    <w:rsid w:val="180A24D2"/>
    <w:rsid w:val="1824217E"/>
    <w:rsid w:val="188E75F7"/>
    <w:rsid w:val="191A1950"/>
    <w:rsid w:val="197902A7"/>
    <w:rsid w:val="198E2A16"/>
    <w:rsid w:val="19A76BC3"/>
    <w:rsid w:val="19B906A4"/>
    <w:rsid w:val="19D96F98"/>
    <w:rsid w:val="19DB2D10"/>
    <w:rsid w:val="1A18361C"/>
    <w:rsid w:val="1A2F7C4C"/>
    <w:rsid w:val="1AAE5D2F"/>
    <w:rsid w:val="1AF8344E"/>
    <w:rsid w:val="1B247C05"/>
    <w:rsid w:val="1B776A68"/>
    <w:rsid w:val="1BE340FE"/>
    <w:rsid w:val="1C533032"/>
    <w:rsid w:val="1C6C5EA1"/>
    <w:rsid w:val="1C9F6277"/>
    <w:rsid w:val="1CC21F65"/>
    <w:rsid w:val="1D1F6383"/>
    <w:rsid w:val="1D2E13A9"/>
    <w:rsid w:val="1DBC6559"/>
    <w:rsid w:val="1DBC71D5"/>
    <w:rsid w:val="1DD2442A"/>
    <w:rsid w:val="1E12046C"/>
    <w:rsid w:val="1E162569"/>
    <w:rsid w:val="1E4E3E8A"/>
    <w:rsid w:val="1EA062D6"/>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6E2791"/>
    <w:rsid w:val="227A50AE"/>
    <w:rsid w:val="228D0920"/>
    <w:rsid w:val="23294AEC"/>
    <w:rsid w:val="23353491"/>
    <w:rsid w:val="23E359CA"/>
    <w:rsid w:val="246477BF"/>
    <w:rsid w:val="24AC5BAF"/>
    <w:rsid w:val="24FF3D57"/>
    <w:rsid w:val="25826736"/>
    <w:rsid w:val="25966809"/>
    <w:rsid w:val="25D074A1"/>
    <w:rsid w:val="266320C3"/>
    <w:rsid w:val="26DB3F7D"/>
    <w:rsid w:val="27133AE9"/>
    <w:rsid w:val="275C189F"/>
    <w:rsid w:val="277E1FE6"/>
    <w:rsid w:val="278C2FD8"/>
    <w:rsid w:val="28921C90"/>
    <w:rsid w:val="289F580D"/>
    <w:rsid w:val="28A25500"/>
    <w:rsid w:val="28C826B1"/>
    <w:rsid w:val="28F45255"/>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FF6CD5"/>
    <w:rsid w:val="2D053ED4"/>
    <w:rsid w:val="2D1C2FCC"/>
    <w:rsid w:val="2D832FCE"/>
    <w:rsid w:val="2E7D46B4"/>
    <w:rsid w:val="2E884FDF"/>
    <w:rsid w:val="2E9372BE"/>
    <w:rsid w:val="2E9C2616"/>
    <w:rsid w:val="2F1013EF"/>
    <w:rsid w:val="2F1403FE"/>
    <w:rsid w:val="2F20249B"/>
    <w:rsid w:val="2F2443BA"/>
    <w:rsid w:val="2F344F45"/>
    <w:rsid w:val="2F4F7689"/>
    <w:rsid w:val="2F7610B9"/>
    <w:rsid w:val="2FDA3F8E"/>
    <w:rsid w:val="2FEF49C8"/>
    <w:rsid w:val="300372B7"/>
    <w:rsid w:val="30660AF7"/>
    <w:rsid w:val="31E247E4"/>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9638C"/>
    <w:rsid w:val="400662A3"/>
    <w:rsid w:val="401C02CA"/>
    <w:rsid w:val="404A7C61"/>
    <w:rsid w:val="40C81049"/>
    <w:rsid w:val="40EF4858"/>
    <w:rsid w:val="417967E7"/>
    <w:rsid w:val="41886A2A"/>
    <w:rsid w:val="4241362E"/>
    <w:rsid w:val="42641245"/>
    <w:rsid w:val="42642FF3"/>
    <w:rsid w:val="42964976"/>
    <w:rsid w:val="42D86687"/>
    <w:rsid w:val="430413D1"/>
    <w:rsid w:val="43234C5C"/>
    <w:rsid w:val="433B5A32"/>
    <w:rsid w:val="435F188A"/>
    <w:rsid w:val="436D237B"/>
    <w:rsid w:val="43C401ED"/>
    <w:rsid w:val="44044A8E"/>
    <w:rsid w:val="44074B47"/>
    <w:rsid w:val="44D04A95"/>
    <w:rsid w:val="44D86B0F"/>
    <w:rsid w:val="452324F1"/>
    <w:rsid w:val="453A03D8"/>
    <w:rsid w:val="455F301F"/>
    <w:rsid w:val="45A02594"/>
    <w:rsid w:val="45B97E8C"/>
    <w:rsid w:val="45F75F2C"/>
    <w:rsid w:val="461B60BF"/>
    <w:rsid w:val="465A0995"/>
    <w:rsid w:val="469B36C4"/>
    <w:rsid w:val="46A60EB0"/>
    <w:rsid w:val="46C71DA3"/>
    <w:rsid w:val="46F32B98"/>
    <w:rsid w:val="472C6521"/>
    <w:rsid w:val="47503B46"/>
    <w:rsid w:val="47A729F1"/>
    <w:rsid w:val="47FB1D04"/>
    <w:rsid w:val="481D430D"/>
    <w:rsid w:val="48627FD5"/>
    <w:rsid w:val="48C804D3"/>
    <w:rsid w:val="48CE566A"/>
    <w:rsid w:val="48F0738F"/>
    <w:rsid w:val="49274542"/>
    <w:rsid w:val="493C2429"/>
    <w:rsid w:val="494D2A33"/>
    <w:rsid w:val="49971F00"/>
    <w:rsid w:val="49C2425D"/>
    <w:rsid w:val="49FE5ADB"/>
    <w:rsid w:val="4A0140FD"/>
    <w:rsid w:val="4A212545"/>
    <w:rsid w:val="4A3B4EF1"/>
    <w:rsid w:val="4A5E7508"/>
    <w:rsid w:val="4A940469"/>
    <w:rsid w:val="4AE83552"/>
    <w:rsid w:val="4B212373"/>
    <w:rsid w:val="4B245A16"/>
    <w:rsid w:val="4B693428"/>
    <w:rsid w:val="4B907D32"/>
    <w:rsid w:val="4BB072A9"/>
    <w:rsid w:val="4BB87F0C"/>
    <w:rsid w:val="4BDA60D4"/>
    <w:rsid w:val="4BF278C2"/>
    <w:rsid w:val="4C147838"/>
    <w:rsid w:val="4C510955"/>
    <w:rsid w:val="4D0C050F"/>
    <w:rsid w:val="4D6E6AAF"/>
    <w:rsid w:val="4D7D31BB"/>
    <w:rsid w:val="4DF7516B"/>
    <w:rsid w:val="4E015B9A"/>
    <w:rsid w:val="4E033689"/>
    <w:rsid w:val="4E726A98"/>
    <w:rsid w:val="4ED90B67"/>
    <w:rsid w:val="4EF33865"/>
    <w:rsid w:val="4F021BCA"/>
    <w:rsid w:val="4F4162CB"/>
    <w:rsid w:val="4F4977F9"/>
    <w:rsid w:val="4F55619D"/>
    <w:rsid w:val="4F825B80"/>
    <w:rsid w:val="4F8E7BBB"/>
    <w:rsid w:val="4F9273F2"/>
    <w:rsid w:val="4FE94B38"/>
    <w:rsid w:val="50487AB0"/>
    <w:rsid w:val="507C59AC"/>
    <w:rsid w:val="507E34D2"/>
    <w:rsid w:val="50FC089B"/>
    <w:rsid w:val="5144296E"/>
    <w:rsid w:val="516A4762"/>
    <w:rsid w:val="51864D34"/>
    <w:rsid w:val="51A258E6"/>
    <w:rsid w:val="51AF7AE8"/>
    <w:rsid w:val="51E63A25"/>
    <w:rsid w:val="52003B26"/>
    <w:rsid w:val="533802B0"/>
    <w:rsid w:val="533B1B4E"/>
    <w:rsid w:val="53413127"/>
    <w:rsid w:val="53517D1E"/>
    <w:rsid w:val="53B06098"/>
    <w:rsid w:val="53B10062"/>
    <w:rsid w:val="53B13BBE"/>
    <w:rsid w:val="53FC12DE"/>
    <w:rsid w:val="53FE7D63"/>
    <w:rsid w:val="5411465D"/>
    <w:rsid w:val="54BE47E5"/>
    <w:rsid w:val="54DB130D"/>
    <w:rsid w:val="54E805FF"/>
    <w:rsid w:val="54FF6363"/>
    <w:rsid w:val="551876D5"/>
    <w:rsid w:val="5520724E"/>
    <w:rsid w:val="557E32D7"/>
    <w:rsid w:val="55801A9A"/>
    <w:rsid w:val="5583158B"/>
    <w:rsid w:val="56617B1E"/>
    <w:rsid w:val="566E223B"/>
    <w:rsid w:val="566E5A3F"/>
    <w:rsid w:val="567C04B4"/>
    <w:rsid w:val="56A62F15"/>
    <w:rsid w:val="56B93FA5"/>
    <w:rsid w:val="57825F9E"/>
    <w:rsid w:val="578A5B19"/>
    <w:rsid w:val="57A852D8"/>
    <w:rsid w:val="580754AE"/>
    <w:rsid w:val="587B479B"/>
    <w:rsid w:val="58A3441E"/>
    <w:rsid w:val="58D71912"/>
    <w:rsid w:val="59934492"/>
    <w:rsid w:val="59AA17DC"/>
    <w:rsid w:val="5A014D41"/>
    <w:rsid w:val="5A5654C0"/>
    <w:rsid w:val="5A670E91"/>
    <w:rsid w:val="5AD85ED5"/>
    <w:rsid w:val="5B1A7EA6"/>
    <w:rsid w:val="5B415796"/>
    <w:rsid w:val="5B5555DB"/>
    <w:rsid w:val="5BAA161F"/>
    <w:rsid w:val="5C0160DE"/>
    <w:rsid w:val="5C8E7193"/>
    <w:rsid w:val="5C910A31"/>
    <w:rsid w:val="5CAE3391"/>
    <w:rsid w:val="5CD5691D"/>
    <w:rsid w:val="5CEC5C67"/>
    <w:rsid w:val="5CFE2219"/>
    <w:rsid w:val="5DEC1792"/>
    <w:rsid w:val="5EB822A5"/>
    <w:rsid w:val="5ED67896"/>
    <w:rsid w:val="5EE706DA"/>
    <w:rsid w:val="5EF8758E"/>
    <w:rsid w:val="5F092B01"/>
    <w:rsid w:val="5F2636B2"/>
    <w:rsid w:val="5F69359F"/>
    <w:rsid w:val="5FA0604A"/>
    <w:rsid w:val="601B2AEB"/>
    <w:rsid w:val="60251BBC"/>
    <w:rsid w:val="60255718"/>
    <w:rsid w:val="602D6CC3"/>
    <w:rsid w:val="6083196C"/>
    <w:rsid w:val="60CD2CBF"/>
    <w:rsid w:val="60D72A94"/>
    <w:rsid w:val="60EB4BB4"/>
    <w:rsid w:val="60F021CA"/>
    <w:rsid w:val="613B0F6B"/>
    <w:rsid w:val="61686204"/>
    <w:rsid w:val="6189244E"/>
    <w:rsid w:val="61A86601"/>
    <w:rsid w:val="61D12D46"/>
    <w:rsid w:val="62173786"/>
    <w:rsid w:val="621912AD"/>
    <w:rsid w:val="622F6D22"/>
    <w:rsid w:val="626F5FC1"/>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AE5077"/>
    <w:rsid w:val="6BB838E4"/>
    <w:rsid w:val="6BC1163D"/>
    <w:rsid w:val="6BCE09DE"/>
    <w:rsid w:val="6C047CFF"/>
    <w:rsid w:val="6C3B62C3"/>
    <w:rsid w:val="6C6B4C93"/>
    <w:rsid w:val="6CAA14EC"/>
    <w:rsid w:val="6CFC1EF7"/>
    <w:rsid w:val="6D042B59"/>
    <w:rsid w:val="6D0448D5"/>
    <w:rsid w:val="6D21195D"/>
    <w:rsid w:val="6D504CBA"/>
    <w:rsid w:val="6DF3366F"/>
    <w:rsid w:val="6DF5118C"/>
    <w:rsid w:val="6DF97C92"/>
    <w:rsid w:val="6E283B6C"/>
    <w:rsid w:val="6E340E03"/>
    <w:rsid w:val="6E5806F2"/>
    <w:rsid w:val="6EBA0E73"/>
    <w:rsid w:val="6EC151A6"/>
    <w:rsid w:val="6EC92EC4"/>
    <w:rsid w:val="6ECB1B80"/>
    <w:rsid w:val="6EF26D5B"/>
    <w:rsid w:val="6F5A6ADB"/>
    <w:rsid w:val="6F984159"/>
    <w:rsid w:val="6FA7439C"/>
    <w:rsid w:val="6FAB5E6E"/>
    <w:rsid w:val="6FB96CE6"/>
    <w:rsid w:val="6FCB1EC4"/>
    <w:rsid w:val="70205EFC"/>
    <w:rsid w:val="708D66C2"/>
    <w:rsid w:val="7095177A"/>
    <w:rsid w:val="70BD374B"/>
    <w:rsid w:val="70CB2F29"/>
    <w:rsid w:val="70DC0D6F"/>
    <w:rsid w:val="71431EA2"/>
    <w:rsid w:val="714E5325"/>
    <w:rsid w:val="7169556A"/>
    <w:rsid w:val="72351CEA"/>
    <w:rsid w:val="72AE3C93"/>
    <w:rsid w:val="73375A36"/>
    <w:rsid w:val="7338355D"/>
    <w:rsid w:val="73C6509B"/>
    <w:rsid w:val="741E6BF6"/>
    <w:rsid w:val="74793E2D"/>
    <w:rsid w:val="747F29F4"/>
    <w:rsid w:val="748527D2"/>
    <w:rsid w:val="749F06E5"/>
    <w:rsid w:val="75272958"/>
    <w:rsid w:val="753541DE"/>
    <w:rsid w:val="75AC354D"/>
    <w:rsid w:val="75B77529"/>
    <w:rsid w:val="75BC66C7"/>
    <w:rsid w:val="75BC6A36"/>
    <w:rsid w:val="75EA6B03"/>
    <w:rsid w:val="75FE3D53"/>
    <w:rsid w:val="76263B40"/>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8831F6"/>
    <w:rsid w:val="7DD16A88"/>
    <w:rsid w:val="7DE04EC6"/>
    <w:rsid w:val="7DF804B8"/>
    <w:rsid w:val="7E262225"/>
    <w:rsid w:val="7E6E00C4"/>
    <w:rsid w:val="7E8B1421"/>
    <w:rsid w:val="7EC43731"/>
    <w:rsid w:val="7EDC7492"/>
    <w:rsid w:val="7F0013D2"/>
    <w:rsid w:val="7F25708B"/>
    <w:rsid w:val="7F3948E4"/>
    <w:rsid w:val="7F3B356A"/>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27</Pages>
  <Words>15815</Words>
  <Characters>16801</Characters>
  <Lines>121</Lines>
  <Paragraphs>34</Paragraphs>
  <TotalTime>29</TotalTime>
  <ScaleCrop>false</ScaleCrop>
  <LinksUpToDate>false</LinksUpToDate>
  <CharactersWithSpaces>18330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2025-05-28T01:18:56Z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0CCFC75874BE425FAC6E6700D6A3EBEE_13</vt:lpwstr>
  </property>
  <property fmtid="{D5CDD505-2E9C-101B-9397-08002B2CF9AE}" pid="4" name="KSOTemplateDocerSaveRecord">
    <vt:lpwstr>eyJoZGlkIjoiYjkzOGMzMjE1ODZhMWJhYzk1OWQ4M2FlOGZlNWQ3YmQiLCJ1c2VySWQiOiIzMzU1ODI2OTUifQ==</vt:lpwstr>
  </property>
</Properties>
</file>