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148CC9">
      <w:pPr>
        <w:jc w:val="center"/>
        <w:rPr>
          <w:rFonts w:ascii="宋体" w:hAnsi="宋体" w:cs="宋体"/>
          <w:b/>
          <w:kern w:val="0"/>
          <w:sz w:val="44"/>
          <w:szCs w:val="44"/>
          <w:highlight w:val="none"/>
        </w:rPr>
      </w:pPr>
      <w:bookmarkStart w:id="0" w:name="_Toc461631222"/>
      <w:bookmarkStart w:id="1" w:name="_Toc324404811"/>
      <w:bookmarkStart w:id="2" w:name="_Toc296602400"/>
      <w:bookmarkStart w:id="3" w:name="_Toc506107265"/>
      <w:bookmarkStart w:id="4" w:name="_Toc15058843"/>
      <w:bookmarkStart w:id="5" w:name="_Toc246996898"/>
      <w:bookmarkStart w:id="6" w:name="_Toc247085669"/>
      <w:bookmarkStart w:id="7" w:name="OLE_LINK3"/>
      <w:bookmarkStart w:id="8" w:name="OLE_LINK5"/>
      <w:bookmarkStart w:id="9" w:name="OLE_LINK2"/>
      <w:bookmarkStart w:id="10" w:name="OLE_LINK1"/>
      <w:bookmarkStart w:id="11" w:name="OLE_LINK4"/>
    </w:p>
    <w:p w14:paraId="03BEA7F1">
      <w:pPr>
        <w:pStyle w:val="14"/>
        <w:ind w:firstLine="420"/>
        <w:rPr>
          <w:highlight w:val="none"/>
        </w:rPr>
      </w:pPr>
    </w:p>
    <w:p w14:paraId="183E3389">
      <w:pPr>
        <w:pStyle w:val="14"/>
        <w:ind w:left="0" w:leftChars="0" w:firstLine="0" w:firstLineChars="0"/>
        <w:jc w:val="center"/>
        <w:rPr>
          <w:color w:val="auto"/>
          <w:sz w:val="24"/>
          <w:szCs w:val="22"/>
          <w:highlight w:val="none"/>
        </w:rPr>
      </w:pPr>
      <w:r>
        <w:rPr>
          <w:rFonts w:hint="eastAsia" w:hAnsi="宋体" w:cs="宋体"/>
          <w:b/>
          <w:color w:val="auto"/>
          <w:kern w:val="0"/>
          <w:sz w:val="48"/>
          <w:szCs w:val="48"/>
          <w:highlight w:val="none"/>
          <w:lang w:eastAsia="zh-CN"/>
        </w:rPr>
        <w:t>滁州至南京城际铁路（滁州段）工程环境综合整治防护设施采购及安装项目</w:t>
      </w:r>
    </w:p>
    <w:p w14:paraId="1C9996FB">
      <w:pPr>
        <w:jc w:val="center"/>
        <w:rPr>
          <w:rFonts w:ascii="宋体" w:hAnsi="宋体"/>
          <w:color w:val="auto"/>
          <w:sz w:val="96"/>
          <w:szCs w:val="96"/>
          <w:highlight w:val="none"/>
        </w:rPr>
      </w:pPr>
    </w:p>
    <w:p w14:paraId="2A2621CC">
      <w:pPr>
        <w:pStyle w:val="14"/>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4"/>
        <w:rPr>
          <w:color w:val="auto"/>
          <w:highlight w:val="none"/>
        </w:rPr>
      </w:pPr>
    </w:p>
    <w:p w14:paraId="691FE4D6">
      <w:pPr>
        <w:rPr>
          <w:color w:val="auto"/>
          <w:highlight w:val="none"/>
        </w:rPr>
      </w:pPr>
    </w:p>
    <w:p w14:paraId="7E411827">
      <w:pPr>
        <w:pStyle w:val="14"/>
        <w:rPr>
          <w:color w:val="auto"/>
          <w:highlight w:val="none"/>
        </w:rPr>
      </w:pPr>
    </w:p>
    <w:p w14:paraId="6CF62471">
      <w:pPr>
        <w:rPr>
          <w:color w:val="auto"/>
          <w:highlight w:val="none"/>
        </w:rPr>
      </w:pPr>
    </w:p>
    <w:p w14:paraId="276FE2C2">
      <w:pPr>
        <w:pStyle w:val="14"/>
        <w:rPr>
          <w:color w:val="auto"/>
          <w:highlight w:val="none"/>
        </w:rPr>
      </w:pPr>
    </w:p>
    <w:p w14:paraId="3BD0CE75">
      <w:pPr>
        <w:rPr>
          <w:color w:val="auto"/>
          <w:highlight w:val="none"/>
        </w:rPr>
      </w:pPr>
    </w:p>
    <w:p w14:paraId="31EEA548">
      <w:pPr>
        <w:pStyle w:val="14"/>
      </w:pPr>
    </w:p>
    <w:p w14:paraId="6EBADFFD"/>
    <w:p w14:paraId="57C971B3">
      <w:pPr>
        <w:pStyle w:val="14"/>
      </w:pPr>
    </w:p>
    <w:p w14:paraId="00CEC72B"/>
    <w:p w14:paraId="0FB3EFCA">
      <w:pPr>
        <w:pStyle w:val="14"/>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sz w:val="30"/>
          <w:szCs w:val="30"/>
          <w:highlight w:val="none"/>
          <w:u w:val="single"/>
          <w:lang w:eastAsia="zh-CN"/>
        </w:rPr>
        <w:t>滁州市滁宁城际铁路开发建设有限公司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5</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5</w:t>
      </w:r>
      <w:r>
        <w:rPr>
          <w:rFonts w:hint="eastAsia" w:ascii="宋体" w:hAnsi="宋体"/>
          <w:color w:val="auto"/>
          <w:sz w:val="30"/>
          <w:szCs w:val="30"/>
          <w:highlight w:val="none"/>
        </w:rPr>
        <w:t>月</w:t>
      </w:r>
    </w:p>
    <w:p w14:paraId="68344BF2">
      <w:pPr>
        <w:jc w:val="center"/>
        <w:rPr>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52045511"/>
      <w:bookmarkStart w:id="13" w:name="_Toc144974479"/>
      <w:bookmarkStart w:id="14" w:name="_Toc152042287"/>
      <w:bookmarkStart w:id="15" w:name="_Toc179632527"/>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w:t>
      </w:r>
      <w:r>
        <w:rPr>
          <w:rFonts w:hint="eastAsia" w:ascii="宋体" w:hAnsi="宋体" w:cs="宋体"/>
          <w:color w:val="000000"/>
          <w:kern w:val="0"/>
          <w:sz w:val="24"/>
          <w:szCs w:val="24"/>
          <w:highlight w:val="none"/>
          <w:u w:color="000000"/>
          <w:lang w:val="en-US" w:eastAsia="zh-CN" w:bidi="ar"/>
        </w:rPr>
        <w:t>6</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w:t>
      </w:r>
      <w:r>
        <w:rPr>
          <w:rFonts w:hint="eastAsia" w:ascii="宋体" w:hAnsi="宋体" w:cs="宋体"/>
          <w:color w:val="000000"/>
          <w:kern w:val="0"/>
          <w:sz w:val="24"/>
          <w:szCs w:val="24"/>
          <w:highlight w:val="none"/>
          <w:u w:color="000000"/>
          <w:lang w:val="en-US" w:eastAsia="zh-CN" w:bidi="ar"/>
        </w:rPr>
        <w:t>22</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w:t>
      </w:r>
      <w:r>
        <w:rPr>
          <w:rFonts w:hint="eastAsia" w:ascii="宋体" w:hAnsi="宋体" w:cs="宋体"/>
          <w:color w:val="000000"/>
          <w:kern w:val="0"/>
          <w:sz w:val="24"/>
          <w:szCs w:val="24"/>
          <w:highlight w:val="none"/>
          <w:u w:color="000000"/>
          <w:lang w:val="en-US" w:eastAsia="zh-CN" w:bidi="ar"/>
        </w:rPr>
        <w:t>4</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w:t>
      </w:r>
      <w:r>
        <w:rPr>
          <w:rFonts w:hint="eastAsia" w:ascii="宋体" w:hAnsi="宋体" w:cs="宋体"/>
          <w:color w:val="000000"/>
          <w:kern w:val="0"/>
          <w:sz w:val="24"/>
          <w:szCs w:val="24"/>
          <w:highlight w:val="none"/>
          <w:u w:color="000000"/>
          <w:lang w:val="en-US" w:eastAsia="zh-CN" w:bidi="ar"/>
        </w:rPr>
        <w:t>30</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w:t>
      </w:r>
      <w:r>
        <w:rPr>
          <w:rFonts w:hint="eastAsia" w:ascii="宋体" w:hAnsi="宋体" w:cs="宋体"/>
          <w:color w:val="000000"/>
          <w:kern w:val="0"/>
          <w:sz w:val="24"/>
          <w:szCs w:val="24"/>
          <w:highlight w:val="none"/>
          <w:u w:color="000000"/>
          <w:lang w:val="en-US" w:eastAsia="zh-CN" w:bidi="ar"/>
        </w:rPr>
        <w:t>42</w:t>
      </w:r>
    </w:p>
    <w:p w14:paraId="6F3E9F9B">
      <w:pPr>
        <w:pStyle w:val="14"/>
        <w:spacing w:line="700" w:lineRule="exact"/>
        <w:ind w:left="0" w:leftChars="0" w:firstLine="480"/>
        <w:jc w:val="left"/>
        <w:rPr>
          <w:sz w:val="24"/>
          <w:szCs w:val="24"/>
          <w:highlight w:val="none"/>
        </w:rPr>
      </w:pPr>
    </w:p>
    <w:p w14:paraId="3004C8EC">
      <w:pPr>
        <w:pStyle w:val="46"/>
        <w:spacing w:line="700" w:lineRule="exact"/>
        <w:jc w:val="left"/>
        <w:rPr>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6"/>
        <w:spacing w:beforeLines="50" w:afterLines="50" w:line="440" w:lineRule="exact"/>
        <w:rPr>
          <w:rFonts w:hint="eastAsia"/>
          <w:bCs/>
          <w:szCs w:val="32"/>
          <w:highlight w:val="none"/>
          <w:lang w:val="en-US"/>
        </w:rPr>
      </w:pPr>
      <w:bookmarkStart w:id="16" w:name="_Toc35424883"/>
      <w:bookmarkStart w:id="17" w:name="_Toc506107267"/>
      <w:bookmarkStart w:id="18" w:name="_Toc152042303"/>
      <w:bookmarkStart w:id="19" w:name="_Toc324404813"/>
      <w:bookmarkStart w:id="20" w:name="_Toc247085687"/>
      <w:bookmarkStart w:id="21" w:name="_Toc246996916"/>
      <w:bookmarkStart w:id="22" w:name="_Toc15058844"/>
      <w:bookmarkStart w:id="23" w:name="_Toc179632544"/>
      <w:bookmarkStart w:id="24" w:name="_Toc35425050"/>
      <w:bookmarkStart w:id="25" w:name="_Toc152045527"/>
      <w:bookmarkStart w:id="26" w:name="_Toc246996173"/>
      <w:bookmarkStart w:id="27" w:name="_Toc144974495"/>
      <w:bookmarkStart w:id="28" w:name="_Toc78803321"/>
      <w:r>
        <w:rPr>
          <w:rFonts w:hint="eastAsia"/>
          <w:bCs/>
          <w:szCs w:val="32"/>
          <w:highlight w:val="none"/>
          <w:lang w:eastAsia="zh-CN"/>
        </w:rPr>
        <w:t>第一章</w:t>
      </w:r>
      <w:r>
        <w:rPr>
          <w:rFonts w:hint="eastAsia"/>
          <w:bCs/>
          <w:szCs w:val="32"/>
          <w:highlight w:val="none"/>
          <w:lang w:val="en-US"/>
        </w:rPr>
        <w:t xml:space="preserve">  </w:t>
      </w:r>
      <w:bookmarkStart w:id="29" w:name="_Toc7358"/>
      <w:bookmarkEnd w:id="29"/>
      <w:bookmarkStart w:id="30" w:name="_Toc18980_WPSOffice_Level1"/>
      <w:bookmarkEnd w:id="30"/>
      <w:r>
        <w:rPr>
          <w:rFonts w:hint="eastAsia"/>
          <w:bCs/>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31" w:name="_Toc35393621"/>
      <w:bookmarkEnd w:id="31"/>
      <w:bookmarkStart w:id="32" w:name="_Toc28359002"/>
      <w:bookmarkEnd w:id="32"/>
      <w:bookmarkStart w:id="33" w:name="_Toc28359079"/>
      <w:bookmarkEnd w:id="33"/>
      <w:bookmarkStart w:id="34" w:name="_Toc58430305"/>
      <w:bookmarkEnd w:id="34"/>
      <w:bookmarkStart w:id="35" w:name="_Toc35393790"/>
      <w:r>
        <w:rPr>
          <w:rFonts w:hint="eastAsia" w:ascii="宋体" w:hAnsi="宋体" w:eastAsia="宋体" w:cs="宋体"/>
          <w:color w:val="000000"/>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滁州至南京城际铁路（滁州段）工程环境综合整治防护设施采购及安装项目的潜在投标人应在滁州市滁宁城际铁路开发建设有限公司网站（http://czctgs.cn/）获取招标文件，并于2025年5月</w:t>
      </w:r>
      <w:r>
        <w:rPr>
          <w:rFonts w:hint="eastAsia" w:ascii="宋体" w:hAnsi="宋体" w:cs="宋体"/>
          <w:color w:val="000000"/>
          <w:kern w:val="0"/>
          <w:sz w:val="24"/>
          <w:szCs w:val="24"/>
          <w:highlight w:val="none"/>
          <w:u w:color="000000"/>
          <w:lang w:val="en-US" w:eastAsia="zh-CN" w:bidi="ar"/>
        </w:rPr>
        <w:t>16</w:t>
      </w:r>
      <w:r>
        <w:rPr>
          <w:rFonts w:hint="eastAsia" w:ascii="宋体" w:hAnsi="宋体" w:eastAsia="宋体" w:cs="宋体"/>
          <w:color w:val="000000"/>
          <w:kern w:val="0"/>
          <w:sz w:val="24"/>
          <w:szCs w:val="24"/>
          <w:highlight w:val="none"/>
          <w:u w:color="000000"/>
          <w:lang w:val="en-US" w:eastAsia="zh-CN" w:bidi="ar"/>
        </w:rPr>
        <w:t>日15时00分（北京时间）前递交投标文件。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35"/>
    </w:p>
    <w:p w14:paraId="6E9608C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项目名称：滁州至南京城际铁路（滁州段）工程环境综合整治防护设施采购及安装项目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w:t>
      </w:r>
      <w:r>
        <w:rPr>
          <w:rFonts w:hint="eastAsia" w:ascii="宋体" w:hAnsi="宋体" w:cs="宋体"/>
          <w:b w:val="0"/>
          <w:bCs w:val="0"/>
          <w:color w:val="000000"/>
          <w:kern w:val="0"/>
          <w:sz w:val="24"/>
          <w:szCs w:val="24"/>
          <w:highlight w:val="none"/>
          <w:u w:color="000000"/>
          <w:lang w:val="en-US" w:eastAsia="zh-CN" w:bidi="ar"/>
        </w:rPr>
        <w:t>582253.78</w:t>
      </w:r>
      <w:r>
        <w:rPr>
          <w:rFonts w:hint="eastAsia" w:ascii="宋体" w:hAnsi="宋体" w:eastAsia="宋体" w:cs="宋体"/>
          <w:b w:val="0"/>
          <w:bCs w:val="0"/>
          <w:color w:val="000000"/>
          <w:kern w:val="0"/>
          <w:sz w:val="24"/>
          <w:szCs w:val="24"/>
          <w:highlight w:val="none"/>
          <w:u w:color="000000"/>
          <w:lang w:val="en-US" w:eastAsia="zh-CN" w:bidi="ar"/>
        </w:rPr>
        <w:t>元</w:t>
      </w:r>
    </w:p>
    <w:p w14:paraId="6E6B8C8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bookmarkStart w:id="303" w:name="_GoBack"/>
      <w:bookmarkEnd w:id="303"/>
      <w:r>
        <w:rPr>
          <w:rFonts w:hint="eastAsia" w:ascii="宋体" w:hAnsi="宋体" w:cs="宋体"/>
          <w:color w:val="000000"/>
          <w:kern w:val="0"/>
          <w:sz w:val="24"/>
          <w:szCs w:val="24"/>
          <w:highlight w:val="none"/>
          <w:u w:color="000000"/>
          <w:lang w:val="en-US" w:eastAsia="zh-CN" w:bidi="ar"/>
        </w:rPr>
        <w:t>582253.78元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14:paraId="6DC2AEC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w:t>
      </w:r>
      <w:r>
        <w:rPr>
          <w:rFonts w:hint="eastAsia" w:ascii="宋体" w:hAnsi="宋体" w:cs="宋体"/>
          <w:color w:val="000000"/>
          <w:kern w:val="0"/>
          <w:sz w:val="24"/>
          <w:szCs w:val="24"/>
          <w:highlight w:val="none"/>
          <w:u w:color="000000"/>
          <w:lang w:val="en-US" w:eastAsia="zh-CN" w:bidi="ar"/>
        </w:rPr>
        <w:t>本次招标范围为滁宁城际铁路（滁州段）工程环境综合整治防护设施采购及安装服务。采用高度1.8米的绿色隔离栅栏；隔离防护长度约为5500米，其中一期工程责任段长度约为3300米，二期工程责任段长度约为2200米</w:t>
      </w:r>
      <w:r>
        <w:rPr>
          <w:rFonts w:hint="eastAsia" w:ascii="宋体" w:hAnsi="宋体" w:eastAsia="宋体" w:cs="宋体"/>
          <w:color w:val="000000"/>
          <w:kern w:val="0"/>
          <w:sz w:val="24"/>
          <w:szCs w:val="24"/>
          <w:highlight w:val="none"/>
          <w:u w:color="000000"/>
          <w:lang w:val="en-US" w:eastAsia="zh-CN" w:bidi="ar"/>
        </w:rPr>
        <w:t>。</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工期：不高于30个日历天，具体开工时间以招标人通知为准，质保责任期为1年。</w:t>
      </w:r>
    </w:p>
    <w:p w14:paraId="7C79C6D9">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091A15E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2.1具备建筑工程施工总承包叁级（或以上）资质，并具有有效的安全生产许可证。</w:t>
      </w:r>
    </w:p>
    <w:p w14:paraId="5D1DE51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2.2项目</w:t>
      </w:r>
      <w:r>
        <w:rPr>
          <w:rFonts w:hint="default" w:ascii="宋体" w:hAnsi="宋体" w:eastAsia="宋体" w:cs="宋体"/>
          <w:color w:val="000000"/>
          <w:kern w:val="0"/>
          <w:sz w:val="24"/>
          <w:szCs w:val="24"/>
          <w:highlight w:val="none"/>
          <w:u w:color="000000"/>
          <w:lang w:val="en-US" w:eastAsia="zh-CN" w:bidi="ar"/>
        </w:rPr>
        <w:t>经理</w:t>
      </w:r>
      <w:r>
        <w:rPr>
          <w:rFonts w:hint="eastAsia" w:ascii="宋体" w:hAnsi="宋体" w:eastAsia="宋体" w:cs="宋体"/>
          <w:color w:val="000000"/>
          <w:kern w:val="0"/>
          <w:sz w:val="24"/>
          <w:szCs w:val="24"/>
          <w:highlight w:val="none"/>
          <w:u w:color="000000"/>
          <w:lang w:val="en-US" w:eastAsia="zh-CN" w:bidi="ar"/>
        </w:rPr>
        <w:t>：具备在本单位注册的建筑工程专业二级（或以上）注册建造师资格，具备有效的安全生产考核合格(B类)证书。</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2025年5月9日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2025年5月</w:t>
      </w:r>
      <w:r>
        <w:rPr>
          <w:rFonts w:hint="eastAsia" w:ascii="宋体" w:hAnsi="宋体" w:cs="宋体"/>
          <w:color w:val="000000"/>
          <w:kern w:val="0"/>
          <w:sz w:val="24"/>
          <w:szCs w:val="24"/>
          <w:highlight w:val="none"/>
          <w:u w:val="single" w:color="000000"/>
          <w:lang w:val="en-US" w:eastAsia="zh-CN" w:bidi="ar"/>
        </w:rPr>
        <w:t>16</w:t>
      </w:r>
      <w:r>
        <w:rPr>
          <w:rFonts w:hint="eastAsia" w:ascii="宋体" w:hAnsi="宋体" w:eastAsia="宋体" w:cs="宋体"/>
          <w:color w:val="000000"/>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773004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36" w:name="_Toc28359005"/>
      <w:bookmarkEnd w:id="36"/>
      <w:bookmarkStart w:id="37" w:name="_Toc28359082"/>
      <w:bookmarkEnd w:id="37"/>
      <w:bookmarkStart w:id="38" w:name="_Toc35393793"/>
      <w:bookmarkEnd w:id="38"/>
      <w:bookmarkStart w:id="39" w:name="_Toc58430308"/>
      <w:bookmarkEnd w:id="39"/>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7607F42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2025年5月</w:t>
      </w:r>
      <w:r>
        <w:rPr>
          <w:rFonts w:hint="eastAsia" w:ascii="宋体" w:hAnsi="宋体" w:cs="宋体"/>
          <w:bCs/>
          <w:color w:val="000000"/>
          <w:kern w:val="0"/>
          <w:sz w:val="24"/>
          <w:szCs w:val="24"/>
          <w:highlight w:val="none"/>
          <w:u w:val="single" w:color="000000"/>
          <w:lang w:val="en-US" w:eastAsia="zh-CN" w:bidi="ar"/>
        </w:rPr>
        <w:t>16</w:t>
      </w:r>
      <w:r>
        <w:rPr>
          <w:rFonts w:hint="eastAsia" w:ascii="宋体" w:hAnsi="宋体" w:eastAsia="宋体" w:cs="宋体"/>
          <w:bCs/>
          <w:color w:val="000000"/>
          <w:kern w:val="0"/>
          <w:sz w:val="24"/>
          <w:szCs w:val="24"/>
          <w:highlight w:val="none"/>
          <w:u w:val="single" w:color="000000"/>
          <w:lang w:val="en-US" w:eastAsia="zh-CN" w:bidi="ar"/>
        </w:rPr>
        <w:t>日15时00分</w:t>
      </w:r>
      <w:r>
        <w:rPr>
          <w:rFonts w:hint="eastAsia" w:ascii="宋体" w:hAnsi="宋体" w:eastAsia="宋体" w:cs="宋体"/>
          <w:bCs/>
          <w:color w:val="000000"/>
          <w:kern w:val="0"/>
          <w:sz w:val="24"/>
          <w:szCs w:val="24"/>
          <w:highlight w:val="none"/>
          <w:u w:color="000000"/>
          <w:lang w:val="en-US" w:eastAsia="zh-CN" w:bidi="ar"/>
        </w:rPr>
        <w:t>（北京时间）</w:t>
      </w:r>
    </w:p>
    <w:p w14:paraId="4356BB3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14:paraId="75F86DE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48238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7385632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629D91B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3F6A41E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5BCB0ED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40" w:name="_Toc28359010"/>
      <w:bookmarkEnd w:id="40"/>
      <w:bookmarkStart w:id="41" w:name="_Toc28359087"/>
      <w:r>
        <w:rPr>
          <w:rFonts w:hint="eastAsia" w:ascii="宋体" w:hAnsi="宋体" w:eastAsia="宋体" w:cs="宋体"/>
          <w:bCs/>
          <w:color w:val="auto"/>
          <w:sz w:val="24"/>
          <w:szCs w:val="24"/>
          <w:highlight w:val="none"/>
          <w:lang w:val="en-US" w:eastAsia="zh-CN"/>
        </w:rPr>
        <w:t>18949108929</w:t>
      </w:r>
    </w:p>
    <w:p w14:paraId="5C2B3EE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41"/>
      <w:r>
        <w:rPr>
          <w:rFonts w:hint="eastAsia" w:ascii="宋体" w:hAnsi="宋体" w:eastAsia="宋体" w:cs="宋体"/>
          <w:bCs/>
          <w:color w:val="000000"/>
          <w:kern w:val="0"/>
          <w:sz w:val="24"/>
          <w:szCs w:val="24"/>
          <w:highlight w:val="none"/>
          <w:u w:color="000000"/>
          <w:lang w:val="en-US" w:eastAsia="zh-CN" w:bidi="ar"/>
        </w:rPr>
        <w:t>代理机构信息</w:t>
      </w:r>
    </w:p>
    <w:p w14:paraId="1C1795B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236B2A9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3C7F33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7EF7901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0953846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14:paraId="77DA657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14:paraId="7C1F8FDB">
      <w:pPr>
        <w:pStyle w:val="46"/>
        <w:spacing w:beforeLines="50" w:afterLines="50" w:line="440" w:lineRule="exact"/>
        <w:rPr>
          <w:rFonts w:hint="eastAsia"/>
          <w:bCs/>
          <w:szCs w:val="32"/>
          <w:highlight w:val="none"/>
          <w:lang w:val="en-US" w:eastAsia="zh-CN"/>
        </w:rPr>
      </w:pPr>
      <w:r>
        <w:rPr>
          <w:rFonts w:hint="eastAsia"/>
          <w:bCs/>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szCs w:val="32"/>
          <w:highlight w:val="none"/>
          <w:lang w:val="en-US" w:eastAsia="zh-CN"/>
        </w:rPr>
        <w:t xml:space="preserve">  第二章 投标人须知</w:t>
      </w:r>
      <w:bookmarkStart w:id="42" w:name="_Toc9559"/>
      <w:bookmarkEnd w:id="42"/>
      <w:bookmarkStart w:id="43" w:name="_Toc35424884"/>
      <w:bookmarkStart w:id="44" w:name="_Toc506107268"/>
      <w:bookmarkStart w:id="45" w:name="_Toc247085688"/>
      <w:bookmarkStart w:id="46" w:name="_Toc179632545"/>
      <w:bookmarkStart w:id="47" w:name="_Toc35425051"/>
      <w:bookmarkStart w:id="48" w:name="_Toc152042304"/>
      <w:bookmarkStart w:id="49" w:name="_Toc144974496"/>
      <w:bookmarkStart w:id="50" w:name="_Toc246996174"/>
      <w:bookmarkStart w:id="51" w:name="_Toc324404814"/>
      <w:bookmarkStart w:id="52" w:name="_Toc246996917"/>
      <w:bookmarkStart w:id="53" w:name="_Toc15058845"/>
      <w:bookmarkStart w:id="54" w:name="_Toc152045528"/>
    </w:p>
    <w:p w14:paraId="594BBBF6">
      <w:pPr>
        <w:pStyle w:val="46"/>
        <w:spacing w:beforeLines="50" w:afterLines="50" w:line="440" w:lineRule="exact"/>
        <w:rPr>
          <w:b/>
          <w:bCs/>
          <w:sz w:val="28"/>
          <w:szCs w:val="28"/>
          <w:highlight w:val="none"/>
        </w:rPr>
      </w:pPr>
      <w:r>
        <w:rPr>
          <w:rFonts w:hint="eastAsia"/>
          <w:b/>
          <w:bCs/>
          <w:sz w:val="28"/>
          <w:szCs w:val="28"/>
          <w:highlight w:val="none"/>
        </w:rPr>
        <w:t>投标人须知前附表</w:t>
      </w:r>
      <w:bookmarkEnd w:id="43"/>
      <w:bookmarkEnd w:id="44"/>
      <w:bookmarkEnd w:id="45"/>
      <w:bookmarkEnd w:id="46"/>
      <w:bookmarkEnd w:id="47"/>
      <w:bookmarkEnd w:id="48"/>
      <w:bookmarkEnd w:id="49"/>
      <w:bookmarkEnd w:id="50"/>
      <w:bookmarkEnd w:id="51"/>
      <w:bookmarkEnd w:id="52"/>
      <w:bookmarkEnd w:id="53"/>
      <w:bookmarkEnd w:id="54"/>
    </w:p>
    <w:tbl>
      <w:tblPr>
        <w:tblStyle w:val="48"/>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bookmarkStart w:id="55" w:name="_Toc247085689"/>
            <w:bookmarkStart w:id="56" w:name="_Toc246996175"/>
            <w:bookmarkStart w:id="57" w:name="_Toc179632546"/>
            <w:bookmarkStart w:id="58" w:name="_Toc35424887"/>
            <w:bookmarkStart w:id="59" w:name="_Toc324404815"/>
            <w:bookmarkStart w:id="60" w:name="_Toc246996918"/>
            <w:bookmarkStart w:id="61" w:name="_Toc152045529"/>
            <w:bookmarkStart w:id="62" w:name="_Toc144974497"/>
            <w:bookmarkStart w:id="63" w:name="_Toc506107269"/>
            <w:bookmarkStart w:id="64" w:name="_Toc5813"/>
            <w:bookmarkStart w:id="65" w:name="_Toc15058846"/>
            <w:bookmarkStart w:id="66" w:name="_Toc35425053"/>
            <w:bookmarkStart w:id="67" w:name="_Toc152042305"/>
            <w:bookmarkStart w:id="68" w:name="_Toc78803322"/>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highlight w:val="none"/>
                <w:lang w:val="en-US" w:eastAsia="zh-CN"/>
              </w:rPr>
            </w:pPr>
            <w:r>
              <w:rPr>
                <w:rFonts w:hint="eastAsia" w:cs="Times New Roman"/>
                <w:highlight w:val="none"/>
                <w:lang w:val="en-US" w:eastAsia="zh-CN"/>
              </w:rPr>
              <w:t>滁州至南京城际铁路（滁州段）工程环境综合整治防护设施采购及安装项目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建设</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highlight w:val="none"/>
                <w:lang w:val="en-US"/>
              </w:rPr>
            </w:pPr>
            <w:r>
              <w:rPr>
                <w:rFonts w:hint="eastAsia" w:ascii="宋体" w:hAnsi="宋体" w:eastAsia="宋体" w:cs="宋体"/>
                <w:color w:val="000000"/>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color w:val="auto"/>
                <w:sz w:val="21"/>
                <w:szCs w:val="21"/>
                <w:highlight w:val="none"/>
                <w:lang w:val="en-US" w:eastAsia="zh-CN"/>
              </w:rPr>
              <w:t>陈俊  18949108929</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rPr>
              <w:t xml:space="preserve">周蓓蕾 </w:t>
            </w:r>
            <w:r>
              <w:rPr>
                <w:rFonts w:hint="eastAsia" w:ascii="宋体" w:hAnsi="宋体" w:eastAsia="宋体" w:cs="宋体"/>
                <w:highlight w:val="none"/>
                <w:lang w:val="en-US" w:eastAsia="zh-CN"/>
              </w:rPr>
              <w:t xml:space="preserve"> </w:t>
            </w:r>
            <w:r>
              <w:rPr>
                <w:rFonts w:hint="eastAsia" w:ascii="宋体" w:hAnsi="宋体" w:eastAsia="宋体" w:cs="宋体"/>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default" w:ascii="宋体" w:hAnsi="宋体" w:eastAsia="宋体" w:cs="宋体"/>
                <w:bCs/>
                <w:color w:val="000000"/>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582253.78元</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ascii="宋体" w:hAnsi="宋体" w:cs="宋体"/>
                <w:bCs/>
                <w:color w:val="000000"/>
                <w:szCs w:val="21"/>
                <w:highlight w:val="none"/>
                <w:lang w:val="en-US" w:eastAsia="zh-CN"/>
              </w:rPr>
              <w:t>582253.78元</w:t>
            </w:r>
            <w:r>
              <w:rPr>
                <w:rFonts w:hint="eastAsia" w:ascii="宋体" w:hAnsi="宋体" w:eastAsia="宋体" w:cs="宋体"/>
                <w:bCs/>
                <w:color w:val="000000"/>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A31F89">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eastAsia="宋体" w:cs="宋体"/>
                <w:b w:val="0"/>
                <w:bCs w:val="0"/>
                <w:highlight w:val="none"/>
                <w:lang w:val="en-US" w:eastAsia="zh-CN"/>
              </w:rPr>
              <w:t>5</w:t>
            </w:r>
            <w:r>
              <w:rPr>
                <w:rFonts w:hint="eastAsia" w:ascii="宋体" w:hAnsi="宋体" w:eastAsia="宋体" w:cs="宋体"/>
                <w:b w:val="0"/>
                <w:bCs w:val="0"/>
                <w:highlight w:val="none"/>
              </w:rPr>
              <w:t>年</w:t>
            </w:r>
            <w:r>
              <w:rPr>
                <w:rFonts w:hint="eastAsia" w:ascii="宋体" w:hAnsi="宋体" w:eastAsia="宋体" w:cs="宋体"/>
                <w:b w:val="0"/>
                <w:bCs w:val="0"/>
                <w:highlight w:val="none"/>
                <w:lang w:val="en-US" w:eastAsia="zh-CN"/>
              </w:rPr>
              <w:t>5</w:t>
            </w:r>
            <w:r>
              <w:rPr>
                <w:rFonts w:hint="eastAsia" w:ascii="宋体" w:hAnsi="宋体" w:eastAsia="宋体" w:cs="宋体"/>
                <w:b w:val="0"/>
                <w:bCs w:val="0"/>
                <w:highlight w:val="none"/>
              </w:rPr>
              <w:t>月</w:t>
            </w:r>
            <w:r>
              <w:rPr>
                <w:rFonts w:hint="eastAsia" w:ascii="宋体" w:hAnsi="宋体" w:eastAsia="宋体" w:cs="宋体"/>
                <w:b w:val="0"/>
                <w:bCs w:val="0"/>
                <w:highlight w:val="none"/>
                <w:lang w:val="en-US" w:eastAsia="zh-CN"/>
              </w:rPr>
              <w:t>12</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rPr>
              <w:t>17</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2025年5月13日17时后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szCs w:val="21"/>
                <w:highlight w:val="none"/>
                <w:lang w:eastAsia="zh-CN"/>
              </w:rPr>
              <w:t>滁州市滁宁城际铁路开发建设有限公司</w:t>
            </w:r>
            <w:r>
              <w:rPr>
                <w:rFonts w:hint="eastAsia" w:ascii="宋体" w:hAnsi="宋体" w:eastAsia="宋体" w:cs="宋体"/>
                <w:szCs w:val="21"/>
                <w:highlight w:val="none"/>
                <w:lang w:val="en-US" w:eastAsia="zh-CN"/>
              </w:rPr>
              <w:t>网站</w:t>
            </w:r>
            <w:r>
              <w:rPr>
                <w:rFonts w:hint="eastAsia" w:ascii="宋体" w:hAnsi="宋体" w:eastAsia="宋体" w:cs="宋体"/>
                <w:szCs w:val="21"/>
                <w:highlight w:val="none"/>
              </w:rPr>
              <w:t xml:space="preserve">（ </w:t>
            </w:r>
            <w:r>
              <w:rPr>
                <w:rFonts w:hint="eastAsia" w:ascii="宋体" w:hAnsi="宋体" w:eastAsia="宋体" w:cs="宋体"/>
                <w:szCs w:val="21"/>
                <w:highlight w:val="none"/>
                <w:lang w:eastAsia="zh-CN"/>
              </w:rPr>
              <w:t>http://czctgs.cn/</w:t>
            </w:r>
            <w:r>
              <w:rPr>
                <w:rFonts w:hint="eastAsia" w:ascii="宋体" w:hAnsi="宋体" w:eastAsia="宋体" w:cs="宋体"/>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16</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开标时间：2025年5月16日15时00分（北京时间）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B08DE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47144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本项目无预付款，全部设备安装完成并验收合格后，中标人提交请款资料及增值税专用发票，招标人完成审核后，付款至合同价款的95%，剩余5%在质保责任期1年满后，一个月一次性无息付清。</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5AFEB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default" w:ascii="Times New Roman" w:hAnsi="Times New Roman" w:eastAsia="宋体" w:cs="Times New Roman"/>
                <w:highlight w:val="none"/>
                <w:lang w:val="en-US" w:eastAsia="zh-CN"/>
              </w:rPr>
              <w:t>①</w:t>
            </w:r>
            <w:r>
              <w:rPr>
                <w:rFonts w:hint="eastAsia" w:ascii="Times New Roman" w:hAnsi="Times New Roman" w:eastAsia="宋体" w:cs="Times New Roman"/>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"mailto:2、在递交截止时间后30分钟内，将解压密码通过邮箱发送至代理机构邮箱（czsctgczx@163.com）" </w:instrText>
            </w:r>
            <w:r>
              <w:rPr>
                <w:rFonts w:hint="eastAsia" w:ascii="Times New Roman" w:hAnsi="Times New Roman" w:eastAsia="宋体" w:cs="Times New Roman"/>
                <w:highlight w:val="none"/>
                <w:lang w:val="en-US" w:eastAsia="zh-CN"/>
              </w:rPr>
              <w:fldChar w:fldCharType="separate"/>
            </w:r>
            <w:r>
              <w:rPr>
                <w:rFonts w:hint="default" w:ascii="Times New Roman" w:hAnsi="Times New Roman" w:eastAsia="宋体" w:cs="Times New Roman"/>
                <w:highlight w:val="none"/>
                <w:lang w:val="en-US" w:eastAsia="zh-CN"/>
              </w:rPr>
              <w:t>②</w:t>
            </w:r>
            <w:r>
              <w:rPr>
                <w:rFonts w:hint="eastAsia" w:ascii="Times New Roman" w:hAnsi="Times New Roman" w:eastAsia="宋体" w:cs="Times New Roman"/>
                <w:highlight w:val="none"/>
                <w:lang w:val="en-US" w:eastAsia="zh-CN"/>
              </w:rPr>
              <w:t>在投标截止时间后30分钟内，将投标文件密码通过邮箱发送至滁州市城投工程咨询管理有限公司邮箱（czsctzx@163.com）</w:t>
            </w:r>
            <w:r>
              <w:rPr>
                <w:rFonts w:hint="eastAsia" w:ascii="Times New Roman" w:hAnsi="Times New Roman" w:eastAsia="宋体" w:cs="Times New Roman"/>
                <w:highlight w:val="none"/>
                <w:lang w:val="en-US" w:eastAsia="zh-CN"/>
              </w:rPr>
              <w:fldChar w:fldCharType="end"/>
            </w:r>
            <w:r>
              <w:rPr>
                <w:rFonts w:hint="eastAsia" w:ascii="Times New Roman" w:hAnsi="Times New Roman" w:eastAsia="宋体" w:cs="Times New Roman"/>
                <w:highlight w:val="none"/>
                <w:lang w:val="en-US" w:eastAsia="zh-CN"/>
              </w:rPr>
              <w:t>，未在规定时间内发送密码或发送的密码无法正确打开投标文件的，投标文件将被拒绝。</w:t>
            </w:r>
          </w:p>
          <w:p w14:paraId="553C0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5D962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7、本项目严禁非法转包，一经发现，招标人依法处理。</w:t>
            </w:r>
          </w:p>
        </w:tc>
      </w:tr>
    </w:tbl>
    <w:p w14:paraId="735D540F">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bookmarkEnd w:id="55"/>
    <w:bookmarkEnd w:id="56"/>
    <w:bookmarkEnd w:id="57"/>
    <w:bookmarkEnd w:id="58"/>
    <w:bookmarkEnd w:id="59"/>
    <w:bookmarkEnd w:id="60"/>
    <w:bookmarkEnd w:id="61"/>
    <w:bookmarkEnd w:id="62"/>
    <w:bookmarkEnd w:id="63"/>
    <w:bookmarkEnd w:id="64"/>
    <w:bookmarkEnd w:id="65"/>
    <w:bookmarkEnd w:id="66"/>
    <w:bookmarkEnd w:id="67"/>
    <w:bookmarkEnd w:id="68"/>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69" w:name="_Toc14421_WPSOffice_Level3"/>
      <w:bookmarkStart w:id="70" w:name="_Toc324404864"/>
      <w:bookmarkStart w:id="71" w:name="_Toc35425105"/>
      <w:bookmarkStart w:id="72" w:name="_Toc15058902"/>
      <w:bookmarkStart w:id="73" w:name="_Toc506107317"/>
      <w:bookmarkStart w:id="74" w:name="_Toc35424939"/>
      <w:bookmarkStart w:id="75" w:name="_Toc296602475"/>
      <w:r>
        <w:rPr>
          <w:rFonts w:hint="eastAsia" w:ascii="宋体" w:hAnsi="宋体" w:eastAsia="宋体" w:cs="宋体"/>
          <w:b/>
          <w:bCs w:val="0"/>
          <w:color w:val="000000"/>
          <w:kern w:val="0"/>
          <w:sz w:val="28"/>
          <w:szCs w:val="28"/>
          <w:highlight w:val="none"/>
          <w:u w:color="000000"/>
          <w:lang w:val="en-US" w:eastAsia="zh-CN" w:bidi="ar"/>
        </w:rPr>
        <w:t>（一）总  则</w:t>
      </w:r>
      <w:bookmarkEnd w:id="69"/>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建设地点：见投标人须知前附表。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76" w:name="_Toc152045539"/>
      <w:bookmarkEnd w:id="76"/>
      <w:bookmarkStart w:id="77" w:name="_Toc247527563"/>
      <w:bookmarkEnd w:id="77"/>
      <w:bookmarkStart w:id="78" w:name="_Toc247513962"/>
      <w:bookmarkEnd w:id="78"/>
      <w:bookmarkStart w:id="79" w:name="_Toc144974507"/>
      <w:bookmarkEnd w:id="79"/>
      <w:bookmarkStart w:id="80" w:name="_Toc296602429"/>
      <w:bookmarkEnd w:id="80"/>
      <w:bookmarkStart w:id="81" w:name="_Toc152042315"/>
      <w:bookmarkEnd w:id="81"/>
      <w:bookmarkStart w:id="82"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82"/>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83" w:name="_Toc24655"/>
      <w:bookmarkEnd w:id="83"/>
      <w:bookmarkStart w:id="84" w:name="_Toc10668_WPSOffice_Level3"/>
      <w:bookmarkEnd w:id="84"/>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5" w:name="_Toc1549_WPSOffice_Level3"/>
      <w:bookmarkEnd w:id="85"/>
      <w:bookmarkStart w:id="86" w:name="_Toc9710"/>
      <w:r>
        <w:rPr>
          <w:rFonts w:hint="eastAsia" w:ascii="宋体" w:hAnsi="宋体" w:eastAsia="宋体" w:cs="宋体"/>
          <w:b/>
          <w:bCs w:val="0"/>
          <w:color w:val="000000"/>
          <w:kern w:val="0"/>
          <w:sz w:val="21"/>
          <w:szCs w:val="21"/>
          <w:highlight w:val="none"/>
          <w:u w:color="000000"/>
          <w:lang w:val="en-US" w:eastAsia="zh-CN" w:bidi="ar"/>
        </w:rPr>
        <w:t>19.样品</w:t>
      </w:r>
      <w:bookmarkEnd w:id="86"/>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0F2868F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w:t>
      </w:r>
      <w:r>
        <w:rPr>
          <w:rFonts w:hint="eastAsia" w:ascii="宋体" w:hAnsi="宋体" w:eastAsia="宋体" w:cs="宋体"/>
          <w:color w:val="000000"/>
          <w:kern w:val="0"/>
          <w:sz w:val="21"/>
          <w:szCs w:val="21"/>
          <w:highlight w:val="none"/>
          <w:u w:color="000000"/>
          <w:lang w:val="en-US" w:eastAsia="zh-CN" w:bidi="ar"/>
        </w:rPr>
        <w:t>投标报价的价格是完成项目全部内容（包括后期的相关服务）的价格，其单价即为履行合同的固定单价。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87" w:name="_Toc6570_WPSOffice_Level3"/>
      <w:bookmarkEnd w:id="87"/>
      <w:bookmarkStart w:id="88"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88"/>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9" w:name="_Toc490"/>
      <w:bookmarkEnd w:id="89"/>
      <w:bookmarkStart w:id="90" w:name="_Toc30407_WPSOffice_Level3"/>
      <w:bookmarkEnd w:id="90"/>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1" w:name="_Toc28864"/>
      <w:bookmarkEnd w:id="91"/>
      <w:bookmarkStart w:id="92"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93" w:name="_Toc15542_WPSOffice_Level3"/>
      <w:bookmarkEnd w:id="93"/>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94" w:name="_Toc5272_WPSOffice_Level3"/>
      <w:bookmarkEnd w:id="94"/>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467CC85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14:paraId="7676A3AA">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14:paraId="45658FAD">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14:paraId="1F2A715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14:paraId="7EA4BB4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503F6AA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194900A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92"/>
    </w:p>
    <w:p w14:paraId="08A7A783">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14:paraId="4BBBD32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14:paraId="4DCA0C4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14:paraId="3616214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45EDA40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14:paraId="0D890EA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750975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14:paraId="41DC2AE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14:paraId="235AFC7C">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95" w:name="_Toc7247"/>
      <w:bookmarkEnd w:id="95"/>
      <w:r>
        <w:rPr>
          <w:rFonts w:hint="eastAsia" w:ascii="宋体" w:hAnsi="宋体" w:eastAsia="宋体" w:cs="宋体"/>
          <w:b/>
          <w:bCs w:val="0"/>
          <w:color w:val="000000"/>
          <w:kern w:val="0"/>
          <w:sz w:val="21"/>
          <w:szCs w:val="21"/>
          <w:highlight w:val="none"/>
          <w:u w:color="000000"/>
          <w:lang w:val="en-US" w:eastAsia="zh-CN" w:bidi="ar"/>
        </w:rPr>
        <w:t>38.</w:t>
      </w:r>
      <w:bookmarkStart w:id="96"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96"/>
    </w:p>
    <w:p w14:paraId="1459A2A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97" w:name="_Toc316_WPSOffice_Level3"/>
      <w:bookmarkEnd w:id="97"/>
      <w:bookmarkStart w:id="98" w:name="_Toc23484"/>
      <w:r>
        <w:rPr>
          <w:rFonts w:hint="eastAsia" w:ascii="宋体" w:hAnsi="Times New Roman" w:eastAsia="宋体" w:cs="Times New Roman"/>
          <w:color w:val="auto"/>
          <w:spacing w:val="0"/>
          <w:sz w:val="21"/>
          <w:szCs w:val="21"/>
          <w:highlight w:val="none"/>
          <w:lang w:val="en-US" w:eastAsia="zh-CN"/>
        </w:rPr>
        <w:t>38.1</w:t>
      </w:r>
      <w:bookmarkEnd w:id="98"/>
      <w:r>
        <w:rPr>
          <w:rFonts w:hint="eastAsia" w:ascii="宋体" w:hAnsi="Times New Roman" w:eastAsia="宋体" w:cs="Times New Roman"/>
          <w:color w:val="auto"/>
          <w:spacing w:val="0"/>
          <w:sz w:val="21"/>
          <w:szCs w:val="21"/>
          <w:highlight w:val="none"/>
          <w:lang w:val="en-US" w:eastAsia="zh-CN"/>
        </w:rPr>
        <w:t>本项目不要求提交履约保证金。</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6465D7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020C22B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705FE809">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66B79BE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3B894CB5">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3D5FADE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D0CB20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246685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3DEA7BC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70932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14:paraId="7F06A98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43.2投标人和其他利害关系人对招标文件、开标和评标结果事项投诉的，应当按照投标人须知的规定先向招标人提出异议。异议答复期间不计算在第43.1项规定的期限内。</w:t>
      </w:r>
    </w:p>
    <w:p w14:paraId="34C340B0">
      <w:pPr>
        <w:spacing w:line="440" w:lineRule="exact"/>
        <w:jc w:val="left"/>
        <w:rPr>
          <w:rFonts w:ascii="宋体" w:hAnsi="宋体" w:cs="宋体"/>
          <w:szCs w:val="21"/>
          <w:highlight w:val="none"/>
        </w:rPr>
      </w:pPr>
    </w:p>
    <w:p w14:paraId="146D6C50">
      <w:pPr>
        <w:pageBreakBefore/>
        <w:spacing w:beforeLines="80" w:afterLines="80" w:line="440" w:lineRule="exact"/>
        <w:jc w:val="center"/>
        <w:outlineLvl w:val="1"/>
        <w:rPr>
          <w:rFonts w:ascii="宋体"/>
          <w:b/>
          <w:sz w:val="32"/>
          <w:szCs w:val="32"/>
          <w:highlight w:val="none"/>
        </w:rPr>
      </w:pPr>
      <w:bookmarkStart w:id="99"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70"/>
      <w:r>
        <w:rPr>
          <w:rFonts w:hint="eastAsia" w:ascii="宋体"/>
          <w:b/>
          <w:sz w:val="32"/>
          <w:szCs w:val="32"/>
          <w:highlight w:val="none"/>
        </w:rPr>
        <w:t>办法</w:t>
      </w:r>
      <w:bookmarkEnd w:id="71"/>
      <w:bookmarkEnd w:id="72"/>
      <w:bookmarkEnd w:id="73"/>
      <w:bookmarkEnd w:id="74"/>
      <w:bookmarkEnd w:id="99"/>
    </w:p>
    <w:p w14:paraId="510BB1C6">
      <w:pPr>
        <w:spacing w:beforeLines="50" w:afterLines="50" w:line="440" w:lineRule="exact"/>
        <w:jc w:val="center"/>
        <w:rPr>
          <w:rFonts w:ascii="宋体" w:hAnsi="宋体" w:cs="宋体"/>
          <w:b/>
          <w:bCs/>
          <w:sz w:val="28"/>
          <w:szCs w:val="22"/>
          <w:highlight w:val="none"/>
        </w:rPr>
      </w:pPr>
      <w:bookmarkStart w:id="100" w:name="_Toc506107318"/>
      <w:bookmarkStart w:id="101" w:name="_Toc35425106"/>
      <w:bookmarkStart w:id="102" w:name="_Toc35424940"/>
      <w:bookmarkStart w:id="103" w:name="_Toc15058903"/>
      <w:bookmarkStart w:id="104" w:name="_Toc324404865"/>
      <w:r>
        <w:rPr>
          <w:rFonts w:hint="eastAsia" w:ascii="宋体" w:hAnsi="宋体" w:cs="宋体"/>
          <w:b/>
          <w:bCs/>
          <w:sz w:val="28"/>
          <w:szCs w:val="22"/>
          <w:highlight w:val="none"/>
        </w:rPr>
        <w:t>资格审查办法前附表</w:t>
      </w:r>
      <w:bookmarkEnd w:id="100"/>
      <w:bookmarkEnd w:id="101"/>
      <w:bookmarkEnd w:id="102"/>
      <w:bookmarkEnd w:id="103"/>
      <w:bookmarkEnd w:id="104"/>
    </w:p>
    <w:p w14:paraId="07C7DA4B">
      <w:pPr>
        <w:spacing w:beforeLines="50" w:afterLines="50" w:line="440" w:lineRule="exact"/>
        <w:jc w:val="center"/>
        <w:rPr>
          <w:b/>
          <w:bCs/>
          <w:sz w:val="24"/>
          <w:highlight w:val="none"/>
        </w:rPr>
      </w:pPr>
      <w:r>
        <w:rPr>
          <w:rFonts w:hint="eastAsia"/>
          <w:b/>
          <w:bCs/>
          <w:sz w:val="24"/>
          <w:highlight w:val="none"/>
        </w:rPr>
        <w:t>资信证明文件评审</w:t>
      </w:r>
    </w:p>
    <w:tbl>
      <w:tblPr>
        <w:tblStyle w:val="48"/>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58"/>
        <w:gridCol w:w="6183"/>
        <w:gridCol w:w="1860"/>
      </w:tblGrid>
      <w:tr w14:paraId="3443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023" w:type="dxa"/>
            <w:gridSpan w:val="2"/>
            <w:noWrap/>
            <w:vAlign w:val="center"/>
          </w:tcPr>
          <w:p w14:paraId="21EA50D5">
            <w:pPr>
              <w:spacing w:line="44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6183" w:type="dxa"/>
            <w:noWrap/>
            <w:vAlign w:val="center"/>
          </w:tcPr>
          <w:p w14:paraId="737B946D">
            <w:pPr>
              <w:spacing w:line="440" w:lineRule="exact"/>
              <w:jc w:val="center"/>
              <w:rPr>
                <w:rFonts w:ascii="宋体" w:hAnsi="宋体" w:cs="宋体"/>
                <w:b/>
                <w:bCs/>
                <w:szCs w:val="21"/>
                <w:highlight w:val="none"/>
              </w:rPr>
            </w:pPr>
            <w:r>
              <w:rPr>
                <w:rFonts w:hint="eastAsia" w:ascii="宋体" w:hAnsi="宋体" w:cs="宋体"/>
                <w:b/>
                <w:bCs/>
                <w:szCs w:val="21"/>
                <w:highlight w:val="none"/>
              </w:rPr>
              <w:t>审查内容</w:t>
            </w:r>
          </w:p>
        </w:tc>
        <w:tc>
          <w:tcPr>
            <w:tcW w:w="1860" w:type="dxa"/>
            <w:noWrap/>
            <w:vAlign w:val="center"/>
          </w:tcPr>
          <w:p w14:paraId="10B4B499">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5E38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65" w:type="dxa"/>
            <w:vMerge w:val="restart"/>
            <w:noWrap/>
            <w:vAlign w:val="center"/>
          </w:tcPr>
          <w:p w14:paraId="4867F738">
            <w:pPr>
              <w:spacing w:line="440" w:lineRule="exact"/>
              <w:jc w:val="center"/>
              <w:rPr>
                <w:rFonts w:ascii="宋体" w:hAnsi="宋体" w:cs="宋体"/>
                <w:szCs w:val="21"/>
                <w:highlight w:val="none"/>
              </w:rPr>
            </w:pPr>
            <w:r>
              <w:rPr>
                <w:rFonts w:hint="eastAsia" w:ascii="宋体" w:hAnsi="宋体" w:cs="宋体"/>
                <w:szCs w:val="21"/>
                <w:highlight w:val="none"/>
              </w:rPr>
              <w:t>1</w:t>
            </w:r>
          </w:p>
        </w:tc>
        <w:tc>
          <w:tcPr>
            <w:tcW w:w="1258" w:type="dxa"/>
            <w:vMerge w:val="restart"/>
            <w:noWrap/>
            <w:vAlign w:val="center"/>
          </w:tcPr>
          <w:p w14:paraId="12F9F292">
            <w:pPr>
              <w:spacing w:line="440" w:lineRule="exact"/>
              <w:jc w:val="center"/>
              <w:rPr>
                <w:rFonts w:ascii="宋体" w:hAnsi="宋体" w:cs="宋体"/>
                <w:b/>
                <w:bCs/>
                <w:szCs w:val="21"/>
                <w:highlight w:val="none"/>
              </w:rPr>
            </w:pPr>
            <w:r>
              <w:rPr>
                <w:rFonts w:hint="eastAsia" w:ascii="宋体" w:hAnsi="宋体" w:cs="宋体"/>
                <w:b/>
                <w:bCs/>
                <w:szCs w:val="21"/>
                <w:highlight w:val="none"/>
              </w:rPr>
              <w:t>审查资料</w:t>
            </w:r>
          </w:p>
        </w:tc>
        <w:tc>
          <w:tcPr>
            <w:tcW w:w="6183" w:type="dxa"/>
            <w:noWrap/>
            <w:vAlign w:val="center"/>
          </w:tcPr>
          <w:p w14:paraId="4223BCB8">
            <w:pPr>
              <w:spacing w:line="440" w:lineRule="exact"/>
              <w:rPr>
                <w:rFonts w:ascii="宋体" w:hAnsi="宋体" w:cs="宋体"/>
                <w:szCs w:val="21"/>
                <w:highlight w:val="none"/>
              </w:rPr>
            </w:pPr>
            <w:r>
              <w:rPr>
                <w:rFonts w:hint="eastAsia" w:ascii="宋体" w:hAnsi="宋体" w:cs="宋体"/>
                <w:szCs w:val="21"/>
                <w:highlight w:val="none"/>
              </w:rPr>
              <w:t>法定代表人身份证明文件和本人有效身份证(或法定代表人授权委托书和委托代理人有效身份证)</w:t>
            </w:r>
          </w:p>
        </w:tc>
        <w:tc>
          <w:tcPr>
            <w:tcW w:w="1860" w:type="dxa"/>
            <w:noWrap/>
            <w:vAlign w:val="center"/>
          </w:tcPr>
          <w:p w14:paraId="08425CC0">
            <w:pPr>
              <w:spacing w:line="440" w:lineRule="exact"/>
              <w:jc w:val="center"/>
              <w:rPr>
                <w:rFonts w:ascii="宋体" w:hAnsi="宋体" w:cs="宋体"/>
                <w:b/>
                <w:szCs w:val="21"/>
                <w:highlight w:val="none"/>
              </w:rPr>
            </w:pPr>
            <w:r>
              <w:rPr>
                <w:rFonts w:hint="eastAsia" w:ascii="宋体" w:hAnsi="宋体" w:cs="宋体"/>
                <w:b/>
                <w:szCs w:val="21"/>
                <w:highlight w:val="none"/>
              </w:rPr>
              <w:t>检验电子标书</w:t>
            </w:r>
          </w:p>
        </w:tc>
      </w:tr>
      <w:tr w14:paraId="0BB7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0CBF773D">
            <w:pPr>
              <w:spacing w:line="440" w:lineRule="exact"/>
              <w:jc w:val="center"/>
              <w:rPr>
                <w:rFonts w:ascii="宋体" w:hAnsi="宋体" w:cs="宋体"/>
                <w:szCs w:val="21"/>
                <w:highlight w:val="none"/>
              </w:rPr>
            </w:pPr>
          </w:p>
        </w:tc>
        <w:tc>
          <w:tcPr>
            <w:tcW w:w="1258" w:type="dxa"/>
            <w:vMerge w:val="continue"/>
            <w:noWrap/>
            <w:vAlign w:val="center"/>
          </w:tcPr>
          <w:p w14:paraId="5DD98737">
            <w:pPr>
              <w:spacing w:line="440" w:lineRule="exact"/>
              <w:jc w:val="center"/>
              <w:rPr>
                <w:rFonts w:ascii="宋体" w:hAnsi="宋体" w:cs="宋体"/>
                <w:b/>
                <w:bCs/>
                <w:szCs w:val="21"/>
                <w:highlight w:val="none"/>
              </w:rPr>
            </w:pPr>
          </w:p>
        </w:tc>
        <w:tc>
          <w:tcPr>
            <w:tcW w:w="6183" w:type="dxa"/>
            <w:noWrap/>
            <w:vAlign w:val="center"/>
          </w:tcPr>
          <w:p w14:paraId="356F4FA9">
            <w:pPr>
              <w:spacing w:line="440" w:lineRule="exact"/>
              <w:rPr>
                <w:rFonts w:ascii="宋体" w:hAnsi="宋体" w:cs="宋体"/>
                <w:szCs w:val="21"/>
                <w:highlight w:val="none"/>
              </w:rPr>
            </w:pPr>
            <w:r>
              <w:rPr>
                <w:rFonts w:hint="eastAsia" w:ascii="宋体" w:hAnsi="宋体" w:cs="宋体"/>
                <w:szCs w:val="21"/>
                <w:highlight w:val="none"/>
              </w:rPr>
              <w:t>诚信投标承诺书</w:t>
            </w:r>
          </w:p>
        </w:tc>
        <w:tc>
          <w:tcPr>
            <w:tcW w:w="1860" w:type="dxa"/>
            <w:vMerge w:val="restart"/>
            <w:noWrap/>
            <w:vAlign w:val="center"/>
          </w:tcPr>
          <w:p w14:paraId="1D178232">
            <w:pPr>
              <w:spacing w:line="440" w:lineRule="exact"/>
              <w:jc w:val="center"/>
              <w:rPr>
                <w:rFonts w:ascii="宋体" w:hAnsi="宋体" w:cs="宋体"/>
                <w:b/>
                <w:szCs w:val="21"/>
                <w:highlight w:val="none"/>
              </w:rPr>
            </w:pPr>
            <w:r>
              <w:rPr>
                <w:rFonts w:hint="eastAsia" w:ascii="宋体" w:hAnsi="宋体" w:cs="宋体"/>
                <w:b/>
                <w:szCs w:val="21"/>
                <w:highlight w:val="none"/>
              </w:rPr>
              <w:t>检验电子标书</w:t>
            </w:r>
          </w:p>
        </w:tc>
      </w:tr>
      <w:tr w14:paraId="6FB2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7D8563C4">
            <w:pPr>
              <w:spacing w:line="440" w:lineRule="exact"/>
              <w:jc w:val="center"/>
              <w:rPr>
                <w:rFonts w:ascii="宋体" w:hAnsi="宋体" w:cs="宋体"/>
                <w:szCs w:val="21"/>
                <w:highlight w:val="none"/>
              </w:rPr>
            </w:pPr>
          </w:p>
        </w:tc>
        <w:tc>
          <w:tcPr>
            <w:tcW w:w="1258" w:type="dxa"/>
            <w:vMerge w:val="continue"/>
            <w:noWrap/>
            <w:vAlign w:val="center"/>
          </w:tcPr>
          <w:p w14:paraId="04C1B076">
            <w:pPr>
              <w:spacing w:line="440" w:lineRule="exact"/>
              <w:jc w:val="center"/>
              <w:rPr>
                <w:rFonts w:ascii="宋体" w:hAnsi="宋体" w:cs="宋体"/>
                <w:b/>
                <w:bCs/>
                <w:szCs w:val="21"/>
                <w:highlight w:val="none"/>
              </w:rPr>
            </w:pPr>
          </w:p>
        </w:tc>
        <w:tc>
          <w:tcPr>
            <w:tcW w:w="6183" w:type="dxa"/>
            <w:noWrap/>
            <w:vAlign w:val="center"/>
          </w:tcPr>
          <w:p w14:paraId="7DE2EBA3">
            <w:pPr>
              <w:spacing w:line="440" w:lineRule="exact"/>
              <w:rPr>
                <w:rFonts w:ascii="宋体" w:hAnsi="宋体" w:cs="宋体"/>
                <w:szCs w:val="21"/>
                <w:highlight w:val="none"/>
              </w:rPr>
            </w:pPr>
            <w:r>
              <w:rPr>
                <w:rFonts w:hint="eastAsia" w:ascii="宋体" w:hAnsi="宋体" w:cs="宋体"/>
                <w:szCs w:val="21"/>
                <w:highlight w:val="none"/>
              </w:rPr>
              <w:t>企业法人营业执照</w:t>
            </w:r>
          </w:p>
        </w:tc>
        <w:tc>
          <w:tcPr>
            <w:tcW w:w="1860" w:type="dxa"/>
            <w:vMerge w:val="continue"/>
            <w:noWrap/>
            <w:vAlign w:val="center"/>
          </w:tcPr>
          <w:p w14:paraId="779E57B8">
            <w:pPr>
              <w:spacing w:line="440" w:lineRule="exact"/>
              <w:rPr>
                <w:rFonts w:ascii="宋体" w:hAnsi="宋体" w:cs="宋体"/>
                <w:b/>
                <w:szCs w:val="21"/>
                <w:highlight w:val="none"/>
              </w:rPr>
            </w:pPr>
          </w:p>
        </w:tc>
      </w:tr>
      <w:tr w14:paraId="25FC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noWrap/>
            <w:vAlign w:val="center"/>
          </w:tcPr>
          <w:p w14:paraId="2D4982A9">
            <w:pPr>
              <w:spacing w:line="440" w:lineRule="exact"/>
              <w:jc w:val="center"/>
              <w:rPr>
                <w:rFonts w:ascii="宋体" w:hAnsi="宋体" w:cs="宋体"/>
                <w:szCs w:val="21"/>
                <w:highlight w:val="none"/>
              </w:rPr>
            </w:pPr>
          </w:p>
        </w:tc>
        <w:tc>
          <w:tcPr>
            <w:tcW w:w="1258" w:type="dxa"/>
            <w:vMerge w:val="continue"/>
            <w:noWrap/>
            <w:vAlign w:val="center"/>
          </w:tcPr>
          <w:p w14:paraId="0B3A3CE4">
            <w:pPr>
              <w:spacing w:line="440" w:lineRule="exact"/>
              <w:jc w:val="center"/>
              <w:rPr>
                <w:rFonts w:ascii="宋体" w:hAnsi="宋体" w:cs="宋体"/>
                <w:b/>
                <w:bCs/>
                <w:szCs w:val="21"/>
                <w:highlight w:val="none"/>
              </w:rPr>
            </w:pPr>
          </w:p>
        </w:tc>
        <w:tc>
          <w:tcPr>
            <w:tcW w:w="6183" w:type="dxa"/>
            <w:noWrap/>
            <w:vAlign w:val="center"/>
          </w:tcPr>
          <w:p w14:paraId="5DF3ACB3">
            <w:pPr>
              <w:spacing w:line="440" w:lineRule="exact"/>
              <w:rPr>
                <w:rFonts w:ascii="宋体" w:hAnsi="宋体" w:cs="宋体"/>
                <w:szCs w:val="21"/>
                <w:highlight w:val="none"/>
              </w:rPr>
            </w:pPr>
            <w:r>
              <w:rPr>
                <w:rFonts w:hint="eastAsia" w:ascii="宋体" w:hAnsi="宋体" w:cs="宋体"/>
                <w:szCs w:val="21"/>
                <w:highlight w:val="none"/>
              </w:rPr>
              <w:t>企业资质证书</w:t>
            </w:r>
          </w:p>
        </w:tc>
        <w:tc>
          <w:tcPr>
            <w:tcW w:w="1860" w:type="dxa"/>
            <w:vMerge w:val="continue"/>
            <w:noWrap/>
            <w:vAlign w:val="center"/>
          </w:tcPr>
          <w:p w14:paraId="2E943AB5">
            <w:pPr>
              <w:spacing w:line="440" w:lineRule="exact"/>
              <w:rPr>
                <w:rFonts w:ascii="宋体" w:hAnsi="宋体" w:cs="宋体"/>
                <w:szCs w:val="21"/>
                <w:highlight w:val="none"/>
              </w:rPr>
            </w:pPr>
          </w:p>
        </w:tc>
      </w:tr>
      <w:tr w14:paraId="5484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65" w:type="dxa"/>
            <w:vMerge w:val="continue"/>
            <w:noWrap/>
            <w:vAlign w:val="center"/>
          </w:tcPr>
          <w:p w14:paraId="44F29A8D">
            <w:pPr>
              <w:spacing w:line="440" w:lineRule="exact"/>
              <w:jc w:val="center"/>
              <w:rPr>
                <w:rFonts w:ascii="宋体" w:hAnsi="宋体" w:cs="宋体"/>
                <w:szCs w:val="21"/>
                <w:highlight w:val="none"/>
              </w:rPr>
            </w:pPr>
          </w:p>
        </w:tc>
        <w:tc>
          <w:tcPr>
            <w:tcW w:w="1258" w:type="dxa"/>
            <w:vMerge w:val="continue"/>
            <w:noWrap/>
            <w:vAlign w:val="center"/>
          </w:tcPr>
          <w:p w14:paraId="5172F027">
            <w:pPr>
              <w:spacing w:line="440" w:lineRule="exact"/>
              <w:jc w:val="center"/>
              <w:rPr>
                <w:rFonts w:ascii="宋体" w:hAnsi="宋体" w:cs="宋体"/>
                <w:b/>
                <w:bCs/>
                <w:szCs w:val="21"/>
                <w:highlight w:val="none"/>
              </w:rPr>
            </w:pPr>
          </w:p>
        </w:tc>
        <w:tc>
          <w:tcPr>
            <w:tcW w:w="6183" w:type="dxa"/>
            <w:noWrap/>
            <w:vAlign w:val="top"/>
          </w:tcPr>
          <w:p w14:paraId="7910A869">
            <w:pPr>
              <w:keepNext w:val="0"/>
              <w:keepLines w:val="0"/>
              <w:pageBreakBefore w:val="0"/>
              <w:kinsoku/>
              <w:wordWrap/>
              <w:overflowPunct/>
              <w:topLinePunct w:val="0"/>
              <w:autoSpaceDN/>
              <w:bidi w:val="0"/>
              <w:adjustRightInd/>
              <w:snapToGrid/>
              <w:spacing w:line="440" w:lineRule="exact"/>
              <w:textAlignment w:val="auto"/>
              <w:rPr>
                <w:rFonts w:ascii="宋体" w:hAnsi="宋体" w:cs="宋体"/>
                <w:szCs w:val="21"/>
                <w:highlight w:val="none"/>
              </w:rPr>
            </w:pPr>
            <w:r>
              <w:rPr>
                <w:rFonts w:hint="eastAsia" w:ascii="宋体" w:hAnsi="宋体" w:eastAsia="宋体" w:cs="宋体"/>
                <w:sz w:val="21"/>
                <w:szCs w:val="21"/>
              </w:rPr>
              <w:t>拟派</w:t>
            </w:r>
            <w:r>
              <w:rPr>
                <w:rFonts w:hint="eastAsia" w:ascii="宋体" w:hAnsi="宋体" w:eastAsia="宋体" w:cs="Times New Roman"/>
                <w:color w:val="000000"/>
                <w:szCs w:val="21"/>
                <w:highlight w:val="none"/>
                <w:lang w:val="en-US" w:eastAsia="zh-CN"/>
              </w:rPr>
              <w:t>项目</w:t>
            </w:r>
            <w:r>
              <w:rPr>
                <w:rFonts w:hint="default" w:ascii="宋体" w:hAnsi="宋体" w:eastAsia="宋体" w:cs="Times New Roman"/>
                <w:color w:val="000000"/>
                <w:szCs w:val="21"/>
                <w:highlight w:val="none"/>
                <w:lang w:val="en-US" w:eastAsia="zh-CN"/>
              </w:rPr>
              <w:t>经理</w:t>
            </w:r>
            <w:r>
              <w:rPr>
                <w:rFonts w:hint="eastAsia" w:ascii="宋体" w:hAnsi="宋体" w:eastAsia="宋体" w:cs="Times New Roman"/>
                <w:color w:val="000000"/>
                <w:szCs w:val="21"/>
                <w:highlight w:val="none"/>
                <w:lang w:val="en-US" w:eastAsia="zh-CN"/>
              </w:rPr>
              <w:t>具备在本单位注册的建筑工程专业二级（或以上）注册建造师资格，具备有效的安全生产考核合格(B类)证书</w:t>
            </w:r>
          </w:p>
        </w:tc>
        <w:tc>
          <w:tcPr>
            <w:tcW w:w="1860" w:type="dxa"/>
            <w:vMerge w:val="continue"/>
            <w:noWrap/>
            <w:vAlign w:val="center"/>
          </w:tcPr>
          <w:p w14:paraId="2BFDCB77">
            <w:pPr>
              <w:spacing w:line="440" w:lineRule="exact"/>
              <w:rPr>
                <w:rFonts w:ascii="宋体" w:hAnsi="宋体" w:cs="宋体"/>
                <w:szCs w:val="21"/>
                <w:highlight w:val="none"/>
              </w:rPr>
            </w:pPr>
          </w:p>
        </w:tc>
      </w:tr>
      <w:tr w14:paraId="4C6A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765" w:type="dxa"/>
            <w:vMerge w:val="continue"/>
            <w:noWrap/>
            <w:vAlign w:val="center"/>
          </w:tcPr>
          <w:p w14:paraId="196A33EB">
            <w:pPr>
              <w:spacing w:line="440" w:lineRule="exact"/>
              <w:jc w:val="center"/>
              <w:rPr>
                <w:rFonts w:ascii="宋体" w:hAnsi="宋体" w:cs="宋体"/>
                <w:szCs w:val="21"/>
                <w:highlight w:val="none"/>
              </w:rPr>
            </w:pPr>
          </w:p>
        </w:tc>
        <w:tc>
          <w:tcPr>
            <w:tcW w:w="1258" w:type="dxa"/>
            <w:vMerge w:val="continue"/>
            <w:noWrap/>
            <w:vAlign w:val="center"/>
          </w:tcPr>
          <w:p w14:paraId="7D51B5B8">
            <w:pPr>
              <w:spacing w:line="440" w:lineRule="exact"/>
              <w:jc w:val="center"/>
              <w:rPr>
                <w:rFonts w:ascii="宋体" w:hAnsi="宋体" w:cs="宋体"/>
                <w:b/>
                <w:bCs/>
                <w:szCs w:val="21"/>
                <w:highlight w:val="none"/>
              </w:rPr>
            </w:pPr>
          </w:p>
        </w:tc>
        <w:tc>
          <w:tcPr>
            <w:tcW w:w="6183" w:type="dxa"/>
            <w:noWrap/>
            <w:vAlign w:val="top"/>
          </w:tcPr>
          <w:p w14:paraId="7DB448B8">
            <w:pPr>
              <w:spacing w:line="440" w:lineRule="exact"/>
              <w:rPr>
                <w:rFonts w:hint="eastAsia" w:ascii="宋体" w:hAnsi="宋体" w:eastAsia="宋体" w:cs="宋体"/>
                <w:highlight w:val="none"/>
                <w:lang w:eastAsia="zh-CN"/>
              </w:rPr>
            </w:pPr>
            <w:r>
              <w:rPr>
                <w:rFonts w:hint="eastAsia" w:ascii="宋体" w:hAnsi="宋体" w:cs="宋体"/>
                <w:szCs w:val="21"/>
                <w:highlight w:val="none"/>
              </w:rPr>
              <w:t>投标人的法定代表人(或委托代理人)和拟任</w:t>
            </w:r>
            <w:r>
              <w:rPr>
                <w:rFonts w:hint="eastAsia" w:ascii="宋体" w:hAnsi="宋体" w:eastAsia="宋体" w:cs="Times New Roman"/>
                <w:color w:val="000000"/>
                <w:szCs w:val="21"/>
                <w:highlight w:val="none"/>
                <w:lang w:val="en-US" w:eastAsia="zh-CN"/>
              </w:rPr>
              <w:t>项目</w:t>
            </w:r>
            <w:r>
              <w:rPr>
                <w:rFonts w:hint="default" w:ascii="宋体" w:hAnsi="宋体" w:eastAsia="宋体" w:cs="Times New Roman"/>
                <w:color w:val="000000"/>
                <w:szCs w:val="21"/>
                <w:highlight w:val="none"/>
                <w:lang w:val="en-US" w:eastAsia="zh-CN"/>
              </w:rPr>
              <w:t>经理</w:t>
            </w:r>
            <w:r>
              <w:rPr>
                <w:rFonts w:hint="eastAsia" w:ascii="宋体" w:hAnsi="宋体" w:cs="宋体"/>
                <w:szCs w:val="21"/>
                <w:highlight w:val="none"/>
              </w:rPr>
              <w:t>须持有社保部门出具的本单位为其缴纳的投标前近三个月连续的养老保险证明（含官网在线打印件，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cs="宋体"/>
                <w:szCs w:val="21"/>
                <w:highlight w:val="none"/>
                <w:lang w:eastAsia="zh-CN"/>
              </w:rPr>
              <w:t>。</w:t>
            </w:r>
          </w:p>
        </w:tc>
        <w:tc>
          <w:tcPr>
            <w:tcW w:w="1860" w:type="dxa"/>
            <w:vMerge w:val="continue"/>
            <w:noWrap/>
            <w:vAlign w:val="center"/>
          </w:tcPr>
          <w:p w14:paraId="701C2C27">
            <w:pPr>
              <w:spacing w:line="440" w:lineRule="exact"/>
              <w:rPr>
                <w:rFonts w:ascii="宋体" w:hAnsi="宋体" w:cs="宋体"/>
                <w:szCs w:val="21"/>
                <w:highlight w:val="none"/>
              </w:rPr>
            </w:pPr>
          </w:p>
        </w:tc>
      </w:tr>
      <w:tr w14:paraId="6962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65" w:type="dxa"/>
            <w:vMerge w:val="continue"/>
            <w:noWrap/>
            <w:vAlign w:val="center"/>
          </w:tcPr>
          <w:p w14:paraId="4DF8AFA8">
            <w:pPr>
              <w:spacing w:line="440" w:lineRule="exact"/>
              <w:jc w:val="center"/>
              <w:rPr>
                <w:rFonts w:ascii="宋体" w:hAnsi="宋体" w:cs="宋体"/>
                <w:szCs w:val="21"/>
                <w:highlight w:val="none"/>
              </w:rPr>
            </w:pPr>
          </w:p>
        </w:tc>
        <w:tc>
          <w:tcPr>
            <w:tcW w:w="1258" w:type="dxa"/>
            <w:vMerge w:val="continue"/>
            <w:noWrap/>
            <w:vAlign w:val="center"/>
          </w:tcPr>
          <w:p w14:paraId="32DA1E7D">
            <w:pPr>
              <w:spacing w:line="440" w:lineRule="exact"/>
              <w:jc w:val="center"/>
              <w:rPr>
                <w:rFonts w:ascii="宋体" w:hAnsi="宋体" w:cs="宋体"/>
                <w:b/>
                <w:bCs/>
                <w:szCs w:val="21"/>
                <w:highlight w:val="none"/>
              </w:rPr>
            </w:pPr>
          </w:p>
        </w:tc>
        <w:tc>
          <w:tcPr>
            <w:tcW w:w="6183" w:type="dxa"/>
            <w:noWrap/>
            <w:vAlign w:val="top"/>
          </w:tcPr>
          <w:p w14:paraId="0CFD389A">
            <w:pPr>
              <w:spacing w:line="440" w:lineRule="exact"/>
              <w:rPr>
                <w:rFonts w:hint="eastAsia" w:ascii="宋体" w:hAnsi="宋体" w:cs="宋体"/>
                <w:szCs w:val="21"/>
                <w:highlight w:val="none"/>
              </w:rPr>
            </w:pPr>
            <w:r>
              <w:rPr>
                <w:rFonts w:hint="eastAsia" w:ascii="宋体" w:hAnsi="宋体" w:eastAsia="宋体" w:cs="Times New Roman"/>
                <w:color w:val="000000"/>
                <w:szCs w:val="21"/>
                <w:highlight w:val="none"/>
                <w:lang w:val="en-US" w:eastAsia="zh-CN"/>
              </w:rPr>
              <w:t>服务承诺书</w:t>
            </w:r>
          </w:p>
        </w:tc>
        <w:tc>
          <w:tcPr>
            <w:tcW w:w="1860" w:type="dxa"/>
            <w:vMerge w:val="continue"/>
            <w:noWrap/>
            <w:vAlign w:val="center"/>
          </w:tcPr>
          <w:p w14:paraId="42D70E64">
            <w:pPr>
              <w:spacing w:line="440" w:lineRule="exact"/>
              <w:rPr>
                <w:rFonts w:ascii="宋体" w:hAnsi="宋体" w:cs="宋体"/>
                <w:szCs w:val="21"/>
                <w:highlight w:val="none"/>
              </w:rPr>
            </w:pPr>
          </w:p>
        </w:tc>
      </w:tr>
    </w:tbl>
    <w:p w14:paraId="44418C94">
      <w:pPr>
        <w:spacing w:line="440" w:lineRule="exact"/>
        <w:ind w:firstLine="422" w:firstLineChars="200"/>
        <w:jc w:val="left"/>
        <w:rPr>
          <w:rFonts w:ascii="宋体" w:hAnsi="宋体" w:cs="宋体"/>
          <w:b/>
          <w:bCs/>
          <w:szCs w:val="21"/>
          <w:highlight w:val="none"/>
        </w:rPr>
      </w:pPr>
      <w:r>
        <w:rPr>
          <w:rFonts w:hint="eastAsia" w:ascii="宋体" w:hAnsi="宋体" w:cs="宋体"/>
          <w:b/>
          <w:bCs/>
          <w:szCs w:val="21"/>
          <w:highlight w:val="none"/>
        </w:rPr>
        <w:t>重要提示：</w:t>
      </w:r>
    </w:p>
    <w:p w14:paraId="3BA6D769">
      <w:pPr>
        <w:numPr>
          <w:ilvl w:val="0"/>
          <w:numId w:val="1"/>
        </w:numPr>
        <w:spacing w:line="44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评标专家在检验电子投标文件过程中，如果由于投标人自身原因导致评标专家无法查看并检验电子投标文件中相关资料的，视为无效标处理。即使投标人将原件携带至现场的，同样按无效标处理。</w:t>
      </w:r>
    </w:p>
    <w:p w14:paraId="3C138560">
      <w:pPr>
        <w:numPr>
          <w:ilvl w:val="0"/>
          <w:numId w:val="1"/>
        </w:numPr>
        <w:spacing w:line="440" w:lineRule="exact"/>
        <w:ind w:firstLine="422" w:firstLineChars="200"/>
        <w:jc w:val="left"/>
        <w:rPr>
          <w:rFonts w:hint="eastAsia" w:ascii="宋体" w:hAnsi="宋体" w:eastAsia="宋体" w:cs="宋体"/>
          <w:b/>
          <w:bCs/>
          <w:szCs w:val="21"/>
          <w:highlight w:val="none"/>
        </w:rPr>
      </w:pPr>
      <w:bookmarkStart w:id="105" w:name="_Toc78803376"/>
      <w:bookmarkStart w:id="106" w:name="_Toc35424941"/>
      <w:bookmarkStart w:id="107" w:name="_Toc27127"/>
      <w:bookmarkStart w:id="108" w:name="_Toc506107319"/>
      <w:bookmarkStart w:id="109" w:name="_Toc324404866"/>
      <w:bookmarkStart w:id="110" w:name="_Toc35425107"/>
      <w:bookmarkStart w:id="111" w:name="_Toc15058904"/>
      <w:r>
        <w:rPr>
          <w:rFonts w:hint="eastAsia" w:ascii="宋体" w:hAnsi="宋体" w:eastAsia="宋体" w:cs="宋体"/>
          <w:b/>
          <w:bCs/>
          <w:szCs w:val="21"/>
          <w:highlight w:val="none"/>
        </w:rPr>
        <w:t>投标人拟委任项目经理为注册建造师（含一级、二级）的，须提供在电子证书使用有效期内的的纸质版电子证书。一级建造师打印电子证书后，应在个人签名处手写本人签名，未手写签名或与签名图像笔迹不一致的，该电子证书无效。</w:t>
      </w:r>
    </w:p>
    <w:p w14:paraId="609C41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投标人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p>
    <w:p w14:paraId="4A8A3FCB">
      <w:pPr>
        <w:pStyle w:val="3"/>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1.审查资料</w:t>
      </w:r>
      <w:bookmarkEnd w:id="105"/>
      <w:bookmarkEnd w:id="106"/>
      <w:bookmarkEnd w:id="107"/>
      <w:bookmarkEnd w:id="108"/>
      <w:bookmarkEnd w:id="109"/>
      <w:bookmarkEnd w:id="110"/>
      <w:bookmarkEnd w:id="111"/>
    </w:p>
    <w:p w14:paraId="2DC377C4">
      <w:pPr>
        <w:spacing w:line="440" w:lineRule="exact"/>
        <w:ind w:firstLine="420" w:firstLineChars="200"/>
        <w:jc w:val="left"/>
        <w:rPr>
          <w:rFonts w:hint="eastAsia" w:ascii="宋体" w:hAnsi="宋体" w:eastAsia="宋体" w:cs="宋体"/>
          <w:szCs w:val="21"/>
          <w:highlight w:val="none"/>
        </w:rPr>
      </w:pPr>
      <w:bookmarkStart w:id="112" w:name="_Toc15058905"/>
      <w:bookmarkStart w:id="113" w:name="_Toc324404867"/>
      <w:r>
        <w:rPr>
          <w:rFonts w:hint="eastAsia" w:ascii="宋体" w:hAnsi="宋体" w:eastAsia="宋体" w:cs="宋体"/>
          <w:szCs w:val="21"/>
          <w:highlight w:val="none"/>
        </w:rPr>
        <w:t>（1）法定代表人身份证明文件和本人有效身份证(或法定代表人授权委托书和委托代理人有效身份证)；</w:t>
      </w:r>
    </w:p>
    <w:p w14:paraId="3F0E71B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（2）诚信投标承诺书；</w:t>
      </w:r>
    </w:p>
    <w:p w14:paraId="12618AFF">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（3）企业法人营业执照；</w:t>
      </w:r>
    </w:p>
    <w:p w14:paraId="45677E5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（4）企业资质证书；</w:t>
      </w:r>
    </w:p>
    <w:p w14:paraId="0ED50D4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（5）拟派</w:t>
      </w:r>
      <w:r>
        <w:rPr>
          <w:rFonts w:hint="eastAsia" w:ascii="宋体" w:hAnsi="宋体" w:eastAsia="宋体" w:cs="宋体"/>
          <w:szCs w:val="21"/>
          <w:highlight w:val="none"/>
          <w:lang w:val="en-US" w:eastAsia="zh-CN"/>
        </w:rPr>
        <w:t>项目</w:t>
      </w:r>
      <w:r>
        <w:rPr>
          <w:rFonts w:hint="default" w:ascii="宋体" w:hAnsi="宋体" w:eastAsia="宋体" w:cs="宋体"/>
          <w:szCs w:val="21"/>
          <w:highlight w:val="none"/>
          <w:lang w:val="en-US" w:eastAsia="zh-CN"/>
        </w:rPr>
        <w:t>经理</w:t>
      </w:r>
      <w:r>
        <w:rPr>
          <w:rFonts w:hint="eastAsia" w:ascii="宋体" w:hAnsi="宋体" w:eastAsia="宋体" w:cs="宋体"/>
          <w:szCs w:val="21"/>
          <w:highlight w:val="none"/>
          <w:lang w:val="en-US" w:eastAsia="zh-CN"/>
        </w:rPr>
        <w:t>具备在本单位注册的建筑工程专业二级（或以上）注册建造师资格，具备有效的安全生产考核合格(B类)证书</w:t>
      </w:r>
      <w:r>
        <w:rPr>
          <w:rFonts w:hint="eastAsia" w:ascii="宋体" w:hAnsi="宋体" w:eastAsia="宋体" w:cs="宋体"/>
          <w:szCs w:val="21"/>
          <w:highlight w:val="none"/>
        </w:rPr>
        <w:t>；</w:t>
      </w:r>
    </w:p>
    <w:p w14:paraId="1F27EB4D">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）投标人的法定代表人(或委托代理人)和拟任</w:t>
      </w:r>
      <w:r>
        <w:rPr>
          <w:rFonts w:hint="eastAsia" w:ascii="宋体" w:hAnsi="宋体" w:eastAsia="宋体" w:cs="宋体"/>
          <w:szCs w:val="21"/>
          <w:highlight w:val="none"/>
          <w:lang w:val="en-US" w:eastAsia="zh-CN"/>
        </w:rPr>
        <w:t>项目</w:t>
      </w:r>
      <w:r>
        <w:rPr>
          <w:rFonts w:hint="default" w:ascii="宋体" w:hAnsi="宋体" w:eastAsia="宋体" w:cs="宋体"/>
          <w:szCs w:val="21"/>
          <w:highlight w:val="none"/>
          <w:lang w:val="en-US" w:eastAsia="zh-CN"/>
        </w:rPr>
        <w:t>经理</w:t>
      </w:r>
      <w:r>
        <w:rPr>
          <w:rFonts w:hint="eastAsia" w:ascii="宋体" w:hAnsi="宋体" w:eastAsia="宋体" w:cs="宋体"/>
          <w:szCs w:val="21"/>
          <w:highlight w:val="none"/>
        </w:rPr>
        <w:t>须持有社保部门出具的本单位为其缴纳的投标前近三个月连续的养老保险证明（含官网在线打印件，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eastAsia="宋体" w:cs="宋体"/>
          <w:szCs w:val="21"/>
          <w:highlight w:val="none"/>
          <w:lang w:eastAsia="zh-CN"/>
        </w:rPr>
        <w:t>；</w:t>
      </w:r>
    </w:p>
    <w:p w14:paraId="66CAD330">
      <w:pPr>
        <w:spacing w:line="440" w:lineRule="exact"/>
        <w:ind w:firstLine="420" w:firstLineChars="20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7）服务承诺书。</w:t>
      </w:r>
    </w:p>
    <w:bookmarkEnd w:id="112"/>
    <w:p w14:paraId="5990719C">
      <w:pPr>
        <w:pStyle w:val="3"/>
        <w:spacing w:beforeLines="50" w:afterLines="50"/>
        <w:ind w:firstLine="422" w:firstLineChars="200"/>
        <w:rPr>
          <w:rFonts w:ascii="宋体" w:hAnsi="宋体" w:eastAsia="宋体" w:cs="宋体"/>
          <w:highlight w:val="none"/>
        </w:rPr>
      </w:pPr>
      <w:bookmarkStart w:id="114" w:name="_Toc506107320"/>
      <w:bookmarkStart w:id="115" w:name="_Toc35424942"/>
      <w:bookmarkStart w:id="116" w:name="_Toc78803377"/>
      <w:bookmarkStart w:id="117" w:name="_Toc35425108"/>
      <w:bookmarkStart w:id="118" w:name="_Toc12549"/>
      <w:bookmarkStart w:id="119" w:name="_Toc15058909"/>
      <w:r>
        <w:rPr>
          <w:rFonts w:hint="eastAsia" w:ascii="宋体" w:hAnsi="宋体" w:eastAsia="宋体" w:cs="宋体"/>
          <w:highlight w:val="none"/>
        </w:rPr>
        <w:t>2.审查办法</w:t>
      </w:r>
      <w:bookmarkEnd w:id="113"/>
      <w:bookmarkEnd w:id="114"/>
      <w:bookmarkEnd w:id="115"/>
      <w:bookmarkEnd w:id="116"/>
      <w:bookmarkEnd w:id="117"/>
      <w:bookmarkEnd w:id="118"/>
      <w:bookmarkEnd w:id="119"/>
    </w:p>
    <w:p w14:paraId="0B01855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由资格审查委员会（评标委员会）按资格审查办法前附表中资格审查必要合格条件评审表要求对投标人审查资料进行核验。</w:t>
      </w:r>
    </w:p>
    <w:p w14:paraId="447D2762">
      <w:pPr>
        <w:pStyle w:val="3"/>
        <w:spacing w:beforeLines="50" w:afterLines="50"/>
        <w:ind w:firstLine="422" w:firstLineChars="200"/>
        <w:rPr>
          <w:rFonts w:ascii="宋体" w:hAnsi="宋体" w:eastAsia="宋体" w:cs="宋体"/>
          <w:highlight w:val="none"/>
        </w:rPr>
      </w:pPr>
      <w:bookmarkStart w:id="120" w:name="_Toc35425109"/>
      <w:bookmarkStart w:id="121" w:name="_Toc324404868"/>
      <w:bookmarkStart w:id="122" w:name="_Toc15626"/>
      <w:bookmarkStart w:id="123" w:name="_Toc35424943"/>
      <w:bookmarkStart w:id="124" w:name="_Toc15058910"/>
      <w:bookmarkStart w:id="125" w:name="_Toc506107321"/>
      <w:bookmarkStart w:id="126" w:name="_Toc78803378"/>
      <w:r>
        <w:rPr>
          <w:rFonts w:hint="eastAsia" w:ascii="宋体" w:hAnsi="宋体" w:eastAsia="宋体" w:cs="宋体"/>
          <w:highlight w:val="none"/>
        </w:rPr>
        <w:t>3.资格审查委员会和审查标准</w:t>
      </w:r>
      <w:bookmarkEnd w:id="120"/>
      <w:bookmarkEnd w:id="121"/>
      <w:bookmarkEnd w:id="122"/>
      <w:bookmarkEnd w:id="123"/>
      <w:bookmarkEnd w:id="124"/>
      <w:bookmarkEnd w:id="125"/>
      <w:bookmarkEnd w:id="126"/>
    </w:p>
    <w:p w14:paraId="48F20776">
      <w:pPr>
        <w:spacing w:line="440" w:lineRule="exact"/>
        <w:ind w:firstLine="420" w:firstLineChars="200"/>
        <w:jc w:val="left"/>
        <w:rPr>
          <w:rFonts w:hint="eastAsia" w:ascii="宋体" w:hAnsi="宋体" w:eastAsia="宋体" w:cs="宋体"/>
          <w:szCs w:val="21"/>
          <w:highlight w:val="none"/>
        </w:rPr>
      </w:pPr>
      <w:bookmarkStart w:id="127" w:name="_Toc324404869"/>
      <w:bookmarkStart w:id="128" w:name="_Toc10330"/>
      <w:bookmarkStart w:id="129" w:name="_Toc506107322"/>
      <w:bookmarkStart w:id="130" w:name="_Toc35424944"/>
      <w:bookmarkStart w:id="131" w:name="_Toc35425110"/>
      <w:bookmarkStart w:id="132" w:name="_Toc15058911"/>
      <w:bookmarkStart w:id="133" w:name="_Toc78803379"/>
      <w:r>
        <w:rPr>
          <w:rFonts w:hint="eastAsia" w:ascii="宋体" w:hAnsi="宋体" w:eastAsia="宋体" w:cs="宋体"/>
          <w:szCs w:val="21"/>
          <w:highlight w:val="none"/>
        </w:rPr>
        <w:t>3.1资格审查由招标人依法组建的资格审查委员会（或评标委员会）负责。审查标准见资格审查办法前附表。</w:t>
      </w:r>
    </w:p>
    <w:p w14:paraId="75FCAEF4">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3.2由资格审查委员会（评标委员会）按资格审查办法前附表要求对投标人的审查资料进行核验。投标申请人有下列情形之一的，其资格审查为不合格： </w:t>
      </w:r>
    </w:p>
    <w:p w14:paraId="465F4E80">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（1）未上传电子标书或电子标书经审查不合格；</w:t>
      </w:r>
    </w:p>
    <w:p w14:paraId="526FEED7">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）法律、法规规定的其他情形。</w:t>
      </w:r>
    </w:p>
    <w:p w14:paraId="439F3B10">
      <w:pPr>
        <w:pStyle w:val="3"/>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4.审查结果</w:t>
      </w:r>
      <w:bookmarkEnd w:id="127"/>
      <w:bookmarkEnd w:id="128"/>
      <w:bookmarkEnd w:id="129"/>
      <w:bookmarkEnd w:id="130"/>
      <w:bookmarkEnd w:id="131"/>
      <w:bookmarkEnd w:id="132"/>
      <w:bookmarkEnd w:id="133"/>
    </w:p>
    <w:p w14:paraId="58D45548">
      <w:pPr>
        <w:spacing w:line="440" w:lineRule="exact"/>
        <w:ind w:firstLine="420" w:firstLineChars="200"/>
        <w:jc w:val="left"/>
        <w:rPr>
          <w:rFonts w:ascii="宋体" w:hAnsi="宋体" w:cs="宋体"/>
          <w:szCs w:val="21"/>
          <w:highlight w:val="none"/>
        </w:rPr>
      </w:pPr>
      <w:r>
        <w:rPr>
          <w:rFonts w:hint="eastAsia" w:ascii="宋体" w:hAnsi="宋体" w:cs="宋体"/>
          <w:highlight w:val="none"/>
        </w:rPr>
        <w:t>只有通过资格审查的投标人才能进入下一步的评标程序。</w:t>
      </w:r>
      <w:bookmarkStart w:id="134" w:name="_Toc506107323"/>
    </w:p>
    <w:p w14:paraId="500CB5F4">
      <w:pPr>
        <w:pStyle w:val="2"/>
        <w:spacing w:beforeLines="50" w:afterLines="50"/>
        <w:rPr>
          <w:highlight w:val="none"/>
        </w:rPr>
      </w:pPr>
      <w:bookmarkStart w:id="135" w:name="_Toc35424945"/>
      <w:bookmarkStart w:id="136" w:name="_Toc15058912"/>
      <w:bookmarkStart w:id="137" w:name="_Toc35425111"/>
      <w:r>
        <w:rPr>
          <w:rFonts w:hint="eastAsia"/>
          <w:highlight w:val="none"/>
        </w:rPr>
        <w:br w:type="page"/>
      </w:r>
      <w:bookmarkStart w:id="138"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75"/>
      <w:bookmarkEnd w:id="134"/>
      <w:bookmarkEnd w:id="135"/>
      <w:bookmarkEnd w:id="136"/>
      <w:bookmarkEnd w:id="137"/>
      <w:bookmarkEnd w:id="138"/>
    </w:p>
    <w:p w14:paraId="3303ED71">
      <w:pPr>
        <w:spacing w:beforeLines="50" w:afterLines="50" w:line="440" w:lineRule="exact"/>
        <w:jc w:val="center"/>
        <w:rPr>
          <w:rFonts w:ascii="宋体" w:hAnsi="宋体" w:cs="宋体"/>
          <w:b/>
          <w:bCs/>
          <w:sz w:val="28"/>
          <w:szCs w:val="28"/>
          <w:highlight w:val="none"/>
        </w:rPr>
      </w:pPr>
      <w:bookmarkStart w:id="139" w:name="_Toc35424946"/>
      <w:bookmarkStart w:id="140" w:name="_Toc35425112"/>
      <w:r>
        <w:rPr>
          <w:rFonts w:hint="eastAsia" w:ascii="宋体" w:hAnsi="宋体" w:cs="宋体"/>
          <w:b/>
          <w:bCs/>
          <w:sz w:val="28"/>
          <w:szCs w:val="28"/>
          <w:highlight w:val="none"/>
        </w:rPr>
        <w:t>评标办法前附表</w:t>
      </w:r>
      <w:bookmarkEnd w:id="139"/>
      <w:bookmarkEnd w:id="140"/>
    </w:p>
    <w:p w14:paraId="6EF3540D">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w:t>
      </w:r>
      <w:r>
        <w:rPr>
          <w:rFonts w:hint="eastAsia" w:cs="Times New Roman"/>
          <w:b/>
          <w:color w:val="auto"/>
          <w:sz w:val="28"/>
          <w:szCs w:val="21"/>
          <w:lang w:val="en-US" w:eastAsia="zh-CN"/>
        </w:rPr>
        <w:t>一</w:t>
      </w:r>
      <w:r>
        <w:rPr>
          <w:rFonts w:hint="eastAsia" w:ascii="Times New Roman" w:hAnsi="Times New Roman" w:eastAsia="宋体" w:cs="Times New Roman"/>
          <w:b/>
          <w:color w:val="auto"/>
          <w:sz w:val="28"/>
          <w:szCs w:val="21"/>
          <w:lang w:val="en-US" w:eastAsia="zh-CN"/>
        </w:rPr>
        <w:t>）技术标评分细则（</w:t>
      </w:r>
      <w:r>
        <w:rPr>
          <w:rFonts w:hint="eastAsia" w:ascii="Times New Roman" w:hAnsi="Times New Roman" w:cs="Times New Roman"/>
          <w:b/>
          <w:color w:val="auto"/>
          <w:sz w:val="28"/>
          <w:szCs w:val="21"/>
          <w:lang w:val="en-US" w:eastAsia="zh-CN"/>
        </w:rPr>
        <w:t>40</w:t>
      </w:r>
      <w:r>
        <w:rPr>
          <w:rFonts w:hint="eastAsia" w:ascii="Times New Roman" w:hAnsi="Times New Roman" w:eastAsia="宋体" w:cs="Times New Roman"/>
          <w:b/>
          <w:color w:val="auto"/>
          <w:sz w:val="28"/>
          <w:szCs w:val="21"/>
          <w:lang w:val="en-US" w:eastAsia="zh-CN"/>
        </w:rPr>
        <w:t>分）</w:t>
      </w:r>
    </w:p>
    <w:tbl>
      <w:tblPr>
        <w:tblStyle w:val="48"/>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610"/>
        <w:gridCol w:w="5614"/>
      </w:tblGrid>
      <w:tr w14:paraId="17EB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014AC285">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746" w:type="dxa"/>
            <w:gridSpan w:val="2"/>
            <w:noWrap w:val="0"/>
            <w:vAlign w:val="center"/>
          </w:tcPr>
          <w:p w14:paraId="780A8231">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614" w:type="dxa"/>
            <w:noWrap w:val="0"/>
            <w:vAlign w:val="center"/>
          </w:tcPr>
          <w:p w14:paraId="2B31D81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60F5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223B8D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735CB3D0">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610" w:type="dxa"/>
            <w:noWrap w:val="0"/>
            <w:vAlign w:val="center"/>
          </w:tcPr>
          <w:p w14:paraId="233E2358">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614" w:type="dxa"/>
            <w:noWrap w:val="0"/>
            <w:vAlign w:val="center"/>
          </w:tcPr>
          <w:p w14:paraId="04ED4DB0">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20C290B1">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512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228588E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6236784C">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610" w:type="dxa"/>
            <w:noWrap w:val="0"/>
            <w:vAlign w:val="center"/>
          </w:tcPr>
          <w:p w14:paraId="212240FF">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614" w:type="dxa"/>
            <w:noWrap w:val="0"/>
            <w:vAlign w:val="top"/>
          </w:tcPr>
          <w:p w14:paraId="6963AA3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5F26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6C518B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ADE36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610" w:type="dxa"/>
            <w:noWrap w:val="0"/>
            <w:vAlign w:val="center"/>
          </w:tcPr>
          <w:p w14:paraId="5315AF10">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614" w:type="dxa"/>
            <w:noWrap w:val="0"/>
            <w:vAlign w:val="top"/>
          </w:tcPr>
          <w:p w14:paraId="795F7743">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C3C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1F84E0DA">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2D216A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610" w:type="dxa"/>
            <w:noWrap w:val="0"/>
            <w:vAlign w:val="center"/>
          </w:tcPr>
          <w:p w14:paraId="4708DFB7">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614" w:type="dxa"/>
            <w:noWrap w:val="0"/>
            <w:vAlign w:val="top"/>
          </w:tcPr>
          <w:p w14:paraId="1C062D2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23CB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noWrap w:val="0"/>
            <w:vAlign w:val="center"/>
          </w:tcPr>
          <w:p w14:paraId="3E80C7B3">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41" w:type="dxa"/>
            <w:gridSpan w:val="2"/>
            <w:noWrap w:val="0"/>
            <w:vAlign w:val="center"/>
          </w:tcPr>
          <w:p w14:paraId="3C7F98B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技术标评分标准</w:t>
            </w:r>
          </w:p>
        </w:tc>
        <w:tc>
          <w:tcPr>
            <w:tcW w:w="2610" w:type="dxa"/>
            <w:noWrap w:val="0"/>
            <w:vAlign w:val="center"/>
          </w:tcPr>
          <w:p w14:paraId="01AA8F3F">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施工组织设计</w:t>
            </w:r>
          </w:p>
          <w:p w14:paraId="6B3DCE2D">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rPr>
              <w:t>分）</w:t>
            </w:r>
          </w:p>
        </w:tc>
        <w:tc>
          <w:tcPr>
            <w:tcW w:w="5614" w:type="dxa"/>
            <w:shd w:val="clear" w:color="auto" w:fill="auto"/>
            <w:noWrap w:val="0"/>
            <w:vAlign w:val="center"/>
          </w:tcPr>
          <w:p w14:paraId="6D44FE01">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评标委员会根据各投标人提供的施工组织设计进行综合对比评审，</w:t>
            </w:r>
            <w:r>
              <w:rPr>
                <w:rFonts w:hint="eastAsia" w:ascii="宋体" w:hAnsi="宋体" w:eastAsia="宋体" w:cs="宋体"/>
                <w:color w:val="auto"/>
                <w:sz w:val="21"/>
                <w:szCs w:val="21"/>
                <w:highlight w:val="none"/>
                <w:lang w:val="en-US" w:eastAsia="zh-CN"/>
              </w:rPr>
              <w:t>共计10项，每一小项</w:t>
            </w:r>
            <w:r>
              <w:rPr>
                <w:rFonts w:hint="eastAsia" w:ascii="宋体" w:hAnsi="宋体" w:eastAsia="宋体" w:cs="宋体"/>
                <w:color w:val="auto"/>
                <w:sz w:val="21"/>
                <w:szCs w:val="21"/>
                <w:highlight w:val="none"/>
              </w:rPr>
              <w:t>优秀得</w:t>
            </w:r>
            <w:r>
              <w:rPr>
                <w:rFonts w:hint="eastAsia" w:ascii="宋体" w:hAnsi="宋体" w:eastAsia="宋体" w:cs="宋体"/>
                <w:color w:val="auto"/>
                <w:sz w:val="21"/>
                <w:szCs w:val="21"/>
                <w:highlight w:val="none"/>
                <w:lang w:val="en-US" w:eastAsia="zh-CN"/>
              </w:rPr>
              <w:t>3分&lt;F≤4</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良好得2分&lt;F≤3</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合格得</w:t>
            </w:r>
            <w:r>
              <w:rPr>
                <w:rFonts w:hint="eastAsia" w:ascii="宋体" w:hAnsi="宋体" w:eastAsia="宋体" w:cs="宋体"/>
                <w:color w:val="auto"/>
                <w:sz w:val="21"/>
                <w:szCs w:val="21"/>
                <w:highlight w:val="none"/>
                <w:lang w:val="en-US" w:eastAsia="zh-CN"/>
              </w:rPr>
              <w:t>1分&lt;F≤2</w:t>
            </w:r>
            <w:r>
              <w:rPr>
                <w:rFonts w:hint="eastAsia" w:ascii="宋体" w:hAnsi="宋体" w:eastAsia="宋体" w:cs="宋体"/>
                <w:color w:val="auto"/>
                <w:sz w:val="21"/>
                <w:szCs w:val="21"/>
                <w:highlight w:val="none"/>
              </w:rPr>
              <w:t>分，不合格或缺项不得分，本项满分</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rPr>
              <w:t>分。</w:t>
            </w:r>
          </w:p>
          <w:p w14:paraId="1B7397C1">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包括①主要施工方案与技术措施；②主要物资供应计划；③ 主要施工机械、设备进场计划；④劳动力安排计划；⑤确保工程质量的管理体系与措施；⑥确保安全生产的管理体系与措施；⑦ 工程进度计划与措施及施工图网络图；⑧确保文明施工的管理体系与措施；⑨总体筹划与总平面布置；⑩工程重难点及对应保证措施等。</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szCs w:val="21"/>
          <w:highlight w:val="none"/>
          <w:lang w:eastAsia="zh-CN"/>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rPr>
        <w:t>该项由专家评委评审打分，取所有评委评分的平均值为最终得分，保留两位小数点，第三位四舍五入</w:t>
      </w:r>
      <w:r>
        <w:rPr>
          <w:rFonts w:hint="eastAsia" w:ascii="宋体" w:hAnsi="宋体" w:cs="宋体"/>
          <w:b/>
          <w:bCs/>
          <w:szCs w:val="21"/>
          <w:highlight w:val="none"/>
          <w:lang w:eastAsia="zh-CN"/>
        </w:rPr>
        <w:t>。</w:t>
      </w:r>
    </w:p>
    <w:p w14:paraId="0B4C7729">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（二）商务标评审</w:t>
      </w:r>
    </w:p>
    <w:tbl>
      <w:tblPr>
        <w:tblStyle w:val="48"/>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4727"/>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szCs w:val="21"/>
                <w:highlight w:val="none"/>
              </w:rPr>
            </w:pPr>
            <w:r>
              <w:rPr>
                <w:rFonts w:hint="eastAsia" w:ascii="宋体" w:hAnsi="宋体" w:cs="宋体"/>
                <w:b/>
                <w:bCs/>
                <w:szCs w:val="21"/>
                <w:highlight w:val="none"/>
              </w:rPr>
              <w:t>条款号</w:t>
            </w:r>
          </w:p>
        </w:tc>
        <w:tc>
          <w:tcPr>
            <w:tcW w:w="2158" w:type="dxa"/>
            <w:noWrap/>
            <w:vAlign w:val="center"/>
          </w:tcPr>
          <w:p w14:paraId="1CF92DDF">
            <w:pPr>
              <w:spacing w:line="440" w:lineRule="exact"/>
              <w:jc w:val="center"/>
              <w:rPr>
                <w:rFonts w:ascii="宋体" w:hAnsi="宋体" w:cs="宋体"/>
                <w:b/>
                <w:bCs/>
                <w:szCs w:val="21"/>
                <w:highlight w:val="none"/>
              </w:rPr>
            </w:pPr>
            <w:r>
              <w:rPr>
                <w:rFonts w:hint="eastAsia" w:ascii="宋体" w:hAnsi="宋体" w:cs="宋体"/>
                <w:b/>
                <w:bCs/>
                <w:szCs w:val="21"/>
                <w:highlight w:val="none"/>
              </w:rPr>
              <w:t>评审因素</w:t>
            </w:r>
          </w:p>
        </w:tc>
        <w:tc>
          <w:tcPr>
            <w:tcW w:w="4727" w:type="dxa"/>
            <w:noWrap/>
            <w:vAlign w:val="center"/>
          </w:tcPr>
          <w:p w14:paraId="10027A3D">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szCs w:val="21"/>
                <w:highlight w:val="none"/>
              </w:rPr>
            </w:pPr>
            <w:r>
              <w:rPr>
                <w:rFonts w:hint="eastAsia" w:ascii="宋体" w:hAnsi="宋体" w:cs="宋体"/>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szCs w:val="21"/>
                <w:highlight w:val="none"/>
              </w:rPr>
            </w:pPr>
            <w:r>
              <w:rPr>
                <w:rFonts w:hint="eastAsia" w:ascii="宋体" w:hAnsi="宋体" w:cs="宋体"/>
                <w:szCs w:val="21"/>
                <w:highlight w:val="none"/>
              </w:rPr>
              <w:t>形式评审标准</w:t>
            </w:r>
          </w:p>
        </w:tc>
        <w:tc>
          <w:tcPr>
            <w:tcW w:w="2158" w:type="dxa"/>
            <w:noWrap/>
            <w:vAlign w:val="center"/>
          </w:tcPr>
          <w:p w14:paraId="73517A2E">
            <w:pPr>
              <w:spacing w:line="440" w:lineRule="exact"/>
              <w:rPr>
                <w:rFonts w:ascii="宋体" w:hAnsi="宋体" w:cs="宋体"/>
                <w:szCs w:val="21"/>
                <w:highlight w:val="none"/>
              </w:rPr>
            </w:pPr>
            <w:r>
              <w:rPr>
                <w:rFonts w:hint="eastAsia" w:ascii="宋体" w:hAnsi="宋体" w:cs="宋体"/>
                <w:szCs w:val="21"/>
                <w:highlight w:val="none"/>
              </w:rPr>
              <w:t>投标函签字盖章</w:t>
            </w:r>
          </w:p>
        </w:tc>
        <w:tc>
          <w:tcPr>
            <w:tcW w:w="4727" w:type="dxa"/>
            <w:noWrap/>
          </w:tcPr>
          <w:p w14:paraId="2DBE6DD3">
            <w:pPr>
              <w:spacing w:line="440" w:lineRule="exact"/>
              <w:rPr>
                <w:rFonts w:ascii="宋体" w:hAnsi="宋体" w:cs="宋体"/>
                <w:szCs w:val="21"/>
                <w:highlight w:val="none"/>
              </w:rPr>
            </w:pPr>
            <w:r>
              <w:rPr>
                <w:rFonts w:hint="eastAsia" w:ascii="宋体" w:hAnsi="宋体" w:cs="宋体"/>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szCs w:val="21"/>
                <w:highlight w:val="none"/>
              </w:rPr>
            </w:pPr>
          </w:p>
        </w:tc>
        <w:tc>
          <w:tcPr>
            <w:tcW w:w="1860" w:type="dxa"/>
            <w:gridSpan w:val="2"/>
            <w:vMerge w:val="continue"/>
            <w:noWrap/>
          </w:tcPr>
          <w:p w14:paraId="7570E8C7">
            <w:pPr>
              <w:spacing w:line="440" w:lineRule="exact"/>
              <w:rPr>
                <w:rFonts w:ascii="宋体" w:hAnsi="宋体" w:cs="宋体"/>
                <w:szCs w:val="21"/>
                <w:highlight w:val="none"/>
              </w:rPr>
            </w:pPr>
          </w:p>
        </w:tc>
        <w:tc>
          <w:tcPr>
            <w:tcW w:w="2158" w:type="dxa"/>
            <w:noWrap/>
            <w:vAlign w:val="center"/>
          </w:tcPr>
          <w:p w14:paraId="45179B0C">
            <w:pPr>
              <w:spacing w:line="440" w:lineRule="exact"/>
              <w:rPr>
                <w:rFonts w:ascii="宋体" w:hAnsi="宋体" w:cs="宋体"/>
                <w:szCs w:val="21"/>
                <w:highlight w:val="none"/>
              </w:rPr>
            </w:pPr>
            <w:r>
              <w:rPr>
                <w:rFonts w:hint="eastAsia" w:ascii="宋体" w:hAnsi="宋体" w:cs="宋体"/>
                <w:szCs w:val="21"/>
                <w:highlight w:val="none"/>
              </w:rPr>
              <w:t>投标文件格式</w:t>
            </w:r>
          </w:p>
        </w:tc>
        <w:tc>
          <w:tcPr>
            <w:tcW w:w="4727" w:type="dxa"/>
            <w:noWrap/>
          </w:tcPr>
          <w:p w14:paraId="24166B6D">
            <w:pPr>
              <w:spacing w:line="440" w:lineRule="exact"/>
              <w:jc w:val="left"/>
              <w:rPr>
                <w:rFonts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szCs w:val="21"/>
                <w:highlight w:val="none"/>
              </w:rPr>
            </w:pPr>
          </w:p>
        </w:tc>
        <w:tc>
          <w:tcPr>
            <w:tcW w:w="1860" w:type="dxa"/>
            <w:gridSpan w:val="2"/>
            <w:vMerge w:val="continue"/>
            <w:noWrap/>
          </w:tcPr>
          <w:p w14:paraId="083A6289">
            <w:pPr>
              <w:spacing w:line="440" w:lineRule="exact"/>
              <w:rPr>
                <w:rFonts w:ascii="宋体" w:hAnsi="宋体" w:cs="宋体"/>
                <w:szCs w:val="21"/>
                <w:highlight w:val="none"/>
              </w:rPr>
            </w:pPr>
          </w:p>
        </w:tc>
        <w:tc>
          <w:tcPr>
            <w:tcW w:w="2158" w:type="dxa"/>
            <w:noWrap/>
            <w:vAlign w:val="center"/>
          </w:tcPr>
          <w:p w14:paraId="5EC25201">
            <w:pPr>
              <w:spacing w:line="440" w:lineRule="exact"/>
              <w:rPr>
                <w:rFonts w:ascii="宋体" w:hAnsi="宋体" w:cs="宋体"/>
                <w:szCs w:val="21"/>
                <w:highlight w:val="none"/>
              </w:rPr>
            </w:pPr>
            <w:r>
              <w:rPr>
                <w:rFonts w:hint="eastAsia" w:ascii="宋体" w:hAnsi="宋体" w:cs="宋体"/>
                <w:szCs w:val="21"/>
                <w:highlight w:val="none"/>
              </w:rPr>
              <w:t>报价唯一</w:t>
            </w:r>
          </w:p>
        </w:tc>
        <w:tc>
          <w:tcPr>
            <w:tcW w:w="4727" w:type="dxa"/>
            <w:noWrap/>
          </w:tcPr>
          <w:p w14:paraId="1080A4B7">
            <w:pPr>
              <w:spacing w:line="440" w:lineRule="exact"/>
              <w:jc w:val="left"/>
              <w:rPr>
                <w:rFonts w:ascii="宋体" w:hAnsi="宋体" w:cs="宋体"/>
                <w:szCs w:val="21"/>
                <w:highlight w:val="none"/>
              </w:rPr>
            </w:pPr>
            <w:r>
              <w:rPr>
                <w:rFonts w:hint="eastAsia" w:ascii="宋体" w:hAnsi="宋体" w:cs="宋体"/>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szCs w:val="21"/>
                <w:highlight w:val="none"/>
              </w:rPr>
            </w:pPr>
            <w:r>
              <w:rPr>
                <w:rFonts w:hint="eastAsia" w:ascii="宋体" w:hAnsi="宋体" w:cs="宋体"/>
                <w:szCs w:val="21"/>
                <w:highlight w:val="none"/>
              </w:rPr>
              <w:t>4.2.2</w:t>
            </w:r>
          </w:p>
        </w:tc>
        <w:tc>
          <w:tcPr>
            <w:tcW w:w="1860" w:type="dxa"/>
            <w:gridSpan w:val="2"/>
            <w:vMerge w:val="restart"/>
            <w:noWrap/>
            <w:vAlign w:val="center"/>
          </w:tcPr>
          <w:p w14:paraId="477FB6B5">
            <w:pPr>
              <w:spacing w:line="440" w:lineRule="exact"/>
              <w:rPr>
                <w:rFonts w:ascii="宋体" w:hAnsi="宋体" w:cs="宋体"/>
                <w:szCs w:val="21"/>
                <w:highlight w:val="none"/>
              </w:rPr>
            </w:pPr>
            <w:r>
              <w:rPr>
                <w:rFonts w:hint="eastAsia" w:ascii="宋体" w:hAnsi="宋体" w:cs="宋体"/>
                <w:szCs w:val="21"/>
                <w:highlight w:val="none"/>
              </w:rPr>
              <w:t>响应性评审标准</w:t>
            </w:r>
          </w:p>
        </w:tc>
        <w:tc>
          <w:tcPr>
            <w:tcW w:w="2158" w:type="dxa"/>
            <w:noWrap/>
            <w:vAlign w:val="center"/>
          </w:tcPr>
          <w:p w14:paraId="341144D6">
            <w:pPr>
              <w:spacing w:line="440" w:lineRule="exact"/>
              <w:rPr>
                <w:rFonts w:ascii="宋体" w:hAnsi="宋体" w:cs="宋体"/>
                <w:szCs w:val="21"/>
                <w:highlight w:val="none"/>
              </w:rPr>
            </w:pPr>
            <w:r>
              <w:rPr>
                <w:rFonts w:hint="eastAsia" w:ascii="宋体" w:hAnsi="宋体" w:cs="宋体"/>
                <w:szCs w:val="21"/>
                <w:highlight w:val="none"/>
                <w:lang w:val="en-US" w:eastAsia="zh-CN"/>
              </w:rPr>
              <w:t>工期</w:t>
            </w:r>
            <w:r>
              <w:rPr>
                <w:rFonts w:hint="eastAsia" w:ascii="宋体" w:hAnsi="宋体" w:cs="宋体"/>
                <w:szCs w:val="21"/>
                <w:highlight w:val="none"/>
              </w:rPr>
              <w:t>期限</w:t>
            </w:r>
          </w:p>
        </w:tc>
        <w:tc>
          <w:tcPr>
            <w:tcW w:w="4727" w:type="dxa"/>
            <w:noWrap/>
            <w:vAlign w:val="center"/>
          </w:tcPr>
          <w:p w14:paraId="37215412">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szCs w:val="21"/>
                <w:highlight w:val="none"/>
              </w:rPr>
            </w:pPr>
          </w:p>
        </w:tc>
        <w:tc>
          <w:tcPr>
            <w:tcW w:w="1860" w:type="dxa"/>
            <w:gridSpan w:val="2"/>
            <w:vMerge w:val="continue"/>
            <w:noWrap/>
          </w:tcPr>
          <w:p w14:paraId="7B4C01AA">
            <w:pPr>
              <w:spacing w:line="440" w:lineRule="exact"/>
              <w:rPr>
                <w:rFonts w:ascii="宋体" w:hAnsi="宋体" w:cs="宋体"/>
                <w:szCs w:val="21"/>
                <w:highlight w:val="none"/>
              </w:rPr>
            </w:pPr>
          </w:p>
        </w:tc>
        <w:tc>
          <w:tcPr>
            <w:tcW w:w="2158" w:type="dxa"/>
            <w:noWrap/>
            <w:vAlign w:val="center"/>
          </w:tcPr>
          <w:p w14:paraId="1A3A3F53">
            <w:pPr>
              <w:spacing w:line="440" w:lineRule="exact"/>
              <w:rPr>
                <w:rFonts w:ascii="宋体" w:hAnsi="宋体" w:cs="宋体"/>
                <w:szCs w:val="21"/>
                <w:highlight w:val="none"/>
              </w:rPr>
            </w:pPr>
            <w:r>
              <w:rPr>
                <w:rFonts w:hint="eastAsia" w:ascii="宋体" w:hAnsi="宋体" w:cs="宋体"/>
                <w:szCs w:val="21"/>
                <w:highlight w:val="none"/>
              </w:rPr>
              <w:t>投标有效期</w:t>
            </w:r>
          </w:p>
        </w:tc>
        <w:tc>
          <w:tcPr>
            <w:tcW w:w="4727" w:type="dxa"/>
            <w:noWrap/>
            <w:vAlign w:val="center"/>
          </w:tcPr>
          <w:p w14:paraId="4CC287BA">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szCs w:val="21"/>
                <w:highlight w:val="none"/>
              </w:rPr>
            </w:pPr>
          </w:p>
        </w:tc>
        <w:tc>
          <w:tcPr>
            <w:tcW w:w="1860" w:type="dxa"/>
            <w:gridSpan w:val="2"/>
            <w:vMerge w:val="continue"/>
            <w:noWrap/>
          </w:tcPr>
          <w:p w14:paraId="6058B882">
            <w:pPr>
              <w:spacing w:line="440" w:lineRule="exact"/>
              <w:rPr>
                <w:rFonts w:ascii="宋体" w:hAnsi="宋体" w:cs="宋体"/>
                <w:szCs w:val="21"/>
                <w:highlight w:val="none"/>
              </w:rPr>
            </w:pPr>
          </w:p>
        </w:tc>
        <w:tc>
          <w:tcPr>
            <w:tcW w:w="2158" w:type="dxa"/>
            <w:noWrap/>
            <w:vAlign w:val="center"/>
          </w:tcPr>
          <w:p w14:paraId="59243F41">
            <w:pPr>
              <w:spacing w:line="440" w:lineRule="exact"/>
              <w:rPr>
                <w:rFonts w:ascii="宋体" w:hAnsi="宋体" w:cs="宋体"/>
                <w:szCs w:val="21"/>
                <w:highlight w:val="none"/>
              </w:rPr>
            </w:pPr>
            <w:r>
              <w:rPr>
                <w:rFonts w:hint="eastAsia" w:ascii="宋体" w:hAnsi="宋体" w:cs="宋体"/>
                <w:szCs w:val="21"/>
                <w:highlight w:val="none"/>
              </w:rPr>
              <w:t>工程质量</w:t>
            </w:r>
          </w:p>
        </w:tc>
        <w:tc>
          <w:tcPr>
            <w:tcW w:w="4727" w:type="dxa"/>
            <w:noWrap/>
            <w:vAlign w:val="center"/>
          </w:tcPr>
          <w:p w14:paraId="6B69FB9B">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szCs w:val="21"/>
                <w:highlight w:val="none"/>
              </w:rPr>
            </w:pPr>
          </w:p>
        </w:tc>
        <w:tc>
          <w:tcPr>
            <w:tcW w:w="1860" w:type="dxa"/>
            <w:gridSpan w:val="2"/>
            <w:vMerge w:val="continue"/>
            <w:noWrap/>
          </w:tcPr>
          <w:p w14:paraId="03CDB8FB">
            <w:pPr>
              <w:spacing w:line="440" w:lineRule="exact"/>
              <w:rPr>
                <w:rFonts w:ascii="宋体" w:hAnsi="宋体" w:cs="宋体"/>
                <w:szCs w:val="21"/>
                <w:highlight w:val="none"/>
              </w:rPr>
            </w:pPr>
          </w:p>
        </w:tc>
        <w:tc>
          <w:tcPr>
            <w:tcW w:w="2158" w:type="dxa"/>
            <w:noWrap/>
            <w:vAlign w:val="center"/>
          </w:tcPr>
          <w:p w14:paraId="68CD3BA7">
            <w:pPr>
              <w:spacing w:line="440" w:lineRule="exact"/>
              <w:rPr>
                <w:rFonts w:ascii="宋体" w:hAnsi="宋体" w:cs="宋体"/>
                <w:szCs w:val="21"/>
                <w:highlight w:val="none"/>
              </w:rPr>
            </w:pPr>
            <w:r>
              <w:rPr>
                <w:rFonts w:hint="eastAsia" w:ascii="宋体" w:hAnsi="宋体" w:cs="宋体"/>
                <w:szCs w:val="21"/>
                <w:highlight w:val="none"/>
              </w:rPr>
              <w:t>投标文件内容</w:t>
            </w:r>
          </w:p>
        </w:tc>
        <w:tc>
          <w:tcPr>
            <w:tcW w:w="4727" w:type="dxa"/>
            <w:noWrap/>
            <w:vAlign w:val="center"/>
          </w:tcPr>
          <w:p w14:paraId="7A7D463D">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szCs w:val="21"/>
                <w:highlight w:val="none"/>
              </w:rPr>
            </w:pPr>
          </w:p>
        </w:tc>
        <w:tc>
          <w:tcPr>
            <w:tcW w:w="1860" w:type="dxa"/>
            <w:gridSpan w:val="2"/>
            <w:vMerge w:val="continue"/>
            <w:noWrap/>
          </w:tcPr>
          <w:p w14:paraId="6C3BBE5A">
            <w:pPr>
              <w:spacing w:line="440" w:lineRule="exact"/>
              <w:rPr>
                <w:rFonts w:ascii="宋体" w:hAnsi="宋体" w:cs="宋体"/>
                <w:szCs w:val="21"/>
                <w:highlight w:val="none"/>
              </w:rPr>
            </w:pPr>
          </w:p>
        </w:tc>
        <w:tc>
          <w:tcPr>
            <w:tcW w:w="2158" w:type="dxa"/>
            <w:noWrap/>
            <w:vAlign w:val="center"/>
          </w:tcPr>
          <w:p w14:paraId="7B8E7F30">
            <w:pPr>
              <w:spacing w:line="440" w:lineRule="exact"/>
              <w:rPr>
                <w:rFonts w:ascii="宋体" w:hAnsi="宋体" w:cs="宋体"/>
                <w:szCs w:val="21"/>
                <w:highlight w:val="none"/>
              </w:rPr>
            </w:pPr>
            <w:r>
              <w:rPr>
                <w:rFonts w:hint="eastAsia" w:ascii="宋体" w:hAnsi="宋体" w:cs="宋体"/>
                <w:szCs w:val="21"/>
                <w:highlight w:val="none"/>
              </w:rPr>
              <w:t>投标报价</w:t>
            </w:r>
          </w:p>
        </w:tc>
        <w:tc>
          <w:tcPr>
            <w:tcW w:w="4727" w:type="dxa"/>
            <w:noWrap/>
            <w:vAlign w:val="center"/>
          </w:tcPr>
          <w:p w14:paraId="2BF22B2C">
            <w:pPr>
              <w:spacing w:line="440" w:lineRule="exact"/>
              <w:rPr>
                <w:rFonts w:ascii="宋体" w:hAnsi="宋体" w:cs="宋体"/>
                <w:szCs w:val="21"/>
                <w:highlight w:val="none"/>
              </w:rPr>
            </w:pPr>
            <w:r>
              <w:rPr>
                <w:rFonts w:hint="eastAsia" w:ascii="宋体" w:hAnsi="宋体" w:cs="宋体"/>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60</w:t>
            </w:r>
            <w:r>
              <w:rPr>
                <w:rFonts w:hint="eastAsia" w:ascii="宋体" w:hAnsi="宋体" w:eastAsia="宋体" w:cs="宋体"/>
                <w:color w:val="auto"/>
                <w:szCs w:val="21"/>
                <w:highlight w:val="none"/>
              </w:rPr>
              <w:t>分）</w:t>
            </w:r>
          </w:p>
        </w:tc>
        <w:tc>
          <w:tcPr>
            <w:tcW w:w="7830" w:type="dxa"/>
            <w:gridSpan w:val="3"/>
            <w:noWrap/>
            <w:vAlign w:val="center"/>
          </w:tcPr>
          <w:p w14:paraId="118570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1、报价分（</w:t>
            </w:r>
            <w:r>
              <w:rPr>
                <w:rFonts w:hint="eastAsia" w:ascii="宋体" w:hAnsi="宋体" w:cs="宋体"/>
                <w:color w:val="auto"/>
                <w:highlight w:val="none"/>
                <w:lang w:val="en-US" w:eastAsia="zh-CN"/>
              </w:rPr>
              <w:t>60</w:t>
            </w:r>
            <w:r>
              <w:rPr>
                <w:rFonts w:hint="eastAsia" w:ascii="宋体" w:hAnsi="宋体" w:eastAsia="宋体" w:cs="宋体"/>
                <w:color w:val="auto"/>
                <w:highlight w:val="none"/>
                <w:lang w:val="en-US" w:eastAsia="zh-CN"/>
              </w:rPr>
              <w:t>分）：</w:t>
            </w:r>
          </w:p>
          <w:p w14:paraId="60F35C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该部分商务标评分按下列步骤计算：</w:t>
            </w:r>
          </w:p>
          <w:p w14:paraId="4B5EFF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第一步：计算B值。</w:t>
            </w:r>
          </w:p>
          <w:p w14:paraId="559C78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①B值为计算范围内有效投标人报价的算术平均值。</w:t>
            </w:r>
          </w:p>
          <w:p w14:paraId="567B3C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第二步：计算评标基准价F值。</w:t>
            </w:r>
          </w:p>
          <w:p w14:paraId="26944F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①F=B×（1-K），其中K为调整系数，K的取值为-0.5%（1号），0%（2号），0.5%（3号），1.0%（4号），1.5%（5号）。</w:t>
            </w:r>
          </w:p>
          <w:p w14:paraId="56E7CE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第三步：计算报价偏差率。</w:t>
            </w:r>
          </w:p>
          <w:p w14:paraId="2D50DD52">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cs="宋体"/>
                <w:color w:val="auto"/>
                <w:szCs w:val="21"/>
                <w:highlight w:val="none"/>
              </w:rPr>
              <w:t>①偏差率=|（投标报价-评标基</w:t>
            </w:r>
            <w:r>
              <w:rPr>
                <w:rFonts w:hint="eastAsia" w:ascii="宋体" w:hAnsi="宋体" w:eastAsia="宋体" w:cs="宋体"/>
                <w:color w:val="auto"/>
                <w:szCs w:val="21"/>
                <w:highlight w:val="none"/>
              </w:rPr>
              <w:t>准价）/评标基准价|×100%</w:t>
            </w:r>
          </w:p>
          <w:p w14:paraId="4BBEE9AE">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第四步：计算报价得分</w:t>
            </w:r>
          </w:p>
          <w:p w14:paraId="6D2E3ECF">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①投标报价等于评标基准价的得满分。</w:t>
            </w:r>
          </w:p>
          <w:p w14:paraId="254845D5">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②投标报价高于评标基准价的，投标报价得分=报价满分值-偏差率×100×1</w:t>
            </w:r>
          </w:p>
          <w:p w14:paraId="2C4178C6">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③投标报价低于评标基准价的，投标报价得分=报价满分值-偏差率×100×0.5</w:t>
            </w:r>
          </w:p>
          <w:p w14:paraId="6A94D4FA">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color w:val="auto"/>
                <w:highlight w:val="none"/>
              </w:rPr>
            </w:pPr>
            <w:r>
              <w:rPr>
                <w:rFonts w:hint="eastAsia" w:ascii="宋体" w:hAnsi="宋体" w:cs="宋体"/>
                <w:b/>
                <w:color w:val="auto"/>
                <w:szCs w:val="21"/>
                <w:highlight w:val="none"/>
              </w:rPr>
              <w:t>注：</w:t>
            </w:r>
            <w:r>
              <w:rPr>
                <w:rFonts w:hint="eastAsia" w:ascii="宋体" w:hAnsi="宋体" w:cs="宋体"/>
                <w:b/>
                <w:color w:val="auto"/>
                <w:szCs w:val="21"/>
                <w:highlight w:val="none"/>
                <w:lang w:val="en-US" w:eastAsia="zh-CN"/>
              </w:rPr>
              <w:t>该部分</w:t>
            </w:r>
            <w:r>
              <w:rPr>
                <w:rFonts w:hint="eastAsia" w:ascii="宋体" w:hAnsi="宋体" w:cs="宋体"/>
                <w:b/>
                <w:color w:val="auto"/>
                <w:szCs w:val="21"/>
                <w:highlight w:val="none"/>
              </w:rPr>
              <w:t>计算过程中，B值、评标基准价F值、偏差率、报价得分均保留两位小数，小数点后第三位四舍五入。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41" w:name="_Toc35425113"/>
      <w:bookmarkStart w:id="142" w:name="_Toc78803381"/>
      <w:bookmarkStart w:id="143" w:name="_Toc246996975"/>
      <w:bookmarkStart w:id="144" w:name="_Toc152045589"/>
      <w:bookmarkStart w:id="145" w:name="_Toc35424947"/>
      <w:bookmarkStart w:id="146" w:name="_Toc247085747"/>
      <w:bookmarkStart w:id="147" w:name="_Toc506107324"/>
      <w:bookmarkStart w:id="148" w:name="_Toc246996232"/>
      <w:bookmarkStart w:id="149" w:name="_Toc6491"/>
      <w:bookmarkStart w:id="150" w:name="_Toc324404872"/>
      <w:bookmarkStart w:id="151" w:name="_Toc15058913"/>
      <w:bookmarkStart w:id="152" w:name="_Toc152042366"/>
      <w:bookmarkStart w:id="153" w:name="_Toc144974556"/>
      <w:bookmarkStart w:id="154" w:name="_Toc179632607"/>
      <w:r>
        <w:rPr>
          <w:rFonts w:hint="eastAsia" w:ascii="黑体" w:hAnsi="黑体" w:eastAsia="黑体" w:cs="黑体"/>
          <w:b/>
          <w:color w:val="auto"/>
          <w:szCs w:val="21"/>
          <w:highlight w:val="none"/>
        </w:rPr>
        <w:t>商务标评审表注：</w:t>
      </w:r>
    </w:p>
    <w:p w14:paraId="7CFC35BA">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723FCFE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w:t>
      </w:r>
      <w:r>
        <w:rPr>
          <w:rFonts w:hint="eastAsia" w:ascii="宋体" w:hAnsi="宋体" w:cs="宋体"/>
          <w:color w:val="auto"/>
          <w:szCs w:val="21"/>
          <w:highlight w:val="none"/>
          <w:lang w:val="en-US" w:eastAsia="zh-CN"/>
        </w:rPr>
        <w:t>单</w:t>
      </w:r>
      <w:r>
        <w:rPr>
          <w:rFonts w:hint="eastAsia" w:ascii="宋体" w:hAnsi="宋体" w:cs="宋体"/>
          <w:color w:val="auto"/>
          <w:szCs w:val="21"/>
          <w:highlight w:val="none"/>
        </w:rPr>
        <w:t>价（多算投标报价、多报费用不扣减）。</w:t>
      </w:r>
    </w:p>
    <w:p w14:paraId="3F04AEB0">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、B值计算方法：</w:t>
      </w:r>
    </w:p>
    <w:p w14:paraId="241AC681">
      <w:pPr>
        <w:kinsoku/>
        <w:wordWrap/>
        <w:overflowPunct/>
        <w:topLinePunct w:val="0"/>
        <w:autoSpaceDE/>
        <w:autoSpaceDN/>
        <w:bidi w:val="0"/>
        <w:adjustRightInd w:val="0"/>
        <w:snapToGrid w:val="0"/>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（1）本项目T取值为10。</w:t>
      </w:r>
    </w:p>
    <w:p w14:paraId="73A8E60C">
      <w:pPr>
        <w:kinsoku/>
        <w:wordWrap/>
        <w:overflowPunct/>
        <w:topLinePunct w:val="0"/>
        <w:autoSpaceDE/>
        <w:autoSpaceDN/>
        <w:bidi w:val="0"/>
        <w:adjustRightInd w:val="0"/>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（2）资信技术合计分值大于等于所有通过详细评审有效投标人资信技术平均分值的投标人数量为M。</w:t>
      </w:r>
    </w:p>
    <w:p w14:paraId="4C77D6CD">
      <w:pPr>
        <w:kinsoku/>
        <w:wordWrap/>
        <w:overflowPunct/>
        <w:topLinePunct w:val="0"/>
        <w:autoSpaceDE/>
        <w:autoSpaceDN/>
        <w:bidi w:val="0"/>
        <w:adjustRightInd w:val="0"/>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（3）若M 未超过 T 时，B 值为符合上述条件的 M 个投标人投标报价的算术平均值。</w:t>
      </w:r>
    </w:p>
    <w:p w14:paraId="5299D97B">
      <w:pPr>
        <w:kinsoku/>
        <w:wordWrap/>
        <w:overflowPunct/>
        <w:topLinePunct w:val="0"/>
        <w:autoSpaceDE/>
        <w:autoSpaceDN/>
        <w:bidi w:val="0"/>
        <w:adjustRightInd w:val="0"/>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（4）若M 超过 T 时，B 值为符合上述条件的 M 个投标人投标报价中去除(M-T)/2【M-T 为奇数时，则为(M-T+1)/2】个最高价和(M-T)/2【M-T 为奇数时，则为(M-T-1)/2】个最低价后，剩余有效投标报价的算术平均值（如去高去低的最后一名存在报价相同的，则通过随机抽取确定被去除的投标人。只保留T个投标人的投标报价）。</w:t>
      </w:r>
    </w:p>
    <w:p w14:paraId="7825772A">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、K值（评标基准价系数）的抽取：</w:t>
      </w:r>
      <w:r>
        <w:rPr>
          <w:rFonts w:hint="eastAsia" w:ascii="宋体" w:hAnsi="宋体" w:eastAsia="宋体" w:cs="宋体"/>
          <w:color w:val="auto"/>
          <w:szCs w:val="21"/>
          <w:highlight w:val="none"/>
          <w:lang w:val="en-US" w:eastAsia="zh-CN"/>
        </w:rPr>
        <w:t>投标文件</w:t>
      </w:r>
      <w:r>
        <w:rPr>
          <w:rFonts w:hint="eastAsia" w:ascii="宋体" w:hAnsi="宋体" w:eastAsia="宋体" w:cs="宋体"/>
          <w:color w:val="auto"/>
          <w:szCs w:val="21"/>
          <w:highlight w:val="none"/>
        </w:rPr>
        <w:t>评审完成后，招标人</w:t>
      </w:r>
      <w:r>
        <w:rPr>
          <w:rFonts w:hint="eastAsia" w:ascii="宋体" w:hAnsi="宋体" w:eastAsia="宋体" w:cs="宋体"/>
          <w:color w:val="auto"/>
          <w:szCs w:val="21"/>
          <w:highlight w:val="none"/>
          <w:lang w:val="en-US" w:eastAsia="zh-CN"/>
        </w:rPr>
        <w:t>现场</w:t>
      </w:r>
      <w:r>
        <w:rPr>
          <w:rFonts w:hint="eastAsia" w:ascii="宋体" w:hAnsi="宋体" w:eastAsia="宋体" w:cs="宋体"/>
          <w:color w:val="auto"/>
          <w:szCs w:val="21"/>
          <w:highlight w:val="none"/>
        </w:rPr>
        <w:t>抽取K值，并根据抽取的K值计算F值，评标办法中的评标基准价计算出来后，除数字计算错误外，其他情况均不再调整。</w:t>
      </w:r>
    </w:p>
    <w:p w14:paraId="59E5148A">
      <w:pPr>
        <w:pStyle w:val="3"/>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1.评标方法</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172AB4E8">
      <w:pPr>
        <w:snapToGrid w:val="0"/>
        <w:spacing w:line="440" w:lineRule="exact"/>
        <w:ind w:right="252" w:rightChars="120" w:firstLine="420" w:firstLineChars="200"/>
        <w:jc w:val="left"/>
        <w:rPr>
          <w:rFonts w:ascii="宋体" w:hAnsi="宋体" w:cs="宋体"/>
          <w:szCs w:val="21"/>
          <w:highlight w:val="none"/>
        </w:rPr>
      </w:pPr>
      <w:bookmarkStart w:id="155" w:name="_Toc324404873"/>
      <w:bookmarkStart w:id="156" w:name="_Toc247085748"/>
      <w:bookmarkStart w:id="157" w:name="_Toc179632608"/>
      <w:bookmarkStart w:id="158" w:name="_Toc246996976"/>
      <w:bookmarkStart w:id="159" w:name="_Toc144974557"/>
      <w:bookmarkStart w:id="160" w:name="_Toc246996233"/>
      <w:bookmarkStart w:id="161" w:name="_Toc152045590"/>
      <w:bookmarkStart w:id="162" w:name="_Toc152042367"/>
      <w:bookmarkStart w:id="163" w:name="_Toc296602478"/>
      <w:r>
        <w:rPr>
          <w:rFonts w:hint="eastAsia" w:ascii="宋体" w:hAnsi="宋体" w:cs="宋体"/>
          <w:szCs w:val="21"/>
          <w:highlight w:val="none"/>
        </w:rPr>
        <w:t>本次评标采用综合评估法。评标委员会对满足招标文件实质性要求的投标文件，按照本章规定的评分标准进行打分，并按总得分（技术分+商务分）由高到低顺序推荐中标候选人</w:t>
      </w:r>
      <w:r>
        <w:rPr>
          <w:rFonts w:hint="eastAsia" w:ascii="宋体" w:hAnsi="宋体" w:cs="宋体"/>
          <w:szCs w:val="21"/>
          <w:highlight w:val="none"/>
          <w:lang w:val="en-US" w:eastAsia="zh-CN"/>
        </w:rPr>
        <w:t>3</w:t>
      </w:r>
      <w:r>
        <w:rPr>
          <w:rFonts w:hint="eastAsia" w:ascii="宋体" w:hAnsi="宋体" w:cs="宋体"/>
          <w:szCs w:val="21"/>
          <w:highlight w:val="none"/>
        </w:rPr>
        <w:t>名，并标明</w:t>
      </w:r>
      <w:r>
        <w:rPr>
          <w:rFonts w:hint="eastAsia" w:ascii="宋体" w:hAnsi="宋体" w:cs="宋体"/>
          <w:color w:val="auto"/>
          <w:szCs w:val="21"/>
          <w:highlight w:val="none"/>
        </w:rPr>
        <w:t>排序，但投标报价低于其成本的除外。总评分相等时，以投标报价低的优先；若投标报价也相等，由</w:t>
      </w:r>
      <w:r>
        <w:rPr>
          <w:rFonts w:hint="eastAsia" w:ascii="宋体" w:hAnsi="宋体" w:cs="宋体"/>
          <w:szCs w:val="21"/>
          <w:highlight w:val="none"/>
        </w:rPr>
        <w:t>招标人抽签确定。</w:t>
      </w:r>
    </w:p>
    <w:p w14:paraId="3F12DD3B">
      <w:pPr>
        <w:pStyle w:val="3"/>
        <w:spacing w:beforeLines="50" w:afterLines="50"/>
        <w:ind w:firstLine="422" w:firstLineChars="200"/>
        <w:rPr>
          <w:rFonts w:ascii="宋体" w:hAnsi="宋体" w:eastAsia="宋体" w:cs="宋体"/>
          <w:highlight w:val="none"/>
        </w:rPr>
      </w:pPr>
      <w:bookmarkStart w:id="164" w:name="_Toc506107325"/>
      <w:bookmarkStart w:id="165" w:name="_Toc15058914"/>
      <w:bookmarkStart w:id="166" w:name="_Toc35425114"/>
      <w:bookmarkStart w:id="167" w:name="_Toc35424948"/>
      <w:bookmarkStart w:id="168" w:name="_Toc11945"/>
      <w:bookmarkStart w:id="169" w:name="_Toc78803382"/>
      <w:r>
        <w:rPr>
          <w:rFonts w:hint="eastAsia" w:ascii="宋体" w:hAnsi="宋体" w:eastAsia="宋体" w:cs="宋体"/>
          <w:highlight w:val="none"/>
        </w:rPr>
        <w:t>2.评标委员会的职责</w:t>
      </w:r>
      <w:bookmarkEnd w:id="155"/>
      <w:bookmarkEnd w:id="164"/>
      <w:bookmarkEnd w:id="165"/>
      <w:bookmarkEnd w:id="166"/>
      <w:bookmarkEnd w:id="167"/>
      <w:bookmarkEnd w:id="168"/>
      <w:bookmarkEnd w:id="169"/>
    </w:p>
    <w:p w14:paraId="009BCFE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spacing w:line="440" w:lineRule="exact"/>
        <w:ind w:firstLine="420" w:firstLineChars="200"/>
        <w:jc w:val="left"/>
        <w:rPr>
          <w:rFonts w:ascii="宋体" w:hAnsi="宋体" w:cs="宋体"/>
          <w:szCs w:val="21"/>
          <w:highlight w:val="none"/>
        </w:rPr>
      </w:pPr>
      <w:bookmarkStart w:id="170" w:name="_Toc78803383"/>
      <w:r>
        <w:rPr>
          <w:rFonts w:hint="eastAsia" w:ascii="宋体" w:hAnsi="宋体" w:cs="宋体"/>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70"/>
    </w:p>
    <w:p w14:paraId="2EE942C7">
      <w:pPr>
        <w:pStyle w:val="3"/>
        <w:spacing w:beforeLines="50" w:afterLines="50"/>
        <w:ind w:firstLine="422" w:firstLineChars="200"/>
        <w:rPr>
          <w:rFonts w:ascii="宋体" w:hAnsi="宋体" w:eastAsia="宋体" w:cs="宋体"/>
          <w:highlight w:val="none"/>
        </w:rPr>
      </w:pPr>
      <w:bookmarkStart w:id="171" w:name="_Toc35424949"/>
      <w:bookmarkStart w:id="172" w:name="_Toc17377"/>
      <w:bookmarkStart w:id="173" w:name="_Toc506107326"/>
      <w:bookmarkStart w:id="174" w:name="_Toc324404874"/>
      <w:bookmarkStart w:id="175" w:name="_Toc35425115"/>
      <w:bookmarkStart w:id="176" w:name="_Toc15058915"/>
      <w:bookmarkStart w:id="177" w:name="_Toc78803384"/>
      <w:r>
        <w:rPr>
          <w:rFonts w:hint="eastAsia" w:ascii="宋体" w:hAnsi="宋体" w:eastAsia="宋体" w:cs="宋体"/>
          <w:highlight w:val="none"/>
        </w:rPr>
        <w:t>3.评标程序</w:t>
      </w:r>
      <w:bookmarkEnd w:id="171"/>
      <w:bookmarkEnd w:id="172"/>
      <w:bookmarkEnd w:id="173"/>
      <w:bookmarkEnd w:id="174"/>
      <w:bookmarkEnd w:id="175"/>
      <w:bookmarkEnd w:id="176"/>
      <w:bookmarkEnd w:id="177"/>
    </w:p>
    <w:p w14:paraId="6091849E">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评标先做准备工作，先进行</w:t>
      </w:r>
      <w:r>
        <w:rPr>
          <w:rFonts w:hint="eastAsia" w:ascii="宋体" w:hAnsi="宋体" w:eastAsia="宋体" w:cs="宋体"/>
          <w:szCs w:val="21"/>
          <w:highlight w:val="none"/>
          <w:lang w:val="en-US" w:eastAsia="zh-CN"/>
        </w:rPr>
        <w:t>资格审查</w:t>
      </w:r>
      <w:r>
        <w:rPr>
          <w:rFonts w:hint="eastAsia" w:ascii="宋体" w:hAnsi="宋体" w:eastAsia="宋体" w:cs="宋体"/>
          <w:szCs w:val="21"/>
          <w:highlight w:val="none"/>
        </w:rPr>
        <w:t>，然后进行技术标评审，最后进行商务标评审。</w:t>
      </w:r>
    </w:p>
    <w:p w14:paraId="6E980930">
      <w:pPr>
        <w:pStyle w:val="3"/>
        <w:ind w:firstLine="422" w:firstLineChars="200"/>
        <w:rPr>
          <w:rFonts w:ascii="宋体" w:hAnsi="宋体" w:eastAsia="宋体" w:cs="宋体"/>
          <w:highlight w:val="none"/>
        </w:rPr>
      </w:pPr>
      <w:bookmarkStart w:id="178" w:name="_Toc78803385"/>
      <w:bookmarkStart w:id="179" w:name="_Toc27389"/>
      <w:bookmarkStart w:id="180" w:name="_Toc15058916"/>
      <w:bookmarkStart w:id="181" w:name="_Toc35424950"/>
      <w:bookmarkStart w:id="182" w:name="_Toc35425116"/>
      <w:r>
        <w:rPr>
          <w:rFonts w:hint="eastAsia" w:ascii="宋体" w:hAnsi="宋体" w:eastAsia="宋体" w:cs="宋体"/>
          <w:highlight w:val="none"/>
        </w:rPr>
        <w:t>3.1评标准备工作</w:t>
      </w:r>
      <w:bookmarkEnd w:id="178"/>
      <w:bookmarkEnd w:id="179"/>
      <w:bookmarkEnd w:id="180"/>
      <w:bookmarkEnd w:id="181"/>
      <w:bookmarkEnd w:id="182"/>
    </w:p>
    <w:p w14:paraId="12DD11E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评标委员会熟悉评标工作情况：</w:t>
      </w:r>
    </w:p>
    <w:p w14:paraId="61A7679E">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3327388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0377C0C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（4）核对评标工作用表。</w:t>
      </w:r>
    </w:p>
    <w:p w14:paraId="13E391E0">
      <w:pPr>
        <w:pStyle w:val="3"/>
        <w:ind w:firstLine="422" w:firstLineChars="200"/>
        <w:rPr>
          <w:rFonts w:ascii="宋体" w:hAnsi="宋体" w:eastAsia="宋体" w:cs="宋体"/>
          <w:highlight w:val="none"/>
        </w:rPr>
      </w:pPr>
      <w:bookmarkStart w:id="183" w:name="_Toc35424951"/>
      <w:bookmarkStart w:id="184" w:name="_Toc78803386"/>
      <w:bookmarkStart w:id="185" w:name="_Toc15058917"/>
      <w:bookmarkStart w:id="186" w:name="_Toc1299"/>
      <w:bookmarkStart w:id="187" w:name="_Toc24650"/>
      <w:bookmarkStart w:id="188" w:name="_Toc35425117"/>
      <w:bookmarkStart w:id="189" w:name="_Toc15058919"/>
      <w:bookmarkStart w:id="190" w:name="_Toc506107327"/>
      <w:bookmarkStart w:id="191" w:name="_Toc12200"/>
      <w:bookmarkStart w:id="192" w:name="_Toc35425120"/>
      <w:bookmarkStart w:id="193" w:name="_Toc35424954"/>
      <w:bookmarkStart w:id="194" w:name="_Toc324404875"/>
      <w:r>
        <w:rPr>
          <w:rFonts w:hint="eastAsia" w:ascii="宋体" w:hAnsi="宋体" w:eastAsia="宋体" w:cs="宋体"/>
          <w:highlight w:val="none"/>
        </w:rPr>
        <w:t>3.2技术标评审</w:t>
      </w:r>
      <w:bookmarkEnd w:id="183"/>
      <w:bookmarkEnd w:id="184"/>
      <w:bookmarkEnd w:id="185"/>
      <w:bookmarkEnd w:id="186"/>
      <w:bookmarkEnd w:id="187"/>
      <w:bookmarkEnd w:id="188"/>
    </w:p>
    <w:p w14:paraId="755D589C">
      <w:pPr>
        <w:spacing w:line="440" w:lineRule="exact"/>
        <w:ind w:firstLine="420" w:firstLineChars="200"/>
        <w:rPr>
          <w:rFonts w:ascii="宋体" w:hAnsi="宋体" w:cs="宋体"/>
          <w:szCs w:val="21"/>
          <w:highlight w:val="none"/>
        </w:rPr>
      </w:pPr>
      <w:r>
        <w:rPr>
          <w:rFonts w:hint="eastAsia" w:ascii="宋体" w:hAnsi="宋体" w:cs="宋体"/>
          <w:szCs w:val="21"/>
          <w:highlight w:val="none"/>
        </w:rPr>
        <w:t>详见技术标评审表。</w:t>
      </w:r>
    </w:p>
    <w:p w14:paraId="3DC15C5A">
      <w:pPr>
        <w:pStyle w:val="3"/>
        <w:ind w:firstLine="422" w:firstLineChars="200"/>
        <w:rPr>
          <w:rFonts w:ascii="宋体" w:hAnsi="宋体" w:eastAsia="宋体" w:cs="宋体"/>
          <w:highlight w:val="none"/>
        </w:rPr>
      </w:pPr>
      <w:bookmarkStart w:id="195" w:name="_Toc17468"/>
      <w:bookmarkStart w:id="196" w:name="_Toc15058918"/>
      <w:bookmarkStart w:id="197" w:name="_Toc11990"/>
      <w:bookmarkStart w:id="198" w:name="_Toc35424952"/>
      <w:bookmarkStart w:id="199" w:name="_Toc35425118"/>
      <w:bookmarkStart w:id="200" w:name="_Toc78803387"/>
      <w:r>
        <w:rPr>
          <w:rFonts w:hint="eastAsia" w:ascii="宋体" w:hAnsi="宋体" w:eastAsia="宋体" w:cs="宋体"/>
          <w:highlight w:val="none"/>
        </w:rPr>
        <w:t>3.3商务标评审</w:t>
      </w:r>
      <w:bookmarkEnd w:id="195"/>
      <w:bookmarkEnd w:id="196"/>
      <w:bookmarkEnd w:id="197"/>
      <w:bookmarkEnd w:id="198"/>
      <w:bookmarkEnd w:id="199"/>
      <w:bookmarkEnd w:id="200"/>
    </w:p>
    <w:p w14:paraId="39D20E5D">
      <w:pPr>
        <w:spacing w:line="440" w:lineRule="exact"/>
        <w:ind w:firstLine="420" w:firstLineChars="200"/>
        <w:rPr>
          <w:rFonts w:ascii="宋体" w:hAnsi="宋体" w:cs="宋体"/>
          <w:szCs w:val="21"/>
          <w:highlight w:val="none"/>
        </w:rPr>
      </w:pPr>
      <w:r>
        <w:rPr>
          <w:rFonts w:hint="eastAsia" w:ascii="宋体" w:hAnsi="宋体" w:cs="宋体"/>
          <w:szCs w:val="21"/>
          <w:highlight w:val="none"/>
        </w:rPr>
        <w:t>详见商务标评审表。</w:t>
      </w:r>
    </w:p>
    <w:p w14:paraId="56AFC15C">
      <w:pPr>
        <w:spacing w:line="440" w:lineRule="exact"/>
        <w:ind w:firstLine="422" w:firstLineChars="200"/>
        <w:rPr>
          <w:rFonts w:ascii="宋体" w:hAnsi="宋体" w:cs="宋体"/>
          <w:color w:val="auto"/>
          <w:szCs w:val="21"/>
          <w:highlight w:val="none"/>
        </w:rPr>
      </w:pPr>
      <w:bookmarkStart w:id="201" w:name="_Toc18087"/>
      <w:bookmarkStart w:id="202" w:name="_Toc26895"/>
      <w:bookmarkStart w:id="203" w:name="_Toc35424953"/>
      <w:bookmarkStart w:id="204" w:name="_Toc35425119"/>
      <w:bookmarkStart w:id="205" w:name="_Toc78803388"/>
      <w:r>
        <w:rPr>
          <w:rStyle w:val="198"/>
          <w:rFonts w:hint="eastAsia" w:ascii="宋体" w:hAnsi="宋体" w:eastAsia="宋体" w:cs="宋体"/>
          <w:highlight w:val="none"/>
        </w:rPr>
        <w:t>3.</w:t>
      </w:r>
      <w:r>
        <w:rPr>
          <w:rStyle w:val="198"/>
          <w:rFonts w:hint="eastAsia" w:ascii="宋体" w:hAnsi="宋体" w:cs="宋体"/>
          <w:highlight w:val="none"/>
          <w:lang w:val="en-US"/>
        </w:rPr>
        <w:t>4</w:t>
      </w:r>
      <w:r>
        <w:rPr>
          <w:rStyle w:val="198"/>
          <w:rFonts w:hint="eastAsia" w:ascii="宋体" w:hAnsi="宋体" w:eastAsia="宋体" w:cs="宋体"/>
          <w:highlight w:val="none"/>
        </w:rPr>
        <w:t>推荐中标候选人</w:t>
      </w:r>
      <w:bookmarkEnd w:id="201"/>
      <w:bookmarkEnd w:id="202"/>
      <w:bookmarkEnd w:id="203"/>
      <w:bookmarkEnd w:id="204"/>
      <w:bookmarkEnd w:id="205"/>
      <w:r>
        <w:rPr>
          <w:rFonts w:hint="eastAsia" w:ascii="宋体" w:hAnsi="宋体" w:cs="宋体"/>
          <w:b/>
          <w:bCs/>
          <w:highlight w:val="none"/>
        </w:rPr>
        <w:t>：</w:t>
      </w:r>
      <w:r>
        <w:rPr>
          <w:rFonts w:hint="eastAsia" w:ascii="宋体" w:hAnsi="宋体" w:cs="宋体"/>
          <w:highlight w:val="none"/>
        </w:rPr>
        <w:t>资</w:t>
      </w:r>
      <w:r>
        <w:rPr>
          <w:rFonts w:hint="eastAsia" w:ascii="宋体" w:hAnsi="宋体" w:cs="宋体"/>
          <w:highlight w:val="none"/>
          <w:lang w:val="en-US" w:eastAsia="zh-CN"/>
        </w:rPr>
        <w:t>格审查</w:t>
      </w:r>
      <w:r>
        <w:rPr>
          <w:rFonts w:hint="eastAsia" w:ascii="宋体" w:hAnsi="宋体" w:cs="宋体"/>
          <w:highlight w:val="none"/>
        </w:rPr>
        <w:t>、技术标评审、商务标</w:t>
      </w:r>
      <w:r>
        <w:rPr>
          <w:rFonts w:hint="eastAsia" w:ascii="宋体" w:hAnsi="宋体" w:cs="宋体"/>
          <w:color w:val="auto"/>
          <w:highlight w:val="none"/>
        </w:rPr>
        <w:t>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3"/>
        <w:spacing w:beforeLines="50" w:afterLines="50"/>
        <w:ind w:firstLine="422" w:firstLineChars="200"/>
        <w:rPr>
          <w:rFonts w:ascii="宋体" w:hAnsi="宋体" w:eastAsia="宋体" w:cs="宋体"/>
          <w:highlight w:val="none"/>
        </w:rPr>
      </w:pPr>
      <w:bookmarkStart w:id="206" w:name="_Toc78803389"/>
      <w:r>
        <w:rPr>
          <w:rFonts w:hint="eastAsia" w:ascii="宋体" w:hAnsi="宋体" w:eastAsia="宋体" w:cs="宋体"/>
          <w:highlight w:val="none"/>
        </w:rPr>
        <w:t>4.评审内容</w:t>
      </w:r>
      <w:bookmarkEnd w:id="189"/>
      <w:bookmarkEnd w:id="190"/>
      <w:bookmarkEnd w:id="191"/>
      <w:bookmarkEnd w:id="192"/>
      <w:bookmarkEnd w:id="193"/>
      <w:bookmarkEnd w:id="194"/>
      <w:bookmarkEnd w:id="206"/>
    </w:p>
    <w:p w14:paraId="0F1392E9">
      <w:pPr>
        <w:pStyle w:val="3"/>
        <w:ind w:firstLine="422" w:firstLineChars="200"/>
        <w:rPr>
          <w:rFonts w:ascii="宋体" w:hAnsi="宋体" w:eastAsia="宋体" w:cs="宋体"/>
          <w:highlight w:val="none"/>
        </w:rPr>
      </w:pPr>
      <w:bookmarkStart w:id="207" w:name="_Toc78803390"/>
      <w:bookmarkStart w:id="208" w:name="_Toc9630"/>
      <w:r>
        <w:rPr>
          <w:rFonts w:hint="eastAsia" w:ascii="宋体" w:hAnsi="宋体" w:eastAsia="宋体" w:cs="宋体"/>
          <w:highlight w:val="none"/>
        </w:rPr>
        <w:t>4.1</w:t>
      </w:r>
      <w:bookmarkEnd w:id="207"/>
      <w:bookmarkEnd w:id="208"/>
      <w:bookmarkStart w:id="209" w:name="_Toc3531"/>
      <w:bookmarkStart w:id="210" w:name="_Toc35425122"/>
      <w:bookmarkStart w:id="211" w:name="_Toc78803391"/>
      <w:bookmarkStart w:id="212" w:name="_Toc35424956"/>
      <w:bookmarkStart w:id="213" w:name="_Toc15058921"/>
      <w:bookmarkStart w:id="214" w:name="_Toc324404876"/>
      <w:r>
        <w:rPr>
          <w:rFonts w:hint="eastAsia" w:ascii="宋体" w:hAnsi="宋体" w:eastAsia="宋体" w:cs="宋体"/>
          <w:highlight w:val="none"/>
        </w:rPr>
        <w:t>商务标评审</w:t>
      </w:r>
      <w:bookmarkEnd w:id="209"/>
      <w:bookmarkEnd w:id="210"/>
      <w:bookmarkEnd w:id="211"/>
      <w:bookmarkEnd w:id="212"/>
      <w:bookmarkEnd w:id="213"/>
    </w:p>
    <w:p w14:paraId="79EFB735">
      <w:pPr>
        <w:spacing w:line="440" w:lineRule="exact"/>
        <w:ind w:firstLine="420" w:firstLineChars="200"/>
        <w:jc w:val="left"/>
        <w:rPr>
          <w:rFonts w:ascii="宋体" w:hAnsi="宋体" w:cs="宋体"/>
          <w:highlight w:val="none"/>
        </w:rPr>
      </w:pPr>
      <w:r>
        <w:rPr>
          <w:rFonts w:hint="eastAsia" w:ascii="宋体" w:hAnsi="宋体" w:cs="宋体"/>
          <w:highlight w:val="none"/>
        </w:rPr>
        <w:t>只有通过技术标评审的投标才能够进入本阶段评审。</w:t>
      </w:r>
    </w:p>
    <w:p w14:paraId="7908D5C2">
      <w:pPr>
        <w:spacing w:line="440" w:lineRule="exact"/>
        <w:ind w:firstLine="420" w:firstLineChars="200"/>
        <w:jc w:val="left"/>
        <w:rPr>
          <w:rFonts w:ascii="宋体" w:hAnsi="宋体" w:cs="宋体"/>
          <w:highlight w:val="none"/>
        </w:rPr>
      </w:pPr>
      <w:r>
        <w:rPr>
          <w:rFonts w:hint="eastAsia" w:ascii="宋体" w:hAnsi="宋体" w:cs="宋体"/>
          <w:highlight w:val="none"/>
        </w:rPr>
        <w:t>4.1.1形式性评审标准：见商务标评审表。</w:t>
      </w:r>
    </w:p>
    <w:p w14:paraId="5FDB8153">
      <w:pPr>
        <w:spacing w:line="440" w:lineRule="exact"/>
        <w:ind w:firstLine="420" w:firstLineChars="200"/>
        <w:jc w:val="left"/>
        <w:rPr>
          <w:rFonts w:ascii="宋体" w:hAnsi="宋体" w:cs="宋体"/>
          <w:highlight w:val="none"/>
        </w:rPr>
      </w:pPr>
      <w:r>
        <w:rPr>
          <w:rFonts w:hint="eastAsia" w:ascii="宋体" w:hAnsi="宋体" w:cs="宋体"/>
          <w:highlight w:val="none"/>
        </w:rPr>
        <w:t>4.1.2响应性评审标准：见商务标评审表。</w:t>
      </w:r>
    </w:p>
    <w:p w14:paraId="5104F405">
      <w:pPr>
        <w:spacing w:line="440" w:lineRule="exact"/>
        <w:ind w:firstLine="420" w:firstLineChars="200"/>
        <w:jc w:val="left"/>
        <w:rPr>
          <w:rFonts w:ascii="宋体" w:hAnsi="宋体" w:cs="宋体"/>
          <w:highlight w:val="none"/>
        </w:rPr>
      </w:pPr>
      <w:r>
        <w:rPr>
          <w:rFonts w:hint="eastAsia" w:ascii="宋体" w:hAnsi="宋体" w:cs="宋体"/>
          <w:highlight w:val="none"/>
        </w:rPr>
        <w:t>评标委员会依据上述标准对投标文件进行初步评审。有一项不符合评审标准的，作无效投标处理。</w:t>
      </w:r>
    </w:p>
    <w:p w14:paraId="5FFAD8BA">
      <w:pPr>
        <w:spacing w:line="440" w:lineRule="exact"/>
        <w:ind w:firstLine="420" w:firstLineChars="200"/>
        <w:jc w:val="left"/>
        <w:rPr>
          <w:rFonts w:ascii="宋体" w:hAnsi="宋体" w:cs="宋体"/>
          <w:highlight w:val="none"/>
        </w:rPr>
      </w:pPr>
      <w:r>
        <w:rPr>
          <w:rFonts w:hint="eastAsia" w:ascii="宋体" w:hAnsi="宋体" w:cs="宋体"/>
          <w:highlight w:val="none"/>
        </w:rPr>
        <w:t>4.1.3投标报价评审</w:t>
      </w:r>
    </w:p>
    <w:p w14:paraId="43D228EB">
      <w:pPr>
        <w:spacing w:line="440" w:lineRule="exact"/>
        <w:ind w:firstLine="420" w:firstLineChars="200"/>
        <w:jc w:val="left"/>
        <w:rPr>
          <w:rFonts w:ascii="宋体" w:hAnsi="宋体" w:cs="宋体"/>
          <w:highlight w:val="none"/>
        </w:rPr>
      </w:pPr>
      <w:r>
        <w:rPr>
          <w:rFonts w:hint="eastAsia" w:ascii="宋体" w:hAnsi="宋体" w:cs="宋体"/>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spacing w:line="440" w:lineRule="exact"/>
        <w:ind w:firstLine="420" w:firstLineChars="200"/>
        <w:jc w:val="left"/>
        <w:rPr>
          <w:rFonts w:ascii="宋体" w:hAnsi="宋体" w:cs="宋体"/>
          <w:highlight w:val="none"/>
        </w:rPr>
      </w:pPr>
      <w:r>
        <w:rPr>
          <w:rFonts w:hint="eastAsia" w:ascii="宋体" w:hAnsi="宋体" w:cs="宋体"/>
          <w:highlight w:val="none"/>
        </w:rPr>
        <w:t>4.1.4评标委员会审查投标文件，投标报价有错误的，评标委员会按以下原则对投标报价进行修正。</w:t>
      </w:r>
    </w:p>
    <w:p w14:paraId="263D918E">
      <w:pPr>
        <w:spacing w:line="440" w:lineRule="exact"/>
        <w:ind w:firstLine="420" w:firstLineChars="200"/>
        <w:jc w:val="left"/>
        <w:rPr>
          <w:rFonts w:ascii="宋体" w:hAnsi="宋体" w:cs="宋体"/>
          <w:highlight w:val="none"/>
        </w:rPr>
      </w:pPr>
      <w:r>
        <w:rPr>
          <w:rFonts w:hint="eastAsia" w:ascii="宋体" w:hAnsi="宋体" w:cs="宋体"/>
          <w:highlight w:val="none"/>
        </w:rPr>
        <w:t>（1）投标文件中的大写金额与小写金额不一致的，以大写金额为准。</w:t>
      </w:r>
    </w:p>
    <w:p w14:paraId="62D11E9B">
      <w:pPr>
        <w:spacing w:line="440" w:lineRule="exact"/>
        <w:ind w:firstLine="420" w:firstLineChars="200"/>
        <w:jc w:val="left"/>
        <w:rPr>
          <w:rFonts w:ascii="宋体" w:hAnsi="宋体" w:cs="宋体"/>
          <w:szCs w:val="21"/>
          <w:highlight w:val="none"/>
        </w:rPr>
      </w:pPr>
      <w:r>
        <w:rPr>
          <w:rFonts w:hint="eastAsia" w:ascii="宋体" w:hAnsi="宋体" w:cs="宋体"/>
          <w:highlight w:val="none"/>
        </w:rPr>
        <w:t>（2）总价金额与依据单价计算出的结果不一致的，以单价金额为准修正总价，但单价金额小数点有明显错误的除外。</w:t>
      </w:r>
    </w:p>
    <w:p w14:paraId="5839829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3"/>
        <w:spacing w:beforeLines="50" w:afterLines="50"/>
        <w:ind w:firstLine="422" w:firstLineChars="200"/>
        <w:rPr>
          <w:rFonts w:ascii="宋体" w:hAnsi="宋体" w:eastAsia="宋体" w:cs="宋体"/>
          <w:highlight w:val="none"/>
        </w:rPr>
      </w:pPr>
      <w:bookmarkStart w:id="215" w:name="_Toc506107328"/>
      <w:bookmarkStart w:id="216" w:name="_Toc78803392"/>
      <w:bookmarkStart w:id="217" w:name="_Toc13125"/>
      <w:bookmarkStart w:id="218" w:name="_Toc15058922"/>
      <w:bookmarkStart w:id="219" w:name="_Toc35425123"/>
      <w:bookmarkStart w:id="220" w:name="_Toc35424957"/>
      <w:r>
        <w:rPr>
          <w:rFonts w:hint="eastAsia" w:ascii="宋体" w:hAnsi="宋体" w:eastAsia="宋体" w:cs="宋体"/>
          <w:highlight w:val="none"/>
        </w:rPr>
        <w:t>5.无效投标条款</w:t>
      </w:r>
      <w:bookmarkEnd w:id="214"/>
      <w:bookmarkEnd w:id="215"/>
      <w:bookmarkEnd w:id="216"/>
      <w:bookmarkEnd w:id="217"/>
      <w:bookmarkEnd w:id="218"/>
      <w:bookmarkEnd w:id="219"/>
      <w:bookmarkEnd w:id="220"/>
    </w:p>
    <w:p w14:paraId="0DF5C34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（1）未上传电子标书或电子标书经审查不合格；</w:t>
      </w:r>
    </w:p>
    <w:p w14:paraId="18F3565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343ABAF">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投标人有下列情形的，经评审后其投标作无效投标处理无效投标：</w:t>
      </w:r>
    </w:p>
    <w:p w14:paraId="2F946A1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.1商标评审</w:t>
      </w:r>
    </w:p>
    <w:p w14:paraId="5AF5194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(1)评标委员会依据《商务标评审表》进行形式性评审和响应性评审。有一项不符合评审标准的，做无效投标处理；</w:t>
      </w:r>
    </w:p>
    <w:p w14:paraId="5172AA9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（2）商务标详细评审标准中有任何一项不能通过评审的，作无效投标处理。</w:t>
      </w:r>
    </w:p>
    <w:p w14:paraId="57BB8B8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3</w:t>
      </w:r>
      <w:r>
        <w:rPr>
          <w:rFonts w:hint="eastAsia" w:ascii="宋体" w:hAnsi="宋体" w:cs="宋体"/>
          <w:szCs w:val="21"/>
          <w:highlight w:val="none"/>
        </w:rPr>
        <w:t>其他无效投标情况：</w:t>
      </w:r>
    </w:p>
    <w:p w14:paraId="78EF0F0C">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125E949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0FC2026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p>
    <w:p w14:paraId="1099022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0C71CF41">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641BCD2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FD5979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2290F1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7E65EDBC">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6C2FB7F4">
      <w:pPr>
        <w:pStyle w:val="3"/>
        <w:spacing w:beforeLines="50" w:afterLines="50"/>
        <w:ind w:firstLine="422" w:firstLineChars="200"/>
        <w:rPr>
          <w:rFonts w:ascii="宋体" w:hAnsi="宋体" w:eastAsia="宋体" w:cs="宋体"/>
          <w:highlight w:val="none"/>
        </w:rPr>
      </w:pPr>
      <w:bookmarkStart w:id="221" w:name="_Toc27846"/>
      <w:bookmarkStart w:id="222" w:name="_Toc506107329"/>
      <w:bookmarkStart w:id="223" w:name="_Toc324404877"/>
      <w:bookmarkStart w:id="224" w:name="_Toc78803393"/>
      <w:bookmarkStart w:id="225" w:name="_Toc35425124"/>
      <w:bookmarkStart w:id="226" w:name="_Toc35424958"/>
      <w:bookmarkStart w:id="227" w:name="_Toc15058923"/>
      <w:r>
        <w:rPr>
          <w:rFonts w:hint="eastAsia" w:ascii="宋体" w:hAnsi="宋体" w:eastAsia="宋体" w:cs="宋体"/>
          <w:highlight w:val="none"/>
        </w:rPr>
        <w:t>6.投标文件的澄清和补正</w:t>
      </w:r>
      <w:bookmarkEnd w:id="221"/>
      <w:bookmarkEnd w:id="222"/>
      <w:bookmarkEnd w:id="223"/>
      <w:bookmarkEnd w:id="224"/>
      <w:bookmarkEnd w:id="225"/>
      <w:bookmarkEnd w:id="226"/>
      <w:bookmarkEnd w:id="227"/>
    </w:p>
    <w:p w14:paraId="2F477AC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2FE1D5D1">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149643F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3"/>
        <w:spacing w:beforeLines="50" w:afterLines="50"/>
        <w:ind w:firstLine="422" w:firstLineChars="200"/>
        <w:rPr>
          <w:rFonts w:ascii="宋体" w:hAnsi="宋体" w:eastAsia="宋体" w:cs="宋体"/>
          <w:highlight w:val="none"/>
        </w:rPr>
      </w:pPr>
      <w:bookmarkStart w:id="228" w:name="_Toc35425125"/>
      <w:bookmarkStart w:id="229" w:name="_Toc324404878"/>
      <w:bookmarkStart w:id="230" w:name="_Toc35424959"/>
      <w:bookmarkStart w:id="231" w:name="_Toc506107330"/>
      <w:bookmarkStart w:id="232" w:name="_Toc78803394"/>
      <w:bookmarkStart w:id="233" w:name="_Toc15058924"/>
      <w:bookmarkStart w:id="234" w:name="_Toc13990"/>
      <w:r>
        <w:rPr>
          <w:rFonts w:hint="eastAsia" w:ascii="宋体" w:hAnsi="宋体" w:eastAsia="宋体" w:cs="宋体"/>
          <w:highlight w:val="none"/>
        </w:rPr>
        <w:t>7.评分标准</w:t>
      </w:r>
      <w:bookmarkEnd w:id="228"/>
      <w:bookmarkEnd w:id="229"/>
      <w:bookmarkEnd w:id="230"/>
      <w:bookmarkEnd w:id="231"/>
      <w:bookmarkEnd w:id="232"/>
      <w:bookmarkEnd w:id="233"/>
      <w:bookmarkEnd w:id="234"/>
    </w:p>
    <w:p w14:paraId="55C79CD8">
      <w:pPr>
        <w:spacing w:line="440" w:lineRule="exact"/>
        <w:ind w:firstLine="420" w:firstLineChars="200"/>
        <w:jc w:val="left"/>
        <w:rPr>
          <w:rFonts w:ascii="宋体" w:hAnsi="宋体" w:cs="宋体"/>
          <w:szCs w:val="21"/>
          <w:highlight w:val="none"/>
        </w:rPr>
      </w:pPr>
      <w:bookmarkStart w:id="235" w:name="_Toc506107331"/>
      <w:bookmarkStart w:id="236" w:name="_Toc15058925"/>
      <w:bookmarkStart w:id="237" w:name="_Toc35425126"/>
      <w:bookmarkStart w:id="238" w:name="_Toc78803395"/>
      <w:bookmarkStart w:id="239" w:name="_Toc324404879"/>
      <w:bookmarkStart w:id="240" w:name="_Toc35424960"/>
      <w:bookmarkStart w:id="241" w:name="_Toc22863"/>
      <w:r>
        <w:rPr>
          <w:rFonts w:hint="eastAsia" w:ascii="宋体" w:hAnsi="宋体" w:cs="宋体"/>
          <w:szCs w:val="21"/>
          <w:highlight w:val="none"/>
        </w:rPr>
        <w:t>技术标评分标准：见技术标评审表。</w:t>
      </w:r>
    </w:p>
    <w:p w14:paraId="22DFDD5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商务标评分标准：见商务标评审表。</w:t>
      </w:r>
    </w:p>
    <w:p w14:paraId="26B2972C">
      <w:pPr>
        <w:pStyle w:val="3"/>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8.评审结果</w:t>
      </w:r>
      <w:bookmarkEnd w:id="235"/>
      <w:bookmarkEnd w:id="236"/>
      <w:bookmarkEnd w:id="237"/>
      <w:bookmarkEnd w:id="238"/>
      <w:bookmarkEnd w:id="239"/>
      <w:bookmarkEnd w:id="240"/>
      <w:bookmarkEnd w:id="241"/>
    </w:p>
    <w:p w14:paraId="6C92BA2F">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8.1除投标人须知前附表授权直接确定中标人外，评标委员会按照总得分由高到低顺序推荐中标候选人。</w:t>
      </w:r>
    </w:p>
    <w:p w14:paraId="538B5B0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8.2评标委员会完成评标后，应当向招标人提交书面评标报告。评标报告应当如实记载以下内容：</w:t>
      </w:r>
    </w:p>
    <w:p w14:paraId="32C6C45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（1）基本情况和数据表。</w:t>
      </w:r>
    </w:p>
    <w:p w14:paraId="420D2A53">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（2）评标委员会成员名单。</w:t>
      </w:r>
    </w:p>
    <w:p w14:paraId="02179E2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（3）开标记录。</w:t>
      </w:r>
    </w:p>
    <w:p w14:paraId="11B25BD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（4）符合要求的投标人一览表。</w:t>
      </w:r>
    </w:p>
    <w:p w14:paraId="43A3025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（5）废标情况说明。</w:t>
      </w:r>
    </w:p>
    <w:p w14:paraId="424F00F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（6）评标标准、评标方法或者评标因素。</w:t>
      </w:r>
    </w:p>
    <w:p w14:paraId="2FCC2BB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（7）经评审的价格一览表。</w:t>
      </w:r>
    </w:p>
    <w:p w14:paraId="2E69437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（8）经评审的投标人排序。</w:t>
      </w:r>
    </w:p>
    <w:p w14:paraId="3FF8F21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1CB6501F">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3"/>
        <w:spacing w:beforeLines="50" w:afterLines="50"/>
        <w:ind w:firstLine="422" w:firstLineChars="200"/>
        <w:rPr>
          <w:rFonts w:ascii="宋体" w:hAnsi="宋体" w:eastAsia="宋体" w:cs="宋体"/>
          <w:highlight w:val="none"/>
        </w:rPr>
      </w:pPr>
      <w:bookmarkStart w:id="242" w:name="_Toc35424961"/>
      <w:bookmarkStart w:id="243" w:name="_Toc78803396"/>
      <w:bookmarkStart w:id="244" w:name="_Toc35425127"/>
      <w:bookmarkStart w:id="245" w:name="_Toc1576"/>
      <w:bookmarkStart w:id="246" w:name="_Toc15058926"/>
      <w:bookmarkStart w:id="247" w:name="_Toc506107332"/>
      <w:bookmarkStart w:id="248" w:name="_Toc324404880"/>
      <w:r>
        <w:rPr>
          <w:rFonts w:hint="eastAsia" w:ascii="宋体" w:hAnsi="宋体" w:eastAsia="宋体" w:cs="宋体"/>
          <w:highlight w:val="none"/>
        </w:rPr>
        <w:t>9.其他</w:t>
      </w:r>
      <w:bookmarkEnd w:id="242"/>
      <w:bookmarkEnd w:id="243"/>
      <w:bookmarkEnd w:id="244"/>
      <w:bookmarkEnd w:id="245"/>
      <w:bookmarkEnd w:id="246"/>
      <w:bookmarkEnd w:id="247"/>
      <w:bookmarkEnd w:id="248"/>
    </w:p>
    <w:p w14:paraId="51C03621">
      <w:pPr>
        <w:spacing w:line="440" w:lineRule="exact"/>
        <w:ind w:firstLine="420" w:firstLineChars="200"/>
        <w:jc w:val="left"/>
        <w:rPr>
          <w:highlight w:val="none"/>
        </w:rPr>
      </w:pPr>
      <w:r>
        <w:rPr>
          <w:rFonts w:hint="eastAsia" w:ascii="宋体" w:hAnsi="宋体" w:cs="宋体"/>
          <w:szCs w:val="21"/>
          <w:highlight w:val="none"/>
        </w:rPr>
        <w:t>投标人提供的与投标文件有关的各类证书、证明、文件、资料等的真实性、合法性由投标人负全责。</w:t>
      </w:r>
      <w:bookmarkEnd w:id="156"/>
      <w:bookmarkEnd w:id="157"/>
      <w:bookmarkEnd w:id="158"/>
      <w:bookmarkEnd w:id="159"/>
      <w:bookmarkEnd w:id="160"/>
      <w:bookmarkEnd w:id="161"/>
      <w:bookmarkEnd w:id="162"/>
      <w:bookmarkEnd w:id="163"/>
      <w:bookmarkStart w:id="249" w:name="_Toc246996995"/>
      <w:bookmarkStart w:id="250" w:name="_Toc247085767"/>
      <w:bookmarkStart w:id="251" w:name="_Toc144974577"/>
      <w:bookmarkStart w:id="252" w:name="_Toc246996252"/>
      <w:bookmarkStart w:id="253" w:name="_Toc179632627"/>
      <w:bookmarkStart w:id="254" w:name="_Toc417623601"/>
      <w:bookmarkStart w:id="255" w:name="_Toc152042387"/>
      <w:bookmarkStart w:id="256" w:name="_Toc152045609"/>
      <w:bookmarkStart w:id="257" w:name="_Toc324404881"/>
    </w:p>
    <w:bookmarkEnd w:id="249"/>
    <w:bookmarkEnd w:id="250"/>
    <w:bookmarkEnd w:id="251"/>
    <w:bookmarkEnd w:id="252"/>
    <w:bookmarkEnd w:id="253"/>
    <w:bookmarkEnd w:id="254"/>
    <w:bookmarkEnd w:id="255"/>
    <w:bookmarkEnd w:id="256"/>
    <w:bookmarkEnd w:id="257"/>
    <w:p w14:paraId="01EE8AAD">
      <w:pPr>
        <w:rPr>
          <w:highlight w:val="none"/>
        </w:rPr>
      </w:pPr>
      <w:bookmarkStart w:id="258" w:name="_Toc15058927"/>
      <w:bookmarkStart w:id="259" w:name="_Toc179632785"/>
      <w:bookmarkStart w:id="260" w:name="_Toc152042546"/>
      <w:bookmarkStart w:id="261" w:name="_Toc506107333"/>
      <w:bookmarkStart w:id="262" w:name="_Toc144974826"/>
      <w:bookmarkStart w:id="263" w:name="_Toc35425128"/>
      <w:bookmarkStart w:id="264" w:name="_Toc35424962"/>
      <w:bookmarkStart w:id="265" w:name="_Toc152045767"/>
    </w:p>
    <w:p w14:paraId="65923B12">
      <w:pPr>
        <w:rPr>
          <w:rFonts w:hint="eastAsia"/>
        </w:rPr>
      </w:pPr>
      <w:r>
        <w:rPr>
          <w:rFonts w:hint="eastAsia"/>
          <w:highlight w:val="none"/>
        </w:rPr>
        <w:br w:type="page"/>
      </w:r>
      <w:bookmarkStart w:id="266" w:name="_Toc78803397"/>
    </w:p>
    <w:bookmarkEnd w:id="258"/>
    <w:bookmarkEnd w:id="259"/>
    <w:bookmarkEnd w:id="260"/>
    <w:bookmarkEnd w:id="261"/>
    <w:bookmarkEnd w:id="262"/>
    <w:bookmarkEnd w:id="263"/>
    <w:bookmarkEnd w:id="264"/>
    <w:bookmarkEnd w:id="265"/>
    <w:bookmarkEnd w:id="266"/>
    <w:p w14:paraId="46A319BF">
      <w:pPr>
        <w:pStyle w:val="46"/>
        <w:spacing w:beforeLines="50" w:afterLines="50" w:line="440" w:lineRule="exact"/>
        <w:rPr>
          <w:rFonts w:hint="eastAsia" w:eastAsia="宋体" w:cs="Times New Roman"/>
          <w:bCs/>
          <w:szCs w:val="32"/>
          <w:highlight w:val="none"/>
          <w:lang w:val="en-US" w:eastAsia="zh-CN"/>
        </w:rPr>
      </w:pPr>
      <w:bookmarkStart w:id="267" w:name="_Toc15058934"/>
      <w:bookmarkStart w:id="268" w:name="_Toc179632806"/>
      <w:bookmarkStart w:id="269" w:name="_Toc246996354"/>
      <w:bookmarkStart w:id="270" w:name="_Toc78803398"/>
      <w:bookmarkStart w:id="271" w:name="_Toc152045786"/>
      <w:bookmarkStart w:id="272" w:name="_Toc247085872"/>
      <w:bookmarkStart w:id="273" w:name="_Toc506107340"/>
      <w:bookmarkStart w:id="274" w:name="_Toc35425136"/>
      <w:bookmarkStart w:id="275" w:name="_Toc152042575"/>
      <w:bookmarkStart w:id="276" w:name="_Toc144974855"/>
      <w:bookmarkStart w:id="277" w:name="_Toc246997097"/>
      <w:bookmarkStart w:id="278" w:name="_Toc324404888"/>
      <w:bookmarkStart w:id="279" w:name="_Toc35424970"/>
      <w:r>
        <w:rPr>
          <w:rFonts w:hint="eastAsia" w:eastAsia="宋体" w:cs="Times New Roman"/>
          <w:bCs/>
          <w:szCs w:val="32"/>
          <w:highlight w:val="none"/>
        </w:rPr>
        <w:t>第</w:t>
      </w:r>
      <w:r>
        <w:rPr>
          <w:rFonts w:hint="eastAsia" w:eastAsia="宋体" w:cs="Times New Roman"/>
          <w:bCs/>
          <w:szCs w:val="32"/>
          <w:highlight w:val="none"/>
          <w:lang w:val="en-US" w:eastAsia="zh-CN"/>
        </w:rPr>
        <w:t>五</w:t>
      </w:r>
      <w:r>
        <w:rPr>
          <w:rFonts w:hint="eastAsia" w:eastAsia="宋体" w:cs="Times New Roman"/>
          <w:bCs/>
          <w:szCs w:val="32"/>
          <w:highlight w:val="none"/>
        </w:rPr>
        <w:t xml:space="preserve">章 </w:t>
      </w:r>
      <w:r>
        <w:rPr>
          <w:rFonts w:hint="eastAsia" w:cs="Times New Roman"/>
          <w:bCs/>
          <w:szCs w:val="32"/>
          <w:highlight w:val="none"/>
          <w:lang w:val="en-US" w:eastAsia="zh-CN"/>
        </w:rPr>
        <w:t>采购需求</w:t>
      </w:r>
    </w:p>
    <w:p w14:paraId="04F7BF0B">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一、工程</w:t>
      </w:r>
      <w:r>
        <w:rPr>
          <w:rFonts w:hint="eastAsia" w:ascii="宋体" w:hAnsi="宋体" w:eastAsia="宋体" w:cs="宋体"/>
          <w:b/>
          <w:sz w:val="21"/>
          <w:szCs w:val="21"/>
          <w:highlight w:val="none"/>
        </w:rPr>
        <w:t>概况</w:t>
      </w:r>
    </w:p>
    <w:p w14:paraId="6A7E109E">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线路概况：滁州至南京城际铁路工程线路全长约55.35km，设站17座，平均站间距3.43km，采用市域D型车，设计时速120Km/h（预留140Km/h）。</w:t>
      </w:r>
    </w:p>
    <w:p w14:paraId="2C59446E">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其中</w:t>
      </w:r>
      <w:r>
        <w:rPr>
          <w:rFonts w:hint="eastAsia" w:ascii="宋体" w:hAnsi="宋体" w:eastAsia="宋体" w:cs="宋体"/>
          <w:color w:val="000000"/>
          <w:szCs w:val="21"/>
          <w:highlight w:val="none"/>
        </w:rPr>
        <w:t>一期工程：线路全长为31.55km，设站8座（预留2座），均为高架站，控制中心一座，牵引站一座</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二期工程：线路全长约13.28km，设站6座，高架站4座（预留2座），地下站2座，牵引站一座。</w:t>
      </w:r>
    </w:p>
    <w:p w14:paraId="736E80F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车辆类型：市域D型车，近远期4辆编组。</w:t>
      </w:r>
    </w:p>
    <w:p w14:paraId="296E3562">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速度目标值：120km/h，预留140km/h线路条件。</w:t>
      </w:r>
      <w:r>
        <w:rPr>
          <w:rFonts w:hint="eastAsia" w:ascii="宋体" w:hAnsi="宋体" w:eastAsia="宋体" w:cs="宋体"/>
          <w:color w:val="000000"/>
          <w:szCs w:val="21"/>
          <w:highlight w:val="none"/>
          <w:lang w:val="en-US" w:eastAsia="zh-CN"/>
        </w:rPr>
        <w:t xml:space="preserve"> </w:t>
      </w:r>
    </w:p>
    <w:p w14:paraId="79C3E9AE">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 xml:space="preserve"> 二、招标范围</w:t>
      </w:r>
    </w:p>
    <w:p w14:paraId="3E86916D">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一</w:t>
      </w:r>
      <w:r>
        <w:rPr>
          <w:rFonts w:hint="eastAsia" w:ascii="宋体" w:hAnsi="宋体" w:eastAsia="宋体" w:cs="宋体"/>
          <w:color w:val="000000"/>
          <w:szCs w:val="21"/>
          <w:highlight w:val="none"/>
          <w:lang w:eastAsia="zh-CN"/>
        </w:rPr>
        <w:t>）</w:t>
      </w:r>
      <w:r>
        <w:rPr>
          <w:rFonts w:hint="eastAsia" w:ascii="宋体" w:hAnsi="宋体" w:cs="宋体"/>
          <w:color w:val="000000"/>
          <w:szCs w:val="21"/>
          <w:highlight w:val="none"/>
          <w:lang w:val="en-US" w:eastAsia="zh-CN"/>
        </w:rPr>
        <w:t>本次招标范围为滁宁城际铁路（滁州段）工程环境综合整治防护设施采购及安装服务。采用高度1.8米的绿色隔离栅栏；隔离防护长度约为5500米，其中一期工程责任段长度约为3300米，二期工程责任段长度约为2200米</w:t>
      </w:r>
      <w:r>
        <w:rPr>
          <w:rFonts w:hint="eastAsia" w:ascii="宋体" w:hAnsi="宋体" w:eastAsia="宋体" w:cs="宋体"/>
          <w:color w:val="000000"/>
          <w:szCs w:val="21"/>
          <w:highlight w:val="none"/>
          <w:lang w:val="en-US" w:eastAsia="zh-CN"/>
        </w:rPr>
        <w:t>。</w:t>
      </w:r>
    </w:p>
    <w:p w14:paraId="48B9A0C2">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w:t>
      </w:r>
      <w:r>
        <w:rPr>
          <w:rFonts w:hint="eastAsia" w:ascii="宋体" w:hAnsi="宋体" w:cs="宋体"/>
          <w:color w:val="000000"/>
          <w:szCs w:val="21"/>
          <w:highlight w:val="none"/>
          <w:lang w:val="en-US" w:eastAsia="zh-CN"/>
        </w:rPr>
        <w:t>二</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工程量及材质要求：</w:t>
      </w:r>
    </w:p>
    <w:p w14:paraId="7B29603E">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1.立柱：直径φ48mm,热镀锌钢管，壁厚4mm；一网一柱。</w:t>
      </w:r>
    </w:p>
    <w:p w14:paraId="0AE069C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2.网片：材质低碳冷拔钢丝,1.8高，3米宽，网孔75mm*150mm，丝粗4mm,边框20mm*30mm方管加固；</w:t>
      </w:r>
    </w:p>
    <w:p w14:paraId="4904BD68">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3.连接片40mm*40mm*4mm镀锌钢片；</w:t>
      </w:r>
    </w:p>
    <w:p w14:paraId="29CFC052">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4.防腐处理：整体侵塑；</w:t>
      </w:r>
    </w:p>
    <w:p w14:paraId="17FF3EF9">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5.基础：M10砂浆，尺寸：300mm*300*600mm*3000mm(注：长*宽*埋深*间距),自拌。</w:t>
      </w:r>
    </w:p>
    <w:p w14:paraId="064316EA">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 xml:space="preserve">三、工作任务 (包括但不限于) </w:t>
      </w:r>
    </w:p>
    <w:p w14:paraId="6FF3A0B6">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 xml:space="preserve">1.对滁州至南京城际铁路（滁州段）工程红线保护区边线进行防护设施安装并设立警示标识。 </w:t>
      </w:r>
    </w:p>
    <w:p w14:paraId="4B42DEE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 xml:space="preserve">2.警示标识每100m设一组 ,根据现场实际情况,报甲方审核同意后,可进行距离或数量的调整，尺寸为600mm*300mm*0.6mm,不锈钢材质。字样：保护设施，破坏必究。 </w:t>
      </w:r>
    </w:p>
    <w:p w14:paraId="2F4695B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3.维保期内管理:防护设施、警示标志牌维保期内每季度进行全线巡查一次,并免费更换破损或遗失的防护栅栏、警示标志牌。</w:t>
      </w:r>
    </w:p>
    <w:p w14:paraId="7126EA21">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 xml:space="preserve">4、隔离栅栏内部地表清理、整平。 </w:t>
      </w:r>
    </w:p>
    <w:p w14:paraId="445EEA79">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b/>
          <w:sz w:val="21"/>
          <w:szCs w:val="21"/>
          <w:highlight w:val="none"/>
          <w:lang w:val="en-US" w:eastAsia="zh-CN"/>
        </w:rPr>
      </w:pPr>
      <w:r>
        <w:rPr>
          <w:rFonts w:hint="eastAsia" w:ascii="宋体" w:hAnsi="宋体" w:eastAsia="宋体" w:cs="宋体"/>
          <w:b/>
          <w:kern w:val="2"/>
          <w:sz w:val="21"/>
          <w:szCs w:val="21"/>
          <w:highlight w:val="none"/>
          <w:lang w:val="en-US" w:eastAsia="zh-CN" w:bidi="ar-SA"/>
        </w:rPr>
        <w:t>四、工期</w:t>
      </w:r>
    </w:p>
    <w:p w14:paraId="451A34F2">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不高于30个日历天，具体开工时间以招标人通知为准，</w:t>
      </w:r>
      <w:r>
        <w:rPr>
          <w:rFonts w:hint="eastAsia" w:ascii="宋体" w:hAnsi="宋体" w:cs="宋体"/>
          <w:color w:val="000000"/>
          <w:szCs w:val="21"/>
          <w:highlight w:val="none"/>
          <w:lang w:val="en-US" w:eastAsia="zh-CN"/>
        </w:rPr>
        <w:t>质保</w:t>
      </w:r>
      <w:r>
        <w:rPr>
          <w:rFonts w:hint="eastAsia" w:ascii="宋体" w:hAnsi="宋体" w:eastAsia="宋体" w:cs="宋体"/>
          <w:color w:val="000000"/>
          <w:szCs w:val="21"/>
          <w:highlight w:val="none"/>
          <w:lang w:val="en-US" w:eastAsia="zh-CN"/>
        </w:rPr>
        <w:t>责任期为1年。</w:t>
      </w:r>
    </w:p>
    <w:p w14:paraId="3D38BBA1">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五、</w:t>
      </w:r>
      <w:r>
        <w:rPr>
          <w:rFonts w:hint="eastAsia" w:ascii="宋体" w:hAnsi="宋体" w:cs="宋体"/>
          <w:b/>
          <w:sz w:val="21"/>
          <w:szCs w:val="21"/>
          <w:highlight w:val="none"/>
          <w:lang w:val="en-US" w:eastAsia="zh-CN"/>
        </w:rPr>
        <w:t>工作内容描述</w:t>
      </w:r>
    </w:p>
    <w:p w14:paraId="44766A4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（一）滁宁一期桥下围栏数量统计如下：</w:t>
      </w:r>
    </w:p>
    <w:p w14:paraId="51029E2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1、15-16号墩中间泵站围墙起~19号墩止</w:t>
      </w:r>
    </w:p>
    <w:p w14:paraId="778E5B2E">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单边长120米，双边长240米。</w:t>
      </w:r>
    </w:p>
    <w:p w14:paraId="195F09B6">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2、28号墩起~37号墩止</w:t>
      </w:r>
    </w:p>
    <w:p w14:paraId="3CE0EB86">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单边长300米，双边长600米。</w:t>
      </w:r>
    </w:p>
    <w:p w14:paraId="44606F63">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3、39号墩起~72号墩（琅狮大桥）止</w:t>
      </w:r>
    </w:p>
    <w:p w14:paraId="30ACE453">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单边长850米，双边长1700米。</w:t>
      </w:r>
    </w:p>
    <w:p w14:paraId="2269F894">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4、控制中心区域</w:t>
      </w:r>
    </w:p>
    <w:p w14:paraId="68460CB7">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桥墩东侧曲线单边长460米，桥墩西侧与徽州路平行区域单边长300米，单边长共计760米。</w:t>
      </w:r>
    </w:p>
    <w:p w14:paraId="078E6A07">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5、投标人自行组织现场查勘。</w:t>
      </w:r>
    </w:p>
    <w:p w14:paraId="6558C24C">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最终结算工程量按实测实量进行结算。</w:t>
      </w:r>
    </w:p>
    <w:p w14:paraId="1F04F4BD">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（二）滁宁二期桥下围栏数量统计如下：</w:t>
      </w:r>
    </w:p>
    <w:p w14:paraId="6C1E284C">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1、腰铺预留车站，约600米；</w:t>
      </w:r>
    </w:p>
    <w:p w14:paraId="1A0B63F4">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2、龙兴路</w:t>
      </w:r>
      <w:r>
        <w:rPr>
          <w:rFonts w:hint="default" w:ascii="宋体" w:hAnsi="宋体" w:eastAsia="宋体" w:cs="宋体"/>
          <w:color w:val="000000"/>
          <w:szCs w:val="21"/>
          <w:highlight w:val="none"/>
          <w:lang w:val="en-US" w:eastAsia="zh-CN"/>
        </w:rPr>
        <w:t>向</w:t>
      </w:r>
      <w:r>
        <w:rPr>
          <w:rFonts w:hint="eastAsia" w:ascii="宋体" w:hAnsi="宋体" w:eastAsia="宋体" w:cs="宋体"/>
          <w:color w:val="000000"/>
          <w:szCs w:val="21"/>
          <w:highlight w:val="none"/>
          <w:lang w:val="en-US" w:eastAsia="zh-CN"/>
        </w:rPr>
        <w:t>北</w:t>
      </w:r>
      <w:r>
        <w:rPr>
          <w:rFonts w:hint="default" w:ascii="宋体" w:hAnsi="宋体" w:eastAsia="宋体" w:cs="宋体"/>
          <w:color w:val="000000"/>
          <w:szCs w:val="21"/>
          <w:highlight w:val="none"/>
          <w:lang w:val="en-US" w:eastAsia="zh-CN"/>
        </w:rPr>
        <w:t>至</w:t>
      </w:r>
      <w:r>
        <w:rPr>
          <w:rFonts w:hint="eastAsia" w:ascii="宋体" w:hAnsi="宋体" w:eastAsia="宋体" w:cs="宋体"/>
          <w:color w:val="000000"/>
          <w:szCs w:val="21"/>
          <w:highlight w:val="none"/>
          <w:lang w:val="en-US" w:eastAsia="zh-CN"/>
        </w:rPr>
        <w:t>花博园站（沿城际铁路桥梁两侧），共14跨，约900；</w:t>
      </w:r>
    </w:p>
    <w:p w14:paraId="60C0B961">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3、醉翁路与西涧路交口（沿城际铁路桥梁两侧），约600米，</w:t>
      </w:r>
    </w:p>
    <w:p w14:paraId="35F13734">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4、怡亭路口东侧（沿城际铁路桥梁两侧）约100米。</w:t>
      </w:r>
    </w:p>
    <w:p w14:paraId="5A092018">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①</w:t>
      </w:r>
      <w:r>
        <w:rPr>
          <w:rFonts w:hint="eastAsia" w:ascii="宋体" w:hAnsi="宋体" w:eastAsia="宋体" w:cs="宋体"/>
          <w:color w:val="000000"/>
          <w:szCs w:val="21"/>
          <w:highlight w:val="none"/>
          <w:lang w:val="en-US" w:eastAsia="zh-CN"/>
        </w:rPr>
        <w:t>栅栏上方增设刺丝滚笼：高500mm；</w:t>
      </w:r>
    </w:p>
    <w:p w14:paraId="1C09C9A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②</w:t>
      </w:r>
      <w:r>
        <w:rPr>
          <w:rFonts w:hint="eastAsia" w:ascii="宋体" w:hAnsi="宋体" w:eastAsia="宋体" w:cs="宋体"/>
          <w:color w:val="000000"/>
          <w:szCs w:val="21"/>
          <w:highlight w:val="none"/>
          <w:lang w:val="en-US" w:eastAsia="zh-CN"/>
        </w:rPr>
        <w:t>栅栏外侧增设花岗岩挡车石柱：直径200mm、高度800mm，C25砼基础浇筑埋深400mm，外露高度400mm，挡车石外侧边间距400mm，石材单轴抗压强度不小于40MPa，花岗岩挡车石砼基础尺寸：400*400（宽*高）；长度100米。</w:t>
      </w:r>
    </w:p>
    <w:p w14:paraId="634B742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（三）</w:t>
      </w:r>
      <w:r>
        <w:rPr>
          <w:rFonts w:hint="eastAsia" w:ascii="宋体" w:hAnsi="宋体" w:eastAsia="宋体" w:cs="宋体"/>
          <w:color w:val="000000"/>
          <w:szCs w:val="21"/>
          <w:highlight w:val="none"/>
          <w:lang w:val="en-US" w:eastAsia="zh-CN"/>
        </w:rPr>
        <w:t>投标人自行组织现场查勘。</w:t>
      </w:r>
    </w:p>
    <w:p w14:paraId="24E92121">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（四）</w:t>
      </w:r>
      <w:r>
        <w:rPr>
          <w:rFonts w:hint="eastAsia" w:ascii="宋体" w:hAnsi="宋体" w:eastAsia="宋体" w:cs="宋体"/>
          <w:color w:val="000000"/>
          <w:szCs w:val="21"/>
          <w:highlight w:val="none"/>
          <w:lang w:val="en-US" w:eastAsia="zh-CN"/>
        </w:rPr>
        <w:t>最终结算工程量按实测实量进行结算。</w:t>
      </w:r>
    </w:p>
    <w:p w14:paraId="445FB6D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p>
    <w:p w14:paraId="4233ACF1">
      <w:pPr>
        <w:rPr>
          <w:rFonts w:hint="eastAsia"/>
          <w:bCs/>
          <w:szCs w:val="32"/>
          <w:highlight w:val="none"/>
        </w:rPr>
      </w:pP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AECBD3">
      <w:pPr>
        <w:pageBreakBefore w:val="0"/>
        <w:widowControl/>
        <w:numPr>
          <w:ilvl w:val="0"/>
          <w:numId w:val="2"/>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280"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280"/>
    </w:p>
    <w:p w14:paraId="4F7DA833">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14:paraId="63AA739B">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281" w:name="_Toc469495742"/>
      <w:bookmarkStart w:id="282" w:name="_Toc179632628"/>
      <w:bookmarkStart w:id="283" w:name="_Toc144974578"/>
      <w:bookmarkStart w:id="284" w:name="_Toc152045610"/>
      <w:bookmarkStart w:id="285" w:name="_Toc246996253"/>
      <w:bookmarkStart w:id="286" w:name="_Toc296602498"/>
      <w:bookmarkStart w:id="287" w:name="_Toc247085768"/>
      <w:bookmarkStart w:id="288" w:name="_Toc246996996"/>
      <w:bookmarkStart w:id="289" w:name="_Toc152042388"/>
      <w:r>
        <w:rPr>
          <w:rFonts w:hint="eastAsia" w:ascii="宋体" w:hAnsi="宋体" w:cs="宋体"/>
          <w:color w:val="auto"/>
          <w:szCs w:val="21"/>
          <w:highlight w:val="none"/>
        </w:rPr>
        <w:t>买    方：                                   卖    方：</w:t>
      </w:r>
    </w:p>
    <w:p w14:paraId="68CE8F99">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14:paraId="46C397E4">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14:paraId="0969EAAD">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14:paraId="11DCB776">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14:paraId="425B3600">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14:paraId="5A761902">
      <w:pPr>
        <w:pageBreakBefore w:val="0"/>
        <w:numPr>
          <w:ilvl w:val="0"/>
          <w:numId w:val="3"/>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14:paraId="3FCE81A9">
      <w:pPr>
        <w:pageBreakBefore w:val="0"/>
        <w:numPr>
          <w:ilvl w:val="0"/>
          <w:numId w:val="3"/>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14:paraId="6D2A5D00">
      <w:pPr>
        <w:pageBreakBefore w:val="0"/>
        <w:numPr>
          <w:ilvl w:val="0"/>
          <w:numId w:val="3"/>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14:paraId="49E43FE6">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14:paraId="790B79F6">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14:paraId="132145AF">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14:paraId="21198A84">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分项报价清单详见投标文件）</w:t>
      </w:r>
    </w:p>
    <w:p w14:paraId="396C66FA">
      <w:pPr>
        <w:pageBreakBefore w:val="0"/>
        <w:numPr>
          <w:ilvl w:val="0"/>
          <w:numId w:val="4"/>
        </w:numPr>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付款方式：</w:t>
      </w:r>
    </w:p>
    <w:p w14:paraId="060677ED">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注：最终结算工程量按实测实量进行结算。</w:t>
      </w:r>
    </w:p>
    <w:p w14:paraId="5C1A88A6">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w:t>
      </w:r>
      <w:r>
        <w:rPr>
          <w:rFonts w:hint="eastAsia" w:ascii="宋体" w:hAnsi="宋体" w:eastAsia="宋体" w:cs="宋体"/>
          <w:b/>
          <w:bCs/>
          <w:color w:val="auto"/>
          <w:szCs w:val="21"/>
          <w:highlight w:val="none"/>
          <w:lang w:val="en-US" w:eastAsia="zh-CN"/>
        </w:rPr>
        <w:t>工</w:t>
      </w:r>
      <w:r>
        <w:rPr>
          <w:rFonts w:hint="eastAsia" w:ascii="宋体" w:hAnsi="宋体" w:eastAsia="宋体" w:cs="宋体"/>
          <w:b/>
          <w:bCs/>
          <w:color w:val="auto"/>
          <w:szCs w:val="21"/>
          <w:highlight w:val="none"/>
        </w:rPr>
        <w:t>期：</w:t>
      </w:r>
    </w:p>
    <w:p w14:paraId="0DD8AD79">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14:paraId="2F5A3A68">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14:paraId="2A8BBF66">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14:paraId="4F3558DB">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14:paraId="2B887BC2">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14:paraId="0D6E7F82">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14:paraId="42BCD0EC">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14:paraId="18E9437A">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14:paraId="7C1F09BE">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14:paraId="6CC655D8">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14:paraId="3ECCE385">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14:paraId="590BD499">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14:paraId="297B5F32">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14:paraId="35175792">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14:paraId="02D552C5">
      <w:pPr>
        <w:pStyle w:val="15"/>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14:paraId="0B12DF35">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290" w:name="_Toc23596"/>
      <w:r>
        <w:rPr>
          <w:rFonts w:hint="eastAsia" w:ascii="宋体" w:hAnsi="宋体" w:cs="宋体"/>
          <w:b/>
          <w:color w:val="auto"/>
          <w:sz w:val="30"/>
          <w:szCs w:val="30"/>
          <w:highlight w:val="none"/>
        </w:rPr>
        <w:t>二  合同条款</w:t>
      </w:r>
      <w:bookmarkEnd w:id="281"/>
      <w:bookmarkEnd w:id="282"/>
      <w:bookmarkEnd w:id="283"/>
      <w:bookmarkEnd w:id="284"/>
      <w:bookmarkEnd w:id="285"/>
      <w:bookmarkEnd w:id="286"/>
      <w:bookmarkEnd w:id="287"/>
      <w:bookmarkEnd w:id="288"/>
      <w:bookmarkEnd w:id="289"/>
      <w:bookmarkEnd w:id="290"/>
    </w:p>
    <w:p w14:paraId="784B05BC">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14:paraId="1BD8F38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14:paraId="3FF1A47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14:paraId="523312A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14:paraId="4DD908BF">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14:paraId="6ED62DA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14:paraId="31F284E5">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14:paraId="057C1A9C">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14:paraId="2A77492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14:paraId="490BD42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14:paraId="0A672665">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14:paraId="65D1D3C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14:paraId="72F106C2">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14:paraId="1AC9F371">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14:paraId="7B882791">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14:paraId="253E467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14:paraId="6CFB435F">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14:paraId="6EC7157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14:paraId="6147334E">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6668E161">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31E20A80">
      <w:pPr>
        <w:pStyle w:val="13"/>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568086FC">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14:paraId="28C19BAE">
      <w:pPr>
        <w:pStyle w:val="13"/>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6067BC6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14:paraId="18FE7E7A">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14:paraId="70E30023">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14:paraId="0217654A">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14:paraId="4425F9A0">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14:paraId="42396195">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14:paraId="49963B22">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14:paraId="6F971669">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14:paraId="6B6142B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14:paraId="7B45526F">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14:paraId="03E4E5AB">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14:paraId="0F6BEE73">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14:paraId="7DE3D49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14:paraId="317291B8">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5865701A">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14:paraId="49DF9C1C">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14:paraId="24C16967">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14:paraId="40A63B28">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14:paraId="36796289">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14:paraId="501C05D4">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14:paraId="7CCC27CA">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14:paraId="49A3DF51">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14:paraId="4B657DC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14:paraId="06C5E326">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14:paraId="11FE0150">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14:paraId="3D097316">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14:paraId="55262086">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14:paraId="7011CB66">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14:paraId="6090C1CD">
      <w:pPr>
        <w:pStyle w:val="13"/>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14:paraId="50F6A9AD">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14:paraId="6BA4D48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14:paraId="1B3D2B7E">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14:paraId="5B3C981C">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14:paraId="4C7FF9A3">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14:paraId="7AC00F1B">
      <w:pPr>
        <w:pStyle w:val="13"/>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14:paraId="27C2EF86">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14:paraId="595A427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14:paraId="30F176E0">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14:paraId="7D0AD6B3">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14:paraId="42796E56">
      <w:pPr>
        <w:pStyle w:val="13"/>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14:paraId="6CA827E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14:paraId="744AB28C">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14:paraId="4D4985D1">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14:paraId="1BDDFFC1">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14:paraId="295A4A88">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14:paraId="1DCEE7B2">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14:paraId="44A45193">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14:paraId="2CD62212">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49CB06F9">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14:paraId="278B268F">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259D7CD6">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162204C7">
      <w:pPr>
        <w:pStyle w:val="13"/>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14:paraId="44CBE352">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14:paraId="2327ACD9">
      <w:pPr>
        <w:spacing w:line="440" w:lineRule="exact"/>
        <w:jc w:val="left"/>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17.</w:t>
      </w:r>
      <w:r>
        <w:rPr>
          <w:rFonts w:hint="eastAsia" w:ascii="宋体" w:hAnsi="宋体" w:cs="宋体"/>
          <w:color w:val="auto"/>
          <w:szCs w:val="21"/>
          <w:highlight w:val="none"/>
          <w:lang w:val="en-US" w:eastAsia="zh-CN"/>
        </w:rPr>
        <w:t>本项目不收取</w:t>
      </w:r>
      <w:r>
        <w:rPr>
          <w:rFonts w:hint="eastAsia" w:ascii="宋体" w:hAnsi="宋体" w:cs="宋体"/>
          <w:color w:val="auto"/>
          <w:szCs w:val="21"/>
          <w:highlight w:val="none"/>
        </w:rPr>
        <w:t>履约保证金</w:t>
      </w:r>
      <w:r>
        <w:rPr>
          <w:rFonts w:hint="eastAsia" w:ascii="宋体" w:hAnsi="宋体" w:cs="宋体"/>
          <w:color w:val="auto"/>
          <w:szCs w:val="21"/>
          <w:highlight w:val="none"/>
          <w:lang w:eastAsia="zh-CN"/>
        </w:rPr>
        <w:t>。</w:t>
      </w:r>
    </w:p>
    <w:p w14:paraId="0F0A40CA">
      <w:pPr>
        <w:pStyle w:val="13"/>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14:paraId="3FB40D7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14:paraId="18AA101A">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14:paraId="3BF99334">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14:paraId="64398F9D">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14:paraId="6D36FB91">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14:paraId="780A649B">
      <w:pPr>
        <w:pStyle w:val="13"/>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14:paraId="7FADF2A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14:paraId="4F5D2087">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14:paraId="5E8DB53F">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14:paraId="12A85B1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14:paraId="4FAA253E">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14:paraId="28B85317">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14:paraId="7CD66AF6">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14:paraId="7DB8646C">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14:paraId="57117AC4">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14:paraId="2D66012E">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14:paraId="53F130C1">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14:paraId="286BB3C8">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14:paraId="32698917">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14:paraId="6BB92174">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14:paraId="54C1C8C0">
      <w:pPr>
        <w:pStyle w:val="13"/>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14:paraId="4EB614F1">
      <w:pPr>
        <w:rPr>
          <w:rFonts w:hint="eastAsia"/>
          <w:bCs/>
          <w:szCs w:val="32"/>
          <w:highlight w:val="none"/>
        </w:rPr>
      </w:pPr>
      <w:r>
        <w:rPr>
          <w:rFonts w:hint="eastAsia"/>
          <w:bCs/>
          <w:szCs w:val="32"/>
          <w:highlight w:val="none"/>
        </w:rPr>
        <w:br w:type="page"/>
      </w:r>
    </w:p>
    <w:p w14:paraId="3A3DFD1F">
      <w:pPr>
        <w:pStyle w:val="46"/>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267"/>
      <w:bookmarkEnd w:id="268"/>
      <w:bookmarkEnd w:id="269"/>
      <w:bookmarkEnd w:id="270"/>
      <w:bookmarkEnd w:id="271"/>
      <w:bookmarkEnd w:id="272"/>
      <w:bookmarkEnd w:id="273"/>
      <w:bookmarkEnd w:id="274"/>
      <w:bookmarkEnd w:id="275"/>
      <w:bookmarkEnd w:id="276"/>
      <w:bookmarkEnd w:id="277"/>
      <w:bookmarkEnd w:id="278"/>
      <w:bookmarkEnd w:id="279"/>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0B28D98A">
      <w:pPr>
        <w:jc w:val="center"/>
        <w:rPr>
          <w:rFonts w:eastAsia="黑体"/>
          <w:sz w:val="44"/>
          <w:szCs w:val="44"/>
          <w:highlight w:val="none"/>
        </w:rPr>
      </w:pPr>
      <w:r>
        <w:rPr>
          <w:rFonts w:hint="eastAsia" w:eastAsia="黑体"/>
          <w:sz w:val="44"/>
          <w:szCs w:val="44"/>
          <w:highlight w:val="none"/>
        </w:rPr>
        <w:t>（资信证明文件）</w:t>
      </w:r>
    </w:p>
    <w:p w14:paraId="4404D72F">
      <w:pPr>
        <w:jc w:val="center"/>
        <w:rPr>
          <w:rFonts w:eastAsia="黑体"/>
          <w:sz w:val="44"/>
          <w:szCs w:val="44"/>
          <w:highlight w:val="none"/>
        </w:rPr>
      </w:pPr>
      <w:r>
        <w:rPr>
          <w:rFonts w:hint="eastAsia" w:eastAsia="黑体"/>
          <w:sz w:val="44"/>
          <w:szCs w:val="44"/>
          <w:highlight w:val="none"/>
        </w:rPr>
        <w:t xml:space="preserve"> </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14"/>
        <w:ind w:firstLine="420"/>
        <w:rPr>
          <w:rFonts w:ascii="Times New Roman"/>
          <w:szCs w:val="24"/>
          <w:highlight w:val="none"/>
        </w:rPr>
      </w:pPr>
    </w:p>
    <w:p w14:paraId="3062FE47">
      <w:pPr>
        <w:rPr>
          <w:rFonts w:ascii="Times New Roman"/>
          <w:szCs w:val="24"/>
          <w:highlight w:val="none"/>
        </w:rPr>
      </w:pPr>
    </w:p>
    <w:p w14:paraId="78F93F73">
      <w:pPr>
        <w:pStyle w:val="14"/>
        <w:rPr>
          <w:rFonts w:ascii="Times New Roman"/>
          <w:szCs w:val="24"/>
          <w:highlight w:val="none"/>
        </w:rPr>
      </w:pPr>
    </w:p>
    <w:p w14:paraId="1E9D0BD8">
      <w:pPr>
        <w:rPr>
          <w:rFonts w:ascii="Times New Roman"/>
          <w:szCs w:val="24"/>
          <w:highlight w:val="none"/>
        </w:rPr>
      </w:pPr>
    </w:p>
    <w:p w14:paraId="13AFD6AD">
      <w:pPr>
        <w:pStyle w:val="14"/>
      </w:pPr>
    </w:p>
    <w:p w14:paraId="0799C826">
      <w:pPr>
        <w:pStyle w:val="14"/>
        <w:ind w:firstLine="420"/>
        <w:rPr>
          <w:highlight w:val="none"/>
        </w:rPr>
      </w:pPr>
    </w:p>
    <w:p w14:paraId="63F5BB9B">
      <w:pPr>
        <w:rPr>
          <w:rFonts w:eastAsia="黑体"/>
          <w:sz w:val="28"/>
          <w:szCs w:val="28"/>
          <w:highlight w:val="none"/>
        </w:rPr>
      </w:pPr>
    </w:p>
    <w:p w14:paraId="6ECEBDFF">
      <w:pPr>
        <w:rPr>
          <w:rFonts w:eastAsia="黑体"/>
          <w:sz w:val="28"/>
          <w:szCs w:val="28"/>
          <w:highlight w:val="none"/>
        </w:rPr>
      </w:pPr>
    </w:p>
    <w:p w14:paraId="6252277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097218CB">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211A5DCF">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7802AEA0">
      <w:pPr>
        <w:rPr>
          <w:highlight w:val="none"/>
        </w:rPr>
      </w:pPr>
      <w:bookmarkStart w:id="291" w:name="_Toc35425137"/>
      <w:bookmarkStart w:id="292" w:name="_Toc35424971"/>
      <w:bookmarkStart w:id="293" w:name="_Toc12683"/>
    </w:p>
    <w:p w14:paraId="5288B7B1">
      <w:pPr>
        <w:spacing w:beforeLines="50" w:afterLines="50" w:line="440" w:lineRule="exact"/>
        <w:ind w:firstLine="643" w:firstLineChars="200"/>
        <w:jc w:val="center"/>
        <w:rPr>
          <w:rStyle w:val="121"/>
          <w:rFonts w:hint="eastAsia" w:ascii="宋体" w:hAnsi="宋体" w:cs="宋体"/>
          <w:sz w:val="32"/>
          <w:highlight w:val="none"/>
        </w:rPr>
      </w:pPr>
      <w:bookmarkStart w:id="294" w:name="_Toc78803399"/>
      <w:r>
        <w:rPr>
          <w:rStyle w:val="121"/>
          <w:rFonts w:hint="eastAsia" w:ascii="宋体" w:hAnsi="宋体" w:cs="宋体"/>
          <w:sz w:val="32"/>
          <w:highlight w:val="none"/>
        </w:rPr>
        <w:br w:type="page"/>
      </w:r>
      <w:bookmarkEnd w:id="291"/>
      <w:bookmarkEnd w:id="292"/>
      <w:bookmarkEnd w:id="293"/>
      <w:bookmarkEnd w:id="294"/>
    </w:p>
    <w:p w14:paraId="28C89471">
      <w:pPr>
        <w:spacing w:beforeLines="50" w:afterLines="50" w:line="440" w:lineRule="exact"/>
        <w:ind w:firstLine="643" w:firstLineChars="200"/>
        <w:jc w:val="center"/>
        <w:rPr>
          <w:rStyle w:val="121"/>
          <w:rFonts w:hint="eastAsia" w:ascii="宋体" w:hAnsi="宋体" w:cs="宋体"/>
          <w:sz w:val="32"/>
          <w:highlight w:val="none"/>
        </w:rPr>
      </w:pPr>
    </w:p>
    <w:p w14:paraId="0EBCA57C">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58DE17B3">
      <w:pPr>
        <w:spacing w:line="360" w:lineRule="auto"/>
        <w:ind w:firstLine="420" w:firstLineChars="200"/>
        <w:rPr>
          <w:rFonts w:hint="default"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投标人有效企业资质证书和安全生产许可证；</w:t>
      </w:r>
    </w:p>
    <w:p w14:paraId="62FF3590">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宋体" w:eastAsia="宋体" w:cs="Times New Roman"/>
          <w:color w:val="000000"/>
          <w:szCs w:val="21"/>
          <w:highlight w:val="none"/>
          <w:lang w:val="en-US" w:eastAsia="zh-CN"/>
        </w:rPr>
        <w:t>项目</w:t>
      </w:r>
      <w:r>
        <w:rPr>
          <w:rFonts w:hint="default" w:ascii="宋体" w:hAnsi="宋体" w:eastAsia="宋体" w:cs="Times New Roman"/>
          <w:color w:val="000000"/>
          <w:szCs w:val="21"/>
          <w:highlight w:val="none"/>
          <w:lang w:val="en-US" w:eastAsia="zh-CN"/>
        </w:rPr>
        <w:t>经理</w:t>
      </w:r>
      <w:r>
        <w:rPr>
          <w:rFonts w:hint="eastAsia" w:ascii="宋体" w:hAnsi="宋体" w:eastAsia="宋体" w:cs="Times New Roman"/>
          <w:color w:val="000000"/>
          <w:szCs w:val="21"/>
          <w:highlight w:val="none"/>
          <w:lang w:val="en-US" w:eastAsia="zh-CN"/>
        </w:rPr>
        <w:t>在本单位注册的有效</w:t>
      </w:r>
      <w:r>
        <w:rPr>
          <w:rFonts w:hint="eastAsia" w:ascii="宋体" w:hAnsi="宋体" w:cs="Times New Roman"/>
          <w:color w:val="000000"/>
          <w:szCs w:val="21"/>
          <w:highlight w:val="none"/>
          <w:lang w:val="en-US" w:eastAsia="zh-CN"/>
        </w:rPr>
        <w:t>建筑</w:t>
      </w:r>
      <w:r>
        <w:rPr>
          <w:rFonts w:hint="eastAsia" w:ascii="宋体" w:hAnsi="宋体" w:eastAsia="宋体" w:cs="Times New Roman"/>
          <w:color w:val="000000"/>
          <w:szCs w:val="21"/>
          <w:highlight w:val="none"/>
          <w:lang w:val="en-US" w:eastAsia="zh-CN"/>
        </w:rPr>
        <w:t>工程专业二级（或以上）注册建造师资格和具备有效的安全生产考核合格(B类)证书；</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95" w:name="_Toc506107356"/>
      <w:bookmarkStart w:id="296" w:name="_Toc26598"/>
      <w:bookmarkStart w:id="297" w:name="_Toc503196197"/>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sz w:val="28"/>
          <w:szCs w:val="28"/>
          <w:highlight w:val="none"/>
        </w:rPr>
      </w:pPr>
      <w:r>
        <w:rPr>
          <w:rFonts w:hint="eastAsia"/>
          <w:b/>
          <w:sz w:val="28"/>
          <w:szCs w:val="28"/>
          <w:highlight w:val="none"/>
        </w:rPr>
        <w:t>（2）诚信投标承诺书</w:t>
      </w:r>
      <w:bookmarkEnd w:id="295"/>
      <w:bookmarkEnd w:id="296"/>
      <w:bookmarkEnd w:id="297"/>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一、将遵循公开、公正和诚实信用的原则自愿参加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000000"/>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8B8A1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000000"/>
          <w:szCs w:val="21"/>
          <w:highlight w:val="none"/>
        </w:rPr>
      </w:pPr>
    </w:p>
    <w:p w14:paraId="2BC6E2D1">
      <w:pPr>
        <w:jc w:val="center"/>
        <w:rPr>
          <w:rFonts w:eastAsia="黑体"/>
          <w:sz w:val="28"/>
          <w:szCs w:val="28"/>
          <w:highlight w:val="none"/>
        </w:rPr>
      </w:pPr>
    </w:p>
    <w:p w14:paraId="66E43672">
      <w:pPr>
        <w:jc w:val="center"/>
        <w:rPr>
          <w:rFonts w:eastAsia="黑体"/>
          <w:sz w:val="28"/>
          <w:szCs w:val="28"/>
          <w:highlight w:val="none"/>
        </w:rPr>
      </w:pPr>
    </w:p>
    <w:p w14:paraId="20447F5C">
      <w:pPr>
        <w:jc w:val="center"/>
        <w:rPr>
          <w:rFonts w:eastAsia="黑体"/>
          <w:sz w:val="20"/>
          <w:szCs w:val="20"/>
          <w:highlight w:val="none"/>
        </w:rPr>
      </w:pPr>
      <w:r>
        <w:rPr>
          <w:rFonts w:eastAsia="黑体"/>
          <w:sz w:val="28"/>
          <w:szCs w:val="28"/>
          <w:highlight w:val="none"/>
        </w:rPr>
        <w:t>（项目名称）</w:t>
      </w:r>
    </w:p>
    <w:p w14:paraId="66B855F2">
      <w:pPr>
        <w:jc w:val="center"/>
        <w:rPr>
          <w:rFonts w:eastAsia="黑体"/>
          <w:sz w:val="20"/>
          <w:szCs w:val="20"/>
          <w:highlight w:val="none"/>
        </w:rPr>
      </w:pPr>
    </w:p>
    <w:p w14:paraId="792DB5BC">
      <w:pPr>
        <w:rPr>
          <w:rFonts w:eastAsia="黑体"/>
          <w:sz w:val="20"/>
          <w:szCs w:val="20"/>
          <w:highlight w:val="none"/>
        </w:rPr>
      </w:pPr>
    </w:p>
    <w:p w14:paraId="60025CC7">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二</w:t>
      </w:r>
    </w:p>
    <w:p w14:paraId="11881936">
      <w:pPr>
        <w:jc w:val="center"/>
        <w:rPr>
          <w:rFonts w:eastAsia="黑体"/>
          <w:sz w:val="44"/>
          <w:szCs w:val="44"/>
          <w:highlight w:val="none"/>
        </w:rPr>
      </w:pPr>
      <w:r>
        <w:rPr>
          <w:rFonts w:hint="eastAsia" w:eastAsia="黑体"/>
          <w:sz w:val="44"/>
          <w:szCs w:val="44"/>
          <w:highlight w:val="none"/>
        </w:rPr>
        <w:t>（技术标文件）</w:t>
      </w:r>
    </w:p>
    <w:p w14:paraId="78C47936">
      <w:pPr>
        <w:rPr>
          <w:rFonts w:eastAsia="黑体"/>
          <w:sz w:val="28"/>
          <w:szCs w:val="28"/>
          <w:highlight w:val="none"/>
        </w:rPr>
      </w:pPr>
    </w:p>
    <w:p w14:paraId="13EF90FD">
      <w:pPr>
        <w:rPr>
          <w:rFonts w:eastAsia="黑体"/>
          <w:sz w:val="28"/>
          <w:szCs w:val="28"/>
          <w:highlight w:val="none"/>
        </w:rPr>
      </w:pPr>
    </w:p>
    <w:p w14:paraId="4307D5B0">
      <w:pPr>
        <w:rPr>
          <w:rFonts w:eastAsia="黑体"/>
          <w:sz w:val="28"/>
          <w:szCs w:val="28"/>
          <w:highlight w:val="none"/>
        </w:rPr>
      </w:pPr>
    </w:p>
    <w:p w14:paraId="6B2C05F0">
      <w:pPr>
        <w:pStyle w:val="14"/>
        <w:ind w:firstLine="560"/>
        <w:rPr>
          <w:rFonts w:eastAsia="黑体"/>
          <w:sz w:val="28"/>
          <w:szCs w:val="28"/>
          <w:highlight w:val="none"/>
        </w:rPr>
      </w:pPr>
    </w:p>
    <w:p w14:paraId="1D0BEC5C">
      <w:pPr>
        <w:rPr>
          <w:rFonts w:eastAsia="黑体"/>
          <w:sz w:val="28"/>
          <w:szCs w:val="28"/>
          <w:highlight w:val="none"/>
        </w:rPr>
      </w:pPr>
    </w:p>
    <w:p w14:paraId="28D93157">
      <w:pPr>
        <w:pStyle w:val="14"/>
        <w:ind w:firstLine="560"/>
        <w:rPr>
          <w:rFonts w:eastAsia="黑体"/>
          <w:sz w:val="28"/>
          <w:szCs w:val="28"/>
          <w:highlight w:val="none"/>
        </w:rPr>
      </w:pPr>
    </w:p>
    <w:p w14:paraId="1FFAD3CF">
      <w:pPr>
        <w:rPr>
          <w:highlight w:val="none"/>
        </w:rPr>
      </w:pPr>
    </w:p>
    <w:p w14:paraId="0D2C3844">
      <w:pPr>
        <w:rPr>
          <w:rFonts w:eastAsia="黑体"/>
          <w:sz w:val="28"/>
          <w:szCs w:val="28"/>
          <w:highlight w:val="none"/>
        </w:rPr>
      </w:pPr>
    </w:p>
    <w:p w14:paraId="3D9426D8">
      <w:pPr>
        <w:rPr>
          <w:rFonts w:eastAsia="黑体"/>
          <w:sz w:val="28"/>
          <w:szCs w:val="28"/>
          <w:highlight w:val="none"/>
        </w:rPr>
      </w:pPr>
    </w:p>
    <w:p w14:paraId="21A6EBE5">
      <w:pPr>
        <w:rPr>
          <w:rFonts w:eastAsia="黑体"/>
          <w:sz w:val="28"/>
          <w:szCs w:val="28"/>
          <w:highlight w:val="none"/>
        </w:rPr>
      </w:pPr>
    </w:p>
    <w:p w14:paraId="02F825C3">
      <w:pPr>
        <w:rPr>
          <w:rFonts w:eastAsia="黑体"/>
          <w:sz w:val="28"/>
          <w:szCs w:val="28"/>
          <w:highlight w:val="none"/>
        </w:rPr>
      </w:pPr>
    </w:p>
    <w:p w14:paraId="65C29CBB">
      <w:pPr>
        <w:rPr>
          <w:rFonts w:eastAsia="黑体"/>
          <w:sz w:val="28"/>
          <w:szCs w:val="28"/>
          <w:highlight w:val="none"/>
        </w:rPr>
      </w:pPr>
    </w:p>
    <w:p w14:paraId="10883D19">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3B6C62B9">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1FCEEEFE">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3CA1B276">
      <w:pPr>
        <w:rPr>
          <w:rFonts w:hint="eastAsia" w:ascii="宋体" w:hAnsi="宋体"/>
          <w:b/>
          <w:sz w:val="32"/>
          <w:szCs w:val="32"/>
          <w:highlight w:val="none"/>
        </w:rPr>
      </w:pPr>
      <w:r>
        <w:rPr>
          <w:rFonts w:hint="eastAsia" w:ascii="宋体" w:hAnsi="宋体"/>
          <w:b/>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sz w:val="32"/>
          <w:highlight w:val="none"/>
        </w:rPr>
      </w:pPr>
    </w:p>
    <w:p w14:paraId="43AB31C5">
      <w:pPr>
        <w:spacing w:beforeLines="50" w:afterLines="50" w:line="440" w:lineRule="exact"/>
        <w:ind w:firstLine="643" w:firstLineChars="200"/>
        <w:jc w:val="center"/>
        <w:rPr>
          <w:rStyle w:val="121"/>
          <w:rFonts w:ascii="宋体" w:hAnsi="宋体" w:cs="宋体"/>
          <w:sz w:val="32"/>
          <w:highlight w:val="none"/>
        </w:rPr>
      </w:pPr>
      <w:r>
        <w:rPr>
          <w:rStyle w:val="121"/>
          <w:rFonts w:hint="eastAsia" w:ascii="宋体" w:hAnsi="宋体" w:cs="宋体"/>
          <w:sz w:val="32"/>
          <w:highlight w:val="none"/>
        </w:rPr>
        <w:t>目</w:t>
      </w:r>
      <w:r>
        <w:rPr>
          <w:rStyle w:val="121"/>
          <w:rFonts w:hint="eastAsia" w:ascii="宋体" w:hAnsi="宋体" w:cs="宋体"/>
          <w:sz w:val="32"/>
          <w:highlight w:val="none"/>
          <w:lang w:val="en-US"/>
        </w:rPr>
        <w:t xml:space="preserve">  </w:t>
      </w:r>
      <w:r>
        <w:rPr>
          <w:rStyle w:val="121"/>
          <w:rFonts w:hint="eastAsia" w:ascii="宋体" w:hAnsi="宋体" w:cs="宋体"/>
          <w:sz w:val="32"/>
          <w:highlight w:val="none"/>
        </w:rPr>
        <w:t>录</w:t>
      </w:r>
    </w:p>
    <w:p w14:paraId="2D28E8BC">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（1）施工组织设计。</w:t>
      </w:r>
    </w:p>
    <w:p w14:paraId="26148936">
      <w:pPr>
        <w:spacing w:line="440" w:lineRule="exact"/>
        <w:ind w:firstLine="420" w:firstLineChars="200"/>
        <w:jc w:val="left"/>
        <w:rPr>
          <w:rFonts w:hint="eastAsia" w:ascii="宋体" w:hAnsi="宋体" w:eastAsia="宋体" w:cs="宋体"/>
          <w:szCs w:val="21"/>
          <w:highlight w:val="none"/>
          <w:lang w:eastAsia="zh-CN"/>
        </w:rPr>
      </w:pPr>
    </w:p>
    <w:p w14:paraId="2EEC4B9E">
      <w:pPr>
        <w:pStyle w:val="14"/>
        <w:rPr>
          <w:rFonts w:hint="eastAsia"/>
        </w:rPr>
      </w:pPr>
    </w:p>
    <w:p w14:paraId="7B17022E">
      <w:pPr>
        <w:rPr>
          <w:rFonts w:hint="eastAsia" w:ascii="宋体" w:hAnsi="宋体"/>
          <w:b/>
          <w:sz w:val="32"/>
          <w:szCs w:val="32"/>
          <w:highlight w:val="none"/>
        </w:rPr>
      </w:pPr>
      <w:r>
        <w:rPr>
          <w:rFonts w:hint="eastAsia" w:ascii="宋体" w:hAnsi="宋体"/>
          <w:b/>
          <w:sz w:val="32"/>
          <w:szCs w:val="32"/>
          <w:highlight w:val="none"/>
        </w:rPr>
        <w:br w:type="page"/>
      </w:r>
    </w:p>
    <w:p w14:paraId="7537EA8B">
      <w:pPr>
        <w:jc w:val="center"/>
        <w:rPr>
          <w:rFonts w:eastAsia="黑体"/>
          <w:sz w:val="28"/>
          <w:szCs w:val="28"/>
          <w:highlight w:val="none"/>
        </w:rPr>
      </w:pPr>
    </w:p>
    <w:p w14:paraId="22366C21">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三</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6F4198FD">
      <w:pPr>
        <w:rPr>
          <w:rFonts w:eastAsia="黑体"/>
          <w:sz w:val="28"/>
          <w:szCs w:val="28"/>
          <w:highlight w:val="none"/>
        </w:rPr>
      </w:pPr>
    </w:p>
    <w:p w14:paraId="18D553B1">
      <w:pPr>
        <w:rPr>
          <w:rFonts w:eastAsia="黑体"/>
          <w:sz w:val="28"/>
          <w:szCs w:val="28"/>
          <w:highlight w:val="none"/>
        </w:rPr>
      </w:pPr>
    </w:p>
    <w:p w14:paraId="0E5FE50F">
      <w:pPr>
        <w:rPr>
          <w:rFonts w:eastAsia="黑体"/>
          <w:sz w:val="28"/>
          <w:szCs w:val="28"/>
          <w:highlight w:val="none"/>
        </w:rPr>
      </w:pPr>
    </w:p>
    <w:p w14:paraId="74AFA9E2">
      <w:pPr>
        <w:rPr>
          <w:rFonts w:eastAsia="黑体"/>
          <w:sz w:val="28"/>
          <w:szCs w:val="28"/>
          <w:highlight w:val="none"/>
        </w:rPr>
      </w:pPr>
    </w:p>
    <w:p w14:paraId="078AB10D">
      <w:pPr>
        <w:rPr>
          <w:rFonts w:eastAsia="黑体"/>
          <w:sz w:val="28"/>
          <w:szCs w:val="28"/>
          <w:highlight w:val="none"/>
        </w:rPr>
      </w:pPr>
    </w:p>
    <w:p w14:paraId="5C03182B">
      <w:pPr>
        <w:rPr>
          <w:rFonts w:eastAsia="黑体"/>
          <w:sz w:val="28"/>
          <w:szCs w:val="28"/>
          <w:highlight w:val="none"/>
        </w:rPr>
      </w:pPr>
    </w:p>
    <w:p w14:paraId="50FB798D">
      <w:pPr>
        <w:rPr>
          <w:rFonts w:eastAsia="黑体"/>
          <w:sz w:val="28"/>
          <w:szCs w:val="28"/>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4CAB06D8">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350C1BB2">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DBB5CC">
      <w:pPr>
        <w:rPr>
          <w:rFonts w:hint="eastAsia" w:ascii="宋体" w:hAnsi="宋体"/>
          <w:b/>
          <w:sz w:val="32"/>
          <w:szCs w:val="32"/>
          <w:highlight w:val="none"/>
        </w:rPr>
      </w:pPr>
      <w:r>
        <w:rPr>
          <w:rFonts w:hint="eastAsia" w:ascii="宋体" w:hAnsi="宋体"/>
          <w:b/>
          <w:sz w:val="32"/>
          <w:szCs w:val="32"/>
          <w:highlight w:val="none"/>
        </w:rPr>
        <w:br w:type="page"/>
      </w:r>
    </w:p>
    <w:p w14:paraId="239E86E0">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D9F7386">
      <w:pPr>
        <w:numPr>
          <w:ilvl w:val="0"/>
          <w:numId w:val="5"/>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投标函（格式见附件）；</w:t>
      </w:r>
    </w:p>
    <w:p w14:paraId="0B4BEFCE">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（2）分项报价清单（格式见附件）；</w:t>
      </w:r>
    </w:p>
    <w:p w14:paraId="485A9E6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sz w:val="32"/>
          <w:szCs w:val="32"/>
          <w:highlight w:val="none"/>
        </w:rPr>
      </w:pPr>
      <w:r>
        <w:rPr>
          <w:rFonts w:hint="eastAsia" w:ascii="宋体" w:hAnsi="宋体"/>
          <w:b/>
          <w:sz w:val="32"/>
          <w:szCs w:val="32"/>
          <w:highlight w:val="none"/>
        </w:rPr>
        <w:br w:type="page"/>
      </w:r>
    </w:p>
    <w:p w14:paraId="5D358DCD">
      <w:pPr>
        <w:jc w:val="center"/>
        <w:rPr>
          <w:rFonts w:ascii="宋体" w:hAnsi="宋体"/>
          <w:b/>
          <w:sz w:val="32"/>
          <w:szCs w:val="32"/>
          <w:highlight w:val="none"/>
        </w:rPr>
      </w:pPr>
      <w:r>
        <w:rPr>
          <w:rFonts w:hint="eastAsia" w:ascii="宋体" w:hAnsi="宋体"/>
          <w:b/>
          <w:sz w:val="32"/>
          <w:szCs w:val="32"/>
          <w:highlight w:val="none"/>
        </w:rPr>
        <w:t>（1）投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bookmarkStart w:id="298" w:name="_Toc506107366"/>
      <w:bookmarkStart w:id="299" w:name="_Toc15058950"/>
      <w:bookmarkStart w:id="300" w:name="_Toc35425140"/>
      <w:bookmarkStart w:id="301" w:name="_Toc35424974"/>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CDE2A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14:paraId="20C845A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firstLine="464" w:firstLineChars="200"/>
        <w:jc w:val="left"/>
        <w:textAlignment w:val="auto"/>
        <w:rPr>
          <w:rFonts w:ascii="宋体" w:hAnsi="宋体"/>
          <w:color w:val="auto"/>
          <w:spacing w:val="-4"/>
          <w:sz w:val="24"/>
          <w:szCs w:val="24"/>
          <w:highlight w:val="none"/>
        </w:rPr>
      </w:pPr>
      <w:r>
        <w:rPr>
          <w:rFonts w:hint="eastAsia" w:ascii="宋体" w:hAnsi="宋体"/>
          <w:color w:val="auto"/>
          <w:spacing w:val="-4"/>
          <w:sz w:val="24"/>
          <w:szCs w:val="24"/>
          <w:highlight w:val="none"/>
        </w:rPr>
        <w:t>我方已详细审核全部招标文件及有关附件，承诺招标文件及有关附件中所有条款。</w:t>
      </w:r>
    </w:p>
    <w:p w14:paraId="5D2524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3、一旦我方中标，我方将派出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建造师为本项目的项目</w:t>
      </w:r>
      <w:r>
        <w:rPr>
          <w:rFonts w:hint="eastAsia" w:ascii="宋体" w:hAnsi="宋体"/>
          <w:color w:val="auto"/>
          <w:sz w:val="24"/>
          <w:szCs w:val="24"/>
          <w:highlight w:val="none"/>
          <w:lang w:val="en-US" w:eastAsia="zh-CN"/>
        </w:rPr>
        <w:t>经理</w:t>
      </w:r>
      <w:r>
        <w:rPr>
          <w:rFonts w:hint="eastAsia" w:ascii="宋体" w:hAnsi="宋体"/>
          <w:color w:val="auto"/>
          <w:sz w:val="24"/>
          <w:szCs w:val="24"/>
          <w:highlight w:val="none"/>
        </w:rPr>
        <w:t>，保证按照招标人要求开始实施本项目，并在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个日历天（工期）内完成本合同的施工，并移交整个项目，项目质量达到</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合格</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标准。</w:t>
      </w:r>
    </w:p>
    <w:p w14:paraId="41DC06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4、随本投标书，我方同时按照招标文件的要求提交投标保证金。如果我方在本投标书有效期内撤回投标书，或在中标通知书下达后</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30</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天内未能或拒绝签订合同书，或自行转标，贵单位有权没收投标保证金，并另选中标单位。</w:t>
      </w:r>
    </w:p>
    <w:p w14:paraId="5A0DB9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5、如果我方中标我方将按照招标文件的规定提交履约担保。项目验收合格后，方可退还。</w:t>
      </w:r>
    </w:p>
    <w:p w14:paraId="7A10B8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6、投标有效期为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9</w:t>
      </w:r>
      <w:r>
        <w:rPr>
          <w:rFonts w:hint="eastAsia" w:ascii="宋体" w:hAnsi="宋体"/>
          <w:color w:val="auto"/>
          <w:sz w:val="24"/>
          <w:szCs w:val="24"/>
          <w:highlight w:val="none"/>
          <w:u w:val="single"/>
        </w:rPr>
        <w:t>0</w:t>
      </w:r>
      <w:r>
        <w:rPr>
          <w:rFonts w:hint="eastAsia" w:ascii="宋体" w:hAnsi="宋体"/>
          <w:color w:val="auto"/>
          <w:sz w:val="24"/>
          <w:szCs w:val="24"/>
          <w:highlight w:val="none"/>
        </w:rPr>
        <w:t>日历天（从投标截止之日算起）。</w:t>
      </w:r>
    </w:p>
    <w:p w14:paraId="769CB8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7、我单位提供如下通讯地址：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电子邮箱（地址），确认本项目相关法律文书均通过提供的以上地址送达，相关文书只要发送至以上电子邮箱（地址）即视为送达，投标人愿意承担一切法律后果。</w:t>
      </w:r>
    </w:p>
    <w:p w14:paraId="3C9C729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bookmarkEnd w:id="7"/>
    <w:bookmarkEnd w:id="8"/>
    <w:bookmarkEnd w:id="9"/>
    <w:bookmarkEnd w:id="10"/>
    <w:bookmarkEnd w:id="11"/>
    <w:bookmarkEnd w:id="298"/>
    <w:bookmarkEnd w:id="299"/>
    <w:bookmarkEnd w:id="300"/>
    <w:bookmarkEnd w:id="301"/>
    <w:p w14:paraId="061EA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bookmarkStart w:id="302" w:name="_Toc78803402"/>
    </w:p>
    <w:p w14:paraId="558628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lang w:eastAsia="zh-CN"/>
        </w:rPr>
        <w:t>（</w:t>
      </w:r>
      <w:r>
        <w:rPr>
          <w:rFonts w:hint="eastAsia"/>
          <w:b/>
          <w:color w:val="000000"/>
          <w:sz w:val="28"/>
          <w:szCs w:val="28"/>
          <w:highlight w:val="none"/>
          <w:lang w:val="en-US" w:eastAsia="zh-CN"/>
        </w:rPr>
        <w:t>2）</w:t>
      </w:r>
      <w:r>
        <w:rPr>
          <w:rFonts w:hint="eastAsia"/>
          <w:b/>
          <w:color w:val="000000"/>
          <w:sz w:val="28"/>
          <w:szCs w:val="28"/>
          <w:highlight w:val="none"/>
        </w:rPr>
        <w:t>分项报价清单</w:t>
      </w:r>
    </w:p>
    <w:tbl>
      <w:tblPr>
        <w:tblStyle w:val="48"/>
        <w:tblW w:w="9351"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1163"/>
        <w:gridCol w:w="1200"/>
        <w:gridCol w:w="735"/>
        <w:gridCol w:w="795"/>
        <w:gridCol w:w="1125"/>
        <w:gridCol w:w="1050"/>
        <w:gridCol w:w="2640"/>
      </w:tblGrid>
      <w:tr w14:paraId="19755D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14:paraId="790189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序号</w:t>
            </w:r>
          </w:p>
        </w:tc>
        <w:tc>
          <w:tcPr>
            <w:tcW w:w="1163" w:type="dxa"/>
            <w:tcBorders>
              <w:right w:val="single" w:color="auto" w:sz="4" w:space="0"/>
            </w:tcBorders>
            <w:noWrap w:val="0"/>
            <w:vAlign w:val="center"/>
          </w:tcPr>
          <w:p w14:paraId="1C3FA0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产品名称</w:t>
            </w:r>
          </w:p>
        </w:tc>
        <w:tc>
          <w:tcPr>
            <w:tcW w:w="1200" w:type="dxa"/>
            <w:tcBorders>
              <w:left w:val="single" w:color="auto" w:sz="4" w:space="0"/>
            </w:tcBorders>
            <w:noWrap w:val="0"/>
            <w:vAlign w:val="center"/>
          </w:tcPr>
          <w:p w14:paraId="6498E3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规格型号</w:t>
            </w:r>
          </w:p>
          <w:p w14:paraId="0DECDA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35" w:type="dxa"/>
            <w:noWrap w:val="0"/>
            <w:vAlign w:val="center"/>
          </w:tcPr>
          <w:p w14:paraId="0BF7B3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单位</w:t>
            </w:r>
          </w:p>
        </w:tc>
        <w:tc>
          <w:tcPr>
            <w:tcW w:w="795" w:type="dxa"/>
            <w:noWrap w:val="0"/>
            <w:vAlign w:val="center"/>
          </w:tcPr>
          <w:p w14:paraId="49F06E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数量</w:t>
            </w:r>
          </w:p>
        </w:tc>
        <w:tc>
          <w:tcPr>
            <w:tcW w:w="1125" w:type="dxa"/>
            <w:tcBorders>
              <w:left w:val="single" w:color="auto" w:sz="4" w:space="0"/>
            </w:tcBorders>
            <w:noWrap w:val="0"/>
            <w:vAlign w:val="center"/>
          </w:tcPr>
          <w:p w14:paraId="22F172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lang w:val="en-US" w:eastAsia="zh-CN"/>
              </w:rPr>
              <w:t>综合</w:t>
            </w:r>
            <w:r>
              <w:rPr>
                <w:rFonts w:hint="eastAsia" w:ascii="宋体" w:hAnsi="宋体"/>
                <w:color w:val="000000"/>
                <w:szCs w:val="21"/>
                <w:highlight w:val="none"/>
              </w:rPr>
              <w:t>单 价（元）</w:t>
            </w:r>
          </w:p>
        </w:tc>
        <w:tc>
          <w:tcPr>
            <w:tcW w:w="1050" w:type="dxa"/>
            <w:noWrap w:val="0"/>
            <w:vAlign w:val="center"/>
          </w:tcPr>
          <w:p w14:paraId="572668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合 价（元）</w:t>
            </w:r>
          </w:p>
        </w:tc>
        <w:tc>
          <w:tcPr>
            <w:tcW w:w="2640" w:type="dxa"/>
            <w:noWrap w:val="0"/>
            <w:vAlign w:val="center"/>
          </w:tcPr>
          <w:p w14:paraId="1EDC14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80" w:leftChars="-38" w:right="-94" w:rightChars="-45"/>
              <w:jc w:val="center"/>
              <w:textAlignment w:val="auto"/>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14:paraId="4C5A53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14:paraId="60A196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1</w:t>
            </w:r>
          </w:p>
        </w:tc>
        <w:tc>
          <w:tcPr>
            <w:tcW w:w="1163" w:type="dxa"/>
            <w:tcBorders>
              <w:right w:val="single" w:color="auto" w:sz="4" w:space="0"/>
            </w:tcBorders>
            <w:shd w:val="clear" w:color="auto" w:fill="FFFFFF"/>
            <w:noWrap w:val="0"/>
            <w:vAlign w:val="center"/>
          </w:tcPr>
          <w:p w14:paraId="4CEF34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防护栅栏</w:t>
            </w:r>
          </w:p>
        </w:tc>
        <w:tc>
          <w:tcPr>
            <w:tcW w:w="1200" w:type="dxa"/>
            <w:tcBorders>
              <w:left w:val="single" w:color="auto" w:sz="4" w:space="0"/>
            </w:tcBorders>
            <w:shd w:val="clear" w:color="auto" w:fill="auto"/>
            <w:noWrap w:val="0"/>
            <w:vAlign w:val="center"/>
          </w:tcPr>
          <w:p w14:paraId="454BEB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i w:val="0"/>
                <w:iCs w:val="0"/>
                <w:color w:val="000000"/>
                <w:szCs w:val="21"/>
                <w:highlight w:val="none"/>
                <w:lang w:val="en-US" w:eastAsia="zh-CN"/>
              </w:rPr>
            </w:pPr>
          </w:p>
        </w:tc>
        <w:tc>
          <w:tcPr>
            <w:tcW w:w="735" w:type="dxa"/>
            <w:shd w:val="clear" w:color="auto" w:fill="FFFFFF"/>
            <w:noWrap w:val="0"/>
            <w:vAlign w:val="center"/>
          </w:tcPr>
          <w:p w14:paraId="435E1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olor w:val="000000"/>
                <w:szCs w:val="21"/>
                <w:highlight w:val="none"/>
                <w:lang w:val="en-US" w:eastAsia="zh-CN"/>
              </w:rPr>
            </w:pPr>
            <w:r>
              <w:rPr>
                <w:rFonts w:hint="eastAsia" w:ascii="宋体" w:hAnsi="宋体" w:cs="宋体"/>
                <w:i w:val="0"/>
                <w:iCs w:val="0"/>
                <w:color w:val="000000"/>
                <w:szCs w:val="21"/>
                <w:highlight w:val="none"/>
                <w:lang w:val="en-US" w:eastAsia="zh-CN"/>
              </w:rPr>
              <w:t>米</w:t>
            </w:r>
          </w:p>
        </w:tc>
        <w:tc>
          <w:tcPr>
            <w:tcW w:w="795" w:type="dxa"/>
            <w:shd w:val="clear" w:color="auto" w:fill="FFFFFF"/>
            <w:noWrap w:val="0"/>
            <w:vAlign w:val="center"/>
          </w:tcPr>
          <w:p w14:paraId="73C1C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color w:val="000000"/>
                <w:szCs w:val="21"/>
                <w:highlight w:val="none"/>
                <w:lang w:val="en-US" w:eastAsia="zh-CN"/>
              </w:rPr>
            </w:pPr>
            <w:r>
              <w:rPr>
                <w:rFonts w:hint="eastAsia" w:ascii="宋体" w:hAnsi="宋体" w:cs="宋体"/>
                <w:i w:val="0"/>
                <w:iCs w:val="0"/>
                <w:color w:val="000000"/>
                <w:szCs w:val="21"/>
                <w:highlight w:val="none"/>
                <w:lang w:val="en-US" w:eastAsia="zh-CN"/>
              </w:rPr>
              <w:t>5500</w:t>
            </w:r>
          </w:p>
        </w:tc>
        <w:tc>
          <w:tcPr>
            <w:tcW w:w="1125" w:type="dxa"/>
            <w:tcBorders>
              <w:left w:val="single" w:color="auto" w:sz="4" w:space="0"/>
            </w:tcBorders>
            <w:noWrap w:val="0"/>
            <w:vAlign w:val="center"/>
          </w:tcPr>
          <w:p w14:paraId="71A99D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i w:val="0"/>
                <w:iCs w:val="0"/>
                <w:color w:val="000000"/>
                <w:szCs w:val="21"/>
                <w:highlight w:val="none"/>
                <w:lang w:val="en-US" w:eastAsia="zh-CN"/>
              </w:rPr>
            </w:pPr>
          </w:p>
        </w:tc>
        <w:tc>
          <w:tcPr>
            <w:tcW w:w="1050" w:type="dxa"/>
            <w:noWrap w:val="0"/>
            <w:vAlign w:val="center"/>
          </w:tcPr>
          <w:p w14:paraId="50AFCD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i w:val="0"/>
                <w:iCs w:val="0"/>
                <w:color w:val="000000"/>
                <w:szCs w:val="21"/>
                <w:highlight w:val="none"/>
                <w:lang w:val="en-US" w:eastAsia="zh-CN"/>
              </w:rPr>
            </w:pPr>
          </w:p>
        </w:tc>
        <w:tc>
          <w:tcPr>
            <w:tcW w:w="2640" w:type="dxa"/>
            <w:noWrap w:val="0"/>
            <w:vAlign w:val="center"/>
          </w:tcPr>
          <w:p w14:paraId="6ABD24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i w:val="0"/>
                <w:iCs w:val="0"/>
                <w:color w:val="000000"/>
                <w:sz w:val="18"/>
                <w:szCs w:val="18"/>
                <w:highlight w:val="none"/>
                <w:lang w:val="en-US" w:eastAsia="zh-CN"/>
              </w:rPr>
            </w:pPr>
            <w:r>
              <w:rPr>
                <w:rFonts w:hint="eastAsia" w:ascii="宋体" w:hAnsi="宋体" w:eastAsia="宋体" w:cs="宋体"/>
                <w:i w:val="0"/>
                <w:iCs w:val="0"/>
                <w:color w:val="000000"/>
                <w:sz w:val="18"/>
                <w:szCs w:val="18"/>
                <w:highlight w:val="none"/>
                <w:lang w:val="en-US" w:eastAsia="zh-CN"/>
              </w:rPr>
              <w:t>1.土方开挖、回填、弃置运距等自行考虑                                                                        2.M10水泥砂浆基础：基坑尺寸为300mm*300mm*600mm                                                                       3.成品栏杆材料种类、规格:立柱：直径φ48mm,热镀锌钢管，壁厚4mm；一网一柱                                                 4.网片：材质低碳冷拔钢,1.8高，3米宽，网孔75mm*150mm，丝粗4mm,边框20mm*30mm方管加固                                                                                                        5.连接片40mm*40mm*4mm镀锌钢片</w:t>
            </w:r>
          </w:p>
          <w:p w14:paraId="58A459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 w:val="18"/>
                <w:szCs w:val="18"/>
                <w:highlight w:val="none"/>
                <w:lang w:val="en-US" w:eastAsia="zh-CN"/>
              </w:rPr>
              <w:t>6.防腐处理：整体侵塑                                                                                           7.巡查：每半年进行全线巡查一次，并免费更换破损或遣失栅栏                                          8.隔离栅栏内部地表清理、整平，自行报价</w:t>
            </w:r>
          </w:p>
        </w:tc>
      </w:tr>
      <w:tr w14:paraId="0B32F9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14:paraId="47B06E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2</w:t>
            </w:r>
          </w:p>
        </w:tc>
        <w:tc>
          <w:tcPr>
            <w:tcW w:w="1163" w:type="dxa"/>
            <w:tcBorders>
              <w:right w:val="single" w:color="auto" w:sz="4" w:space="0"/>
            </w:tcBorders>
            <w:shd w:val="clear" w:color="auto" w:fill="FFFFFF"/>
            <w:noWrap w:val="0"/>
            <w:vAlign w:val="center"/>
          </w:tcPr>
          <w:p w14:paraId="4DE0F0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标志牌</w:t>
            </w:r>
          </w:p>
        </w:tc>
        <w:tc>
          <w:tcPr>
            <w:tcW w:w="1200" w:type="dxa"/>
            <w:tcBorders>
              <w:left w:val="single" w:color="auto" w:sz="4" w:space="0"/>
            </w:tcBorders>
            <w:shd w:val="clear" w:color="auto" w:fill="auto"/>
            <w:noWrap w:val="0"/>
            <w:vAlign w:val="center"/>
          </w:tcPr>
          <w:p w14:paraId="68D686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i w:val="0"/>
                <w:iCs w:val="0"/>
                <w:color w:val="000000"/>
                <w:szCs w:val="21"/>
                <w:highlight w:val="none"/>
                <w:lang w:val="en-US" w:eastAsia="zh-CN"/>
              </w:rPr>
            </w:pPr>
          </w:p>
        </w:tc>
        <w:tc>
          <w:tcPr>
            <w:tcW w:w="735" w:type="dxa"/>
            <w:shd w:val="clear" w:color="auto" w:fill="FFFFFF"/>
            <w:noWrap w:val="0"/>
            <w:vAlign w:val="center"/>
          </w:tcPr>
          <w:p w14:paraId="77E2A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宋体" w:hAnsi="宋体" w:eastAsia="宋体" w:cs="宋体"/>
                <w:i w:val="0"/>
                <w:iCs w:val="0"/>
                <w:color w:val="000000"/>
                <w:szCs w:val="21"/>
                <w:highlight w:val="none"/>
                <w:lang w:val="en-US" w:eastAsia="zh-CN"/>
              </w:rPr>
            </w:pPr>
            <w:r>
              <w:rPr>
                <w:rFonts w:hint="eastAsia" w:ascii="宋体" w:hAnsi="宋体" w:cs="宋体"/>
                <w:i w:val="0"/>
                <w:iCs w:val="0"/>
                <w:color w:val="000000"/>
                <w:szCs w:val="21"/>
                <w:highlight w:val="none"/>
                <w:lang w:val="en-US" w:eastAsia="zh-CN"/>
              </w:rPr>
              <w:t>块</w:t>
            </w:r>
          </w:p>
        </w:tc>
        <w:tc>
          <w:tcPr>
            <w:tcW w:w="795" w:type="dxa"/>
            <w:shd w:val="clear" w:color="auto" w:fill="FFFFFF"/>
            <w:noWrap w:val="0"/>
            <w:vAlign w:val="center"/>
          </w:tcPr>
          <w:p w14:paraId="0F256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宋体" w:hAnsi="宋体" w:eastAsia="宋体" w:cs="宋体"/>
                <w:i w:val="0"/>
                <w:iCs w:val="0"/>
                <w:color w:val="000000"/>
                <w:szCs w:val="21"/>
                <w:highlight w:val="none"/>
                <w:lang w:val="en-US" w:eastAsia="zh-CN"/>
              </w:rPr>
            </w:pPr>
            <w:r>
              <w:rPr>
                <w:rFonts w:hint="eastAsia" w:ascii="宋体" w:hAnsi="宋体" w:cs="宋体"/>
                <w:i w:val="0"/>
                <w:iCs w:val="0"/>
                <w:color w:val="000000"/>
                <w:szCs w:val="21"/>
                <w:highlight w:val="none"/>
                <w:lang w:val="en-US" w:eastAsia="zh-CN"/>
              </w:rPr>
              <w:t>75</w:t>
            </w:r>
          </w:p>
        </w:tc>
        <w:tc>
          <w:tcPr>
            <w:tcW w:w="1125" w:type="dxa"/>
            <w:tcBorders>
              <w:left w:val="single" w:color="auto" w:sz="4" w:space="0"/>
            </w:tcBorders>
            <w:noWrap w:val="0"/>
            <w:vAlign w:val="center"/>
          </w:tcPr>
          <w:p w14:paraId="3F334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i w:val="0"/>
                <w:iCs w:val="0"/>
                <w:color w:val="000000"/>
                <w:szCs w:val="21"/>
                <w:highlight w:val="none"/>
                <w:lang w:val="en-US" w:eastAsia="zh-CN"/>
              </w:rPr>
            </w:pPr>
          </w:p>
        </w:tc>
        <w:tc>
          <w:tcPr>
            <w:tcW w:w="1050" w:type="dxa"/>
            <w:noWrap w:val="0"/>
            <w:vAlign w:val="center"/>
          </w:tcPr>
          <w:p w14:paraId="149C0C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i w:val="0"/>
                <w:iCs w:val="0"/>
                <w:color w:val="000000"/>
                <w:szCs w:val="21"/>
                <w:highlight w:val="none"/>
                <w:lang w:val="en-US" w:eastAsia="zh-CN"/>
              </w:rPr>
            </w:pPr>
          </w:p>
        </w:tc>
        <w:tc>
          <w:tcPr>
            <w:tcW w:w="2640" w:type="dxa"/>
            <w:noWrap w:val="0"/>
            <w:vAlign w:val="center"/>
          </w:tcPr>
          <w:p w14:paraId="4DE515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cs="宋体"/>
                <w:i w:val="0"/>
                <w:iCs w:val="0"/>
                <w:color w:val="000000"/>
                <w:sz w:val="18"/>
                <w:szCs w:val="18"/>
                <w:highlight w:val="none"/>
                <w:lang w:val="en-US" w:eastAsia="zh-CN"/>
              </w:rPr>
            </w:pPr>
            <w:r>
              <w:rPr>
                <w:rFonts w:hint="eastAsia" w:ascii="宋体" w:hAnsi="宋体" w:cs="宋体"/>
                <w:i w:val="0"/>
                <w:iCs w:val="0"/>
                <w:color w:val="000000"/>
                <w:sz w:val="18"/>
                <w:szCs w:val="18"/>
                <w:highlight w:val="none"/>
                <w:lang w:val="en-US" w:eastAsia="zh-CN"/>
              </w:rPr>
              <w:t>1.规格:304不锈钢材质，600*300*0.6mmm,加贴字样：保护设施，破坏必究</w:t>
            </w:r>
          </w:p>
          <w:p w14:paraId="377CCA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cs="宋体"/>
                <w:i w:val="0"/>
                <w:iCs w:val="0"/>
                <w:color w:val="000000"/>
                <w:sz w:val="18"/>
                <w:szCs w:val="18"/>
                <w:highlight w:val="none"/>
                <w:lang w:val="en-US" w:eastAsia="zh-CN"/>
              </w:rPr>
            </w:pPr>
            <w:r>
              <w:rPr>
                <w:rFonts w:hint="eastAsia" w:ascii="宋体" w:hAnsi="宋体" w:cs="宋体"/>
                <w:i w:val="0"/>
                <w:iCs w:val="0"/>
                <w:color w:val="000000"/>
                <w:sz w:val="18"/>
                <w:szCs w:val="18"/>
                <w:highlight w:val="none"/>
                <w:lang w:val="en-US" w:eastAsia="zh-CN"/>
              </w:rPr>
              <w:t>2.安装方式:挂墙式</w:t>
            </w:r>
          </w:p>
          <w:p w14:paraId="136AE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宋体" w:hAnsi="宋体" w:eastAsia="宋体" w:cs="宋体"/>
                <w:i w:val="0"/>
                <w:iCs w:val="0"/>
                <w:color w:val="000000"/>
                <w:szCs w:val="21"/>
                <w:highlight w:val="none"/>
                <w:lang w:val="en-US" w:eastAsia="zh-CN"/>
              </w:rPr>
            </w:pPr>
            <w:r>
              <w:rPr>
                <w:rFonts w:hint="eastAsia" w:ascii="宋体" w:hAnsi="宋体" w:cs="宋体"/>
                <w:i w:val="0"/>
                <w:iCs w:val="0"/>
                <w:color w:val="000000"/>
                <w:sz w:val="18"/>
                <w:szCs w:val="18"/>
                <w:highlight w:val="none"/>
                <w:lang w:val="en-US" w:eastAsia="zh-CN"/>
              </w:rPr>
              <w:t>3.安装距离:沿线防护栅栏间距100m设置                                                                                        4.巡查：每半年进行全线巡查一次，并免费更换破损或遣失警示标志版</w:t>
            </w:r>
          </w:p>
        </w:tc>
      </w:tr>
      <w:tr w14:paraId="1D0D0E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14:paraId="4904C1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Theme="minorEastAsia"/>
                <w:color w:val="000000"/>
                <w:szCs w:val="21"/>
                <w:highlight w:val="none"/>
                <w:lang w:val="en-US" w:eastAsia="zh-CN"/>
              </w:rPr>
            </w:pPr>
            <w:r>
              <w:rPr>
                <w:rFonts w:hint="eastAsia" w:ascii="宋体" w:hAnsi="宋体"/>
                <w:color w:val="000000"/>
                <w:szCs w:val="21"/>
                <w:highlight w:val="none"/>
                <w:lang w:val="en-US" w:eastAsia="zh-CN"/>
              </w:rPr>
              <w:t>3</w:t>
            </w:r>
          </w:p>
        </w:tc>
        <w:tc>
          <w:tcPr>
            <w:tcW w:w="1163" w:type="dxa"/>
            <w:tcBorders>
              <w:right w:val="single" w:color="auto" w:sz="4" w:space="0"/>
            </w:tcBorders>
            <w:shd w:val="clear" w:color="auto" w:fill="FFFFFF"/>
            <w:noWrap w:val="0"/>
            <w:vAlign w:val="center"/>
          </w:tcPr>
          <w:p w14:paraId="1C1F68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挡车石柱</w:t>
            </w:r>
          </w:p>
        </w:tc>
        <w:tc>
          <w:tcPr>
            <w:tcW w:w="1200" w:type="dxa"/>
            <w:tcBorders>
              <w:left w:val="single" w:color="auto" w:sz="4" w:space="0"/>
            </w:tcBorders>
            <w:shd w:val="clear" w:color="auto" w:fill="auto"/>
            <w:noWrap w:val="0"/>
            <w:vAlign w:val="center"/>
          </w:tcPr>
          <w:p w14:paraId="332E40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i w:val="0"/>
                <w:iCs w:val="0"/>
                <w:color w:val="000000"/>
                <w:szCs w:val="21"/>
                <w:highlight w:val="none"/>
                <w:lang w:val="en-US" w:eastAsia="zh-CN"/>
              </w:rPr>
            </w:pPr>
          </w:p>
        </w:tc>
        <w:tc>
          <w:tcPr>
            <w:tcW w:w="735" w:type="dxa"/>
            <w:shd w:val="clear" w:color="auto" w:fill="FFFFFF"/>
            <w:noWrap w:val="0"/>
            <w:vAlign w:val="center"/>
          </w:tcPr>
          <w:p w14:paraId="269BC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宋体" w:hAnsi="宋体" w:eastAsia="宋体" w:cs="宋体"/>
                <w:i w:val="0"/>
                <w:iCs w:val="0"/>
                <w:color w:val="000000"/>
                <w:szCs w:val="21"/>
                <w:highlight w:val="none"/>
                <w:lang w:val="en-US" w:eastAsia="zh-CN"/>
              </w:rPr>
            </w:pPr>
            <w:r>
              <w:rPr>
                <w:rFonts w:hint="eastAsia" w:ascii="宋体" w:hAnsi="宋体" w:cs="宋体"/>
                <w:i w:val="0"/>
                <w:iCs w:val="0"/>
                <w:color w:val="000000"/>
                <w:szCs w:val="21"/>
                <w:highlight w:val="none"/>
                <w:lang w:val="en-US" w:eastAsia="zh-CN"/>
              </w:rPr>
              <w:t>根</w:t>
            </w:r>
          </w:p>
        </w:tc>
        <w:tc>
          <w:tcPr>
            <w:tcW w:w="795" w:type="dxa"/>
            <w:shd w:val="clear" w:color="auto" w:fill="FFFFFF"/>
            <w:noWrap w:val="0"/>
            <w:vAlign w:val="center"/>
          </w:tcPr>
          <w:p w14:paraId="1C6A6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宋体" w:hAnsi="宋体" w:eastAsia="宋体" w:cs="宋体"/>
                <w:i w:val="0"/>
                <w:iCs w:val="0"/>
                <w:color w:val="000000"/>
                <w:szCs w:val="21"/>
                <w:highlight w:val="none"/>
                <w:lang w:val="en-US" w:eastAsia="zh-CN"/>
              </w:rPr>
            </w:pPr>
            <w:r>
              <w:rPr>
                <w:rFonts w:hint="eastAsia" w:ascii="宋体" w:hAnsi="宋体" w:cs="宋体"/>
                <w:i w:val="0"/>
                <w:iCs w:val="0"/>
                <w:color w:val="000000"/>
                <w:szCs w:val="21"/>
                <w:highlight w:val="none"/>
                <w:lang w:val="en-US" w:eastAsia="zh-CN"/>
              </w:rPr>
              <w:t>168</w:t>
            </w:r>
          </w:p>
        </w:tc>
        <w:tc>
          <w:tcPr>
            <w:tcW w:w="1125" w:type="dxa"/>
            <w:tcBorders>
              <w:left w:val="single" w:color="auto" w:sz="4" w:space="0"/>
            </w:tcBorders>
            <w:noWrap w:val="0"/>
            <w:vAlign w:val="center"/>
          </w:tcPr>
          <w:p w14:paraId="1B999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050" w:type="dxa"/>
            <w:noWrap w:val="0"/>
            <w:vAlign w:val="center"/>
          </w:tcPr>
          <w:p w14:paraId="47153D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2640" w:type="dxa"/>
            <w:noWrap w:val="0"/>
            <w:vAlign w:val="center"/>
          </w:tcPr>
          <w:p w14:paraId="1AA7D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i w:val="0"/>
                <w:iCs w:val="0"/>
                <w:color w:val="000000"/>
                <w:sz w:val="18"/>
                <w:szCs w:val="18"/>
                <w:highlight w:val="none"/>
                <w:lang w:val="en-US" w:eastAsia="zh-CN"/>
              </w:rPr>
            </w:pPr>
            <w:r>
              <w:rPr>
                <w:rFonts w:hint="eastAsia" w:ascii="宋体" w:hAnsi="宋体" w:eastAsia="宋体" w:cs="宋体"/>
                <w:i w:val="0"/>
                <w:iCs w:val="0"/>
                <w:color w:val="000000"/>
                <w:sz w:val="18"/>
                <w:szCs w:val="18"/>
                <w:highlight w:val="none"/>
                <w:lang w:val="en-US" w:eastAsia="zh-CN"/>
              </w:rPr>
              <w:t>1.土方开挖、回填、弃置运距等自行考虑                                                                           2.花岗岩挡车石柱:直径200mm 高度800mm,埋深400mm,外露400mm，外侧边间距400mm,石材单轴抗压强度不小于40MP</w:t>
            </w:r>
          </w:p>
          <w:p w14:paraId="652281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 w:val="18"/>
                <w:szCs w:val="18"/>
                <w:highlight w:val="none"/>
                <w:lang w:val="en-US" w:eastAsia="zh-CN"/>
              </w:rPr>
              <w:t>3.C25砼基础：宽400mm×深400mm,通长设置，不考虑模板费用</w:t>
            </w:r>
          </w:p>
        </w:tc>
      </w:tr>
      <w:tr w14:paraId="27840F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14:paraId="2F1B7B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4</w:t>
            </w:r>
          </w:p>
        </w:tc>
        <w:tc>
          <w:tcPr>
            <w:tcW w:w="1163" w:type="dxa"/>
            <w:tcBorders>
              <w:right w:val="single" w:color="auto" w:sz="4" w:space="0"/>
            </w:tcBorders>
            <w:shd w:val="clear" w:color="auto" w:fill="FFFFFF"/>
            <w:noWrap w:val="0"/>
            <w:vAlign w:val="center"/>
          </w:tcPr>
          <w:p w14:paraId="4A330F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刺丝滚笼</w:t>
            </w:r>
          </w:p>
        </w:tc>
        <w:tc>
          <w:tcPr>
            <w:tcW w:w="1200" w:type="dxa"/>
            <w:tcBorders>
              <w:left w:val="single" w:color="auto" w:sz="4" w:space="0"/>
            </w:tcBorders>
            <w:shd w:val="clear" w:color="auto" w:fill="auto"/>
            <w:noWrap w:val="0"/>
            <w:vAlign w:val="center"/>
          </w:tcPr>
          <w:p w14:paraId="76FE6C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i w:val="0"/>
                <w:iCs w:val="0"/>
                <w:color w:val="000000"/>
                <w:szCs w:val="21"/>
                <w:highlight w:val="none"/>
                <w:lang w:val="en-US" w:eastAsia="zh-CN"/>
              </w:rPr>
            </w:pPr>
          </w:p>
        </w:tc>
        <w:tc>
          <w:tcPr>
            <w:tcW w:w="735" w:type="dxa"/>
            <w:shd w:val="clear" w:color="auto" w:fill="FFFFFF"/>
            <w:noWrap w:val="0"/>
            <w:vAlign w:val="center"/>
          </w:tcPr>
          <w:p w14:paraId="348918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cs="宋体"/>
                <w:i w:val="0"/>
                <w:iCs w:val="0"/>
                <w:color w:val="000000"/>
                <w:szCs w:val="21"/>
                <w:highlight w:val="none"/>
                <w:lang w:val="en-US" w:eastAsia="zh-CN"/>
              </w:rPr>
              <w:t>米</w:t>
            </w:r>
          </w:p>
        </w:tc>
        <w:tc>
          <w:tcPr>
            <w:tcW w:w="795" w:type="dxa"/>
            <w:shd w:val="clear" w:color="auto" w:fill="FFFFFF"/>
            <w:noWrap w:val="0"/>
            <w:vAlign w:val="center"/>
          </w:tcPr>
          <w:p w14:paraId="2010A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宋体" w:hAnsi="宋体" w:eastAsia="宋体" w:cs="宋体"/>
                <w:i w:val="0"/>
                <w:iCs w:val="0"/>
                <w:color w:val="000000"/>
                <w:szCs w:val="21"/>
                <w:highlight w:val="none"/>
                <w:lang w:val="en-US" w:eastAsia="zh-CN"/>
              </w:rPr>
            </w:pPr>
            <w:r>
              <w:rPr>
                <w:rFonts w:hint="eastAsia" w:ascii="宋体" w:hAnsi="宋体" w:cs="宋体"/>
                <w:i w:val="0"/>
                <w:iCs w:val="0"/>
                <w:color w:val="000000"/>
                <w:szCs w:val="21"/>
                <w:highlight w:val="none"/>
                <w:lang w:val="en-US" w:eastAsia="zh-CN"/>
              </w:rPr>
              <w:t>100</w:t>
            </w:r>
          </w:p>
        </w:tc>
        <w:tc>
          <w:tcPr>
            <w:tcW w:w="1125" w:type="dxa"/>
            <w:tcBorders>
              <w:left w:val="single" w:color="auto" w:sz="4" w:space="0"/>
            </w:tcBorders>
            <w:noWrap w:val="0"/>
            <w:vAlign w:val="center"/>
          </w:tcPr>
          <w:p w14:paraId="3D047D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050" w:type="dxa"/>
            <w:noWrap w:val="0"/>
            <w:vAlign w:val="center"/>
          </w:tcPr>
          <w:p w14:paraId="5C374C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2640" w:type="dxa"/>
            <w:noWrap w:val="0"/>
            <w:vAlign w:val="center"/>
          </w:tcPr>
          <w:p w14:paraId="2DA30B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 w:val="18"/>
                <w:szCs w:val="18"/>
                <w:highlight w:val="none"/>
                <w:lang w:val="en-US" w:eastAsia="zh-CN"/>
              </w:rPr>
              <w:t xml:space="preserve">1.按常规做法，滚笼高500mm,安装纵向拉筋，纵向拉筋由两根φ2.5mm镀锌冷拔钢丝互绕制作，间隔12cm用φ2.2mm冷拔钢丝拧成刺状                                                                                                           2.支架长度不得小于50cm                                                                                            </w:t>
            </w:r>
          </w:p>
        </w:tc>
      </w:tr>
      <w:tr w14:paraId="64B507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9351" w:type="dxa"/>
            <w:gridSpan w:val="8"/>
            <w:noWrap w:val="0"/>
            <w:vAlign w:val="top"/>
          </w:tcPr>
          <w:p w14:paraId="2EB59C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3+4</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14:paraId="52887EF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000000"/>
          <w:szCs w:val="21"/>
          <w:highlight w:val="none"/>
          <w:lang w:val="zh-CN" w:eastAsia="zh-CN"/>
        </w:rPr>
      </w:pPr>
      <w:r>
        <w:rPr>
          <w:rFonts w:hint="eastAsia" w:ascii="宋体" w:hAnsi="宋体" w:cs="宋体"/>
          <w:color w:val="000000"/>
          <w:szCs w:val="21"/>
          <w:highlight w:val="none"/>
          <w:lang w:val="zh-CN" w:eastAsia="zh-CN"/>
        </w:rPr>
        <w:t>注：1.所有投标只能选择一种方案，单价和合价的报价只能是唯一，且须列出详细的分项报价。（与采购清单项相一致，不得缺项，否则视同包含在其他项目。）</w:t>
      </w:r>
    </w:p>
    <w:p w14:paraId="35F9505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zh-CN" w:eastAsia="zh-CN"/>
        </w:rPr>
        <w:t>2.投标报价采用综合单价法，</w:t>
      </w:r>
      <w:r>
        <w:rPr>
          <w:rFonts w:hint="eastAsia" w:ascii="宋体" w:hAnsi="宋体" w:eastAsia="宋体" w:cs="宋体"/>
          <w:color w:val="000000"/>
          <w:szCs w:val="21"/>
          <w:highlight w:val="none"/>
          <w:lang w:val="en-US" w:eastAsia="zh-CN"/>
        </w:rPr>
        <w:t>综合</w:t>
      </w:r>
      <w:r>
        <w:rPr>
          <w:rFonts w:hint="eastAsia" w:ascii="宋体" w:hAnsi="宋体" w:eastAsia="宋体" w:cs="宋体"/>
          <w:color w:val="000000"/>
          <w:szCs w:val="21"/>
          <w:highlight w:val="none"/>
          <w:lang w:val="zh-CN" w:eastAsia="zh-CN"/>
        </w:rPr>
        <w:t>单价包括</w:t>
      </w:r>
      <w:r>
        <w:rPr>
          <w:rFonts w:hint="eastAsia" w:ascii="宋体" w:hAnsi="宋体" w:eastAsia="宋体" w:cs="宋体"/>
          <w:color w:val="000000"/>
          <w:szCs w:val="21"/>
          <w:highlight w:val="none"/>
          <w:lang w:val="en-US" w:eastAsia="zh-CN"/>
        </w:rPr>
        <w:t>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288AC8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eastAsiaTheme="minorEastAsia"/>
          <w:color w:val="000000"/>
          <w:sz w:val="24"/>
          <w:highlight w:val="none"/>
          <w:lang w:val="en-US" w:eastAsia="zh-CN"/>
        </w:rPr>
      </w:pPr>
      <w:r>
        <w:rPr>
          <w:rFonts w:hint="eastAsia" w:ascii="宋体" w:hAnsi="宋体" w:cs="宋体"/>
          <w:color w:val="000000"/>
          <w:szCs w:val="21"/>
          <w:highlight w:val="none"/>
          <w:lang w:val="en-US" w:eastAsia="zh-CN"/>
        </w:rPr>
        <w:t>3.最终结算工程量按实测实量进行结算。</w:t>
      </w:r>
    </w:p>
    <w:p w14:paraId="030B88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p>
    <w:p w14:paraId="1D818F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368331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14:paraId="49BBEDEF">
      <w:pPr>
        <w:keepNext w:val="0"/>
        <w:keepLines w:val="0"/>
        <w:pageBreakBefore w:val="0"/>
        <w:widowControl w:val="0"/>
        <w:kinsoku/>
        <w:wordWrap/>
        <w:overflowPunct/>
        <w:topLinePunct w:val="0"/>
        <w:autoSpaceDE/>
        <w:autoSpaceDN/>
        <w:bidi w:val="0"/>
        <w:adjustRightInd/>
        <w:snapToGrid/>
        <w:spacing w:line="360" w:lineRule="auto"/>
        <w:ind w:left="720"/>
        <w:jc w:val="center"/>
        <w:textAlignment w:val="auto"/>
        <w:rPr>
          <w:rFonts w:hint="eastAsia" w:ascii="宋体"/>
          <w:color w:val="000000"/>
          <w:sz w:val="24"/>
          <w:highlight w:val="none"/>
        </w:rPr>
      </w:pPr>
      <w:r>
        <w:rPr>
          <w:rFonts w:hint="eastAsia" w:ascii="宋体"/>
          <w:color w:val="000000"/>
          <w:sz w:val="24"/>
          <w:highlight w:val="none"/>
          <w:lang w:val="en-US" w:eastAsia="zh-CN"/>
        </w:rPr>
        <w:t xml:space="preserve">                                  </w:t>
      </w:r>
      <w:r>
        <w:rPr>
          <w:rFonts w:hint="eastAsia" w:ascii="宋体"/>
          <w:color w:val="000000"/>
          <w:sz w:val="24"/>
          <w:highlight w:val="none"/>
        </w:rPr>
        <w:t>日期：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3EF298C0">
      <w:pPr>
        <w:rPr>
          <w:rFonts w:hint="eastAsia"/>
          <w:bCs/>
          <w:szCs w:val="32"/>
          <w:highlight w:val="none"/>
        </w:rPr>
      </w:pPr>
      <w:r>
        <w:rPr>
          <w:rFonts w:hint="eastAsia"/>
          <w:bCs/>
          <w:szCs w:val="32"/>
          <w:highlight w:val="none"/>
        </w:rPr>
        <w:br w:type="page"/>
      </w:r>
    </w:p>
    <w:p w14:paraId="172B3F58">
      <w:pPr>
        <w:pStyle w:val="46"/>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302"/>
    </w:p>
    <w:p w14:paraId="7D391125">
      <w:pPr>
        <w:pStyle w:val="18"/>
        <w:rPr>
          <w:highlight w:val="none"/>
        </w:rPr>
      </w:pPr>
    </w:p>
    <w:tbl>
      <w:tblPr>
        <w:tblStyle w:val="48"/>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滁州至南京城际铁路（滁州段）工程环境综合整治防护设施采购及安装项目</w:t>
            </w:r>
            <w:r>
              <w:rPr>
                <w:rFonts w:hint="eastAsia"/>
                <w:sz w:val="28"/>
                <w:szCs w:val="28"/>
                <w:highlight w:val="none"/>
                <w:u w:val="single"/>
              </w:rPr>
              <w:t xml:space="preserve"> </w:t>
            </w:r>
            <w:r>
              <w:rPr>
                <w:rFonts w:hint="eastAsia"/>
                <w:sz w:val="28"/>
                <w:szCs w:val="28"/>
                <w:highlight w:val="none"/>
              </w:rPr>
              <w:t>的招标文件进行确认。</w:t>
            </w:r>
          </w:p>
          <w:p w14:paraId="71A0CDF3">
            <w:pPr>
              <w:widowControl/>
              <w:spacing w:line="360" w:lineRule="auto"/>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lang w:val="en-US" w:eastAsia="zh-CN"/>
              </w:rPr>
              <w:t>招标人</w:t>
            </w:r>
            <w:r>
              <w:rPr>
                <w:rFonts w:hint="eastAsia" w:ascii="宋体" w:hAnsi="宋体"/>
                <w:color w:val="auto"/>
                <w:sz w:val="28"/>
                <w:szCs w:val="28"/>
                <w:highlight w:val="none"/>
              </w:rPr>
              <w:t>：</w:t>
            </w:r>
            <w:r>
              <w:rPr>
                <w:rFonts w:hint="eastAsia" w:ascii="宋体" w:hAnsi="宋体"/>
                <w:color w:val="auto"/>
                <w:sz w:val="28"/>
                <w:szCs w:val="28"/>
                <w:highlight w:val="none"/>
                <w:lang w:eastAsia="zh-CN"/>
              </w:rPr>
              <w:t>滁州市滁宁城际铁路开发建设有限公司</w:t>
            </w:r>
            <w:r>
              <w:rPr>
                <w:rFonts w:hint="eastAsia" w:ascii="宋体" w:hAnsi="宋体"/>
                <w:color w:val="auto"/>
                <w:sz w:val="28"/>
                <w:szCs w:val="28"/>
                <w:highlight w:val="none"/>
              </w:rPr>
              <w:t xml:space="preserve">  </w:t>
            </w:r>
          </w:p>
          <w:p w14:paraId="7E988D38">
            <w:pPr>
              <w:adjustRightInd w:val="0"/>
              <w:snapToGrid w:val="0"/>
              <w:spacing w:line="560" w:lineRule="exact"/>
              <w:ind w:firstLine="560" w:firstLineChars="200"/>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联 系 人：</w:t>
            </w:r>
            <w:r>
              <w:rPr>
                <w:rFonts w:hint="eastAsia" w:ascii="宋体" w:hAnsi="宋体" w:cs="Times New Roman"/>
                <w:color w:val="auto"/>
                <w:sz w:val="28"/>
                <w:szCs w:val="28"/>
                <w:highlight w:val="none"/>
                <w:lang w:val="en-US" w:eastAsia="zh-CN"/>
              </w:rPr>
              <w:t>陈俊</w:t>
            </w:r>
            <w:r>
              <w:rPr>
                <w:rFonts w:hint="eastAsia" w:ascii="宋体" w:hAnsi="宋体" w:eastAsia="宋体" w:cs="Times New Roman"/>
                <w:color w:val="auto"/>
                <w:sz w:val="28"/>
                <w:szCs w:val="28"/>
                <w:highlight w:val="none"/>
              </w:rPr>
              <w:t xml:space="preserve"> </w:t>
            </w:r>
            <w:r>
              <w:rPr>
                <w:rFonts w:hint="eastAsia" w:ascii="宋体" w:hAnsi="宋体" w:eastAsia="宋体" w:cs="Times New Roman"/>
                <w:color w:val="auto"/>
                <w:sz w:val="28"/>
                <w:szCs w:val="28"/>
                <w:highlight w:val="none"/>
                <w:lang w:val="en-US" w:eastAsia="zh-CN"/>
              </w:rPr>
              <w:t xml:space="preserve"> </w:t>
            </w:r>
          </w:p>
          <w:p w14:paraId="674C5CF9">
            <w:pPr>
              <w:adjustRightInd w:val="0"/>
              <w:snapToGrid w:val="0"/>
              <w:spacing w:line="560" w:lineRule="exact"/>
              <w:ind w:firstLine="560" w:firstLineChars="200"/>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rPr>
              <w:t>联系电话：</w:t>
            </w:r>
            <w:r>
              <w:rPr>
                <w:rFonts w:hint="eastAsia" w:ascii="宋体" w:hAnsi="宋体" w:cs="Times New Roman"/>
                <w:color w:val="auto"/>
                <w:sz w:val="28"/>
                <w:szCs w:val="28"/>
                <w:highlight w:val="none"/>
                <w:lang w:val="en-US" w:eastAsia="zh-CN"/>
              </w:rPr>
              <w:t>18949108929</w:t>
            </w:r>
          </w:p>
          <w:p w14:paraId="01C406FE">
            <w:pPr>
              <w:wordWrap w:val="0"/>
              <w:spacing w:line="560" w:lineRule="exact"/>
              <w:ind w:firstLine="560" w:firstLineChars="200"/>
              <w:rPr>
                <w:rFonts w:ascii="宋体" w:hAnsi="宋体"/>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5</w:t>
            </w:r>
            <w:r>
              <w:rPr>
                <w:rFonts w:hint="eastAsia" w:ascii="宋体" w:hAnsi="宋体"/>
                <w:sz w:val="28"/>
                <w:szCs w:val="28"/>
                <w:highlight w:val="none"/>
              </w:rPr>
              <w:t>年</w:t>
            </w:r>
            <w:r>
              <w:rPr>
                <w:rFonts w:hint="eastAsia" w:ascii="宋体" w:hAnsi="宋体"/>
                <w:sz w:val="28"/>
                <w:szCs w:val="28"/>
                <w:highlight w:val="none"/>
                <w:lang w:val="en-US" w:eastAsia="zh-CN"/>
              </w:rPr>
              <w:t>5</w:t>
            </w:r>
            <w:r>
              <w:rPr>
                <w:rFonts w:hint="eastAsia" w:ascii="宋体" w:hAnsi="宋体"/>
                <w:sz w:val="28"/>
                <w:szCs w:val="28"/>
                <w:highlight w:val="none"/>
              </w:rPr>
              <w:t>月</w:t>
            </w:r>
          </w:p>
          <w:p w14:paraId="72A7FF77">
            <w:pPr>
              <w:pStyle w:val="14"/>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6"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5</w:t>
            </w:r>
            <w:r>
              <w:rPr>
                <w:rFonts w:hint="eastAsia" w:ascii="宋体" w:hAnsi="宋体"/>
                <w:sz w:val="28"/>
                <w:szCs w:val="28"/>
                <w:highlight w:val="none"/>
              </w:rPr>
              <w:t>年</w:t>
            </w:r>
            <w:r>
              <w:rPr>
                <w:rFonts w:hint="eastAsia" w:ascii="宋体" w:hAnsi="宋体"/>
                <w:sz w:val="28"/>
                <w:szCs w:val="28"/>
                <w:highlight w:val="none"/>
                <w:lang w:val="en-US" w:eastAsia="zh-CN"/>
              </w:rPr>
              <w:t>5</w:t>
            </w:r>
            <w:r>
              <w:rPr>
                <w:rFonts w:hint="eastAsia" w:ascii="宋体" w:hAnsi="宋体"/>
                <w:sz w:val="28"/>
                <w:szCs w:val="28"/>
                <w:highlight w:val="none"/>
              </w:rPr>
              <w:t>月</w:t>
            </w:r>
          </w:p>
          <w:p w14:paraId="4EDF8AEB">
            <w:pPr>
              <w:pStyle w:val="14"/>
              <w:ind w:firstLine="420"/>
              <w:rPr>
                <w:highlight w:val="none"/>
              </w:rPr>
            </w:pPr>
          </w:p>
        </w:tc>
      </w:tr>
    </w:tbl>
    <w:p w14:paraId="2D7DD9E9"/>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1"/>
      <w:rPr>
        <w:rStyle w:val="52"/>
      </w:rPr>
    </w:pPr>
  </w:p>
  <w:p w14:paraId="53435915">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1"/>
      <w:rPr>
        <w:rStyle w:val="52"/>
      </w:rPr>
    </w:pPr>
  </w:p>
  <w:p w14:paraId="78B0040E">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1"/>
      <w:rPr>
        <w:rStyle w:val="5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1"/>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9B865"/>
    <w:multiLevelType w:val="singleLevel"/>
    <w:tmpl w:val="F2A9B865"/>
    <w:lvl w:ilvl="0" w:tentative="0">
      <w:start w:val="4"/>
      <w:numFmt w:val="decimal"/>
      <w:suff w:val="nothing"/>
      <w:lvlText w:val="%1、"/>
      <w:lvlJc w:val="left"/>
    </w:lvl>
  </w:abstractNum>
  <w:abstractNum w:abstractNumId="1">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00000007"/>
    <w:multiLevelType w:val="singleLevel"/>
    <w:tmpl w:val="00000007"/>
    <w:lvl w:ilvl="0" w:tentative="0">
      <w:start w:val="1"/>
      <w:numFmt w:val="decimal"/>
      <w:suff w:val="nothing"/>
      <w:lvlText w:val="（%1）"/>
      <w:lvlJc w:val="left"/>
    </w:lvl>
  </w:abstractNum>
  <w:abstractNum w:abstractNumId="3">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4">
    <w:nsid w:val="3E502773"/>
    <w:multiLevelType w:val="singleLevel"/>
    <w:tmpl w:val="3E502773"/>
    <w:lvl w:ilvl="0" w:tentative="0">
      <w:start w:val="1"/>
      <w:numFmt w:val="decimal"/>
      <w:suff w:val="nothing"/>
      <w:lvlText w:val="（%1）"/>
      <w:lvlJc w:val="left"/>
    </w:lvl>
  </w:abstractNum>
  <w:abstractNum w:abstractNumId="5">
    <w:nsid w:val="41BBF03D"/>
    <w:multiLevelType w:val="singleLevel"/>
    <w:tmpl w:val="41BBF03D"/>
    <w:lvl w:ilvl="0" w:tentative="0">
      <w:start w:val="1"/>
      <w:numFmt w:val="decimal"/>
      <w:suff w:val="nothing"/>
      <w:lvlText w:val="（%1）"/>
      <w:lvlJc w:val="left"/>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F402DA"/>
    <w:rsid w:val="28FC78BE"/>
    <w:rsid w:val="29000A40"/>
    <w:rsid w:val="290F29AF"/>
    <w:rsid w:val="292D0766"/>
    <w:rsid w:val="293634F4"/>
    <w:rsid w:val="2942437E"/>
    <w:rsid w:val="29600B3C"/>
    <w:rsid w:val="29606D8E"/>
    <w:rsid w:val="29671ECA"/>
    <w:rsid w:val="29770361"/>
    <w:rsid w:val="2985201E"/>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756FC"/>
    <w:rsid w:val="2D5D5591"/>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D0BAE"/>
    <w:rsid w:val="3EC3774B"/>
    <w:rsid w:val="3ECC3927"/>
    <w:rsid w:val="3ECD2095"/>
    <w:rsid w:val="3EEF22EE"/>
    <w:rsid w:val="3EF02AD3"/>
    <w:rsid w:val="3F024C1A"/>
    <w:rsid w:val="3F0D0FA0"/>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1"/>
    <w:qFormat/>
    <w:uiPriority w:val="0"/>
    <w:pPr>
      <w:keepNext/>
      <w:keepLines/>
      <w:spacing w:line="440" w:lineRule="exact"/>
      <w:jc w:val="center"/>
      <w:outlineLvl w:val="0"/>
    </w:pPr>
    <w:rPr>
      <w:b/>
      <w:bCs/>
      <w:kern w:val="44"/>
      <w:sz w:val="44"/>
      <w:szCs w:val="44"/>
    </w:rPr>
  </w:style>
  <w:style w:type="paragraph" w:styleId="3">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4">
    <w:name w:val="heading 3"/>
    <w:basedOn w:val="1"/>
    <w:next w:val="1"/>
    <w:link w:val="154"/>
    <w:qFormat/>
    <w:uiPriority w:val="0"/>
    <w:pPr>
      <w:keepNext/>
      <w:keepLines/>
      <w:spacing w:line="415" w:lineRule="auto"/>
      <w:outlineLvl w:val="2"/>
    </w:pPr>
    <w:rPr>
      <w:b/>
      <w:bCs/>
      <w:kern w:val="0"/>
      <w:sz w:val="32"/>
      <w:szCs w:val="32"/>
    </w:rPr>
  </w:style>
  <w:style w:type="paragraph" w:styleId="5">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30"/>
    <w:qFormat/>
    <w:uiPriority w:val="0"/>
    <w:pPr>
      <w:keepNext/>
      <w:keepLines/>
      <w:spacing w:line="376" w:lineRule="auto"/>
      <w:outlineLvl w:val="4"/>
    </w:pPr>
    <w:rPr>
      <w:b/>
      <w:bCs/>
      <w:sz w:val="28"/>
      <w:szCs w:val="28"/>
    </w:rPr>
  </w:style>
  <w:style w:type="paragraph" w:styleId="7">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table of authorities"/>
    <w:basedOn w:val="1"/>
    <w:next w:val="1"/>
    <w:unhideWhenUsed/>
    <w:qFormat/>
    <w:uiPriority w:val="0"/>
    <w:pPr>
      <w:ind w:left="420" w:leftChars="200"/>
    </w:pPr>
  </w:style>
  <w:style w:type="paragraph" w:styleId="13">
    <w:name w:val="Normal Indent"/>
    <w:basedOn w:val="1"/>
    <w:next w:val="14"/>
    <w:qFormat/>
    <w:uiPriority w:val="0"/>
    <w:pPr>
      <w:ind w:firstLine="420" w:firstLineChars="200"/>
    </w:pPr>
  </w:style>
  <w:style w:type="paragraph" w:styleId="14">
    <w:name w:val="Body Text First Indent 2"/>
    <w:basedOn w:val="15"/>
    <w:next w:val="17"/>
    <w:qFormat/>
    <w:uiPriority w:val="0"/>
    <w:pPr>
      <w:spacing w:line="360" w:lineRule="auto"/>
      <w:ind w:firstLine="200" w:firstLineChars="200"/>
    </w:pPr>
    <w:rPr>
      <w:rFonts w:ascii="宋体"/>
      <w:szCs w:val="20"/>
    </w:rPr>
  </w:style>
  <w:style w:type="paragraph" w:styleId="15">
    <w:name w:val="Body Text Indent"/>
    <w:basedOn w:val="1"/>
    <w:next w:val="16"/>
    <w:qFormat/>
    <w:uiPriority w:val="0"/>
    <w:pPr>
      <w:ind w:left="420" w:leftChars="200"/>
    </w:pPr>
  </w:style>
  <w:style w:type="paragraph" w:customStyle="1" w:styleId="16">
    <w:name w:val="正文文字 8"/>
    <w:basedOn w:val="1"/>
    <w:next w:val="1"/>
    <w:qFormat/>
    <w:uiPriority w:val="0"/>
    <w:pPr>
      <w:ind w:left="240"/>
    </w:pPr>
    <w:rPr>
      <w:sz w:val="16"/>
    </w:rPr>
  </w:style>
  <w:style w:type="paragraph" w:styleId="17">
    <w:name w:val="Body Text First Indent"/>
    <w:basedOn w:val="18"/>
    <w:qFormat/>
    <w:uiPriority w:val="0"/>
    <w:pPr>
      <w:ind w:firstLine="420" w:firstLineChars="100"/>
    </w:pPr>
  </w:style>
  <w:style w:type="paragraph" w:styleId="18">
    <w:name w:val="Body Text"/>
    <w:basedOn w:val="1"/>
    <w:next w:val="19"/>
    <w:link w:val="143"/>
    <w:qFormat/>
    <w:uiPriority w:val="0"/>
  </w:style>
  <w:style w:type="paragraph" w:customStyle="1" w:styleId="19">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0">
    <w:name w:val="Document Map"/>
    <w:basedOn w:val="1"/>
    <w:qFormat/>
    <w:uiPriority w:val="0"/>
    <w:pPr>
      <w:shd w:val="clear" w:color="auto" w:fill="000080"/>
    </w:pPr>
  </w:style>
  <w:style w:type="paragraph" w:styleId="21">
    <w:name w:val="annotation text"/>
    <w:basedOn w:val="1"/>
    <w:link w:val="113"/>
    <w:qFormat/>
    <w:uiPriority w:val="0"/>
    <w:pPr>
      <w:jc w:val="left"/>
    </w:pPr>
  </w:style>
  <w:style w:type="paragraph" w:styleId="22">
    <w:name w:val="Body Text 3"/>
    <w:basedOn w:val="1"/>
    <w:qFormat/>
    <w:uiPriority w:val="0"/>
    <w:rPr>
      <w:rFonts w:ascii="宋体"/>
      <w:sz w:val="24"/>
      <w:szCs w:val="20"/>
    </w:rPr>
  </w:style>
  <w:style w:type="paragraph" w:styleId="23">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4">
    <w:name w:val="toc 5"/>
    <w:basedOn w:val="1"/>
    <w:next w:val="1"/>
    <w:qFormat/>
    <w:uiPriority w:val="39"/>
    <w:pPr>
      <w:ind w:left="840"/>
      <w:jc w:val="left"/>
    </w:pPr>
    <w:rPr>
      <w:sz w:val="18"/>
      <w:szCs w:val="18"/>
    </w:rPr>
  </w:style>
  <w:style w:type="paragraph" w:styleId="25">
    <w:name w:val="toc 3"/>
    <w:basedOn w:val="1"/>
    <w:next w:val="1"/>
    <w:qFormat/>
    <w:uiPriority w:val="39"/>
    <w:pPr>
      <w:ind w:left="420"/>
      <w:jc w:val="left"/>
    </w:pPr>
    <w:rPr>
      <w:i/>
      <w:iCs/>
      <w:sz w:val="20"/>
      <w:szCs w:val="20"/>
    </w:rPr>
  </w:style>
  <w:style w:type="paragraph" w:styleId="26">
    <w:name w:val="Plain Text"/>
    <w:basedOn w:val="1"/>
    <w:next w:val="1"/>
    <w:link w:val="137"/>
    <w:qFormat/>
    <w:uiPriority w:val="0"/>
    <w:rPr>
      <w:rFonts w:ascii="Courier New" w:hAnsi="Courier New"/>
      <w:szCs w:val="20"/>
    </w:rPr>
  </w:style>
  <w:style w:type="paragraph" w:styleId="27">
    <w:name w:val="toc 8"/>
    <w:basedOn w:val="1"/>
    <w:next w:val="1"/>
    <w:qFormat/>
    <w:uiPriority w:val="39"/>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line="360" w:lineRule="exact"/>
      <w:ind w:firstLine="600" w:firstLineChars="250"/>
      <w:jc w:val="left"/>
    </w:pPr>
    <w:rPr>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envelope return"/>
    <w:basedOn w:val="1"/>
    <w:next w:val="11"/>
    <w:qFormat/>
    <w:uiPriority w:val="0"/>
    <w:pPr>
      <w:snapToGrid w:val="0"/>
    </w:pPr>
    <w:rPr>
      <w:rFonts w:ascii="Arial" w:hAnsi="Arial"/>
    </w:rPr>
  </w:style>
  <w:style w:type="paragraph" w:styleId="3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jc w:val="left"/>
    </w:pPr>
    <w:rPr>
      <w:b/>
      <w:bCs/>
      <w:caps/>
      <w:sz w:val="20"/>
      <w:szCs w:val="20"/>
    </w:rPr>
  </w:style>
  <w:style w:type="paragraph" w:styleId="35">
    <w:name w:val="toc 4"/>
    <w:basedOn w:val="1"/>
    <w:next w:val="1"/>
    <w:qFormat/>
    <w:uiPriority w:val="39"/>
    <w:pPr>
      <w:ind w:left="630"/>
      <w:jc w:val="left"/>
    </w:pPr>
    <w:rPr>
      <w:sz w:val="18"/>
      <w:szCs w:val="18"/>
    </w:rPr>
  </w:style>
  <w:style w:type="paragraph" w:styleId="36">
    <w:name w:val="List"/>
    <w:basedOn w:val="1"/>
    <w:qFormat/>
    <w:uiPriority w:val="0"/>
    <w:pPr>
      <w:ind w:left="420" w:hanging="420"/>
    </w:pPr>
  </w:style>
  <w:style w:type="paragraph" w:styleId="37">
    <w:name w:val="footnote text"/>
    <w:basedOn w:val="1"/>
    <w:qFormat/>
    <w:uiPriority w:val="0"/>
    <w:rPr>
      <w:sz w:val="20"/>
      <w:szCs w:val="20"/>
    </w:rPr>
  </w:style>
  <w:style w:type="paragraph" w:styleId="38">
    <w:name w:val="toc 6"/>
    <w:basedOn w:val="1"/>
    <w:next w:val="1"/>
    <w:qFormat/>
    <w:uiPriority w:val="39"/>
    <w:pPr>
      <w:ind w:left="1050"/>
      <w:jc w:val="left"/>
    </w:pPr>
    <w:rPr>
      <w:sz w:val="18"/>
      <w:szCs w:val="18"/>
    </w:rPr>
  </w:style>
  <w:style w:type="paragraph" w:styleId="39">
    <w:name w:val="Body Text Indent 3"/>
    <w:basedOn w:val="1"/>
    <w:qFormat/>
    <w:uiPriority w:val="0"/>
    <w:pPr>
      <w:ind w:left="420" w:leftChars="200"/>
    </w:pPr>
    <w:rPr>
      <w:sz w:val="16"/>
      <w:szCs w:val="16"/>
    </w:rPr>
  </w:style>
  <w:style w:type="paragraph" w:styleId="40">
    <w:name w:val="table of figures"/>
    <w:basedOn w:val="1"/>
    <w:next w:val="1"/>
    <w:qFormat/>
    <w:uiPriority w:val="0"/>
    <w:pPr>
      <w:ind w:left="200" w:leftChars="200" w:hanging="200" w:hangingChars="200"/>
    </w:pPr>
  </w:style>
  <w:style w:type="paragraph" w:styleId="41">
    <w:name w:val="toc 2"/>
    <w:basedOn w:val="1"/>
    <w:next w:val="1"/>
    <w:qFormat/>
    <w:uiPriority w:val="39"/>
    <w:pPr>
      <w:ind w:left="210"/>
      <w:jc w:val="left"/>
    </w:pPr>
    <w:rPr>
      <w:smallCaps/>
      <w:sz w:val="20"/>
      <w:szCs w:val="20"/>
    </w:rPr>
  </w:style>
  <w:style w:type="paragraph" w:styleId="42">
    <w:name w:val="toc 9"/>
    <w:basedOn w:val="1"/>
    <w:next w:val="1"/>
    <w:qFormat/>
    <w:uiPriority w:val="39"/>
    <w:pPr>
      <w:ind w:left="1680"/>
      <w:jc w:val="left"/>
    </w:pPr>
    <w:rPr>
      <w:sz w:val="18"/>
      <w:szCs w:val="18"/>
    </w:rPr>
  </w:style>
  <w:style w:type="paragraph" w:styleId="43">
    <w:name w:val="Body Text 2"/>
    <w:basedOn w:val="1"/>
    <w:qFormat/>
    <w:uiPriority w:val="0"/>
    <w:pPr>
      <w:spacing w:line="440" w:lineRule="exact"/>
    </w:pPr>
    <w:rPr>
      <w:sz w:val="28"/>
    </w:rPr>
  </w:style>
  <w:style w:type="paragraph" w:styleId="44">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next w:val="16"/>
    <w:qFormat/>
    <w:uiPriority w:val="99"/>
    <w:pPr>
      <w:widowControl/>
      <w:spacing w:beforeAutospacing="1" w:afterAutospacing="1"/>
      <w:jc w:val="left"/>
    </w:pPr>
    <w:rPr>
      <w:rFonts w:ascii="宋体" w:hAnsi="宋体" w:cs="宋体"/>
      <w:kern w:val="0"/>
      <w:sz w:val="24"/>
    </w:rPr>
  </w:style>
  <w:style w:type="paragraph" w:styleId="4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7">
    <w:name w:val="annotation subject"/>
    <w:basedOn w:val="21"/>
    <w:next w:val="21"/>
    <w:qFormat/>
    <w:uiPriority w:val="0"/>
    <w:rPr>
      <w:b/>
      <w:bCs/>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333333"/>
      <w:u w:val="none"/>
    </w:rPr>
  </w:style>
  <w:style w:type="character" w:styleId="54">
    <w:name w:val="Emphasis"/>
    <w:qFormat/>
    <w:uiPriority w:val="0"/>
    <w:rPr>
      <w:color w:val="CC0033"/>
    </w:rPr>
  </w:style>
  <w:style w:type="character" w:styleId="55">
    <w:name w:val="HTML Definition"/>
    <w:qFormat/>
    <w:uiPriority w:val="0"/>
  </w:style>
  <w:style w:type="character" w:styleId="56">
    <w:name w:val="HTML Typewriter"/>
    <w:qFormat/>
    <w:uiPriority w:val="0"/>
    <w:rPr>
      <w:rFonts w:hint="default" w:ascii="monospace" w:hAnsi="monospace" w:eastAsia="monospace" w:cs="monospace"/>
      <w:sz w:val="20"/>
    </w:rPr>
  </w:style>
  <w:style w:type="character" w:styleId="57">
    <w:name w:val="HTML Acronym"/>
    <w:basedOn w:val="50"/>
    <w:qFormat/>
    <w:uiPriority w:val="0"/>
  </w:style>
  <w:style w:type="character" w:styleId="58">
    <w:name w:val="HTML Variable"/>
    <w:qFormat/>
    <w:uiPriority w:val="0"/>
  </w:style>
  <w:style w:type="character" w:styleId="59">
    <w:name w:val="Hyperlink"/>
    <w:basedOn w:val="50"/>
    <w:qFormat/>
    <w:uiPriority w:val="99"/>
    <w:rPr>
      <w:color w:val="333333"/>
      <w:u w:val="none"/>
    </w:rPr>
  </w:style>
  <w:style w:type="character" w:styleId="60">
    <w:name w:val="HTML Code"/>
    <w:qFormat/>
    <w:uiPriority w:val="0"/>
    <w:rPr>
      <w:rFonts w:hint="default" w:ascii="monospace" w:hAnsi="monospace" w:eastAsia="monospace" w:cs="monospace"/>
      <w:sz w:val="20"/>
    </w:rPr>
  </w:style>
  <w:style w:type="character" w:styleId="61">
    <w:name w:val="annotation reference"/>
    <w:qFormat/>
    <w:uiPriority w:val="0"/>
    <w:rPr>
      <w:sz w:val="21"/>
      <w:szCs w:val="21"/>
    </w:rPr>
  </w:style>
  <w:style w:type="character" w:styleId="62">
    <w:name w:val="HTML Cite"/>
    <w:qFormat/>
    <w:uiPriority w:val="0"/>
  </w:style>
  <w:style w:type="character" w:styleId="63">
    <w:name w:val="footnote reference"/>
    <w:qFormat/>
    <w:uiPriority w:val="0"/>
    <w:rPr>
      <w:vertAlign w:val="superscript"/>
    </w:rPr>
  </w:style>
  <w:style w:type="character" w:styleId="64">
    <w:name w:val="HTML Keyboard"/>
    <w:qFormat/>
    <w:uiPriority w:val="0"/>
    <w:rPr>
      <w:rFonts w:ascii="monospace" w:hAnsi="monospace" w:eastAsia="monospace" w:cs="monospace"/>
      <w:sz w:val="20"/>
    </w:rPr>
  </w:style>
  <w:style w:type="character" w:styleId="65">
    <w:name w:val="HTML Sample"/>
    <w:qFormat/>
    <w:uiPriority w:val="0"/>
    <w:rPr>
      <w:rFonts w:hint="default" w:ascii="monospace" w:hAnsi="monospace" w:eastAsia="monospace" w:cs="monospace"/>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4"/>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2"/>
    <w:qFormat/>
    <w:uiPriority w:val="0"/>
    <w:pPr>
      <w:jc w:val="left"/>
    </w:pPr>
    <w:rPr>
      <w:rFonts w:ascii="黑体" w:hAnsi="黑体" w:eastAsia="黑体"/>
      <w:sz w:val="21"/>
    </w:rPr>
  </w:style>
  <w:style w:type="paragraph" w:customStyle="1" w:styleId="78">
    <w:name w:val="样式4"/>
    <w:basedOn w:val="4"/>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2"/>
    <w:qFormat/>
    <w:uiPriority w:val="0"/>
    <w:pPr>
      <w:spacing w:line="400" w:lineRule="exact"/>
    </w:pPr>
    <w:rPr>
      <w:rFonts w:ascii="黑体" w:hAnsi="黑体" w:eastAsia="黑体" w:cs="宋体"/>
      <w:b w:val="0"/>
      <w:bCs w:val="0"/>
      <w:sz w:val="32"/>
      <w:szCs w:val="20"/>
    </w:rPr>
  </w:style>
  <w:style w:type="paragraph" w:customStyle="1" w:styleId="83">
    <w:name w:val="_Style 78"/>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4"/>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4"/>
    <w:qFormat/>
    <w:uiPriority w:val="0"/>
    <w:rPr>
      <w:rFonts w:eastAsia="Arial"/>
    </w:rPr>
  </w:style>
  <w:style w:type="paragraph" w:customStyle="1" w:styleId="96">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50"/>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50"/>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50"/>
    <w:qFormat/>
    <w:uiPriority w:val="0"/>
  </w:style>
  <w:style w:type="character" w:customStyle="1" w:styleId="111">
    <w:name w:val="img4"/>
    <w:basedOn w:val="50"/>
    <w:qFormat/>
    <w:uiPriority w:val="0"/>
  </w:style>
  <w:style w:type="character" w:customStyle="1" w:styleId="112">
    <w:name w:val="tit11"/>
    <w:qFormat/>
    <w:uiPriority w:val="0"/>
    <w:rPr>
      <w:color w:val="B60000"/>
    </w:rPr>
  </w:style>
  <w:style w:type="character" w:customStyle="1" w:styleId="113">
    <w:name w:val="批注文字 Char"/>
    <w:link w:val="21"/>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4"/>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50"/>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2"/>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50"/>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6"/>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50"/>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50"/>
    <w:qFormat/>
    <w:uiPriority w:val="0"/>
  </w:style>
  <w:style w:type="character" w:customStyle="1" w:styleId="136">
    <w:name w:val="txt"/>
    <w:qFormat/>
    <w:uiPriority w:val="0"/>
    <w:rPr>
      <w:color w:val="C0C0C0"/>
    </w:rPr>
  </w:style>
  <w:style w:type="character" w:customStyle="1" w:styleId="137">
    <w:name w:val="纯文本 Char2"/>
    <w:link w:val="26"/>
    <w:qFormat/>
    <w:uiPriority w:val="0"/>
    <w:rPr>
      <w:rFonts w:ascii="Courier New" w:hAnsi="Courier New" w:eastAsia="宋体"/>
      <w:kern w:val="2"/>
      <w:sz w:val="21"/>
      <w:lang w:val="en-US" w:eastAsia="zh-CN" w:bidi="ar-SA"/>
    </w:rPr>
  </w:style>
  <w:style w:type="character" w:customStyle="1" w:styleId="138">
    <w:name w:val="jg"/>
    <w:basedOn w:val="50"/>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50"/>
    <w:qFormat/>
    <w:uiPriority w:val="0"/>
  </w:style>
  <w:style w:type="character" w:customStyle="1" w:styleId="141">
    <w:name w:val="job1"/>
    <w:basedOn w:val="50"/>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18"/>
    <w:qFormat/>
    <w:uiPriority w:val="0"/>
    <w:rPr>
      <w:rFonts w:eastAsia="宋体"/>
      <w:kern w:val="2"/>
      <w:sz w:val="21"/>
      <w:szCs w:val="24"/>
      <w:lang w:val="en-US" w:eastAsia="zh-CN" w:bidi="ar-SA"/>
    </w:rPr>
  </w:style>
  <w:style w:type="character" w:customStyle="1" w:styleId="144">
    <w:name w:val="p05"/>
    <w:basedOn w:val="50"/>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50"/>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50"/>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50"/>
    <w:qFormat/>
    <w:uiPriority w:val="0"/>
  </w:style>
  <w:style w:type="character" w:customStyle="1" w:styleId="152">
    <w:name w:val="msg-box30"/>
    <w:basedOn w:val="50"/>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4"/>
    <w:qFormat/>
    <w:uiPriority w:val="0"/>
    <w:rPr>
      <w:b/>
      <w:bCs/>
      <w:sz w:val="32"/>
      <w:szCs w:val="32"/>
    </w:rPr>
  </w:style>
  <w:style w:type="character" w:customStyle="1" w:styleId="155">
    <w:name w:val="c1"/>
    <w:basedOn w:val="50"/>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50"/>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50"/>
    <w:qFormat/>
    <w:uiPriority w:val="0"/>
  </w:style>
  <w:style w:type="character" w:customStyle="1" w:styleId="171">
    <w:name w:val="mesg-myd"/>
    <w:qFormat/>
    <w:uiPriority w:val="0"/>
    <w:rPr>
      <w:color w:val="EE0000"/>
    </w:rPr>
  </w:style>
  <w:style w:type="character" w:customStyle="1" w:styleId="172">
    <w:name w:val="c2"/>
    <w:basedOn w:val="50"/>
    <w:qFormat/>
    <w:uiPriority w:val="0"/>
  </w:style>
  <w:style w:type="character" w:customStyle="1" w:styleId="173">
    <w:name w:val="c3"/>
    <w:basedOn w:val="50"/>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50"/>
    <w:qFormat/>
    <w:uiPriority w:val="0"/>
  </w:style>
  <w:style w:type="character" w:customStyle="1" w:styleId="180">
    <w:name w:val="starting4"/>
    <w:basedOn w:val="50"/>
    <w:qFormat/>
    <w:uiPriority w:val="0"/>
  </w:style>
  <w:style w:type="character" w:customStyle="1" w:styleId="181">
    <w:name w:val="bsharetext"/>
    <w:basedOn w:val="50"/>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50"/>
    <w:qFormat/>
    <w:uiPriority w:val="0"/>
  </w:style>
  <w:style w:type="character" w:customStyle="1" w:styleId="189">
    <w:name w:val="buvis1"/>
    <w:qFormat/>
    <w:uiPriority w:val="0"/>
    <w:rPr>
      <w:color w:val="CC0000"/>
    </w:rPr>
  </w:style>
  <w:style w:type="character" w:customStyle="1" w:styleId="190">
    <w:name w:val="starting3"/>
    <w:basedOn w:val="50"/>
    <w:qFormat/>
    <w:uiPriority w:val="0"/>
  </w:style>
  <w:style w:type="character" w:customStyle="1" w:styleId="191">
    <w:name w:val="textcontents"/>
    <w:basedOn w:val="50"/>
    <w:qFormat/>
    <w:uiPriority w:val="0"/>
  </w:style>
  <w:style w:type="character" w:customStyle="1" w:styleId="192">
    <w:name w:val="num41"/>
    <w:basedOn w:val="50"/>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3"/>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50"/>
    <w:qFormat/>
    <w:uiPriority w:val="0"/>
    <w:rPr>
      <w:rFonts w:hint="eastAsia" w:ascii="仿宋" w:hAnsi="仿宋" w:eastAsia="仿宋" w:cs="仿宋"/>
      <w:b/>
      <w:color w:val="000000"/>
      <w:sz w:val="32"/>
      <w:szCs w:val="32"/>
      <w:u w:val="none"/>
    </w:rPr>
  </w:style>
  <w:style w:type="character" w:customStyle="1" w:styleId="201">
    <w:name w:val="font101"/>
    <w:basedOn w:val="50"/>
    <w:qFormat/>
    <w:uiPriority w:val="0"/>
    <w:rPr>
      <w:rFonts w:hint="default" w:ascii="Times New Roman" w:hAnsi="Times New Roman" w:cs="Times New Roman"/>
      <w:color w:val="000000"/>
      <w:sz w:val="24"/>
      <w:szCs w:val="24"/>
      <w:u w:val="none"/>
    </w:rPr>
  </w:style>
  <w:style w:type="character" w:customStyle="1" w:styleId="202">
    <w:name w:val="font111"/>
    <w:basedOn w:val="50"/>
    <w:qFormat/>
    <w:uiPriority w:val="0"/>
    <w:rPr>
      <w:rFonts w:ascii="仿宋_GB2312" w:eastAsia="仿宋_GB2312" w:cs="仿宋_GB2312"/>
      <w:color w:val="000000"/>
      <w:sz w:val="24"/>
      <w:szCs w:val="24"/>
      <w:u w:val="none"/>
    </w:rPr>
  </w:style>
  <w:style w:type="character" w:customStyle="1" w:styleId="203">
    <w:name w:val="font91"/>
    <w:basedOn w:val="50"/>
    <w:qFormat/>
    <w:uiPriority w:val="0"/>
    <w:rPr>
      <w:rFonts w:hint="eastAsia" w:ascii="仿宋" w:hAnsi="仿宋" w:eastAsia="仿宋" w:cs="仿宋"/>
      <w:color w:val="000000"/>
      <w:sz w:val="24"/>
      <w:szCs w:val="24"/>
      <w:u w:val="single"/>
    </w:rPr>
  </w:style>
  <w:style w:type="character" w:customStyle="1" w:styleId="204">
    <w:name w:val="font81"/>
    <w:basedOn w:val="50"/>
    <w:qFormat/>
    <w:uiPriority w:val="0"/>
    <w:rPr>
      <w:rFonts w:hint="default" w:ascii="Times New Roman" w:hAnsi="Times New Roman" w:cs="Times New Roman"/>
      <w:color w:val="000000"/>
      <w:sz w:val="24"/>
      <w:szCs w:val="24"/>
      <w:u w:val="none"/>
    </w:rPr>
  </w:style>
  <w:style w:type="character" w:customStyle="1" w:styleId="205">
    <w:name w:val="font61"/>
    <w:basedOn w:val="50"/>
    <w:qFormat/>
    <w:uiPriority w:val="0"/>
    <w:rPr>
      <w:rFonts w:hint="eastAsia" w:ascii="仿宋_GB2312" w:eastAsia="仿宋_GB2312" w:cs="仿宋_GB2312"/>
      <w:color w:val="000000"/>
      <w:sz w:val="24"/>
      <w:szCs w:val="24"/>
      <w:u w:val="none"/>
    </w:rPr>
  </w:style>
  <w:style w:type="character" w:customStyle="1" w:styleId="206">
    <w:name w:val="font21"/>
    <w:basedOn w:val="50"/>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50"/>
    <w:qFormat/>
    <w:uiPriority w:val="0"/>
  </w:style>
  <w:style w:type="character" w:customStyle="1" w:styleId="209">
    <w:name w:val="hover1"/>
    <w:basedOn w:val="50"/>
    <w:qFormat/>
    <w:uiPriority w:val="0"/>
    <w:rPr>
      <w:color w:val="2590EB"/>
    </w:rPr>
  </w:style>
  <w:style w:type="character" w:customStyle="1" w:styleId="210">
    <w:name w:val="hover2"/>
    <w:basedOn w:val="50"/>
    <w:qFormat/>
    <w:uiPriority w:val="0"/>
  </w:style>
  <w:style w:type="character" w:customStyle="1" w:styleId="211">
    <w:name w:val="hover3"/>
    <w:basedOn w:val="50"/>
    <w:qFormat/>
    <w:uiPriority w:val="0"/>
    <w:rPr>
      <w:color w:val="2590EB"/>
    </w:rPr>
  </w:style>
  <w:style w:type="character" w:customStyle="1" w:styleId="212">
    <w:name w:val="hover4"/>
    <w:basedOn w:val="50"/>
    <w:qFormat/>
    <w:uiPriority w:val="0"/>
    <w:rPr>
      <w:color w:val="2590EB"/>
      <w:shd w:val="clear" w:fill="E9F4FD"/>
    </w:rPr>
  </w:style>
  <w:style w:type="character" w:customStyle="1" w:styleId="213">
    <w:name w:val="mini-outputtext1"/>
    <w:basedOn w:val="50"/>
    <w:qFormat/>
    <w:uiPriority w:val="0"/>
  </w:style>
  <w:style w:type="character" w:customStyle="1" w:styleId="214">
    <w:name w:val="hover"/>
    <w:basedOn w:val="50"/>
    <w:qFormat/>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44</Pages>
  <Words>21266</Words>
  <Characters>22536</Characters>
  <Lines>411</Lines>
  <Paragraphs>115</Paragraphs>
  <TotalTime>8</TotalTime>
  <ScaleCrop>false</ScaleCrop>
  <LinksUpToDate>false</LinksUpToDate>
  <CharactersWithSpaces>24016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2025-05-09T08:00:41Z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3E37166E933D4B56AF059194D704A7C6_13</vt:lpwstr>
  </property>
  <property fmtid="{D5CDD505-2E9C-101B-9397-08002B2CF9AE}" pid="4" name="KSOTemplateDocerSaveRecord">
    <vt:lpwstr>eyJoZGlkIjoiMTljMDcwYWJmYjExZWQzNTVmZDAzZTYwM2JlMzJmZDYiLCJ1c2VySWQiOiIzODU2Mzk2OTQifQ==</vt:lpwstr>
  </property>
</Properties>
</file>