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1921A">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72"/>
          <w:szCs w:val="72"/>
          <w:highlight w:val="none"/>
          <w:u w:color="000000"/>
          <w:lang w:val="en-US" w:eastAsia="zh-CN" w:bidi="ar"/>
        </w:rPr>
      </w:pPr>
      <w:bookmarkStart w:id="180" w:name="_GoBack"/>
      <w:r>
        <w:rPr>
          <w:rFonts w:hint="eastAsia" w:ascii="Times New Roman" w:hAnsi="Times New Roman" w:eastAsia="宋体" w:cs="宋体"/>
          <w:b/>
          <w:bCs w:val="0"/>
          <w:color w:val="000000"/>
          <w:kern w:val="0"/>
          <w:sz w:val="48"/>
          <w:szCs w:val="28"/>
          <w:highlight w:val="none"/>
          <w:u w:color="000000"/>
          <w:lang w:val="en-US" w:eastAsia="zh-CN" w:bidi="ar"/>
        </w:rPr>
        <w:t>滁州轨道运营市级综合应急演练项目</w:t>
      </w:r>
      <w:bookmarkEnd w:id="180"/>
      <w:r>
        <w:rPr>
          <w:rFonts w:hint="eastAsia" w:ascii="Times New Roman" w:hAnsi="Times New Roman" w:eastAsia="宋体" w:cs="宋体"/>
          <w:b/>
          <w:bCs w:val="0"/>
          <w:color w:val="000000"/>
          <w:kern w:val="0"/>
          <w:sz w:val="48"/>
          <w:szCs w:val="28"/>
          <w:highlight w:val="none"/>
          <w:u w:color="000000"/>
          <w:lang w:val="en-US" w:eastAsia="zh-CN" w:bidi="ar"/>
        </w:rPr>
        <w:t>（二次）</w:t>
      </w:r>
    </w:p>
    <w:p w14:paraId="5285093D">
      <w:pPr>
        <w:pStyle w:val="6"/>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51074F7">
      <w:pPr>
        <w:pStyle w:val="3"/>
        <w:rPr>
          <w:rFonts w:hint="eastAsia"/>
          <w:lang w:val="en-US" w:eastAsia="zh-CN"/>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7"/>
        <w:widowControl/>
        <w:rPr>
          <w:highlight w:val="none"/>
          <w:lang w:val="en-US"/>
        </w:rPr>
      </w:pPr>
      <w:r>
        <w:rPr>
          <w:highlight w:val="none"/>
          <w:lang w:val="en-US"/>
        </w:rPr>
        <w:t xml:space="preserve"> </w:t>
      </w:r>
    </w:p>
    <w:p w14:paraId="535485A3">
      <w:pPr>
        <w:pStyle w:val="17"/>
        <w:widowControl/>
        <w:rPr>
          <w:highlight w:val="none"/>
          <w:lang w:val="en-US"/>
        </w:rPr>
      </w:pPr>
      <w:r>
        <w:rPr>
          <w:highlight w:val="none"/>
          <w:lang w:val="en-US"/>
        </w:rPr>
        <w:t xml:space="preserve"> </w:t>
      </w:r>
    </w:p>
    <w:p w14:paraId="46A6B0BB">
      <w:pPr>
        <w:pStyle w:val="17"/>
        <w:widowControl/>
        <w:rPr>
          <w:highlight w:val="none"/>
          <w:lang w:val="en-US"/>
        </w:rPr>
      </w:pPr>
      <w:r>
        <w:rPr>
          <w:highlight w:val="none"/>
          <w:lang w:val="en-US"/>
        </w:rPr>
        <w:t xml:space="preserve"> </w:t>
      </w:r>
    </w:p>
    <w:p w14:paraId="0BBCE16F">
      <w:pPr>
        <w:pStyle w:val="17"/>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4A525C9A">
      <w:pPr>
        <w:pStyle w:val="6"/>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用户需求书………………………………………………………………20</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合同条款及格式…………………………………………………………22</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投标文件格式……………………………………………………………33</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招标人、招标代理机构对本招标文件的确认…………………………40</w:t>
      </w:r>
    </w:p>
    <w:p w14:paraId="135A59E9">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9A8C27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市级综合应急演练项目（二次）的潜在投标人应在滁州市滁宁城际铁路开发建设有限公司网站（http://czctgs.cn/）、招投标网http://www.infobidding.com/或采购与招标网https://www.chinabidding.cn/获取招标文件，并于2025年5月29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项目名称：滁州轨道运营市级综合应急演练项目（二次）</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预算金额：150000元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150000元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w:t>
      </w:r>
      <w:r>
        <w:rPr>
          <w:rFonts w:hint="eastAsia" w:ascii="宋体" w:hAnsi="宋体" w:eastAsia="宋体" w:cs="Times New Roman"/>
          <w:b w:val="0"/>
          <w:bCs w:val="0"/>
          <w:color w:val="auto"/>
          <w:kern w:val="0"/>
          <w:sz w:val="24"/>
          <w:szCs w:val="24"/>
          <w:highlight w:val="none"/>
          <w:lang w:val="en-US" w:eastAsia="zh-CN" w:bidi="ar-SA"/>
        </w:rPr>
        <w:t>滁州轨道运营市级综合应急演练服务</w:t>
      </w:r>
      <w:r>
        <w:rPr>
          <w:rFonts w:hint="eastAsia" w:ascii="宋体" w:hAnsi="宋体" w:eastAsia="宋体" w:cs="宋体"/>
          <w:color w:val="000000"/>
          <w:kern w:val="0"/>
          <w:sz w:val="24"/>
          <w:szCs w:val="24"/>
          <w:highlight w:val="none"/>
          <w:u w:color="000000"/>
          <w:lang w:val="en-US" w:eastAsia="zh-CN" w:bidi="ar"/>
        </w:rPr>
        <w:t>，详见《用户需求书》</w:t>
      </w:r>
    </w:p>
    <w:p w14:paraId="62C3733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服务期：自合同签订之日起至2025年9月15日止。自合同签订之日起一周内启动项目，演练项目结束后，5个工作日内按招标人相关要求提交演练</w:t>
      </w:r>
      <w:r>
        <w:rPr>
          <w:rFonts w:hint="eastAsia" w:ascii="宋体" w:hAnsi="宋体" w:eastAsia="宋体" w:cs="宋体"/>
          <w:b w:val="0"/>
          <w:bCs w:val="0"/>
          <w:color w:val="auto"/>
          <w:kern w:val="0"/>
          <w:sz w:val="24"/>
          <w:szCs w:val="24"/>
          <w:highlight w:val="none"/>
          <w:u w:color="000000"/>
          <w:lang w:val="en-US" w:eastAsia="zh-CN" w:bidi="ar"/>
        </w:rPr>
        <w:t>成果</w:t>
      </w:r>
      <w:r>
        <w:rPr>
          <w:rFonts w:hint="eastAsia" w:ascii="宋体" w:hAnsi="宋体" w:eastAsia="宋体" w:cs="宋体"/>
          <w:b w:val="0"/>
          <w:bCs w:val="0"/>
          <w:color w:val="000000"/>
          <w:kern w:val="0"/>
          <w:sz w:val="24"/>
          <w:szCs w:val="24"/>
          <w:highlight w:val="none"/>
          <w:u w:color="000000"/>
          <w:lang w:val="en-US" w:eastAsia="zh-CN" w:bidi="ar"/>
        </w:rPr>
        <w:t>资料。</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2.1</w:t>
      </w:r>
      <w:r>
        <w:rPr>
          <w:rFonts w:hint="eastAsia" w:ascii="宋体" w:hAnsi="宋体"/>
          <w:kern w:val="0"/>
          <w:sz w:val="24"/>
          <w:szCs w:val="24"/>
          <w:highlight w:val="none"/>
        </w:rPr>
        <w:t>投标人须在中华人民共和国境内注册（不含港澳台）并取得营业执照且具有相应服务能力</w:t>
      </w:r>
      <w:r>
        <w:rPr>
          <w:rFonts w:hint="eastAsia" w:ascii="宋体" w:hAnsi="宋体"/>
          <w:kern w:val="0"/>
          <w:sz w:val="24"/>
          <w:szCs w:val="24"/>
          <w:highlight w:val="none"/>
          <w:lang w:eastAsia="zh-CN"/>
        </w:rPr>
        <w:t>；</w:t>
      </w:r>
    </w:p>
    <w:p w14:paraId="3504639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rPr>
      </w:pPr>
      <w:r>
        <w:rPr>
          <w:rFonts w:hint="eastAsia" w:ascii="宋体" w:hAnsi="宋体"/>
          <w:kern w:val="0"/>
          <w:sz w:val="24"/>
          <w:szCs w:val="24"/>
          <w:highlight w:val="none"/>
          <w:lang w:val="en-US" w:eastAsia="zh-CN"/>
        </w:rPr>
        <w:t>2.2</w:t>
      </w:r>
      <w:r>
        <w:rPr>
          <w:rFonts w:hint="eastAsia" w:ascii="宋体" w:hAnsi="宋体"/>
          <w:kern w:val="0"/>
          <w:sz w:val="24"/>
          <w:szCs w:val="24"/>
          <w:highlight w:val="none"/>
        </w:rPr>
        <w:t>项目负责人要求</w:t>
      </w: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仅限1人）</w:t>
      </w:r>
      <w:r>
        <w:rPr>
          <w:rFonts w:hint="eastAsia" w:ascii="宋体" w:hAnsi="宋体"/>
          <w:kern w:val="0"/>
          <w:sz w:val="24"/>
          <w:szCs w:val="24"/>
          <w:highlight w:val="none"/>
        </w:rPr>
        <w:t>：</w:t>
      </w:r>
      <w:r>
        <w:rPr>
          <w:rFonts w:hint="eastAsia" w:ascii="宋体" w:hAnsi="宋体"/>
          <w:kern w:val="0"/>
          <w:sz w:val="24"/>
          <w:szCs w:val="24"/>
          <w:highlight w:val="none"/>
          <w:lang w:val="en-US" w:eastAsia="zh-CN"/>
        </w:rPr>
        <w:t>具备道路交通行业中级或以上职称证书（或中级或以上注册安全工程师证书（道路交通安全或其他安全）），且从事安全技术管理或咨询相关工作经验不少于3年</w:t>
      </w:r>
      <w:r>
        <w:rPr>
          <w:rFonts w:hint="eastAsia" w:ascii="宋体" w:hAnsi="宋体"/>
          <w:kern w:val="0"/>
          <w:sz w:val="24"/>
          <w:szCs w:val="24"/>
          <w:highlight w:val="none"/>
        </w:rPr>
        <w:t>；</w:t>
      </w:r>
    </w:p>
    <w:p w14:paraId="66B46AE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rPr>
      </w:pPr>
      <w:r>
        <w:rPr>
          <w:rFonts w:hint="eastAsia" w:ascii="宋体" w:hAnsi="宋体"/>
          <w:kern w:val="0"/>
          <w:sz w:val="24"/>
          <w:szCs w:val="24"/>
          <w:highlight w:val="none"/>
          <w:lang w:val="en-US" w:eastAsia="zh-CN"/>
        </w:rPr>
        <w:t>2.3</w:t>
      </w:r>
      <w:r>
        <w:rPr>
          <w:rFonts w:hint="eastAsia" w:ascii="宋体" w:hAnsi="宋体"/>
          <w:kern w:val="0"/>
          <w:sz w:val="24"/>
          <w:szCs w:val="24"/>
          <w:highlight w:val="none"/>
        </w:rPr>
        <w:t>项目组其他成员要求（不含项目负责人）：不少于</w:t>
      </w:r>
      <w:r>
        <w:rPr>
          <w:rFonts w:hint="eastAsia" w:ascii="宋体" w:hAnsi="宋体"/>
          <w:kern w:val="0"/>
          <w:sz w:val="24"/>
          <w:szCs w:val="24"/>
          <w:highlight w:val="none"/>
          <w:lang w:val="en-US" w:eastAsia="zh-CN"/>
        </w:rPr>
        <w:t>3</w:t>
      </w:r>
      <w:r>
        <w:rPr>
          <w:rFonts w:hint="eastAsia" w:ascii="宋体" w:hAnsi="宋体"/>
          <w:kern w:val="0"/>
          <w:sz w:val="24"/>
          <w:szCs w:val="24"/>
          <w:highlight w:val="none"/>
        </w:rPr>
        <w:t>名</w:t>
      </w:r>
      <w:r>
        <w:rPr>
          <w:rFonts w:hint="eastAsia" w:ascii="宋体" w:hAnsi="宋体"/>
          <w:kern w:val="0"/>
          <w:sz w:val="24"/>
          <w:szCs w:val="24"/>
          <w:highlight w:val="none"/>
          <w:lang w:val="en-US" w:eastAsia="zh-CN"/>
        </w:rPr>
        <w:t>具备道路交通行业初级或以上职称证书，且从事安全技术管理相关工作经验不少于1年。</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2025年5月9日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2025年5月29日</w:t>
      </w:r>
    </w:p>
    <w:p w14:paraId="1F5A72E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58430308"/>
      <w:bookmarkEnd w:id="11"/>
      <w:bookmarkStart w:id="12" w:name="_Toc28359005"/>
      <w:bookmarkEnd w:id="12"/>
      <w:bookmarkStart w:id="13" w:name="_Toc28359082"/>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6126BC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2025年5月29日15时00分</w:t>
      </w:r>
      <w:r>
        <w:rPr>
          <w:rFonts w:hint="eastAsia" w:ascii="宋体" w:hAnsi="宋体" w:eastAsia="宋体" w:cs="宋体"/>
          <w:bCs/>
          <w:color w:val="000000"/>
          <w:kern w:val="0"/>
          <w:sz w:val="24"/>
          <w:szCs w:val="24"/>
          <w:highlight w:val="none"/>
          <w:u w:color="000000"/>
          <w:lang w:val="en-US" w:eastAsia="zh-CN" w:bidi="ar"/>
        </w:rPr>
        <w:t>（北京时间）</w:t>
      </w:r>
    </w:p>
    <w:p w14:paraId="1930546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地点：滁州市轨道交通运营有限公司五楼514开评标室 (徽州路与扬子路交叉口东南侧)</w:t>
      </w:r>
    </w:p>
    <w:p w14:paraId="75F86D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267252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86"/>
      <w:bookmarkStart w:id="16" w:name="_Toc28359009"/>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5EAA012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项目联系人：张晓雨、周蓓蕾       </w:t>
      </w:r>
    </w:p>
    <w:p w14:paraId="7EA80C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电话：0550-3352129、18005505728</w:t>
      </w:r>
    </w:p>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滁州轨道运营市级综合应急演练项目（</w:t>
            </w:r>
            <w:r>
              <w:rPr>
                <w:rFonts w:hint="eastAsia" w:cs="Times New Roman"/>
                <w:bCs/>
                <w:highlight w:val="none"/>
                <w:lang w:val="en-US" w:eastAsia="zh-CN"/>
              </w:rPr>
              <w:t>二次）</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张晓雨</w:t>
            </w:r>
            <w:r>
              <w:rPr>
                <w:rFonts w:hint="eastAsia" w:ascii="宋体" w:hAnsi="宋体" w:eastAsia="宋体" w:cs="宋体"/>
                <w:highlight w:val="none"/>
                <w:lang w:val="en-US" w:eastAsia="zh-CN"/>
              </w:rPr>
              <w:t xml:space="preserve">  0550-3352129</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hint="eastAsia" w:cs="Times New Roman"/>
                <w:b w:val="0"/>
                <w:bCs w:val="0"/>
                <w:highlight w:val="none"/>
                <w:lang w:val="en-US" w:eastAsia="zh-CN"/>
              </w:rPr>
              <w:t>2025年5</w:t>
            </w:r>
            <w:r>
              <w:rPr>
                <w:rFonts w:cs="Times New Roman"/>
                <w:b w:val="0"/>
                <w:bCs w:val="0"/>
                <w:highlight w:val="none"/>
              </w:rPr>
              <w:t>月</w:t>
            </w:r>
            <w:r>
              <w:rPr>
                <w:rFonts w:hint="eastAsia" w:cs="Times New Roman"/>
                <w:b w:val="0"/>
                <w:bCs w:val="0"/>
                <w:highlight w:val="none"/>
                <w:lang w:val="en-US" w:eastAsia="zh-CN"/>
              </w:rPr>
              <w:t>19</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2025年5月20日17时后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1</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5</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开标时间：2025年5月29日15时00分（北京时间）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82A20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269F525F">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48C21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14:paraId="7FFD93A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14:paraId="55E178C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14:paraId="5533C1F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B6A175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5DFDB91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1C0190D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缴纳时限：中标人须在中标通知书发出后30日内完成履约保证金缴纳及合同签订。否则，取消中标资格，投标保证金不予退还。如未按期交齐履约保证金或未按期签订合同的，视同放弃中标资格。</w:t>
            </w:r>
          </w:p>
          <w:p w14:paraId="591BD99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退还时限：中标人</w:t>
            </w:r>
            <w:r>
              <w:rPr>
                <w:rFonts w:hint="eastAsia" w:ascii="Times New Roman" w:hAnsi="Times New Roman" w:eastAsia="宋体" w:cs="Times New Roman"/>
                <w:highlight w:val="none"/>
                <w:lang w:val="en-US" w:eastAsia="zh-CN"/>
              </w:rPr>
              <w:t>在本合同约定的服务期限届满并经招标人验收合格后30日内办理履约保证金（或履约保函）退还手续</w:t>
            </w:r>
            <w:r>
              <w:rPr>
                <w:rFonts w:hint="eastAsia" w:ascii="Times New Roman" w:hAnsi="Times New Roman" w:eastAsia="宋体" w:cs="Times New Roman"/>
                <w:highlight w:val="none"/>
              </w:rPr>
              <w:t>。</w:t>
            </w:r>
          </w:p>
          <w:p w14:paraId="1908D1B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其他相关要求：</w:t>
            </w:r>
          </w:p>
          <w:p w14:paraId="0939043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1、采用银行保函的具体要求</w:t>
            </w:r>
          </w:p>
          <w:p w14:paraId="2AED7A2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①保函形式须为见索即付型（无条件保函）；</w:t>
            </w:r>
          </w:p>
          <w:p w14:paraId="0483F8F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②须经招标人认可。</w:t>
            </w:r>
          </w:p>
          <w:p w14:paraId="7F92ADE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2、采用担保保函的具体要求：须经招标人认可。</w:t>
            </w:r>
          </w:p>
          <w:p w14:paraId="7BB9A9A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3、采用商业保险的具体要求：须经招标人认可。</w:t>
            </w:r>
          </w:p>
          <w:p w14:paraId="5BCB98A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4、采用第三方担保的具体要求：须经招标人认可。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25BB9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highlight w:val="none"/>
              </w:rPr>
              <w:t>在合同服务期限届满，</w:t>
            </w:r>
            <w:r>
              <w:rPr>
                <w:rFonts w:hint="eastAsia" w:ascii="宋体" w:hAnsi="宋体" w:eastAsia="宋体" w:cs="宋体"/>
                <w:highlight w:val="none"/>
                <w:lang w:val="en-US" w:eastAsia="zh-CN"/>
              </w:rPr>
              <w:t>中标人</w:t>
            </w:r>
            <w:r>
              <w:rPr>
                <w:rFonts w:hint="eastAsia" w:ascii="宋体" w:hAnsi="宋体" w:eastAsia="宋体" w:cs="宋体"/>
                <w:highlight w:val="none"/>
              </w:rPr>
              <w:t>提交的所有工作成果均通过</w:t>
            </w:r>
            <w:r>
              <w:rPr>
                <w:rFonts w:hint="eastAsia" w:ascii="宋体" w:hAnsi="宋体" w:eastAsia="宋体" w:cs="宋体"/>
                <w:highlight w:val="none"/>
                <w:lang w:val="en-US" w:eastAsia="zh-CN"/>
              </w:rPr>
              <w:t>招标人</w:t>
            </w:r>
            <w:r>
              <w:rPr>
                <w:rFonts w:hint="eastAsia" w:ascii="宋体" w:hAnsi="宋体" w:eastAsia="宋体" w:cs="宋体"/>
                <w:highlight w:val="none"/>
              </w:rPr>
              <w:t>验收，且向</w:t>
            </w:r>
            <w:r>
              <w:rPr>
                <w:rFonts w:hint="eastAsia" w:ascii="宋体" w:hAnsi="宋体" w:eastAsia="宋体" w:cs="宋体"/>
                <w:highlight w:val="none"/>
                <w:lang w:val="en-US" w:eastAsia="zh-CN"/>
              </w:rPr>
              <w:t>招标人</w:t>
            </w:r>
            <w:r>
              <w:rPr>
                <w:rFonts w:hint="eastAsia" w:ascii="宋体" w:hAnsi="宋体" w:eastAsia="宋体" w:cs="宋体"/>
                <w:highlight w:val="none"/>
              </w:rPr>
              <w:t>提供符合要求的增值税发票后</w:t>
            </w:r>
            <w:r>
              <w:rPr>
                <w:rFonts w:hint="eastAsia" w:ascii="宋体" w:hAnsi="宋体" w:cs="宋体"/>
                <w:highlight w:val="none"/>
                <w:u w:val="single"/>
                <w:lang w:val="en-US" w:eastAsia="zh-CN"/>
              </w:rPr>
              <w:t>30</w:t>
            </w:r>
            <w:r>
              <w:rPr>
                <w:rFonts w:hint="eastAsia" w:ascii="宋体" w:hAnsi="宋体" w:eastAsia="宋体" w:cs="宋体"/>
                <w:highlight w:val="none"/>
              </w:rPr>
              <w:t>日内，一次性付清</w:t>
            </w:r>
            <w:r>
              <w:rPr>
                <w:rFonts w:hint="eastAsia" w:ascii="宋体" w:hAnsi="宋体" w:eastAsia="宋体" w:cs="宋体"/>
                <w:highlight w:val="none"/>
                <w:lang w:val="en-US" w:eastAsia="zh-CN"/>
              </w:rPr>
              <w:t>合同价款。</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2F03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14:paraId="52464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14:paraId="6E605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17B744C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47527563"/>
      <w:bookmarkEnd w:id="23"/>
      <w:bookmarkStart w:id="24" w:name="_Toc152042315"/>
      <w:bookmarkEnd w:id="24"/>
      <w:bookmarkStart w:id="25" w:name="_Toc247513962"/>
      <w:bookmarkEnd w:id="25"/>
      <w:bookmarkStart w:id="26" w:name="_Toc144974507"/>
      <w:bookmarkEnd w:id="26"/>
      <w:bookmarkStart w:id="27" w:name="_Toc29660242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29" w:name="_Toc24655"/>
      <w:bookmarkEnd w:id="29"/>
      <w:bookmarkStart w:id="30" w:name="_Toc10668_WPSOffice_Level3"/>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22.3投标报价包括完成本项目全部服务的一切费用：</w:t>
      </w:r>
      <w:r>
        <w:rPr>
          <w:rFonts w:hint="eastAsia" w:ascii="宋体" w:hAnsi="Times New Roman" w:eastAsia="宋体" w:cs="Times New Roman"/>
          <w:color w:val="000000"/>
          <w:szCs w:val="21"/>
          <w:highlight w:val="none"/>
          <w:lang w:val="en-US" w:eastAsia="zh-CN"/>
        </w:rPr>
        <w:t>市级综合应急演练服务发生的所有费用（包括</w:t>
      </w:r>
      <w:r>
        <w:rPr>
          <w:rFonts w:hint="eastAsia" w:ascii="宋体" w:hAnsi="宋体" w:eastAsia="宋体" w:cs="宋体"/>
          <w:b w:val="0"/>
          <w:color w:val="000000"/>
          <w:kern w:val="2"/>
          <w:sz w:val="21"/>
          <w:szCs w:val="21"/>
          <w:highlight w:val="none"/>
          <w:lang w:val="en-US" w:eastAsia="zh-CN" w:bidi="ar"/>
        </w:rPr>
        <w:t>提供全部设备与用品等所付出的所有费用）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中标人所报费用为含税费用，在合同履行期间，如遇国家的税率调整或其他政策影响税率的，税率随变化而变化，则合同价款金额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CC85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7676A3AA">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45658FAD">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1F2A715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7EA4BB4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503F6A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194900A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08A7A783">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14:paraId="4BBBD32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DCA0C4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14:paraId="3616214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5EDA4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14:paraId="0D890E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750975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14:paraId="41DC2A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14:paraId="235AFC7C">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14:paraId="62C9054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14:paraId="1459A2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38.2中标人不能按本章第38.1项要求提交履约担保的，视为放弃中标，给招标人造成的损失的，中标人还应当予以赔偿。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6465D7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020C22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705FE809">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66B79B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3B894CB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3D5FAD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D0CB20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246685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DEA7BC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70932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14:paraId="7F06A98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43.2投标人和其他利害关系人对招标文件、开标和评标结果事项投诉的，应当按照投标人须知的规定先向招标人提出异议。异议答复期间不计算在第43.1项规定的期限内。</w:t>
      </w:r>
    </w:p>
    <w:p w14:paraId="59AD1FB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58B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39AB9CE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0167D919">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24CCE9AD">
            <w:pPr>
              <w:keepNext w:val="0"/>
              <w:keepLines w:val="0"/>
              <w:suppressLineNumbers w:val="0"/>
              <w:spacing w:before="0" w:beforeAutospacing="0" w:after="0" w:afterAutospacing="0" w:line="320" w:lineRule="exact"/>
              <w:ind w:left="0" w:right="0"/>
              <w:rPr>
                <w:rFonts w:hint="default"/>
                <w:color w:val="000000"/>
                <w:highlight w:val="none"/>
                <w:lang w:val="en-US" w:eastAsia="zh-CN"/>
              </w:rPr>
            </w:pPr>
            <w:r>
              <w:rPr>
                <w:rFonts w:hint="eastAsia"/>
                <w:color w:val="000000"/>
                <w:highlight w:val="none"/>
                <w:lang w:eastAsia="zh-CN"/>
              </w:rPr>
              <w:t>（</w:t>
            </w:r>
            <w:r>
              <w:rPr>
                <w:rFonts w:hint="eastAsia"/>
                <w:color w:val="000000"/>
                <w:highlight w:val="none"/>
                <w:lang w:val="en-US" w:eastAsia="zh-CN"/>
              </w:rPr>
              <w:t>3）</w:t>
            </w:r>
            <w:r>
              <w:rPr>
                <w:rFonts w:hint="eastAsia"/>
                <w:color w:val="000000"/>
                <w:highlight w:val="none"/>
              </w:rPr>
              <w:t>项目负责人要求</w:t>
            </w:r>
            <w:r>
              <w:rPr>
                <w:rFonts w:hint="eastAsia"/>
                <w:color w:val="000000"/>
                <w:highlight w:val="none"/>
                <w:lang w:eastAsia="zh-CN"/>
              </w:rPr>
              <w:t>（</w:t>
            </w:r>
            <w:r>
              <w:rPr>
                <w:rFonts w:hint="eastAsia"/>
                <w:color w:val="000000"/>
                <w:highlight w:val="none"/>
                <w:lang w:val="en-US" w:eastAsia="zh-CN"/>
              </w:rPr>
              <w:t>仅限1人）</w:t>
            </w:r>
            <w:r>
              <w:rPr>
                <w:rFonts w:hint="eastAsia"/>
                <w:color w:val="000000"/>
                <w:highlight w:val="none"/>
              </w:rPr>
              <w:t>：</w:t>
            </w:r>
            <w:r>
              <w:rPr>
                <w:rFonts w:hint="eastAsia"/>
                <w:color w:val="000000"/>
                <w:highlight w:val="none"/>
                <w:lang w:val="en-US" w:eastAsia="zh-CN"/>
              </w:rPr>
              <w:t>具备道路交通行业中级或以上职称证书（或中级或以上注册安全工程师证书（道路交通安全或其他安全）），且从事安全技术管理或咨询相关工作经验不少于3年</w:t>
            </w:r>
          </w:p>
        </w:tc>
        <w:tc>
          <w:tcPr>
            <w:tcW w:w="3929" w:type="dxa"/>
            <w:vMerge w:val="restart"/>
            <w:noWrap w:val="0"/>
            <w:vAlign w:val="center"/>
          </w:tcPr>
          <w:p w14:paraId="2E592D5C">
            <w:pPr>
              <w:keepNext w:val="0"/>
              <w:keepLines w:val="0"/>
              <w:suppressLineNumbers w:val="0"/>
              <w:spacing w:before="0" w:beforeAutospacing="0" w:after="0" w:afterAutospacing="0" w:line="320" w:lineRule="exact"/>
              <w:ind w:left="0" w:right="0"/>
              <w:rPr>
                <w:rFonts w:hint="eastAsia" w:ascii="宋体"/>
                <w:b/>
                <w:color w:val="000000"/>
                <w:szCs w:val="21"/>
                <w:highlight w:val="none"/>
              </w:rPr>
            </w:pPr>
            <w:r>
              <w:rPr>
                <w:rFonts w:hint="eastAsia" w:ascii="宋体"/>
                <w:b/>
                <w:color w:val="000000"/>
                <w:szCs w:val="21"/>
                <w:highlight w:val="none"/>
              </w:rPr>
              <w:t>评审核验电子标书中的下列证书、证明材料</w:t>
            </w:r>
            <w:r>
              <w:rPr>
                <w:rFonts w:hint="eastAsia" w:ascii="宋体"/>
                <w:b/>
                <w:color w:val="000000"/>
                <w:szCs w:val="21"/>
                <w:highlight w:val="none"/>
                <w:lang w:eastAsia="zh-CN"/>
              </w:rPr>
              <w:t>（</w:t>
            </w:r>
            <w:r>
              <w:rPr>
                <w:rFonts w:hint="eastAsia" w:ascii="宋体"/>
                <w:b/>
                <w:color w:val="000000"/>
                <w:szCs w:val="21"/>
                <w:highlight w:val="none"/>
                <w:lang w:val="en-US" w:eastAsia="zh-CN"/>
              </w:rPr>
              <w:t>下述材料缺一不可）</w:t>
            </w:r>
            <w:r>
              <w:rPr>
                <w:rFonts w:hint="eastAsia" w:ascii="宋体"/>
                <w:b/>
                <w:color w:val="000000"/>
                <w:szCs w:val="21"/>
                <w:highlight w:val="none"/>
              </w:rPr>
              <w:t>：</w:t>
            </w:r>
          </w:p>
          <w:p w14:paraId="47F720AE">
            <w:pPr>
              <w:keepNext w:val="0"/>
              <w:keepLines w:val="0"/>
              <w:suppressLineNumbers w:val="0"/>
              <w:spacing w:before="0" w:beforeAutospacing="0" w:after="0" w:afterAutospacing="0" w:line="320" w:lineRule="exact"/>
              <w:ind w:left="0" w:right="0"/>
              <w:rPr>
                <w:rFonts w:hint="eastAsia" w:eastAsia="宋体"/>
                <w:highlight w:val="none"/>
                <w:lang w:val="en-US" w:eastAsia="zh-CN"/>
              </w:rPr>
            </w:pPr>
            <w:r>
              <w:rPr>
                <w:rFonts w:hint="eastAsia" w:ascii="宋体"/>
                <w:color w:val="000000"/>
                <w:szCs w:val="21"/>
                <w:highlight w:val="none"/>
                <w:lang w:val="en-US" w:eastAsia="zh-CN"/>
              </w:rPr>
              <w:t>人员配备表（格式自拟）、人员有效身份证扫描件、相应证书扫描件、工作经验证明（格式自拟）和</w:t>
            </w:r>
            <w:r>
              <w:rPr>
                <w:rFonts w:hint="eastAsia" w:ascii="宋体"/>
                <w:color w:val="000000"/>
                <w:szCs w:val="21"/>
                <w:highlight w:val="none"/>
              </w:rPr>
              <w:t>本单位为</w:t>
            </w:r>
            <w:r>
              <w:rPr>
                <w:rFonts w:hint="eastAsia" w:ascii="宋体"/>
                <w:color w:val="000000"/>
                <w:szCs w:val="21"/>
                <w:highlight w:val="none"/>
                <w:lang w:val="en-US" w:eastAsia="zh-CN"/>
              </w:rPr>
              <w:t>上述人员</w:t>
            </w:r>
            <w:r>
              <w:rPr>
                <w:rFonts w:hint="eastAsia" w:ascii="宋体"/>
                <w:color w:val="000000"/>
                <w:szCs w:val="21"/>
                <w:highlight w:val="none"/>
              </w:rPr>
              <w:t>缴纳的投标前近</w:t>
            </w:r>
            <w:r>
              <w:rPr>
                <w:rFonts w:hint="eastAsia" w:ascii="宋体"/>
                <w:color w:val="000000"/>
                <w:szCs w:val="21"/>
                <w:highlight w:val="none"/>
                <w:lang w:val="en-US" w:eastAsia="zh-CN"/>
              </w:rPr>
              <w:t>六</w:t>
            </w:r>
            <w:r>
              <w:rPr>
                <w:rFonts w:hint="eastAsia" w:ascii="宋体"/>
                <w:color w:val="000000"/>
                <w:szCs w:val="21"/>
                <w:highlight w:val="none"/>
              </w:rPr>
              <w:t>个月的</w:t>
            </w:r>
            <w:r>
              <w:rPr>
                <w:rFonts w:hint="eastAsia" w:ascii="宋体"/>
                <w:color w:val="000000"/>
                <w:szCs w:val="21"/>
                <w:highlight w:val="none"/>
                <w:lang w:val="en-US" w:eastAsia="zh-CN"/>
              </w:rPr>
              <w:t>社保</w:t>
            </w:r>
            <w:r>
              <w:rPr>
                <w:rFonts w:hint="eastAsia" w:ascii="宋体"/>
                <w:color w:val="000000"/>
                <w:szCs w:val="21"/>
                <w:highlight w:val="none"/>
              </w:rPr>
              <w:t>证明材料</w:t>
            </w:r>
            <w:r>
              <w:rPr>
                <w:rFonts w:hint="eastAsia" w:ascii="宋体"/>
                <w:color w:val="000000"/>
                <w:szCs w:val="21"/>
                <w:highlight w:val="none"/>
                <w:lang w:val="en-US" w:eastAsia="zh-CN"/>
              </w:rPr>
              <w:t>扫描件。</w:t>
            </w:r>
          </w:p>
        </w:tc>
      </w:tr>
      <w:tr w14:paraId="5061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254465A9">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3414D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5A2787">
            <w:pPr>
              <w:keepNext w:val="0"/>
              <w:keepLines w:val="0"/>
              <w:suppressLineNumbers w:val="0"/>
              <w:spacing w:before="0" w:beforeAutospacing="0" w:after="0" w:afterAutospacing="0" w:line="320" w:lineRule="exact"/>
              <w:ind w:left="0" w:right="0"/>
              <w:rPr>
                <w:rFonts w:hint="default"/>
                <w:color w:val="000000"/>
                <w:highlight w:val="none"/>
                <w:lang w:val="en-US" w:eastAsia="zh-CN"/>
              </w:rPr>
            </w:pPr>
            <w:r>
              <w:rPr>
                <w:rFonts w:hint="eastAsia"/>
                <w:color w:val="000000"/>
                <w:highlight w:val="none"/>
                <w:lang w:eastAsia="zh-CN"/>
              </w:rPr>
              <w:t>（</w:t>
            </w:r>
            <w:r>
              <w:rPr>
                <w:rFonts w:hint="eastAsia"/>
                <w:color w:val="000000"/>
                <w:highlight w:val="none"/>
                <w:lang w:val="en-US" w:eastAsia="zh-CN"/>
              </w:rPr>
              <w:t>4）</w:t>
            </w:r>
            <w:r>
              <w:rPr>
                <w:rFonts w:hint="eastAsia"/>
                <w:color w:val="000000"/>
                <w:highlight w:val="none"/>
              </w:rPr>
              <w:t>项目组其他成员要求（不含项目负责人）：不少于</w:t>
            </w:r>
            <w:r>
              <w:rPr>
                <w:rFonts w:hint="eastAsia"/>
                <w:color w:val="000000"/>
                <w:highlight w:val="none"/>
                <w:lang w:val="en-US" w:eastAsia="zh-CN"/>
              </w:rPr>
              <w:t>3</w:t>
            </w:r>
            <w:r>
              <w:rPr>
                <w:rFonts w:hint="eastAsia"/>
                <w:color w:val="000000"/>
                <w:highlight w:val="none"/>
              </w:rPr>
              <w:t>名</w:t>
            </w:r>
            <w:r>
              <w:rPr>
                <w:rFonts w:hint="eastAsia"/>
                <w:color w:val="000000"/>
                <w:highlight w:val="none"/>
                <w:lang w:val="en-US" w:eastAsia="zh-CN"/>
              </w:rPr>
              <w:t>具备道路交通行业初级或以上职称证书，且从事安全技术管理相关工作经验不少于1年</w:t>
            </w:r>
          </w:p>
        </w:tc>
        <w:tc>
          <w:tcPr>
            <w:tcW w:w="3929" w:type="dxa"/>
            <w:vMerge w:val="continue"/>
            <w:noWrap w:val="0"/>
            <w:vAlign w:val="center"/>
          </w:tcPr>
          <w:p w14:paraId="279ECA03">
            <w:pPr>
              <w:keepNext w:val="0"/>
              <w:keepLines w:val="0"/>
              <w:suppressLineNumbers w:val="0"/>
              <w:spacing w:before="0" w:beforeAutospacing="0" w:after="0" w:afterAutospacing="0" w:line="320" w:lineRule="exact"/>
              <w:ind w:left="0" w:right="0"/>
              <w:rPr>
                <w:rFonts w:hint="eastAsia" w:ascii="宋体"/>
                <w:color w:val="000000"/>
                <w:szCs w:val="21"/>
                <w:highlight w:val="none"/>
              </w:rPr>
            </w:pP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bookmarkStart w:id="45" w:name="_Toc506107320"/>
      <w:bookmarkStart w:id="46" w:name="_Toc60061492"/>
      <w:bookmarkStart w:id="47" w:name="_Toc15058909"/>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506107321"/>
      <w:bookmarkStart w:id="50" w:name="_Toc324404868"/>
      <w:bookmarkStart w:id="51" w:name="_Toc60061493"/>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15058911"/>
      <w:bookmarkStart w:id="55" w:name="_Toc95223397"/>
      <w:bookmarkStart w:id="56" w:name="_Toc60061494"/>
      <w:bookmarkStart w:id="57" w:name="_Toc506107322"/>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362983802"/>
            <w:bookmarkStart w:id="61" w:name="_Toc267320058"/>
            <w:bookmarkStart w:id="62" w:name="_Toc449028878"/>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一、项目背景</w:t>
      </w:r>
    </w:p>
    <w:p w14:paraId="2AB19E5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市级综合应急演练是提高轨道交通应急响应能力的重要手段，对保障轨道交通安全稳定运行具有重要意义。通过演练可以检验应急预案的有效性，发现预案中存在的问题和漏洞，及时调整和完善应急响应机制，提高应对危机事件的能力和水平。</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二、线路概况</w:t>
      </w:r>
    </w:p>
    <w:p w14:paraId="5753B08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滁宁城际铁路（滁州段）全长49.663千米，设站14座（地下2座、高架12座），开通10站。线路西起滁州市滁州站，途经滁州市市区、苏滁产业园、来安县，止于汊河站。</w:t>
      </w:r>
    </w:p>
    <w:p w14:paraId="63D75535">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三、服务内容</w:t>
      </w:r>
    </w:p>
    <w:p w14:paraId="41093C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中标人须完成但不限于以下演练工作，具体工作可根据招标人要求和本项目的实际情况做必要调整和补充 ，但合同总价不作调整。</w:t>
      </w:r>
    </w:p>
    <w:p w14:paraId="34D2F7B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1.编制综合演练项目的实施方案，演练脚本；</w:t>
      </w:r>
    </w:p>
    <w:p w14:paraId="485F71C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2.协助招标人协调公司内外关系；</w:t>
      </w:r>
    </w:p>
    <w:p w14:paraId="4F5D230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3.牵头组织开展综合演练，工作内容包括但不限于组织召开演练前、演练中、演练后各项会议，培训宣贯演练方案；</w:t>
      </w:r>
    </w:p>
    <w:p w14:paraId="3816AF6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4.针对市级综合演练，应委托专业传媒公司开展布置、拍摄和剪辑的相关工作，并组织行业专家对演练情况进行评审；</w:t>
      </w:r>
    </w:p>
    <w:p w14:paraId="64AF64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5. 负责演练资料的归档整理。演练项目结束后，5个工作日内按招标人相关要求提交演练资料（包含演练实施方案、培训记录、签到表、岗位评估表、总体评估表、演练问题记录、现场照片、现场评估声像资料等〉；</w:t>
      </w:r>
    </w:p>
    <w:p w14:paraId="0CD56F4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6.总结演练开展情况，形成演练总结报告；</w:t>
      </w:r>
    </w:p>
    <w:p w14:paraId="5AA3100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 w:val="0"/>
          <w:bCs w:val="0"/>
          <w:sz w:val="32"/>
          <w:szCs w:val="32"/>
          <w:highlight w:val="none"/>
          <w:lang w:val="en-US" w:eastAsia="zh-CN"/>
        </w:rPr>
      </w:pPr>
      <w:r>
        <w:rPr>
          <w:rFonts w:hint="eastAsia" w:ascii="宋体" w:hAnsi="宋体" w:eastAsia="宋体" w:cs="宋体"/>
          <w:b w:val="0"/>
          <w:color w:val="000000"/>
          <w:kern w:val="2"/>
          <w:sz w:val="21"/>
          <w:szCs w:val="21"/>
          <w:highlight w:val="none"/>
          <w:lang w:val="en-US" w:eastAsia="zh-CN" w:bidi="ar"/>
        </w:rPr>
        <w:t>7.在需要完成的演练项目基础上，招标人根据实际需要有权对演练项目进行适当的调整，中标人应无条件服从。</w:t>
      </w:r>
    </w:p>
    <w:p w14:paraId="46A830B1">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14:paraId="58A584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1、项目负责人（仅限1人）：具备道路交通行业中级职称或中级注册安全工程师（道路交通安全或其他安全），从事安全技术管理或咨询相关工作3年以上，有丰富的项目管理、应急演练工作经验。</w:t>
      </w:r>
    </w:p>
    <w:p w14:paraId="6D27F47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2、组员（不少于3人）：具备道路交通行业初级职称，从事安全技术管理相关工作1年以上，有安全生产、应急演练工作经验。</w:t>
      </w:r>
    </w:p>
    <w:p w14:paraId="57D4C84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3、中标人需提供演练方案，经运营单位审查审批并组织专家评审论证后进行实施。</w:t>
      </w:r>
    </w:p>
    <w:p w14:paraId="4A03387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4、中标人应指定人员在项目所在地负责与招标人代表及相关方进行沟通联系。</w:t>
      </w:r>
    </w:p>
    <w:p w14:paraId="0205FE38">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五、成果文件</w:t>
      </w:r>
    </w:p>
    <w:p w14:paraId="604F7CC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中标人须提供但不限于以下作为本项目的工作成果，具体文件可根据招标人和本项目的实际情况做必要的调整和补充。</w:t>
      </w:r>
    </w:p>
    <w:p w14:paraId="3DCAA02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1.准备阶段</w:t>
      </w:r>
    </w:p>
    <w:p w14:paraId="55E315E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1.1市级综合应急演练专项方案；</w:t>
      </w:r>
    </w:p>
    <w:p w14:paraId="5F7D98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2.实施阶段</w:t>
      </w:r>
    </w:p>
    <w:p w14:paraId="32D12E7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2.1市级综合应急演练脚本；</w:t>
      </w:r>
    </w:p>
    <w:p w14:paraId="3309E3C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2.2演练相关会议材料（含培训）；</w:t>
      </w:r>
    </w:p>
    <w:p w14:paraId="0AC3771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2.3市级综合应急演练记录（含演练记录片、专家意见等）；</w:t>
      </w:r>
    </w:p>
    <w:p w14:paraId="65B6009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3总结完善阶段</w:t>
      </w:r>
    </w:p>
    <w:p w14:paraId="3DF569E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3.1演练总结报告（含专家意见）；</w:t>
      </w:r>
    </w:p>
    <w:p w14:paraId="3864D57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3.2演练成果会议评审材料（至少包含会务手册、会议材料、专家意见等）。</w:t>
      </w:r>
    </w:p>
    <w:p w14:paraId="3865BE32">
      <w:pPr>
        <w:keepNext w:val="0"/>
        <w:keepLines w:val="0"/>
        <w:pageBreakBefore w:val="0"/>
        <w:numPr>
          <w:ilvl w:val="0"/>
          <w:numId w:val="2"/>
        </w:numPr>
        <w:kinsoku/>
        <w:wordWrap/>
        <w:overflowPunct/>
        <w:topLinePunct w:val="0"/>
        <w:autoSpaceDE/>
        <w:autoSpaceDN/>
        <w:bidi w:val="0"/>
        <w:adjustRightInd/>
        <w:snapToGrid w:val="0"/>
        <w:spacing w:line="360" w:lineRule="auto"/>
        <w:ind w:left="420" w:leftChars="0" w:firstLineChars="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费用说明</w:t>
      </w:r>
    </w:p>
    <w:p w14:paraId="721419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1.招标人不组织踏勘，中标人可自行实地勘察并承担相关费用、风险。</w:t>
      </w:r>
    </w:p>
    <w:p w14:paraId="0759958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投标报价包括完成本项目全部服务的一切费用：市级综合应急演练服务发生的所有费用（包括提供全部设备与用品等所付出的所有费用）、交通费(如有)、利润、招标代理费、专家评审费、税金、政策性文件规定及合同包含的所有风险和责任等。投标时投标人必须保证报价的完整性，如有漏报，则视为优惠，中标后不允许追加费用。</w:t>
      </w:r>
    </w:p>
    <w:p w14:paraId="1CEB6FE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投标报价的价格是完成项目全部内容（包括后期的相关服务）的价格，其总价即为履行合同的固定总价。中标人所报费用为含税费用，在合同履行期间，如遇国家的税率调整或其他政策影响税率的，税率随变化而变化，则合同价款金额不做调整。</w:t>
      </w:r>
    </w:p>
    <w:p w14:paraId="245D9F87">
      <w:pPr>
        <w:keepNext w:val="0"/>
        <w:keepLines w:val="0"/>
        <w:pageBreakBefore w:val="0"/>
        <w:numPr>
          <w:ilvl w:val="0"/>
          <w:numId w:val="2"/>
        </w:numPr>
        <w:kinsoku/>
        <w:wordWrap/>
        <w:overflowPunct/>
        <w:topLinePunct w:val="0"/>
        <w:autoSpaceDE/>
        <w:autoSpaceDN/>
        <w:bidi w:val="0"/>
        <w:adjustRightInd/>
        <w:snapToGrid w:val="0"/>
        <w:spacing w:line="360" w:lineRule="auto"/>
        <w:ind w:left="420" w:leftChars="0" w:firstLine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服务期限</w:t>
      </w:r>
    </w:p>
    <w:p w14:paraId="107D2C8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sectPr>
          <w:footerReference r:id="rId3" w:type="default"/>
          <w:pgSz w:w="11906" w:h="16838"/>
          <w:pgMar w:top="1440" w:right="1247" w:bottom="1440" w:left="1247" w:header="851" w:footer="992" w:gutter="0"/>
          <w:pgNumType w:fmt="decimal" w:start="1"/>
          <w:cols w:space="720" w:num="1"/>
          <w:docGrid w:type="linesAndChars" w:linePitch="312" w:charSpace="0"/>
        </w:sectPr>
      </w:pPr>
      <w:r>
        <w:rPr>
          <w:rFonts w:hint="eastAsia" w:ascii="宋体" w:hAnsi="宋体" w:eastAsia="宋体" w:cs="宋体"/>
          <w:b w:val="0"/>
          <w:color w:val="000000"/>
          <w:kern w:val="2"/>
          <w:sz w:val="21"/>
          <w:szCs w:val="21"/>
          <w:highlight w:val="none"/>
          <w:lang w:val="en-US" w:eastAsia="zh-CN" w:bidi="ar"/>
        </w:rPr>
        <w:t>自合同签订之日起至2025年9月15日止。自合同签订之日起一周内启动项目，演练项目结束后，5个工作日内按招标人相关要求提交演练成果资料。</w:t>
      </w: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80" w:name="_Toc376824481"/>
      <w:bookmarkStart w:id="81" w:name="_Toc376824508"/>
      <w:bookmarkStart w:id="82" w:name="_Toc152571734"/>
      <w:bookmarkStart w:id="83" w:name="_Toc376824381"/>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4A434DD4">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68148EBF">
      <w:pPr>
        <w:spacing w:line="360" w:lineRule="auto"/>
        <w:rPr>
          <w:rFonts w:hint="eastAsia" w:ascii="宋体" w:hAnsi="宋体" w:eastAsia="宋体" w:cs="宋体"/>
          <w:b/>
          <w:spacing w:val="0"/>
          <w:sz w:val="21"/>
          <w:szCs w:val="21"/>
          <w:highlight w:val="none"/>
          <w:lang w:eastAsia="zh-CN"/>
        </w:rPr>
      </w:pPr>
      <w:bookmarkStart w:id="84" w:name="_Toc297806550"/>
      <w:bookmarkStart w:id="85" w:name="_Toc221503541"/>
      <w:bookmarkStart w:id="86" w:name="_Toc298258571"/>
      <w:bookmarkStart w:id="87" w:name="_Toc297806527"/>
      <w:bookmarkStart w:id="88" w:name="_Toc424651533"/>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4"/>
      <w:bookmarkEnd w:id="85"/>
      <w:bookmarkEnd w:id="86"/>
      <w:bookmarkEnd w:id="87"/>
      <w:bookmarkEnd w:id="88"/>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89" w:name="_Toc297806528"/>
      <w:bookmarkStart w:id="90" w:name="_Toc297806551"/>
      <w:r>
        <w:rPr>
          <w:rFonts w:hint="eastAsia" w:ascii="宋体" w:hAnsi="宋体" w:eastAsia="宋体" w:cs="宋体"/>
          <w:b/>
          <w:spacing w:val="0"/>
          <w:sz w:val="21"/>
          <w:szCs w:val="21"/>
          <w:highlight w:val="none"/>
          <w:lang w:eastAsia="zh-CN"/>
        </w:rPr>
        <w:t>2.2 乙方承诺及保证</w:t>
      </w:r>
      <w:bookmarkEnd w:id="89"/>
      <w:bookmarkEnd w:id="90"/>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1" w:name="_Toc298258572"/>
      <w:bookmarkStart w:id="92" w:name="_Toc221503542"/>
      <w:bookmarkStart w:id="93" w:name="_Toc297806529"/>
      <w:bookmarkStart w:id="94" w:name="_Toc424651534"/>
      <w:bookmarkStart w:id="95" w:name="_Toc297806552"/>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1"/>
      <w:bookmarkEnd w:id="92"/>
      <w:bookmarkEnd w:id="93"/>
      <w:bookmarkEnd w:id="94"/>
      <w:bookmarkEnd w:id="95"/>
    </w:p>
    <w:p w14:paraId="7550C12B">
      <w:pPr>
        <w:spacing w:line="360" w:lineRule="auto"/>
        <w:rPr>
          <w:rFonts w:hint="eastAsia" w:ascii="宋体" w:hAnsi="宋体" w:eastAsia="宋体" w:cs="宋体"/>
          <w:spacing w:val="0"/>
          <w:sz w:val="21"/>
          <w:szCs w:val="21"/>
          <w:highlight w:val="none"/>
          <w:lang w:eastAsia="zh-CN"/>
        </w:rPr>
      </w:pPr>
      <w:bookmarkStart w:id="96" w:name="_Toc297806530"/>
      <w:bookmarkStart w:id="97" w:name="_Toc297806553"/>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6"/>
      <w:bookmarkEnd w:id="97"/>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98" w:name="_Toc297806554"/>
      <w:bookmarkStart w:id="99"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8"/>
      <w:bookmarkEnd w:id="99"/>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100" w:name="_Toc424651535"/>
      <w:bookmarkStart w:id="101" w:name="_Toc297806557"/>
      <w:bookmarkStart w:id="102" w:name="_Toc221503543"/>
      <w:bookmarkStart w:id="103" w:name="_Toc297806534"/>
      <w:bookmarkStart w:id="104" w:name="_Toc298258573"/>
      <w:r>
        <w:rPr>
          <w:rFonts w:hint="eastAsia" w:ascii="宋体" w:hAnsi="宋体" w:eastAsia="宋体" w:cs="宋体"/>
          <w:b/>
          <w:spacing w:val="0"/>
          <w:sz w:val="21"/>
          <w:szCs w:val="21"/>
          <w:highlight w:val="none"/>
          <w:lang w:eastAsia="zh-CN"/>
        </w:rPr>
        <w:t>第四条  服务费用</w:t>
      </w:r>
      <w:bookmarkEnd w:id="100"/>
      <w:bookmarkEnd w:id="101"/>
      <w:bookmarkEnd w:id="102"/>
      <w:bookmarkEnd w:id="103"/>
      <w:bookmarkEnd w:id="104"/>
      <w:r>
        <w:rPr>
          <w:rFonts w:hint="eastAsia" w:ascii="宋体" w:hAnsi="宋体" w:eastAsia="宋体" w:cs="宋体"/>
          <w:b/>
          <w:spacing w:val="0"/>
          <w:sz w:val="21"/>
          <w:szCs w:val="21"/>
          <w:highlight w:val="none"/>
          <w:lang w:eastAsia="zh-CN"/>
        </w:rPr>
        <w:t>及支付方式</w:t>
      </w:r>
    </w:p>
    <w:p w14:paraId="4C3209ED">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r>
        <w:rPr>
          <w:rFonts w:hint="eastAsia" w:ascii="宋体" w:hAnsi="宋体" w:eastAsia="宋体" w:cs="宋体"/>
          <w:spacing w:val="0"/>
          <w:sz w:val="21"/>
          <w:szCs w:val="21"/>
          <w:highlight w:val="none"/>
          <w:lang w:val="en-US" w:eastAsia="zh-CN"/>
        </w:rPr>
        <w:t>合同单价详见附件二。</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72A7CAD1">
      <w:pPr>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在合同服务期限届满，</w:t>
      </w:r>
      <w:r>
        <w:rPr>
          <w:rFonts w:hint="eastAsia" w:ascii="宋体" w:hAnsi="宋体" w:eastAsia="宋体" w:cs="宋体"/>
          <w:highlight w:val="none"/>
          <w:lang w:val="en-US" w:eastAsia="zh-CN"/>
        </w:rPr>
        <w:t>乙方</w:t>
      </w:r>
      <w:r>
        <w:rPr>
          <w:rFonts w:hint="eastAsia" w:ascii="宋体" w:hAnsi="宋体" w:eastAsia="宋体" w:cs="宋体"/>
          <w:highlight w:val="none"/>
        </w:rPr>
        <w:t>提交的所有工作成果均通过</w:t>
      </w:r>
      <w:r>
        <w:rPr>
          <w:rFonts w:hint="eastAsia" w:ascii="宋体" w:hAnsi="宋体" w:eastAsia="宋体" w:cs="宋体"/>
          <w:highlight w:val="none"/>
          <w:lang w:val="en-US" w:eastAsia="zh-CN"/>
        </w:rPr>
        <w:t>甲方</w:t>
      </w:r>
      <w:r>
        <w:rPr>
          <w:rFonts w:hint="eastAsia" w:ascii="宋体" w:hAnsi="宋体" w:eastAsia="宋体" w:cs="宋体"/>
          <w:highlight w:val="none"/>
        </w:rPr>
        <w:t>验收，且向</w:t>
      </w:r>
      <w:r>
        <w:rPr>
          <w:rFonts w:hint="eastAsia" w:ascii="宋体" w:hAnsi="宋体" w:eastAsia="宋体" w:cs="宋体"/>
          <w:highlight w:val="none"/>
          <w:lang w:val="en-US" w:eastAsia="zh-CN"/>
        </w:rPr>
        <w:t>甲方</w:t>
      </w:r>
      <w:r>
        <w:rPr>
          <w:rFonts w:hint="eastAsia" w:ascii="宋体" w:hAnsi="宋体" w:eastAsia="宋体" w:cs="宋体"/>
          <w:highlight w:val="none"/>
        </w:rPr>
        <w:t>提供符合要求的增值税发票后</w:t>
      </w:r>
      <w:r>
        <w:rPr>
          <w:rFonts w:hint="eastAsia" w:ascii="宋体" w:hAnsi="宋体" w:cs="宋体"/>
          <w:highlight w:val="none"/>
          <w:u w:val="single"/>
          <w:lang w:val="en-US" w:eastAsia="zh-CN"/>
        </w:rPr>
        <w:t>30</w:t>
      </w:r>
      <w:r>
        <w:rPr>
          <w:rFonts w:hint="eastAsia" w:ascii="宋体" w:hAnsi="宋体" w:eastAsia="宋体" w:cs="宋体"/>
          <w:highlight w:val="none"/>
        </w:rPr>
        <w:t>日内，一次性付清</w:t>
      </w:r>
      <w:r>
        <w:rPr>
          <w:rFonts w:hint="eastAsia" w:ascii="宋体" w:hAnsi="宋体" w:eastAsia="宋体" w:cs="宋体"/>
          <w:highlight w:val="none"/>
          <w:lang w:val="en-US" w:eastAsia="zh-CN"/>
        </w:rPr>
        <w:t>合同价款。</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b w:val="0"/>
          <w:color w:val="000000"/>
          <w:kern w:val="2"/>
          <w:sz w:val="21"/>
          <w:szCs w:val="21"/>
          <w:highlight w:val="none"/>
          <w:lang w:val="en-US" w:eastAsia="zh-CN" w:bidi="ar"/>
        </w:rPr>
        <w:t>市级综合应急演练服务发生的所有费用（包括提供全部设备与用品等所付出的所有费用）、交通费(如有)、利润、招标代理费、专家评审费、税金、政策性文件规定及合同包含的所有风险和责任等。）</w:t>
      </w:r>
      <w:r>
        <w:rPr>
          <w:rFonts w:hint="eastAsia" w:ascii="宋体" w:hAnsi="宋体" w:eastAsia="宋体" w:cs="宋体"/>
          <w:spacing w:val="0"/>
          <w:sz w:val="21"/>
          <w:szCs w:val="21"/>
          <w:highlight w:val="none"/>
          <w:lang w:eastAsia="zh-CN"/>
        </w:rPr>
        <w:t>除另有约定外，甲方无需向乙方另行支付其他任何费用。</w:t>
      </w:r>
      <w:bookmarkStart w:id="105" w:name="_Toc298258574"/>
      <w:bookmarkStart w:id="106" w:name="_Toc221503544"/>
      <w:bookmarkStart w:id="107" w:name="_Toc424651536"/>
      <w:bookmarkStart w:id="108" w:name="_Toc297806558"/>
      <w:bookmarkStart w:id="109" w:name="_Toc297806535"/>
    </w:p>
    <w:p w14:paraId="2C63C4E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0"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1"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0"/>
      <w:bookmarkEnd w:id="111"/>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72799B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5"/>
      <w:bookmarkEnd w:id="106"/>
      <w:bookmarkEnd w:id="107"/>
      <w:bookmarkEnd w:id="108"/>
      <w:bookmarkEnd w:id="109"/>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13C5F040">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14:paraId="712214A6">
      <w:pPr>
        <w:spacing w:line="360" w:lineRule="auto"/>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12" w:name="_Toc298258575"/>
      <w:bookmarkEnd w:id="112"/>
      <w:bookmarkStart w:id="113" w:name="_Toc424651537"/>
      <w:bookmarkStart w:id="114" w:name="_Toc298258576"/>
      <w:bookmarkStart w:id="115" w:name="_Toc297806536"/>
      <w:bookmarkStart w:id="116" w:name="_Toc221503545"/>
      <w:bookmarkStart w:id="117" w:name="_Toc297806559"/>
      <w:r>
        <w:rPr>
          <w:rFonts w:hint="eastAsia" w:ascii="宋体" w:hAnsi="宋体" w:eastAsia="宋体" w:cs="宋体"/>
          <w:b/>
          <w:spacing w:val="0"/>
          <w:sz w:val="21"/>
          <w:szCs w:val="21"/>
          <w:highlight w:val="none"/>
          <w:lang w:eastAsia="zh-CN"/>
        </w:rPr>
        <w:t>第七条  乙方权利与义务</w:t>
      </w:r>
      <w:bookmarkEnd w:id="113"/>
      <w:bookmarkEnd w:id="114"/>
      <w:bookmarkEnd w:id="115"/>
      <w:bookmarkEnd w:id="116"/>
      <w:bookmarkEnd w:id="117"/>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18" w:name="_Toc297808125"/>
      <w:bookmarkEnd w:id="118"/>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19" w:name="_Toc424651538"/>
      <w:bookmarkStart w:id="120" w:name="_Toc297806537"/>
      <w:bookmarkStart w:id="121" w:name="_Toc298258577"/>
      <w:bookmarkStart w:id="122" w:name="_Toc221503546"/>
      <w:bookmarkStart w:id="123" w:name="_Toc297806560"/>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19"/>
      <w:bookmarkEnd w:id="120"/>
      <w:bookmarkEnd w:id="121"/>
      <w:bookmarkEnd w:id="122"/>
      <w:bookmarkEnd w:id="123"/>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24" w:name="_Toc297806561"/>
      <w:bookmarkStart w:id="125" w:name="_Toc221503547"/>
      <w:bookmarkStart w:id="126" w:name="_Toc297806538"/>
      <w:bookmarkStart w:id="127" w:name="_Toc298258578"/>
      <w:bookmarkStart w:id="128" w:name="_Toc424651539"/>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4"/>
      <w:bookmarkEnd w:id="125"/>
      <w:bookmarkEnd w:id="126"/>
      <w:bookmarkEnd w:id="127"/>
      <w:bookmarkEnd w:id="128"/>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29" w:name="_Toc424648874"/>
      <w:bookmarkStart w:id="130" w:name="_Toc424651541"/>
      <w:r>
        <w:rPr>
          <w:rFonts w:hint="eastAsia" w:ascii="宋体" w:hAnsi="宋体" w:eastAsia="宋体" w:cs="宋体"/>
          <w:b/>
          <w:spacing w:val="0"/>
          <w:sz w:val="21"/>
          <w:szCs w:val="21"/>
          <w:highlight w:val="none"/>
          <w:lang w:eastAsia="zh-CN"/>
        </w:rPr>
        <w:t>第十条  保密</w:t>
      </w:r>
      <w:bookmarkEnd w:id="129"/>
      <w:bookmarkEnd w:id="130"/>
    </w:p>
    <w:p w14:paraId="6E8F244A">
      <w:pPr>
        <w:spacing w:line="360" w:lineRule="auto"/>
        <w:rPr>
          <w:rFonts w:hint="eastAsia" w:ascii="宋体" w:hAnsi="宋体" w:eastAsia="宋体" w:cs="宋体"/>
          <w:spacing w:val="0"/>
          <w:sz w:val="21"/>
          <w:szCs w:val="21"/>
          <w:highlight w:val="none"/>
          <w:lang w:eastAsia="zh-CN"/>
        </w:rPr>
      </w:pPr>
      <w:bookmarkStart w:id="131" w:name="_Toc424648875"/>
      <w:bookmarkStart w:id="132"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1"/>
      <w:bookmarkEnd w:id="132"/>
    </w:p>
    <w:p w14:paraId="312C0D2D">
      <w:pPr>
        <w:spacing w:line="360" w:lineRule="auto"/>
        <w:rPr>
          <w:rFonts w:hint="eastAsia" w:ascii="宋体" w:hAnsi="宋体" w:eastAsia="宋体" w:cs="宋体"/>
          <w:spacing w:val="0"/>
          <w:sz w:val="21"/>
          <w:szCs w:val="21"/>
          <w:highlight w:val="none"/>
          <w:lang w:eastAsia="zh-CN"/>
        </w:rPr>
      </w:pPr>
      <w:bookmarkStart w:id="133" w:name="_Toc424648876"/>
      <w:bookmarkStart w:id="134" w:name="_Toc424651543"/>
      <w:r>
        <w:rPr>
          <w:rFonts w:hint="eastAsia" w:ascii="宋体" w:hAnsi="宋体" w:eastAsia="宋体" w:cs="宋体"/>
          <w:spacing w:val="0"/>
          <w:sz w:val="21"/>
          <w:szCs w:val="21"/>
          <w:highlight w:val="none"/>
          <w:lang w:eastAsia="zh-CN"/>
        </w:rPr>
        <w:t>10.2 本合同规定的保密信息不包括以下信息：</w:t>
      </w:r>
      <w:bookmarkEnd w:id="133"/>
      <w:bookmarkEnd w:id="134"/>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5" w:name="_DV_C27"/>
      <w:r>
        <w:rPr>
          <w:rFonts w:hint="eastAsia" w:ascii="宋体" w:hAnsi="宋体" w:eastAsia="宋体" w:cs="宋体"/>
          <w:spacing w:val="0"/>
          <w:sz w:val="21"/>
          <w:szCs w:val="21"/>
          <w:highlight w:val="none"/>
          <w:lang w:eastAsia="zh-CN"/>
        </w:rPr>
        <w:t>对</w:t>
      </w:r>
      <w:bookmarkEnd w:id="135"/>
      <w:bookmarkStart w:id="136" w:name="_DV_M38"/>
      <w:bookmarkEnd w:id="136"/>
      <w:r>
        <w:rPr>
          <w:rFonts w:hint="eastAsia" w:ascii="宋体" w:hAnsi="宋体" w:eastAsia="宋体" w:cs="宋体"/>
          <w:spacing w:val="0"/>
          <w:sz w:val="21"/>
          <w:szCs w:val="21"/>
          <w:highlight w:val="none"/>
          <w:lang w:eastAsia="zh-CN"/>
        </w:rPr>
        <w:t>保密</w:t>
      </w:r>
      <w:bookmarkStart w:id="137" w:name="_DV_C29"/>
      <w:r>
        <w:rPr>
          <w:rFonts w:hint="eastAsia" w:ascii="宋体" w:hAnsi="宋体" w:eastAsia="宋体" w:cs="宋体"/>
          <w:spacing w:val="0"/>
          <w:sz w:val="21"/>
          <w:szCs w:val="21"/>
          <w:highlight w:val="none"/>
          <w:lang w:eastAsia="zh-CN"/>
        </w:rPr>
        <w:t>信息保密</w:t>
      </w:r>
      <w:bookmarkEnd w:id="137"/>
      <w:bookmarkStart w:id="138" w:name="_DV_M39"/>
      <w:bookmarkEnd w:id="138"/>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4C71CC94">
      <w:pPr>
        <w:spacing w:line="360" w:lineRule="auto"/>
        <w:rPr>
          <w:rFonts w:hint="eastAsia" w:ascii="宋体" w:hAnsi="宋体" w:eastAsia="宋体" w:cs="宋体"/>
          <w:b/>
          <w:spacing w:val="0"/>
          <w:sz w:val="21"/>
          <w:szCs w:val="21"/>
          <w:highlight w:val="none"/>
          <w:lang w:eastAsia="zh-CN"/>
        </w:rPr>
      </w:pPr>
      <w:bookmarkStart w:id="139" w:name="_Toc424651540"/>
      <w:bookmarkStart w:id="140" w:name="_Toc297806539"/>
      <w:bookmarkStart w:id="141" w:name="_Toc297806562"/>
      <w:bookmarkStart w:id="142" w:name="_Toc298258579"/>
    </w:p>
    <w:p w14:paraId="29424CA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第十一条  合同的变更和终止</w:t>
      </w:r>
      <w:bookmarkEnd w:id="139"/>
      <w:bookmarkEnd w:id="140"/>
      <w:bookmarkEnd w:id="141"/>
      <w:bookmarkEnd w:id="142"/>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43" w:name="_Toc424651544"/>
      <w:bookmarkStart w:id="144" w:name="_Toc297806563"/>
      <w:bookmarkStart w:id="145" w:name="_Toc297806540"/>
      <w:bookmarkStart w:id="146" w:name="_Toc298258580"/>
      <w:r>
        <w:rPr>
          <w:rFonts w:hint="eastAsia" w:ascii="宋体" w:hAnsi="宋体" w:eastAsia="宋体" w:cs="宋体"/>
          <w:b/>
          <w:spacing w:val="0"/>
          <w:sz w:val="21"/>
          <w:szCs w:val="21"/>
          <w:highlight w:val="none"/>
          <w:lang w:eastAsia="zh-CN"/>
        </w:rPr>
        <w:t>第十二条  违约责任</w:t>
      </w:r>
      <w:bookmarkEnd w:id="143"/>
      <w:bookmarkEnd w:id="144"/>
      <w:bookmarkEnd w:id="145"/>
      <w:bookmarkEnd w:id="146"/>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47" w:name="_Toc424651545"/>
      <w:bookmarkStart w:id="148" w:name="_Toc298258581"/>
      <w:bookmarkStart w:id="149" w:name="_Toc297806541"/>
      <w:bookmarkStart w:id="150" w:name="_Toc297806564"/>
      <w:r>
        <w:rPr>
          <w:rFonts w:hint="eastAsia" w:ascii="宋体" w:hAnsi="宋体" w:eastAsia="宋体" w:cs="宋体"/>
          <w:b/>
          <w:spacing w:val="0"/>
          <w:sz w:val="21"/>
          <w:szCs w:val="21"/>
          <w:highlight w:val="none"/>
          <w:lang w:eastAsia="zh-CN"/>
        </w:rPr>
        <w:t>第十三条  不可抗力</w:t>
      </w:r>
      <w:bookmarkEnd w:id="147"/>
      <w:bookmarkEnd w:id="148"/>
      <w:bookmarkEnd w:id="149"/>
      <w:bookmarkEnd w:id="150"/>
    </w:p>
    <w:p w14:paraId="09CA1A00">
      <w:pPr>
        <w:spacing w:line="360" w:lineRule="auto"/>
        <w:rPr>
          <w:rFonts w:hint="eastAsia" w:ascii="宋体" w:hAnsi="宋体" w:eastAsia="宋体" w:cs="宋体"/>
          <w:spacing w:val="0"/>
          <w:sz w:val="21"/>
          <w:szCs w:val="21"/>
          <w:highlight w:val="none"/>
          <w:lang w:eastAsia="zh-CN"/>
        </w:rPr>
      </w:pPr>
      <w:bookmarkStart w:id="151" w:name="_Toc169968033"/>
      <w:r>
        <w:rPr>
          <w:rFonts w:hint="eastAsia" w:ascii="宋体" w:hAnsi="宋体" w:eastAsia="宋体" w:cs="宋体"/>
          <w:spacing w:val="0"/>
          <w:sz w:val="21"/>
          <w:szCs w:val="21"/>
          <w:highlight w:val="none"/>
          <w:lang w:eastAsia="zh-CN"/>
        </w:rPr>
        <w:t>13.1</w:t>
      </w:r>
      <w:bookmarkEnd w:id="151"/>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52" w:name="_Toc298258582"/>
      <w:bookmarkStart w:id="153" w:name="_Toc297806565"/>
      <w:bookmarkStart w:id="154" w:name="_Toc297806542"/>
      <w:bookmarkStart w:id="155" w:name="_Toc424651546"/>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2"/>
      <w:bookmarkEnd w:id="153"/>
      <w:bookmarkEnd w:id="154"/>
      <w:bookmarkEnd w:id="155"/>
    </w:p>
    <w:p w14:paraId="108062BF">
      <w:pPr>
        <w:spacing w:line="360" w:lineRule="auto"/>
        <w:rPr>
          <w:rFonts w:hint="eastAsia" w:ascii="宋体" w:hAnsi="宋体" w:eastAsia="宋体" w:cs="宋体"/>
          <w:spacing w:val="0"/>
          <w:sz w:val="21"/>
          <w:szCs w:val="21"/>
          <w:highlight w:val="none"/>
          <w:lang w:eastAsia="zh-CN"/>
        </w:rPr>
      </w:pPr>
      <w:bookmarkStart w:id="156"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6"/>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57" w:name="_Toc298258583"/>
      <w:bookmarkEnd w:id="157"/>
      <w:bookmarkStart w:id="158" w:name="_Toc298258586"/>
      <w:bookmarkEnd w:id="158"/>
      <w:bookmarkStart w:id="159" w:name="_Toc298258585"/>
      <w:bookmarkEnd w:id="159"/>
      <w:bookmarkStart w:id="160" w:name="_Toc298258584"/>
      <w:bookmarkEnd w:id="160"/>
      <w:bookmarkStart w:id="161" w:name="_Toc424651548"/>
      <w:bookmarkStart w:id="162" w:name="_Toc298258587"/>
      <w:bookmarkStart w:id="163" w:name="_Toc297806546"/>
      <w:bookmarkStart w:id="164" w:name="_Toc297806569"/>
      <w:r>
        <w:rPr>
          <w:rFonts w:hint="eastAsia" w:ascii="宋体" w:hAnsi="宋体" w:eastAsia="宋体" w:cs="宋体"/>
          <w:b/>
          <w:spacing w:val="0"/>
          <w:sz w:val="21"/>
          <w:szCs w:val="21"/>
          <w:highlight w:val="none"/>
          <w:lang w:eastAsia="zh-CN"/>
        </w:rPr>
        <w:t>第十六条  通知</w:t>
      </w:r>
      <w:bookmarkEnd w:id="161"/>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5"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2"/>
      <w:bookmarkEnd w:id="163"/>
      <w:bookmarkEnd w:id="164"/>
      <w:bookmarkEnd w:id="165"/>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0"/>
      <w:bookmarkEnd w:id="81"/>
      <w:bookmarkEnd w:id="82"/>
      <w:bookmarkEnd w:id="83"/>
    </w:p>
    <w:p w14:paraId="63010789">
      <w:pPr>
        <w:spacing w:line="360" w:lineRule="auto"/>
        <w:rPr>
          <w:rFonts w:hint="eastAsia" w:ascii="宋体" w:hAnsi="宋体" w:eastAsia="宋体" w:cs="宋体"/>
          <w:b/>
          <w:bCs/>
          <w:spacing w:val="0"/>
          <w:sz w:val="21"/>
          <w:szCs w:val="21"/>
          <w:highlight w:val="none"/>
          <w:lang w:eastAsia="zh-CN"/>
        </w:rPr>
      </w:pPr>
      <w:bookmarkStart w:id="166"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6"/>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622D8DAC">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5B2DE616">
      <w:pPr>
        <w:spacing w:line="360" w:lineRule="auto"/>
        <w:ind w:firstLine="420" w:firstLineChars="200"/>
        <w:rPr>
          <w:rFonts w:cs="宋体"/>
          <w:spacing w:val="0"/>
          <w:sz w:val="21"/>
          <w:szCs w:val="21"/>
          <w:highlight w:val="none"/>
          <w:lang w:eastAsia="zh-CN"/>
        </w:rPr>
      </w:pPr>
    </w:p>
    <w:p w14:paraId="0F31E1D8">
      <w:pPr>
        <w:spacing w:line="360" w:lineRule="auto"/>
        <w:ind w:firstLine="420" w:firstLineChars="200"/>
        <w:rPr>
          <w:rFonts w:cs="宋体"/>
          <w:spacing w:val="0"/>
          <w:sz w:val="21"/>
          <w:szCs w:val="21"/>
          <w:highlight w:val="none"/>
          <w:lang w:eastAsia="zh-CN"/>
        </w:rPr>
      </w:pPr>
    </w:p>
    <w:p w14:paraId="3A3C9043">
      <w:pPr>
        <w:rPr>
          <w:highlight w:val="none"/>
          <w:lang w:eastAsia="zh-CN"/>
        </w:rPr>
      </w:pPr>
      <w:r>
        <w:rPr>
          <w:rFonts w:cs="宋体"/>
          <w:spacing w:val="0"/>
          <w:sz w:val="21"/>
          <w:szCs w:val="21"/>
          <w:highlight w:val="none"/>
          <w:lang w:eastAsia="zh-CN"/>
        </w:rPr>
        <w:br w:type="page"/>
      </w:r>
    </w:p>
    <w:p w14:paraId="428DB307">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3"/>
        <w:rPr>
          <w:rFonts w:hAnsi="宋体"/>
          <w:b/>
          <w:spacing w:val="0"/>
          <w:sz w:val="21"/>
          <w:szCs w:val="21"/>
          <w:highlight w:val="none"/>
          <w:lang w:eastAsia="zh-CN"/>
        </w:rPr>
      </w:pPr>
    </w:p>
    <w:p w14:paraId="356BA390">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3"/>
        <w:rPr>
          <w:rFonts w:hAnsi="宋体"/>
          <w:b/>
          <w:spacing w:val="0"/>
          <w:sz w:val="21"/>
          <w:szCs w:val="21"/>
          <w:highlight w:val="none"/>
          <w:lang w:eastAsia="zh-CN"/>
        </w:rPr>
      </w:pPr>
    </w:p>
    <w:p w14:paraId="57E17899">
      <w:pPr>
        <w:pStyle w:val="13"/>
        <w:rPr>
          <w:rFonts w:hAnsi="宋体"/>
          <w:b/>
          <w:spacing w:val="0"/>
          <w:sz w:val="21"/>
          <w:szCs w:val="21"/>
          <w:highlight w:val="none"/>
          <w:lang w:eastAsia="zh-CN"/>
        </w:rPr>
      </w:pPr>
    </w:p>
    <w:p w14:paraId="4CE02DF5">
      <w:pPr>
        <w:pStyle w:val="13"/>
        <w:spacing w:line="360" w:lineRule="auto"/>
        <w:rPr>
          <w:spacing w:val="0"/>
          <w:sz w:val="21"/>
          <w:highlight w:val="none"/>
          <w:lang w:eastAsia="zh-CN"/>
        </w:rPr>
        <w:sectPr>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6"/>
        <w:rPr>
          <w:rFonts w:hint="eastAsia"/>
          <w:highlight w:val="none"/>
          <w:lang w:val="en-US"/>
        </w:rPr>
      </w:pPr>
    </w:p>
    <w:p w14:paraId="57848661">
      <w:pPr>
        <w:pStyle w:val="17"/>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7" w:name="_Toc21573"/>
      <w:bookmarkEnd w:id="167"/>
      <w:bookmarkStart w:id="168"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8"/>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69" w:name="_Toc19336_WPSOffice_Level2"/>
      <w:bookmarkEnd w:id="169"/>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0" w:name="_Toc7180_WPSOffice_Level3"/>
      <w:bookmarkEnd w:id="170"/>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7"/>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1" w:name="_Toc14710_WPSOffice_Level1"/>
      <w:bookmarkEnd w:id="171"/>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18AEEA1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项目负责人</w:t>
      </w:r>
      <w:r>
        <w:rPr>
          <w:rFonts w:hint="eastAsia" w:ascii="宋体"/>
          <w:szCs w:val="21"/>
          <w:highlight w:val="none"/>
          <w:lang w:val="en-US" w:eastAsia="zh-CN"/>
        </w:rPr>
        <w:t>和</w:t>
      </w:r>
      <w:r>
        <w:rPr>
          <w:rFonts w:hint="eastAsia" w:ascii="宋体"/>
          <w:szCs w:val="21"/>
          <w:highlight w:val="none"/>
        </w:rPr>
        <w:t>组其他成员</w:t>
      </w:r>
      <w:r>
        <w:rPr>
          <w:rFonts w:hint="eastAsia" w:ascii="宋体"/>
          <w:color w:val="000000"/>
          <w:szCs w:val="21"/>
          <w:highlight w:val="none"/>
          <w:lang w:val="en-US" w:eastAsia="zh-CN"/>
        </w:rPr>
        <w:t>人员配备表（格式自拟）、人员有效身份证扫描件、相应证书扫描件、工作经验证明（格式自拟）和</w:t>
      </w:r>
      <w:r>
        <w:rPr>
          <w:rFonts w:hint="eastAsia" w:ascii="宋体"/>
          <w:color w:val="000000"/>
          <w:szCs w:val="21"/>
          <w:highlight w:val="none"/>
        </w:rPr>
        <w:t>本单位为</w:t>
      </w:r>
      <w:r>
        <w:rPr>
          <w:rFonts w:hint="eastAsia" w:ascii="宋体"/>
          <w:color w:val="000000"/>
          <w:szCs w:val="21"/>
          <w:highlight w:val="none"/>
          <w:lang w:val="en-US" w:eastAsia="zh-CN"/>
        </w:rPr>
        <w:t>上述人员</w:t>
      </w:r>
      <w:r>
        <w:rPr>
          <w:rFonts w:hint="eastAsia" w:ascii="宋体"/>
          <w:color w:val="000000"/>
          <w:szCs w:val="21"/>
          <w:highlight w:val="none"/>
        </w:rPr>
        <w:t>缴纳的投标前近</w:t>
      </w:r>
      <w:r>
        <w:rPr>
          <w:rFonts w:hint="eastAsia" w:ascii="宋体"/>
          <w:color w:val="000000"/>
          <w:szCs w:val="21"/>
          <w:highlight w:val="none"/>
          <w:lang w:val="en-US" w:eastAsia="zh-CN"/>
        </w:rPr>
        <w:t>六</w:t>
      </w:r>
      <w:r>
        <w:rPr>
          <w:rFonts w:hint="eastAsia" w:ascii="宋体"/>
          <w:color w:val="000000"/>
          <w:szCs w:val="21"/>
          <w:highlight w:val="none"/>
        </w:rPr>
        <w:t>个月的</w:t>
      </w:r>
      <w:r>
        <w:rPr>
          <w:rFonts w:hint="eastAsia" w:ascii="宋体"/>
          <w:color w:val="000000"/>
          <w:szCs w:val="21"/>
          <w:highlight w:val="none"/>
          <w:lang w:val="en-US" w:eastAsia="zh-CN"/>
        </w:rPr>
        <w:t>社保</w:t>
      </w:r>
      <w:r>
        <w:rPr>
          <w:rFonts w:hint="eastAsia" w:ascii="宋体"/>
          <w:color w:val="000000"/>
          <w:szCs w:val="21"/>
          <w:highlight w:val="none"/>
        </w:rPr>
        <w:t>证明材料</w:t>
      </w:r>
      <w:r>
        <w:rPr>
          <w:rFonts w:hint="eastAsia" w:ascii="宋体"/>
          <w:color w:val="000000"/>
          <w:szCs w:val="21"/>
          <w:highlight w:val="none"/>
          <w:lang w:val="en-US" w:eastAsia="zh-CN"/>
        </w:rPr>
        <w:t>扫描件；</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（6）开标一览表（格式见附件）；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（7）投标函（格式见附件）；</w:t>
      </w:r>
    </w:p>
    <w:p w14:paraId="0309732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2" w:name="_Toc425084385"/>
      <w:bookmarkStart w:id="173" w:name="_Toc451384148"/>
      <w:r>
        <w:rPr>
          <w:rFonts w:hint="eastAsia" w:ascii="宋体" w:hAnsi="宋体"/>
          <w:color w:val="000000"/>
          <w:szCs w:val="21"/>
          <w:highlight w:val="none"/>
        </w:rPr>
        <w:t>一、将遵循公</w:t>
      </w:r>
      <w:bookmarkStart w:id="174" w:name="_Toc503196197"/>
      <w:bookmarkStart w:id="175" w:name="_Toc506107356"/>
      <w:bookmarkStart w:id="176" w:name="_Toc26598"/>
      <w:r>
        <w:rPr>
          <w:rFonts w:hint="eastAsia" w:ascii="宋体" w:hAnsi="宋体"/>
          <w:color w:val="000000"/>
          <w:szCs w:val="21"/>
          <w:highlight w:val="none"/>
        </w:rPr>
        <w:t>开、公正和诚实信用</w:t>
      </w:r>
      <w:bookmarkEnd w:id="174"/>
      <w:bookmarkEnd w:id="175"/>
      <w:r>
        <w:rPr>
          <w:rFonts w:hint="eastAsia" w:ascii="宋体" w:hAnsi="宋体"/>
          <w:color w:val="000000"/>
          <w:szCs w:val="21"/>
          <w:highlight w:val="none"/>
        </w:rPr>
        <w:t>的</w:t>
      </w:r>
      <w:bookmarkEnd w:id="17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77" w:name="OLE_LINK134"/>
      <w:bookmarkStart w:id="178"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77"/>
      <w:bookmarkEnd w:id="178"/>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2"/>
    <w:bookmarkEnd w:id="173"/>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4"/>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1FF432C0">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14:paraId="2BF97F99">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14:paraId="403B2603">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14:paraId="5AC213C4">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14:paraId="3E38B2FC">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14:paraId="7BA8E82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5A518C7A">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28"/>
          <w:szCs w:val="28"/>
          <w:highlight w:val="none"/>
          <w:u w:color="000000"/>
          <w:lang w:val="en-US" w:eastAsia="zh-CN" w:bidi="ar"/>
        </w:rPr>
        <w:sectPr>
          <w:pgSz w:w="11906" w:h="16838"/>
          <w:pgMar w:top="1440" w:right="1800" w:bottom="1440" w:left="1800" w:header="851" w:footer="992" w:gutter="0"/>
          <w:pgNumType w:fmt="decimal"/>
          <w:cols w:space="425" w:num="1"/>
          <w:docGrid w:type="lines" w:linePitch="312" w:charSpace="0"/>
        </w:sectPr>
      </w:pPr>
    </w:p>
    <w:p w14:paraId="5992FE08">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9" w:name="_Toc6275_WPSOffice_Level1"/>
      <w:bookmarkEnd w:id="179"/>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滁州轨道运营市级综合应急演练项目（二次）</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联系人：张晓雨</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2025年5月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2025年5月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C9C9A">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1C9C9A">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9BF1D">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E9BF1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7A8EAF88"/>
    <w:multiLevelType w:val="singleLevel"/>
    <w:tmpl w:val="7A8EAF88"/>
    <w:lvl w:ilvl="0" w:tentative="0">
      <w:start w:val="6"/>
      <w:numFmt w:val="chineseCounting"/>
      <w:suff w:val="nothing"/>
      <w:lvlText w:val="%1、"/>
      <w:lvlJc w:val="left"/>
      <w:pPr>
        <w:ind w:left="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ED0D13"/>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CB20585"/>
    <w:rsid w:val="1DD7722D"/>
    <w:rsid w:val="1E0200DF"/>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F522371"/>
    <w:rsid w:val="4FA422F6"/>
    <w:rsid w:val="510E11AC"/>
    <w:rsid w:val="51D84CC9"/>
    <w:rsid w:val="53F246C0"/>
    <w:rsid w:val="551453B2"/>
    <w:rsid w:val="5523352E"/>
    <w:rsid w:val="55B51F78"/>
    <w:rsid w:val="577B334F"/>
    <w:rsid w:val="5AB972A9"/>
    <w:rsid w:val="5AC41FE9"/>
    <w:rsid w:val="5C5D2AC1"/>
    <w:rsid w:val="5D13683D"/>
    <w:rsid w:val="5D2B5019"/>
    <w:rsid w:val="5D7002D3"/>
    <w:rsid w:val="5F7E5C27"/>
    <w:rsid w:val="604D11B9"/>
    <w:rsid w:val="60B87BF7"/>
    <w:rsid w:val="62C47C43"/>
    <w:rsid w:val="6509245E"/>
    <w:rsid w:val="656257FB"/>
    <w:rsid w:val="66527E86"/>
    <w:rsid w:val="668A652A"/>
    <w:rsid w:val="69954A88"/>
    <w:rsid w:val="69F27FE3"/>
    <w:rsid w:val="6AF33AC3"/>
    <w:rsid w:val="6EA934B6"/>
    <w:rsid w:val="6FEA05C0"/>
    <w:rsid w:val="706E041E"/>
    <w:rsid w:val="74C262FC"/>
    <w:rsid w:val="75843174"/>
    <w:rsid w:val="76B7003F"/>
    <w:rsid w:val="771A30E5"/>
    <w:rsid w:val="77E03419"/>
    <w:rsid w:val="78072CF4"/>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25"/>
    <w:qFormat/>
    <w:uiPriority w:val="0"/>
    <w:pPr>
      <w:spacing w:after="120" w:afterLines="0" w:afterAutospacing="0"/>
      <w:ind w:left="420" w:leftChars="200"/>
    </w:pPr>
  </w:style>
  <w:style w:type="paragraph" w:styleId="8">
    <w:name w:val="envelope return"/>
    <w:basedOn w:val="1"/>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1"/>
    <w:qFormat/>
    <w:uiPriority w:val="0"/>
    <w:pPr>
      <w:tabs>
        <w:tab w:val="center" w:pos="4153"/>
        <w:tab w:val="right" w:pos="8306"/>
      </w:tabs>
      <w:snapToGrid w:val="0"/>
      <w:jc w:val="left"/>
    </w:pPr>
    <w:rPr>
      <w:sz w:val="18"/>
    </w:rPr>
  </w:style>
  <w:style w:type="paragraph" w:styleId="16">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2"/>
    <w:link w:val="7"/>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6"/>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2"/>
    <w:link w:val="14"/>
    <w:qFormat/>
    <w:uiPriority w:val="0"/>
    <w:rPr>
      <w:rFonts w:ascii="Arial" w:hAnsi="Arial" w:eastAsia="仿宋_GB2312" w:cs="Arial"/>
      <w:color w:val="000000"/>
      <w:sz w:val="32"/>
      <w:szCs w:val="32"/>
      <w:u w:color="000000"/>
    </w:rPr>
  </w:style>
  <w:style w:type="character" w:customStyle="1" w:styleId="28">
    <w:name w:val="标题 2 Char"/>
    <w:basedOn w:val="22"/>
    <w:link w:val="2"/>
    <w:qFormat/>
    <w:uiPriority w:val="0"/>
    <w:rPr>
      <w:rFonts w:hint="default" w:ascii="Times New Roman" w:hAnsi="Times New Roman" w:eastAsia="宋体" w:cs="Times New Roman"/>
      <w:kern w:val="0"/>
      <w:sz w:val="24"/>
      <w:szCs w:val="24"/>
    </w:rPr>
  </w:style>
  <w:style w:type="character" w:customStyle="1" w:styleId="29">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2"/>
    <w:link w:val="13"/>
    <w:qFormat/>
    <w:uiPriority w:val="0"/>
    <w:rPr>
      <w:rFonts w:hint="eastAsia" w:ascii="宋体" w:hAnsi="宋体" w:eastAsia="宋体" w:cs="宋体"/>
      <w:szCs w:val="21"/>
    </w:rPr>
  </w:style>
  <w:style w:type="character" w:customStyle="1" w:styleId="31">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character" w:customStyle="1" w:styleId="41">
    <w:name w:val="font11"/>
    <w:basedOn w:val="22"/>
    <w:qFormat/>
    <w:uiPriority w:val="0"/>
    <w:rPr>
      <w:rFonts w:hint="eastAsia" w:ascii="宋体" w:hAnsi="宋体" w:eastAsia="宋体" w:cs="宋体"/>
      <w:color w:val="000000"/>
      <w:sz w:val="21"/>
      <w:szCs w:val="21"/>
      <w:u w:val="none"/>
    </w:rPr>
  </w:style>
  <w:style w:type="character" w:customStyle="1" w:styleId="42">
    <w:name w:val="font41"/>
    <w:basedOn w:val="22"/>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 w:type="paragraph" w:customStyle="1" w:styleId="46">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19056</Words>
  <Characters>20268</Characters>
  <Lines>0</Lines>
  <Paragraphs>0</Paragraphs>
  <TotalTime>6</TotalTime>
  <ScaleCrop>false</ScaleCrop>
  <LinksUpToDate>false</LinksUpToDate>
  <CharactersWithSpaces>21077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2025-05-08T01:00:09Z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4682EEEBC99D41E580D2272110B5A24D_13</vt:lpwstr>
  </property>
  <property fmtid="{D5CDD505-2E9C-101B-9397-08002B2CF9AE}" pid="4" name="KSOTemplateDocerSaveRecord">
    <vt:lpwstr>eyJoZGlkIjoiMTljMDcwYWJmYjExZWQzNTVmZDAzZTYwM2JlMzJmZDYiLCJ1c2VySWQiOiIzODU2Mzk2OTQifQ==</vt:lpwstr>
  </property>
</Properties>
</file>