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09B00870">
      <w:pPr>
        <w:snapToGrid w:val="0"/>
        <w:spacing w:line="873" w:lineRule="atLeast"/>
        <w:jc w:val="center"/>
        <w:rPr>
          <w:rFonts w:hint="eastAsia" w:ascii="宋体" w:hAnsi="宋体" w:eastAsia="宋体" w:cs="宋体"/>
          <w:b/>
          <w:color w:val="auto"/>
          <w:sz w:val="44"/>
          <w:szCs w:val="44"/>
          <w:highlight w:val="none"/>
        </w:rPr>
      </w:pPr>
      <w:r>
        <w:rPr>
          <w:rFonts w:hint="eastAsia" w:ascii="Times New Roman" w:hAnsi="Times New Roman" w:eastAsia="宋体" w:cs="Times New Roman"/>
          <w:b/>
          <w:color w:val="auto"/>
          <w:sz w:val="44"/>
          <w:szCs w:val="44"/>
          <w:highlight w:val="none"/>
          <w:lang w:eastAsia="zh-CN"/>
        </w:rPr>
        <w:t>2025</w:t>
      </w:r>
      <w:r>
        <w:rPr>
          <w:rFonts w:hint="eastAsia" w:ascii="宋体" w:hAnsi="宋体" w:eastAsia="宋体" w:cs="宋体"/>
          <w:b/>
          <w:color w:val="auto"/>
          <w:sz w:val="44"/>
          <w:szCs w:val="44"/>
          <w:highlight w:val="none"/>
        </w:rPr>
        <w:t>年滁宁城铁车辆中心踏面研磨子</w:t>
      </w:r>
    </w:p>
    <w:p w14:paraId="55214223">
      <w:pPr>
        <w:snapToGrid w:val="0"/>
        <w:spacing w:line="873" w:lineRule="atLeast"/>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采购项目</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7</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rPr>
        <w:t>2025年滁宁城铁车辆中心踏面研磨子采购项目</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22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394"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488"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229" w:type="dxa"/>
            <w:vAlign w:val="center"/>
          </w:tcPr>
          <w:p w14:paraId="7F72C090">
            <w:pPr>
              <w:jc w:val="center"/>
              <w:rPr>
                <w:rFonts w:ascii="宋体" w:hAnsi="宋体" w:cs="Arial"/>
                <w:color w:val="auto"/>
                <w:sz w:val="24"/>
                <w:szCs w:val="24"/>
                <w:highlight w:val="none"/>
              </w:rPr>
            </w:pPr>
            <w:r>
              <w:rPr>
                <w:rFonts w:hint="eastAsia" w:ascii="宋体" w:hAnsi="宋体" w:cs="宋体"/>
                <w:color w:val="auto"/>
                <w:sz w:val="24"/>
                <w:highlight w:val="none"/>
              </w:rPr>
              <w:t>2025年滁宁城铁车辆中心踏面研磨子采购项目</w:t>
            </w:r>
          </w:p>
        </w:tc>
        <w:tc>
          <w:tcPr>
            <w:tcW w:w="4394"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488"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（2）合同形式及采购期：一年期框架协议；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319AB80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p>
    <w:p w14:paraId="17919598">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ascii="Times New Roman" w:cs="Times New Roman"/>
          <w:color w:val="auto"/>
          <w:highlight w:val="none"/>
        </w:rPr>
        <w:t xml:space="preserve">.1 </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324108A3">
      <w:pPr>
        <w:pStyle w:val="16"/>
        <w:spacing w:before="0" w:beforeAutospacing="0" w:after="0" w:afterAutospacing="0" w:line="360" w:lineRule="auto"/>
        <w:ind w:left="600" w:hanging="600" w:hangingChars="250"/>
        <w:rPr>
          <w:rFonts w:hint="eastAsia"/>
          <w:color w:val="auto"/>
          <w:szCs w:val="21"/>
          <w:highlight w:val="none"/>
        </w:rPr>
      </w:pPr>
      <w:r>
        <w:rPr>
          <w:rFonts w:hint="eastAsia" w:ascii="Times New Roman" w:cs="Times New Roman"/>
          <w:color w:val="auto"/>
          <w:highlight w:val="none"/>
        </w:rPr>
        <w:t>2.1.</w:t>
      </w:r>
      <w:r>
        <w:rPr>
          <w:rFonts w:hint="eastAsia" w:ascii="Times New Roman" w:cs="Times New Roman"/>
          <w:color w:val="auto"/>
          <w:highlight w:val="none"/>
          <w:lang w:val="en-US" w:eastAsia="zh-CN"/>
        </w:rPr>
        <w:t>2</w:t>
      </w:r>
      <w:r>
        <w:rPr>
          <w:rFonts w:hint="eastAsia" w:ascii="Times New Roman" w:cs="Times New Roman"/>
          <w:color w:val="auto"/>
          <w:highlight w:val="none"/>
        </w:rPr>
        <w:t xml:space="preserve"> 报价人须为本次采购产品的制造商或授权经销商（须提供制造商出具的授权委托书，且该委托书在有效期内）。</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2</w:t>
      </w:r>
      <w:r>
        <w:rPr>
          <w:color w:val="auto"/>
          <w:sz w:val="24"/>
          <w:szCs w:val="24"/>
          <w:highlight w:val="none"/>
        </w:rPr>
        <w:t>月</w:t>
      </w:r>
      <w:r>
        <w:rPr>
          <w:rFonts w:hint="eastAsia"/>
          <w:color w:val="auto"/>
          <w:sz w:val="24"/>
          <w:szCs w:val="24"/>
          <w:highlight w:val="none"/>
          <w:u w:val="single"/>
          <w:lang w:val="en-US" w:eastAsia="zh-CN"/>
        </w:rPr>
        <w:t>7</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2</w:t>
      </w:r>
      <w:r>
        <w:rPr>
          <w:color w:val="auto"/>
          <w:sz w:val="24"/>
          <w:szCs w:val="24"/>
          <w:highlight w:val="none"/>
        </w:rPr>
        <w:t>月</w:t>
      </w:r>
      <w:r>
        <w:rPr>
          <w:rFonts w:hint="eastAsia"/>
          <w:color w:val="auto"/>
          <w:sz w:val="24"/>
          <w:szCs w:val="24"/>
          <w:highlight w:val="none"/>
          <w:u w:val="single"/>
          <w:lang w:val="en-US" w:eastAsia="zh-CN"/>
        </w:rPr>
        <w:t>12</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2</w:t>
      </w:r>
      <w:r>
        <w:rPr>
          <w:color w:val="auto"/>
          <w:highlight w:val="none"/>
        </w:rPr>
        <w:t>月</w:t>
      </w:r>
      <w:r>
        <w:rPr>
          <w:rFonts w:hint="eastAsia"/>
          <w:color w:val="auto"/>
          <w:highlight w:val="none"/>
          <w:u w:val="single"/>
          <w:lang w:val="en-US" w:eastAsia="zh-CN"/>
        </w:rPr>
        <w:t>19</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报价文件送交地点：请送至</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rPr>
        <w:t>伍仟元整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2</w:t>
      </w:r>
      <w:r>
        <w:rPr>
          <w:color w:val="auto"/>
          <w:highlight w:val="none"/>
        </w:rPr>
        <w:t>月</w:t>
      </w:r>
      <w:r>
        <w:rPr>
          <w:rFonts w:hint="eastAsia"/>
          <w:color w:val="auto"/>
          <w:highlight w:val="none"/>
          <w:u w:val="single"/>
          <w:lang w:val="en-US" w:eastAsia="zh-CN"/>
        </w:rPr>
        <w:t>19</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2</w:t>
      </w:r>
      <w:r>
        <w:rPr>
          <w:rFonts w:hint="eastAsia"/>
          <w:color w:val="auto"/>
          <w:kern w:val="0"/>
          <w:sz w:val="24"/>
          <w:szCs w:val="24"/>
          <w:highlight w:val="none"/>
        </w:rPr>
        <w:t>月</w:t>
      </w:r>
      <w:r>
        <w:rPr>
          <w:rFonts w:hint="eastAsia"/>
          <w:color w:val="auto"/>
          <w:kern w:val="0"/>
          <w:sz w:val="24"/>
          <w:szCs w:val="24"/>
          <w:highlight w:val="none"/>
          <w:lang w:val="en-US" w:eastAsia="zh-CN"/>
        </w:rPr>
        <w:t>7</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ascii="宋体" w:hAnsi="宋体"/>
                <w:color w:val="auto"/>
                <w:kern w:val="0"/>
                <w:szCs w:val="21"/>
                <w:highlight w:val="none"/>
              </w:rPr>
            </w:pPr>
            <w:r>
              <w:rPr>
                <w:rFonts w:hint="eastAsia" w:ascii="宋体" w:hAnsi="宋体" w:cs="宋体"/>
                <w:color w:val="auto"/>
                <w:sz w:val="24"/>
                <w:highlight w:val="none"/>
              </w:rPr>
              <w:t>2025年滁宁城铁车辆中心踏面研磨子采购项目</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DCADA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0" w:hangingChars="250"/>
        <w:rPr>
          <w:color w:val="auto"/>
          <w:sz w:val="24"/>
          <w:szCs w:val="24"/>
          <w:highlight w:val="none"/>
        </w:rPr>
      </w:pPr>
      <w:r>
        <w:rPr>
          <w:rFonts w:hint="eastAsia"/>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0" w:hangingChars="250"/>
        <w:rPr>
          <w:color w:val="auto"/>
          <w:sz w:val="24"/>
          <w:szCs w:val="24"/>
          <w:highlight w:val="none"/>
        </w:rPr>
      </w:pPr>
      <w:r>
        <w:rPr>
          <w:rFonts w:hint="eastAsia"/>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0" w:hangingChars="250"/>
        <w:rPr>
          <w:color w:val="auto"/>
          <w:sz w:val="24"/>
          <w:szCs w:val="24"/>
          <w:highlight w:val="none"/>
        </w:rPr>
      </w:pPr>
      <w:r>
        <w:rPr>
          <w:rFonts w:hint="eastAsia"/>
          <w:color w:val="auto"/>
          <w:sz w:val="24"/>
          <w:szCs w:val="24"/>
          <w:highlight w:val="none"/>
        </w:rPr>
        <w:t xml:space="preserve">2.3.3 非密封部分应装订成册，以便于查阅和管理。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rPr>
        <w:t>一年期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本项目为滁宁城铁</w:t>
      </w:r>
      <w:r>
        <w:rPr>
          <w:rFonts w:hint="eastAsia"/>
          <w:color w:val="auto"/>
          <w:kern w:val="0"/>
          <w:sz w:val="24"/>
          <w:szCs w:val="24"/>
          <w:highlight w:val="none"/>
          <w:lang w:val="en-US" w:eastAsia="zh-CN"/>
        </w:rPr>
        <w:t>车辆</w:t>
      </w:r>
      <w:r>
        <w:rPr>
          <w:rFonts w:hint="eastAsia"/>
          <w:color w:val="auto"/>
          <w:kern w:val="0"/>
          <w:sz w:val="24"/>
          <w:szCs w:val="24"/>
          <w:highlight w:val="none"/>
        </w:rPr>
        <w:t>中心</w:t>
      </w:r>
      <w:r>
        <w:rPr>
          <w:rFonts w:hint="eastAsia"/>
          <w:color w:val="auto"/>
          <w:kern w:val="0"/>
          <w:sz w:val="24"/>
          <w:szCs w:val="24"/>
          <w:highlight w:val="none"/>
          <w:lang w:val="en-US" w:eastAsia="zh-CN"/>
        </w:rPr>
        <w:t>踏面研磨子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p w14:paraId="3CA1CF6D">
      <w:pPr>
        <w:pStyle w:val="16"/>
        <w:numPr>
          <w:ilvl w:val="0"/>
          <w:numId w:val="0"/>
        </w:numPr>
        <w:spacing w:before="0" w:beforeAutospacing="0" w:after="0" w:afterAutospacing="0" w:line="360" w:lineRule="auto"/>
        <w:ind w:leftChars="0"/>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2.1 采购清单</w:t>
      </w:r>
    </w:p>
    <w:tbl>
      <w:tblPr>
        <w:tblStyle w:val="18"/>
        <w:tblW w:w="105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991"/>
        <w:gridCol w:w="1575"/>
        <w:gridCol w:w="1559"/>
        <w:gridCol w:w="1682"/>
        <w:gridCol w:w="1100"/>
        <w:gridCol w:w="1859"/>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99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575"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1559"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1682" w:type="dxa"/>
            <w:vAlign w:val="center"/>
          </w:tcPr>
          <w:p w14:paraId="646856B5">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指定品牌</w:t>
            </w:r>
          </w:p>
        </w:tc>
        <w:tc>
          <w:tcPr>
            <w:tcW w:w="110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859"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预估采购数量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744" w:type="dxa"/>
            <w:vAlign w:val="center"/>
          </w:tcPr>
          <w:p w14:paraId="799B69FD">
            <w:pPr>
              <w:widowControl/>
              <w:jc w:val="center"/>
              <w:rPr>
                <w:rFonts w:ascii="宋体" w:hAnsi="宋体" w:cs="宋体"/>
                <w:color w:val="auto"/>
                <w:sz w:val="24"/>
                <w:szCs w:val="24"/>
                <w:highlight w:val="none"/>
              </w:rPr>
            </w:pPr>
            <w:r>
              <w:rPr>
                <w:rFonts w:hint="eastAsia"/>
                <w:color w:val="auto"/>
                <w:sz w:val="24"/>
                <w:szCs w:val="24"/>
                <w:highlight w:val="none"/>
              </w:rPr>
              <w:t>1</w:t>
            </w:r>
          </w:p>
        </w:tc>
        <w:tc>
          <w:tcPr>
            <w:tcW w:w="1991" w:type="dxa"/>
            <w:vAlign w:val="center"/>
          </w:tcPr>
          <w:p w14:paraId="5A3E1435">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10070207008009</w:t>
            </w:r>
          </w:p>
        </w:tc>
        <w:tc>
          <w:tcPr>
            <w:tcW w:w="1575" w:type="dxa"/>
            <w:vAlign w:val="center"/>
          </w:tcPr>
          <w:p w14:paraId="1A9A147E">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研磨子</w:t>
            </w:r>
          </w:p>
        </w:tc>
        <w:tc>
          <w:tcPr>
            <w:tcW w:w="1559" w:type="dxa"/>
            <w:vAlign w:val="center"/>
          </w:tcPr>
          <w:p w14:paraId="2410D415">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SK04</w:t>
            </w:r>
          </w:p>
        </w:tc>
        <w:tc>
          <w:tcPr>
            <w:tcW w:w="1682" w:type="dxa"/>
            <w:vAlign w:val="center"/>
          </w:tcPr>
          <w:p w14:paraId="34A4E6D9">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常州铁马</w:t>
            </w:r>
          </w:p>
        </w:tc>
        <w:tc>
          <w:tcPr>
            <w:tcW w:w="1100" w:type="dxa"/>
            <w:vAlign w:val="center"/>
          </w:tcPr>
          <w:p w14:paraId="3538D5AB">
            <w:pPr>
              <w:keepNext w:val="0"/>
              <w:keepLines w:val="0"/>
              <w:widowControl/>
              <w:suppressLineNumbers w:val="0"/>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个</w:t>
            </w:r>
          </w:p>
        </w:tc>
        <w:tc>
          <w:tcPr>
            <w:tcW w:w="1859" w:type="dxa"/>
            <w:vAlign w:val="center"/>
          </w:tcPr>
          <w:p w14:paraId="29B61FF8">
            <w:pPr>
              <w:keepNext w:val="0"/>
              <w:keepLines w:val="0"/>
              <w:widowControl/>
              <w:suppressLineNumbers w:val="0"/>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320 </w:t>
            </w:r>
          </w:p>
        </w:tc>
      </w:tr>
      <w:tr w14:paraId="193F25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0" w:hRule="atLeast"/>
          <w:jc w:val="center"/>
        </w:trPr>
        <w:tc>
          <w:tcPr>
            <w:tcW w:w="10510" w:type="dxa"/>
            <w:gridSpan w:val="7"/>
            <w:vAlign w:val="center"/>
          </w:tcPr>
          <w:p w14:paraId="4B9C8D78">
            <w:pPr>
              <w:rPr>
                <w:rFonts w:ascii="宋体" w:hAnsi="宋体" w:cs="宋体"/>
                <w:color w:val="auto"/>
                <w:sz w:val="24"/>
                <w:highlight w:val="none"/>
              </w:rPr>
            </w:pPr>
            <w:r>
              <w:rPr>
                <w:rFonts w:hint="eastAsia" w:ascii="宋体" w:hAnsi="宋体" w:cs="宋体"/>
                <w:color w:val="auto"/>
                <w:sz w:val="24"/>
                <w:highlight w:val="none"/>
              </w:rPr>
              <w:t>备注：</w:t>
            </w:r>
          </w:p>
          <w:p w14:paraId="4FEC0DD5">
            <w:pPr>
              <w:widowControl/>
              <w:jc w:val="left"/>
              <w:rPr>
                <w:rFonts w:ascii="宋体" w:hAnsi="宋体" w:cs="宋体"/>
                <w:color w:val="auto"/>
                <w:sz w:val="24"/>
                <w:szCs w:val="24"/>
                <w:highlight w:val="none"/>
              </w:rPr>
            </w:pPr>
            <w:r>
              <w:rPr>
                <w:rFonts w:hint="eastAsia" w:ascii="宋体" w:hAnsi="宋体" w:cs="宋体"/>
                <w:color w:val="auto"/>
                <w:sz w:val="24"/>
                <w:szCs w:val="24"/>
                <w:highlight w:val="none"/>
              </w:rPr>
              <w:t>（1）此为一年期框架协议，未税单价1年保持不变，实际采购数量根据我方生产需要调整；</w:t>
            </w:r>
          </w:p>
          <w:p w14:paraId="20BE5333">
            <w:pPr>
              <w:widowControl/>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（2）报价时综合考虑运费，送货地点详见第5.2条</w:t>
            </w:r>
            <w:r>
              <w:rPr>
                <w:rFonts w:hint="eastAsia" w:ascii="宋体" w:hAnsi="宋体" w:cs="宋体"/>
                <w:color w:val="auto"/>
                <w:sz w:val="24"/>
                <w:szCs w:val="24"/>
                <w:highlight w:val="none"/>
                <w:lang w:eastAsia="zh-CN"/>
              </w:rPr>
              <w:t>。</w:t>
            </w:r>
          </w:p>
        </w:tc>
      </w:tr>
    </w:tbl>
    <w:p w14:paraId="16320AC0">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2A365CA1">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制造商出具的授权委托书（</w:t>
      </w:r>
      <w:r>
        <w:rPr>
          <w:rFonts w:hint="eastAsia" w:ascii="Times New Roman" w:hAnsi="Times New Roman" w:cs="Times New Roman"/>
          <w:b/>
          <w:bCs/>
          <w:color w:val="auto"/>
          <w:highlight w:val="none"/>
        </w:rPr>
        <w:t>非制造商报价必须提供，复印件加盖法人公章</w:t>
      </w:r>
      <w:r>
        <w:rPr>
          <w:rFonts w:hint="eastAsia" w:ascii="Times New Roman" w:hAnsi="Times New Roman" w:cs="Times New Roman"/>
          <w:color w:val="auto"/>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有许可制的必须提供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ascii="Times New Roman" w:hAnsi="Times New Roman" w:cs="Times New Roman"/>
          <w:color w:val="auto"/>
          <w:highlight w:val="none"/>
        </w:rPr>
        <w:t>）</w:t>
      </w:r>
    </w:p>
    <w:p w14:paraId="75D8D57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color w:val="auto"/>
          <w:highlight w:val="none"/>
        </w:rPr>
      </w:pPr>
      <w:r>
        <w:rPr>
          <w:rFonts w:hint="eastAsia" w:ascii="Times New Roman" w:hAnsi="Times New Roman" w:cs="Times New Roman"/>
          <w:color w:val="auto"/>
          <w:highlight w:val="none"/>
        </w:rPr>
        <w:t>报价人的报价保证金转账凭证证</w:t>
      </w:r>
    </w:p>
    <w:p w14:paraId="7CA5EB8E">
      <w:pPr>
        <w:widowControl/>
        <w:jc w:val="left"/>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ascii="宋体" w:hAnsi="宋体" w:cs="宋体"/>
                <w:color w:val="auto"/>
                <w:sz w:val="20"/>
                <w:highlight w:val="none"/>
              </w:rPr>
            </w:pPr>
            <w:r>
              <w:rPr>
                <w:rFonts w:hint="eastAsia" w:ascii="宋体" w:hAnsi="宋体" w:cs="宋体"/>
                <w:color w:val="auto"/>
                <w:kern w:val="0"/>
                <w:sz w:val="20"/>
                <w:highlight w:val="none"/>
                <w:lang w:bidi="ar"/>
              </w:rPr>
              <w:t>询价单编号：</w:t>
            </w:r>
            <w:r>
              <w:rPr>
                <w:color w:val="auto"/>
                <w:sz w:val="22"/>
                <w:szCs w:val="22"/>
                <w:highlight w:val="none"/>
              </w:rPr>
              <w:t>CNCJ-XJ-202</w:t>
            </w:r>
            <w:r>
              <w:rPr>
                <w:rFonts w:hint="eastAsia"/>
                <w:color w:val="auto"/>
                <w:sz w:val="22"/>
                <w:szCs w:val="22"/>
                <w:highlight w:val="none"/>
                <w:lang w:val="en-US" w:eastAsia="zh-CN"/>
              </w:rPr>
              <w:t>5</w:t>
            </w:r>
            <w:r>
              <w:rPr>
                <w:color w:val="auto"/>
                <w:sz w:val="22"/>
                <w:szCs w:val="22"/>
                <w:highlight w:val="none"/>
              </w:rPr>
              <w:t>0</w:t>
            </w:r>
            <w:r>
              <w:rPr>
                <w:rFonts w:hint="eastAsia"/>
                <w:color w:val="auto"/>
                <w:sz w:val="22"/>
                <w:szCs w:val="22"/>
                <w:highlight w:val="none"/>
                <w:lang w:val="en-US" w:eastAsia="zh-CN"/>
              </w:rPr>
              <w:t>2</w:t>
            </w:r>
            <w:r>
              <w:rPr>
                <w:color w:val="auto"/>
                <w:sz w:val="22"/>
                <w:szCs w:val="22"/>
                <w:highlight w:val="none"/>
              </w:rPr>
              <w:t>-0001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ascii="宋体" w:hAnsi="宋体" w:cs="宋体"/>
                <w:color w:val="auto"/>
                <w:sz w:val="20"/>
                <w:highlight w:val="none"/>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ascii="宋体" w:hAnsi="宋体" w:cs="宋体"/>
                <w:color w:val="auto"/>
                <w:sz w:val="20"/>
                <w:highlight w:val="none"/>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ascii="宋体" w:hAnsi="宋体" w:cs="宋体"/>
                <w:color w:val="auto"/>
                <w:sz w:val="20"/>
                <w:highlight w:val="none"/>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ascii="宋体" w:hAnsi="宋体" w:cs="宋体"/>
                <w:color w:val="auto"/>
                <w:sz w:val="20"/>
                <w:highlight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ascii="宋体" w:hAnsi="宋体" w:cs="宋体"/>
                <w:color w:val="auto"/>
                <w:sz w:val="20"/>
                <w:highlight w:val="none"/>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2</w:t>
            </w:r>
            <w:r>
              <w:rPr>
                <w:rStyle w:val="75"/>
                <w:rFonts w:hint="default"/>
                <w:color w:val="auto"/>
                <w:highlight w:val="none"/>
                <w:lang w:bidi="ar"/>
              </w:rPr>
              <w:t>月</w:t>
            </w:r>
            <w:r>
              <w:rPr>
                <w:rStyle w:val="79"/>
                <w:rFonts w:hint="eastAsia"/>
                <w:color w:val="auto"/>
                <w:highlight w:val="none"/>
                <w:lang w:val="en-US" w:eastAsia="zh-CN" w:bidi="ar"/>
              </w:rPr>
              <w:t>19</w:t>
            </w:r>
            <w:bookmarkStart w:id="13" w:name="_GoBack"/>
            <w:bookmarkEnd w:id="13"/>
            <w:r>
              <w:rPr>
                <w:rStyle w:val="75"/>
                <w:rFonts w:hint="default"/>
                <w:color w:val="auto"/>
                <w:highlight w:val="none"/>
                <w:lang w:bidi="ar"/>
              </w:rPr>
              <w:t>日前盖章寄回,并确保此报价至少在30天内有效。若该产品或原材料行情波动较大，请另行注明有效期。</w:t>
            </w:r>
          </w:p>
        </w:tc>
      </w:tr>
    </w:tbl>
    <w:p w14:paraId="7EDABC36">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color w:val="auto"/>
          <w:highlight w:val="none"/>
        </w:rPr>
      </w:pPr>
      <w:r>
        <w:rPr>
          <w:rFonts w:hint="eastAsia"/>
          <w:b/>
          <w:color w:val="auto"/>
          <w:sz w:val="48"/>
          <w:szCs w:val="48"/>
          <w:highlight w:val="none"/>
        </w:rPr>
        <w:t>2025年滁宁城铁车辆中心踏面研磨子采购项目</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0617844"/>
      <w:bookmarkStart w:id="5" w:name="_Toc472325755"/>
      <w:bookmarkStart w:id="6" w:name="_Toc471894962"/>
      <w:bookmarkStart w:id="7" w:name="_Toc10620851"/>
      <w:bookmarkStart w:id="8" w:name="_Toc22503"/>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076A98FA">
      <w:pPr>
        <w:snapToGrid w:val="0"/>
        <w:spacing w:line="360" w:lineRule="auto"/>
        <w:ind w:left="218" w:leftChars="104" w:firstLine="409" w:firstLineChars="195"/>
        <w:rPr>
          <w:color w:val="auto"/>
          <w:highlight w:val="none"/>
        </w:rPr>
      </w:pPr>
      <w:r>
        <w:rPr>
          <w:rFonts w:hint="eastAsia" w:ascii="宋体" w:hAnsi="宋体"/>
          <w:color w:val="auto"/>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pPr>
        <w:snapToGrid w:val="0"/>
        <w:spacing w:line="360" w:lineRule="auto"/>
        <w:rPr>
          <w:rFonts w:ascii="宋体" w:hAnsi="宋体"/>
          <w:b/>
          <w:bCs/>
          <w:color w:val="auto"/>
          <w:szCs w:val="21"/>
          <w:highlight w:val="none"/>
        </w:rPr>
      </w:pPr>
      <w:r>
        <w:rPr>
          <w:rFonts w:hint="eastAsia" w:ascii="宋体" w:hAnsi="宋体"/>
          <w:b/>
          <w:color w:val="auto"/>
          <w:szCs w:val="21"/>
          <w:highlight w:val="none"/>
        </w:rPr>
        <w:t xml:space="preserve">1.   </w:t>
      </w:r>
      <w:r>
        <w:rPr>
          <w:rFonts w:hint="eastAsia" w:ascii="宋体" w:hAnsi="宋体"/>
          <w:b/>
          <w:bCs/>
          <w:color w:val="auto"/>
          <w:szCs w:val="21"/>
          <w:highlight w:val="none"/>
        </w:rPr>
        <w:t xml:space="preserve">货物的名称、规格、数量、技术要求 </w:t>
      </w:r>
    </w:p>
    <w:p w14:paraId="5C570531">
      <w:pPr>
        <w:snapToGrid w:val="0"/>
        <w:spacing w:line="360" w:lineRule="auto"/>
        <w:ind w:left="556" w:leftChars="265"/>
        <w:rPr>
          <w:rFonts w:ascii="宋体" w:hAnsi="宋体"/>
          <w:color w:val="auto"/>
          <w:szCs w:val="21"/>
          <w:highlight w:val="none"/>
        </w:rPr>
      </w:pPr>
      <w:r>
        <w:rPr>
          <w:rFonts w:hint="eastAsia" w:ascii="宋体" w:hAnsi="宋体"/>
          <w:color w:val="auto"/>
          <w:szCs w:val="21"/>
          <w:highlight w:val="none"/>
        </w:rPr>
        <w:t>买方和卖方同意由卖方作为供应商，</w:t>
      </w:r>
      <w:bookmarkStart w:id="10" w:name="_Hlk50671119"/>
      <w:r>
        <w:rPr>
          <w:rFonts w:hint="eastAsia" w:ascii="宋体" w:hAnsi="宋体"/>
          <w:color w:val="auto"/>
          <w:szCs w:val="21"/>
          <w:highlight w:val="none"/>
        </w:rPr>
        <w:t>自本框架合同签订之日起至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日或买方下次采购结果确定时止</w:t>
      </w:r>
      <w:bookmarkEnd w:id="10"/>
      <w:r>
        <w:rPr>
          <w:rFonts w:hint="eastAsia" w:ascii="宋体" w:hAnsi="宋体"/>
          <w:color w:val="auto"/>
          <w:szCs w:val="21"/>
          <w:highlight w:val="none"/>
        </w:rPr>
        <w:t>，在本框架合同金额上限范围内，按照本框架合同约定的条件和《订货通知单》向买方出售货物。</w:t>
      </w:r>
      <w:bookmarkStart w:id="11" w:name="_Hlk50669640"/>
      <w:r>
        <w:rPr>
          <w:rFonts w:hint="eastAsia" w:ascii="宋体" w:hAnsi="宋体"/>
          <w:color w:val="auto"/>
          <w:szCs w:val="21"/>
          <w:highlight w:val="none"/>
        </w:rPr>
        <w:t>货物的名称、规格、价格详见附件</w:t>
      </w:r>
      <w:r>
        <w:rPr>
          <w:rFonts w:ascii="宋体" w:hAnsi="宋体"/>
          <w:color w:val="auto"/>
          <w:szCs w:val="21"/>
          <w:highlight w:val="none"/>
        </w:rPr>
        <w:t>1</w:t>
      </w:r>
      <w:r>
        <w:rPr>
          <w:rFonts w:hint="eastAsia" w:ascii="宋体" w:hAnsi="宋体"/>
          <w:color w:val="auto"/>
          <w:szCs w:val="21"/>
          <w:highlight w:val="none"/>
        </w:rPr>
        <w:t>《货物清单》。</w:t>
      </w:r>
      <w:bookmarkEnd w:id="11"/>
      <w:r>
        <w:rPr>
          <w:rFonts w:hint="eastAsia" w:ascii="宋体" w:hAnsi="宋体"/>
          <w:color w:val="auto"/>
          <w:szCs w:val="21"/>
          <w:highlight w:val="none"/>
        </w:rPr>
        <w:t>每次订购货物（为《货物清单》中的部分或全部）的名称、规格、数量以《订货通知单》为准。</w:t>
      </w:r>
    </w:p>
    <w:p w14:paraId="116F1A05">
      <w:pPr>
        <w:snapToGrid w:val="0"/>
        <w:spacing w:line="360" w:lineRule="auto"/>
        <w:rPr>
          <w:rFonts w:ascii="宋体" w:hAnsi="宋体"/>
          <w:b/>
          <w:color w:val="auto"/>
          <w:szCs w:val="21"/>
          <w:highlight w:val="none"/>
        </w:rPr>
      </w:pPr>
      <w:r>
        <w:rPr>
          <w:rFonts w:hint="eastAsia" w:ascii="宋体" w:hAnsi="宋体"/>
          <w:b/>
          <w:color w:val="auto"/>
          <w:szCs w:val="21"/>
          <w:highlight w:val="none"/>
        </w:rPr>
        <w:t>2.   价格</w:t>
      </w:r>
    </w:p>
    <w:p w14:paraId="6E45F6E6">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2.1  本框架合同的总金额（含税）上限为人民币（大写）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rPr>
        <w:t>元）,采购种类、采购单价（不含税）详见附件1。买方与卖方签订的各《订货通知单》的结算总金额达到本框架合同上限总金额的95%至100%，买方有权终止本框架合同。</w:t>
      </w:r>
    </w:p>
    <w:p w14:paraId="0D1DC188">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2.3  本合同中约定的价格为合同有效期内（自本框架合同签订之日起至</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日或买方下次采购结果确定时止）的货物单价（见附件1《货物清单》）。该单价为买方指定地点交货价（人民币），包含货物设计、制造、包装、仓储、运输、保险、售后服务等所发生的一切费用。</w:t>
      </w:r>
    </w:p>
    <w:p w14:paraId="208ECD97">
      <w:pPr>
        <w:tabs>
          <w:tab w:val="left" w:pos="540"/>
        </w:tabs>
        <w:snapToGrid w:val="0"/>
        <w:spacing w:line="360" w:lineRule="auto"/>
        <w:rPr>
          <w:rFonts w:ascii="宋体" w:hAnsi="宋体"/>
          <w:b/>
          <w:color w:val="auto"/>
          <w:szCs w:val="21"/>
          <w:highlight w:val="none"/>
        </w:rPr>
      </w:pPr>
      <w:r>
        <w:rPr>
          <w:rFonts w:hint="eastAsia" w:ascii="宋体" w:hAnsi="宋体"/>
          <w:b/>
          <w:color w:val="auto"/>
          <w:szCs w:val="21"/>
          <w:highlight w:val="none"/>
        </w:rPr>
        <w:t xml:space="preserve">3.   交货地点 </w:t>
      </w:r>
    </w:p>
    <w:p w14:paraId="2171CB89">
      <w:pPr>
        <w:snapToGrid w:val="0"/>
        <w:spacing w:line="360" w:lineRule="auto"/>
        <w:ind w:firstLine="525" w:firstLineChars="250"/>
        <w:rPr>
          <w:rFonts w:ascii="宋体" w:hAnsi="宋体"/>
          <w:color w:val="auto"/>
          <w:highlight w:val="none"/>
        </w:rPr>
      </w:pPr>
      <w:r>
        <w:rPr>
          <w:rFonts w:hint="eastAsia"/>
          <w:color w:val="auto"/>
          <w:highlight w:val="none"/>
        </w:rPr>
        <w:t>滁州市买方指定地点。</w:t>
      </w:r>
    </w:p>
    <w:p w14:paraId="259A0AA8">
      <w:pPr>
        <w:snapToGrid w:val="0"/>
        <w:spacing w:line="360" w:lineRule="auto"/>
        <w:rPr>
          <w:rFonts w:ascii="宋体" w:hAnsi="宋体"/>
          <w:b/>
          <w:color w:val="auto"/>
          <w:szCs w:val="21"/>
          <w:highlight w:val="none"/>
        </w:rPr>
      </w:pPr>
      <w:r>
        <w:rPr>
          <w:rFonts w:hint="eastAsia" w:ascii="宋体" w:hAnsi="宋体"/>
          <w:b/>
          <w:color w:val="auto"/>
          <w:szCs w:val="21"/>
          <w:highlight w:val="none"/>
        </w:rPr>
        <w:t>4.   交货时间</w:t>
      </w:r>
    </w:p>
    <w:p w14:paraId="2197983D">
      <w:pPr>
        <w:tabs>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卖方于接到买方《订货通知单》之时起</w:t>
      </w:r>
      <w:r>
        <w:rPr>
          <w:rFonts w:hint="eastAsia" w:ascii="宋体" w:hAnsi="宋体"/>
          <w:color w:val="auto"/>
          <w:szCs w:val="21"/>
          <w:highlight w:val="none"/>
          <w:u w:val="single"/>
        </w:rPr>
        <w:t xml:space="preserve"> </w:t>
      </w:r>
      <w:r>
        <w:rPr>
          <w:rFonts w:ascii="宋体" w:hAnsi="宋体"/>
          <w:b/>
          <w:color w:val="auto"/>
          <w:szCs w:val="21"/>
          <w:highlight w:val="none"/>
          <w:u w:val="single"/>
        </w:rPr>
        <w:t xml:space="preserve">    </w:t>
      </w:r>
      <w:r>
        <w:rPr>
          <w:rFonts w:hint="eastAsia" w:ascii="宋体" w:hAnsi="宋体"/>
          <w:color w:val="auto"/>
          <w:szCs w:val="21"/>
          <w:highlight w:val="none"/>
        </w:rPr>
        <w:t>个日历天内，将货物全部送达上述指定地点。</w:t>
      </w:r>
    </w:p>
    <w:p w14:paraId="4FB82165">
      <w:pPr>
        <w:tabs>
          <w:tab w:val="left" w:pos="435"/>
          <w:tab w:val="left" w:pos="3135"/>
        </w:tabs>
        <w:snapToGrid w:val="0"/>
        <w:spacing w:line="360" w:lineRule="auto"/>
        <w:rPr>
          <w:rFonts w:ascii="宋体" w:hAnsi="宋体"/>
          <w:b/>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 xml:space="preserve">   </w:t>
      </w:r>
      <w:r>
        <w:rPr>
          <w:rFonts w:hint="eastAsia" w:ascii="宋体" w:hAnsi="宋体"/>
          <w:b/>
          <w:color w:val="auto"/>
          <w:szCs w:val="21"/>
          <w:highlight w:val="none"/>
        </w:rPr>
        <w:t>质量保证</w:t>
      </w:r>
    </w:p>
    <w:p w14:paraId="65E5F33C">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color w:val="auto"/>
          <w:highlight w:val="none"/>
        </w:rPr>
        <w:t>。</w:t>
      </w:r>
    </w:p>
    <w:p w14:paraId="45FC21D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5.3  卖方所供货物如有缺陷或隐蔽瑕疵，应书面如实告知买方，否则，应对货物缺陷或隐蔽瑕疵而造成的损失承担全部赔偿责任。</w:t>
      </w:r>
    </w:p>
    <w:p w14:paraId="74AB0A39">
      <w:pPr>
        <w:tabs>
          <w:tab w:val="left" w:pos="540"/>
        </w:tabs>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pPr>
        <w:adjustRightInd w:val="0"/>
        <w:snapToGrid w:val="0"/>
        <w:spacing w:line="360" w:lineRule="auto"/>
        <w:ind w:left="525" w:hanging="525" w:hangingChars="250"/>
        <w:rPr>
          <w:rFonts w:ascii="宋体" w:hAnsi="宋体" w:cs="宋体"/>
          <w:color w:val="auto"/>
          <w:kern w:val="0"/>
          <w:szCs w:val="21"/>
          <w:highlight w:val="none"/>
        </w:rPr>
      </w:pPr>
      <w:r>
        <w:rPr>
          <w:rFonts w:hint="eastAsia" w:ascii="宋体" w:hAnsi="宋体"/>
          <w:color w:val="auto"/>
          <w:szCs w:val="21"/>
          <w:highlight w:val="none"/>
        </w:rPr>
        <w:t>5.5  卖方出售的货物造成人身损害、财产损失的，卖方应当承担赔偿责任</w:t>
      </w:r>
      <w:r>
        <w:rPr>
          <w:rFonts w:hint="eastAsia" w:ascii="宋体" w:hAnsi="宋体" w:cs="宋体"/>
          <w:color w:val="auto"/>
          <w:kern w:val="0"/>
          <w:szCs w:val="21"/>
          <w:highlight w:val="none"/>
        </w:rPr>
        <w:t>。</w:t>
      </w:r>
    </w:p>
    <w:p w14:paraId="7765E3D7">
      <w:pPr>
        <w:adjustRightInd w:val="0"/>
        <w:snapToGrid w:val="0"/>
        <w:spacing w:line="360" w:lineRule="auto"/>
        <w:ind w:left="525" w:hanging="525" w:hangingChars="250"/>
        <w:rPr>
          <w:rFonts w:ascii="宋体" w:hAnsi="宋体" w:cs="宋体"/>
          <w:color w:val="auto"/>
          <w:kern w:val="0"/>
          <w:szCs w:val="21"/>
          <w:highlight w:val="none"/>
        </w:rPr>
      </w:pPr>
      <w:r>
        <w:rPr>
          <w:rFonts w:hint="eastAsia" w:ascii="宋体" w:hAnsi="宋体" w:cs="宋体"/>
          <w:color w:val="auto"/>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pPr>
        <w:adjustRightInd w:val="0"/>
        <w:snapToGrid w:val="0"/>
        <w:spacing w:line="360" w:lineRule="auto"/>
        <w:ind w:left="525"/>
        <w:rPr>
          <w:rFonts w:ascii="宋体" w:hAnsi="宋体" w:cs="宋体"/>
          <w:color w:val="auto"/>
          <w:kern w:val="0"/>
          <w:szCs w:val="21"/>
          <w:highlight w:val="none"/>
        </w:rPr>
      </w:pPr>
      <w:r>
        <w:rPr>
          <w:rFonts w:hint="eastAsia" w:ascii="宋体" w:hAnsi="宋体" w:cs="宋体"/>
          <w:color w:val="auto"/>
          <w:kern w:val="0"/>
          <w:szCs w:val="21"/>
          <w:highlight w:val="none"/>
        </w:rPr>
        <w:t>(1)以不高于同期市场价格或其向任何第三方销售同类产品的价格提供合同设备正常运行所需的全部备品备件。或</w:t>
      </w:r>
    </w:p>
    <w:p w14:paraId="06F04A11">
      <w:pPr>
        <w:adjustRightInd w:val="0"/>
        <w:snapToGrid w:val="0"/>
        <w:spacing w:line="360" w:lineRule="auto"/>
        <w:ind w:left="525"/>
        <w:rPr>
          <w:rFonts w:ascii="宋体" w:hAnsi="宋体" w:cs="宋体"/>
          <w:color w:val="auto"/>
          <w:kern w:val="0"/>
          <w:szCs w:val="21"/>
          <w:highlight w:val="none"/>
        </w:rPr>
      </w:pPr>
      <w:r>
        <w:rPr>
          <w:rFonts w:hint="eastAsia" w:ascii="宋体" w:hAnsi="宋体" w:cs="宋体"/>
          <w:color w:val="auto"/>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pPr>
        <w:tabs>
          <w:tab w:val="left" w:pos="540"/>
        </w:tabs>
        <w:snapToGrid w:val="0"/>
        <w:spacing w:line="360" w:lineRule="auto"/>
        <w:rPr>
          <w:rFonts w:ascii="宋体" w:hAnsi="宋体"/>
          <w:b/>
          <w:color w:val="auto"/>
          <w:szCs w:val="21"/>
          <w:highlight w:val="none"/>
        </w:rPr>
      </w:pPr>
      <w:r>
        <w:rPr>
          <w:rFonts w:hint="eastAsia" w:ascii="宋体" w:hAnsi="宋体"/>
          <w:b/>
          <w:color w:val="auto"/>
          <w:szCs w:val="21"/>
          <w:highlight w:val="none"/>
        </w:rPr>
        <w:t>6.   包装、包装标志及环境保护</w:t>
      </w:r>
    </w:p>
    <w:p w14:paraId="41787F4C">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pPr>
        <w:tabs>
          <w:tab w:val="left" w:pos="540"/>
        </w:tabs>
        <w:snapToGrid w:val="0"/>
        <w:spacing w:line="360" w:lineRule="auto"/>
        <w:rPr>
          <w:rFonts w:ascii="宋体" w:hAnsi="宋体"/>
          <w:color w:val="auto"/>
          <w:szCs w:val="21"/>
          <w:highlight w:val="none"/>
        </w:rPr>
      </w:pPr>
      <w:r>
        <w:rPr>
          <w:rFonts w:hint="eastAsia" w:ascii="宋体" w:hAnsi="宋体"/>
          <w:color w:val="auto"/>
          <w:szCs w:val="21"/>
          <w:highlight w:val="none"/>
        </w:rPr>
        <w:t>6.2  卖方应在每一包装箱的适当位置作出下列标记：</w:t>
      </w:r>
    </w:p>
    <w:p w14:paraId="2BD73C40">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1）收货人；</w:t>
      </w:r>
    </w:p>
    <w:p w14:paraId="7B2F319F">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2）货物名称、件数；</w:t>
      </w:r>
    </w:p>
    <w:p w14:paraId="5C8FA0D0">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3）毛重、净重；</w:t>
      </w:r>
    </w:p>
    <w:p w14:paraId="0D1935BD">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4）体积（长×宽×高，用毫米表示）；</w:t>
      </w:r>
    </w:p>
    <w:p w14:paraId="1B2F55E6">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5）货物运输警示标识；</w:t>
      </w:r>
    </w:p>
    <w:p w14:paraId="01FF21EA">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6）合同号；</w:t>
      </w:r>
    </w:p>
    <w:p w14:paraId="33C4BAD1">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7）其他应标记内容。</w:t>
      </w:r>
    </w:p>
    <w:p w14:paraId="1D3FAF3C">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按照货物的特点及装卸和运输上的不同要求，包装箱上应明显印刷有“轻放”、“勿倒置”和“防雨”等字样，危险品包装应有警示标志。</w:t>
      </w:r>
    </w:p>
    <w:p w14:paraId="2F3249F8">
      <w:pP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7.</w:t>
      </w:r>
      <w:r>
        <w:rPr>
          <w:rFonts w:hint="eastAsia" w:ascii="宋体" w:hAnsi="宋体"/>
          <w:color w:val="auto"/>
          <w:szCs w:val="21"/>
          <w:highlight w:val="none"/>
        </w:rPr>
        <w:t xml:space="preserve">   </w:t>
      </w:r>
      <w:r>
        <w:rPr>
          <w:rFonts w:hint="eastAsia" w:ascii="宋体" w:hAnsi="宋体"/>
          <w:b/>
          <w:color w:val="auto"/>
          <w:szCs w:val="21"/>
          <w:highlight w:val="none"/>
        </w:rPr>
        <w:t>交货和验收</w:t>
      </w:r>
    </w:p>
    <w:p w14:paraId="374C7946">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7.1  除双方另有书面约定或买方自提外，本合同项下货物的所有权及毁损、灭失之风险自卖方运到买方仓库或买方指定地点完成交付之日起转移。</w:t>
      </w:r>
    </w:p>
    <w:p w14:paraId="0BD54587">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7.2  卖方应按照本合同规定的时间、地点和方式，向买方交付货物。如未按规定送至买方指定的地点，由此引起的</w:t>
      </w:r>
      <w:r>
        <w:rPr>
          <w:rFonts w:hint="eastAsia"/>
          <w:bCs/>
          <w:snapToGrid w:val="0"/>
          <w:color w:val="auto"/>
          <w:szCs w:val="21"/>
          <w:highlight w:val="none"/>
        </w:rPr>
        <w:t>遗失或损坏等一切</w:t>
      </w:r>
      <w:r>
        <w:rPr>
          <w:rFonts w:hint="eastAsia" w:ascii="宋体" w:hAnsi="宋体"/>
          <w:color w:val="auto"/>
          <w:szCs w:val="21"/>
          <w:highlight w:val="none"/>
        </w:rPr>
        <w:t>问题，由卖方承担全部责任。</w:t>
      </w:r>
    </w:p>
    <w:p w14:paraId="0FD91061">
      <w:pPr>
        <w:snapToGrid w:val="0"/>
        <w:spacing w:line="360" w:lineRule="auto"/>
        <w:ind w:left="525" w:hanging="525" w:hangingChars="250"/>
        <w:rPr>
          <w:rFonts w:ascii="宋体" w:hAnsi="宋体"/>
          <w:b/>
          <w:bCs/>
          <w:color w:val="auto"/>
          <w:szCs w:val="21"/>
          <w:highlight w:val="none"/>
        </w:rPr>
      </w:pPr>
      <w:r>
        <w:rPr>
          <w:rFonts w:hint="eastAsia" w:ascii="宋体" w:hAnsi="宋体"/>
          <w:color w:val="auto"/>
          <w:szCs w:val="21"/>
          <w:highlight w:val="none"/>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color w:val="auto"/>
          <w:szCs w:val="21"/>
          <w:highlight w:val="none"/>
        </w:rPr>
        <w:t>卖方如未提供上述材料、提供有误或不完整，导致买方无法及时验收和使用，买方将有权推迟向卖方支付货款，推迟时间为自货物验收合格之日起（从次日起算）</w:t>
      </w:r>
      <w:r>
        <w:rPr>
          <w:rFonts w:hint="eastAsia" w:ascii="宋体" w:hAnsi="宋体"/>
          <w:b/>
          <w:bCs/>
          <w:color w:val="auto"/>
          <w:szCs w:val="21"/>
          <w:highlight w:val="none"/>
          <w:u w:val="single"/>
        </w:rPr>
        <w:t>180</w:t>
      </w:r>
      <w:r>
        <w:rPr>
          <w:rFonts w:hint="eastAsia" w:ascii="宋体" w:hAnsi="宋体"/>
          <w:b/>
          <w:bCs/>
          <w:color w:val="auto"/>
          <w:szCs w:val="21"/>
          <w:highlight w:val="none"/>
        </w:rPr>
        <w:t>个日历天。</w:t>
      </w:r>
    </w:p>
    <w:p w14:paraId="155625E5">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24F86EB3">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7.5  自卖方提供完整无误的送货清单等文件并且交付货物之日起（从次日起算）</w:t>
      </w:r>
      <w:r>
        <w:rPr>
          <w:rFonts w:hint="eastAsia" w:ascii="宋体" w:hAnsi="宋体"/>
          <w:color w:val="auto"/>
          <w:szCs w:val="21"/>
          <w:highlight w:val="none"/>
          <w:u w:val="single"/>
        </w:rPr>
        <w:t xml:space="preserve"> 5 </w:t>
      </w:r>
      <w:r>
        <w:rPr>
          <w:rFonts w:hint="eastAsia" w:ascii="宋体" w:hAnsi="宋体"/>
          <w:color w:val="auto"/>
          <w:szCs w:val="21"/>
          <w:highlight w:val="none"/>
        </w:rPr>
        <w:t>个工作日内，买方对货物进行验收；需要卖方对货物或系统进行安装调试的，买方应在货物安装调试完毕后的</w:t>
      </w:r>
      <w:r>
        <w:rPr>
          <w:rFonts w:hint="eastAsia" w:ascii="宋体" w:hAnsi="宋体"/>
          <w:color w:val="auto"/>
          <w:szCs w:val="21"/>
          <w:highlight w:val="none"/>
          <w:u w:val="single"/>
        </w:rPr>
        <w:t xml:space="preserve"> 5 </w:t>
      </w:r>
      <w:r>
        <w:rPr>
          <w:rFonts w:hint="eastAsia" w:ascii="宋体" w:hAnsi="宋体"/>
          <w:color w:val="auto"/>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pPr>
        <w:adjustRightInd w:val="0"/>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8.   </w:t>
      </w:r>
      <w:r>
        <w:rPr>
          <w:rFonts w:hint="eastAsia" w:ascii="宋体" w:hAnsi="宋体"/>
          <w:b/>
          <w:color w:val="auto"/>
          <w:szCs w:val="21"/>
          <w:highlight w:val="none"/>
        </w:rPr>
        <w:t>伴随服务／售后服务</w:t>
      </w:r>
    </w:p>
    <w:p w14:paraId="782CFD14">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8.1  卖方应按照国家有关法律法规和“三包”规定提供服务。</w:t>
      </w:r>
    </w:p>
    <w:p w14:paraId="70F5EEFC">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8.2  除前款规定外，根据买方需要，卖方还应提供下列服务：</w:t>
      </w:r>
    </w:p>
    <w:p w14:paraId="25DE2A2B">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w:t>
      </w:r>
      <w:r>
        <w:rPr>
          <w:rFonts w:hint="eastAsia" w:ascii="宋体" w:hAnsi="宋体"/>
          <w:color w:val="auto"/>
          <w:szCs w:val="21"/>
          <w:highlight w:val="none"/>
        </w:rPr>
        <w:tab/>
      </w:r>
      <w:r>
        <w:rPr>
          <w:rFonts w:hint="eastAsia" w:ascii="宋体" w:hAnsi="宋体"/>
          <w:color w:val="auto"/>
          <w:szCs w:val="21"/>
          <w:highlight w:val="none"/>
        </w:rPr>
        <w:t>1）货物的现场安装、调试，卖方应在到货之日起（从次日起算）</w:t>
      </w:r>
      <w:r>
        <w:rPr>
          <w:rFonts w:hint="eastAsia" w:ascii="宋体" w:hAnsi="宋体"/>
          <w:color w:val="auto"/>
          <w:szCs w:val="21"/>
          <w:highlight w:val="none"/>
          <w:u w:val="single"/>
        </w:rPr>
        <w:t xml:space="preserve"> / </w:t>
      </w:r>
      <w:r>
        <w:rPr>
          <w:rFonts w:hint="eastAsia" w:ascii="宋体" w:hAnsi="宋体"/>
          <w:color w:val="auto"/>
          <w:szCs w:val="21"/>
          <w:highlight w:val="none"/>
        </w:rPr>
        <w:t>日内完成；</w:t>
      </w:r>
    </w:p>
    <w:p w14:paraId="57046765">
      <w:pPr>
        <w:adjustRightInd w:val="0"/>
        <w:snapToGrid w:val="0"/>
        <w:spacing w:line="360" w:lineRule="auto"/>
        <w:ind w:left="525"/>
        <w:rPr>
          <w:rFonts w:ascii="宋体" w:hAnsi="宋体"/>
          <w:color w:val="auto"/>
          <w:szCs w:val="21"/>
          <w:highlight w:val="none"/>
        </w:rPr>
      </w:pPr>
      <w:r>
        <w:rPr>
          <w:rFonts w:hint="eastAsia" w:ascii="宋体" w:hAnsi="宋体"/>
          <w:color w:val="auto"/>
          <w:szCs w:val="21"/>
          <w:highlight w:val="none"/>
        </w:rPr>
        <w:t>2）就货物的安装、启动、运行及维护等对买方人员进行免费培训。</w:t>
      </w:r>
    </w:p>
    <w:p w14:paraId="5EFF7B3C">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pPr>
        <w:adjustRightInd w:val="0"/>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8.4  在安装调试期间，卖方应遵守买方安全管理规定，做好自身工作人员安全管理；卖方工作人员自身的一切安全问题，由卖方承担全部责任。</w:t>
      </w:r>
    </w:p>
    <w:p w14:paraId="2C9B07E7">
      <w:pPr>
        <w:tabs>
          <w:tab w:val="left" w:pos="360"/>
          <w:tab w:val="left" w:pos="540"/>
        </w:tabs>
        <w:snapToGrid w:val="0"/>
        <w:spacing w:line="360" w:lineRule="auto"/>
        <w:rPr>
          <w:rFonts w:ascii="宋体" w:hAnsi="宋体"/>
          <w:b/>
          <w:bCs/>
          <w:color w:val="auto"/>
          <w:szCs w:val="21"/>
          <w:highlight w:val="none"/>
        </w:rPr>
      </w:pPr>
      <w:r>
        <w:rPr>
          <w:rFonts w:hint="eastAsia" w:ascii="宋体" w:hAnsi="宋体"/>
          <w:b/>
          <w:bCs/>
          <w:color w:val="auto"/>
          <w:szCs w:val="21"/>
          <w:highlight w:val="none"/>
        </w:rPr>
        <w:t>9.   质保期</w:t>
      </w:r>
    </w:p>
    <w:p w14:paraId="528AE695">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9.1  自货物验收合格之日起（从次日起算）</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9.2  在从合同货物运至交货地点之日起至质量保证期结束之日的期间，如发现卖方提供的合同货物有缺陷，不符合本合同规定时，买方有权选择且卖方需采取以下补救措施：</w:t>
      </w:r>
    </w:p>
    <w:p w14:paraId="27556A4E">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1）修理：卖方对不符合合同规定的合同货物进行修理，以使其符合合同要求，费用由卖方承担。除非买方同意，修理工作应在</w:t>
      </w:r>
      <w:r>
        <w:rPr>
          <w:rFonts w:hint="eastAsia" w:ascii="宋体" w:hAnsi="宋体"/>
          <w:color w:val="auto"/>
          <w:szCs w:val="21"/>
          <w:highlight w:val="none"/>
          <w:u w:val="single"/>
        </w:rPr>
        <w:t xml:space="preserve"> 7 </w:t>
      </w:r>
      <w:r>
        <w:rPr>
          <w:rFonts w:hint="eastAsia" w:ascii="宋体" w:hAnsi="宋体"/>
          <w:color w:val="auto"/>
          <w:szCs w:val="21"/>
          <w:highlight w:val="none"/>
        </w:rPr>
        <w:t>天内（含本数）完成。</w:t>
      </w:r>
    </w:p>
    <w:p w14:paraId="12DC0D2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2）更换：卖方以符合合同要求的货物替换不符合要求的合同货物，费用由卖方承担。除非买方同意，更换应在</w:t>
      </w:r>
      <w:r>
        <w:rPr>
          <w:rFonts w:hint="eastAsia" w:ascii="宋体" w:hAnsi="宋体"/>
          <w:color w:val="auto"/>
          <w:szCs w:val="21"/>
          <w:highlight w:val="none"/>
          <w:u w:val="single"/>
        </w:rPr>
        <w:t xml:space="preserve"> 30 </w:t>
      </w:r>
      <w:r>
        <w:rPr>
          <w:rFonts w:hint="eastAsia" w:ascii="宋体" w:hAnsi="宋体"/>
          <w:color w:val="auto"/>
          <w:szCs w:val="21"/>
          <w:highlight w:val="none"/>
        </w:rPr>
        <w:t>天内（含本数）完成。</w:t>
      </w:r>
    </w:p>
    <w:p w14:paraId="1EF14A57">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4）削价：在买卖双方同意的前提下，对有缺陷的合同货物作削价处理，卖方应将有缺陷的合同货物原合同价与削减后价格之间的差额退回买方。</w:t>
      </w:r>
    </w:p>
    <w:p w14:paraId="6DF3B31D">
      <w:pPr>
        <w:tabs>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5）赔偿损失：除已有规定外，卖方应赔偿买方因采取上述措施所发生的损失。</w:t>
      </w:r>
    </w:p>
    <w:p w14:paraId="392B4A3C">
      <w:pPr>
        <w:numPr>
          <w:ilvl w:val="0"/>
          <w:numId w:val="5"/>
        </w:numPr>
        <w:snapToGrid w:val="0"/>
        <w:spacing w:line="360" w:lineRule="auto"/>
        <w:ind w:left="0" w:firstLine="0"/>
        <w:rPr>
          <w:rFonts w:ascii="宋体" w:hAnsi="宋体"/>
          <w:b/>
          <w:color w:val="auto"/>
          <w:szCs w:val="21"/>
          <w:highlight w:val="none"/>
        </w:rPr>
      </w:pPr>
      <w:r>
        <w:rPr>
          <w:rFonts w:hint="eastAsia" w:ascii="宋体" w:hAnsi="宋体"/>
          <w:b/>
          <w:color w:val="auto"/>
          <w:szCs w:val="21"/>
          <w:highlight w:val="none"/>
        </w:rPr>
        <w:t>货款支付</w:t>
      </w:r>
    </w:p>
    <w:p w14:paraId="4CCBAC73">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10.1 本合同项下所有款项均在卖方货物交付验收合格并提交与交付货物总价相一致的有效增值税专用发票（税率</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)后支付，发票备注栏需注明本合同编号；若是开“货物一批”单张增值税专用发票时，应附有加盖发票专用章的货物明细清单。</w:t>
      </w:r>
    </w:p>
    <w:p w14:paraId="3CA38AA6">
      <w:pPr>
        <w:tabs>
          <w:tab w:val="left" w:pos="18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10.2</w:t>
      </w:r>
      <w:r>
        <w:rPr>
          <w:rFonts w:ascii="宋体" w:hAnsi="宋体"/>
          <w:color w:val="auto"/>
          <w:szCs w:val="21"/>
          <w:highlight w:val="none"/>
        </w:rPr>
        <w:t xml:space="preserve"> </w:t>
      </w:r>
      <w:r>
        <w:rPr>
          <w:rFonts w:hint="eastAsia" w:ascii="宋体" w:hAnsi="宋体"/>
          <w:color w:val="auto"/>
          <w:szCs w:val="21"/>
          <w:highlight w:val="none"/>
        </w:rPr>
        <w:t>该增值税专用发票及货物明细清单经双方确认无异后，买方按合同价款全额（或交付货物金额）的</w:t>
      </w:r>
      <w:r>
        <w:rPr>
          <w:rFonts w:hint="eastAsia" w:ascii="宋体" w:hAnsi="宋体"/>
          <w:color w:val="auto"/>
          <w:szCs w:val="21"/>
          <w:highlight w:val="none"/>
          <w:u w:val="single"/>
        </w:rPr>
        <w:t>95%</w:t>
      </w:r>
      <w:r>
        <w:rPr>
          <w:rFonts w:hint="eastAsia" w:ascii="宋体" w:hAnsi="宋体"/>
          <w:color w:val="auto"/>
          <w:szCs w:val="21"/>
          <w:highlight w:val="none"/>
        </w:rPr>
        <w:t>在</w:t>
      </w:r>
      <w:r>
        <w:rPr>
          <w:rFonts w:hint="eastAsia" w:ascii="宋体" w:hAnsi="宋体"/>
          <w:color w:val="auto"/>
          <w:szCs w:val="21"/>
          <w:highlight w:val="none"/>
          <w:u w:val="single"/>
        </w:rPr>
        <w:t>90</w:t>
      </w:r>
      <w:r>
        <w:rPr>
          <w:rFonts w:hint="eastAsia" w:ascii="宋体" w:hAnsi="宋体"/>
          <w:color w:val="auto"/>
          <w:szCs w:val="21"/>
          <w:highlight w:val="none"/>
        </w:rPr>
        <w:t>个工作日内予以支付，余款自货物验收合格之日起（从次日起算）一年内无任何质量问题，由买方</w:t>
      </w:r>
      <w:r>
        <w:rPr>
          <w:rFonts w:hint="eastAsia" w:ascii="宋体" w:hAnsi="宋体"/>
          <w:color w:val="auto"/>
          <w:szCs w:val="21"/>
          <w:highlight w:val="none"/>
          <w:u w:val="single"/>
        </w:rPr>
        <w:t>90</w:t>
      </w:r>
      <w:r>
        <w:rPr>
          <w:rFonts w:hint="eastAsia" w:ascii="宋体" w:hAnsi="宋体"/>
          <w:color w:val="auto"/>
          <w:szCs w:val="21"/>
          <w:highlight w:val="none"/>
        </w:rPr>
        <w:t>个工作日内向卖方支付。</w:t>
      </w:r>
    </w:p>
    <w:p w14:paraId="690AD818">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xml:space="preserve">10.3 </w:t>
      </w:r>
      <w:r>
        <w:rPr>
          <w:rFonts w:hint="eastAsia" w:ascii="宋体" w:hAnsi="宋体"/>
          <w:b/>
          <w:bCs/>
          <w:color w:val="auto"/>
          <w:szCs w:val="21"/>
          <w:highlight w:val="none"/>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color w:val="auto"/>
          <w:szCs w:val="21"/>
          <w:highlight w:val="none"/>
          <w:u w:val="single"/>
        </w:rPr>
        <w:t>90</w:t>
      </w:r>
      <w:r>
        <w:rPr>
          <w:rFonts w:hint="eastAsia" w:ascii="宋体" w:hAnsi="宋体"/>
          <w:b/>
          <w:bCs/>
          <w:color w:val="auto"/>
          <w:szCs w:val="21"/>
          <w:highlight w:val="none"/>
        </w:rPr>
        <w:t>个日历天。</w:t>
      </w:r>
    </w:p>
    <w:p w14:paraId="60111018">
      <w:pPr>
        <w:snapToGrid w:val="0"/>
        <w:spacing w:line="360" w:lineRule="auto"/>
        <w:rPr>
          <w:rFonts w:ascii="宋体" w:hAnsi="宋体"/>
          <w:color w:val="auto"/>
          <w:szCs w:val="21"/>
          <w:highlight w:val="none"/>
        </w:rPr>
      </w:pPr>
      <w:r>
        <w:rPr>
          <w:rFonts w:hint="eastAsia" w:ascii="宋体" w:hAnsi="宋体"/>
          <w:color w:val="auto"/>
          <w:szCs w:val="21"/>
          <w:highlight w:val="none"/>
        </w:rPr>
        <w:t>10.4 货款以银行转账方式结算。</w:t>
      </w:r>
    </w:p>
    <w:p w14:paraId="09A360D5">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10.5 本合同约定的不含税价款不因国家税率变化而变化。在合同履行期间，如遇国家的税率调整或其他政策影响税率的，则价税合计金额做相应调整。</w:t>
      </w:r>
    </w:p>
    <w:p w14:paraId="5BC6855F">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pPr>
        <w:snapToGrid w:val="0"/>
        <w:spacing w:line="360" w:lineRule="auto"/>
        <w:ind w:left="527" w:hanging="527" w:hangingChars="250"/>
        <w:rPr>
          <w:rFonts w:ascii="宋体" w:hAnsi="宋体"/>
          <w:b/>
          <w:bCs/>
          <w:color w:val="auto"/>
          <w:szCs w:val="21"/>
          <w:highlight w:val="none"/>
        </w:rPr>
      </w:pPr>
      <w:r>
        <w:rPr>
          <w:rFonts w:hint="eastAsia" w:ascii="宋体" w:hAnsi="宋体"/>
          <w:b/>
          <w:bCs/>
          <w:color w:val="auto"/>
          <w:szCs w:val="21"/>
          <w:highlight w:val="none"/>
        </w:rPr>
        <w:t>11</w:t>
      </w:r>
      <w:r>
        <w:rPr>
          <w:rFonts w:ascii="宋体" w:hAnsi="宋体"/>
          <w:b/>
          <w:bCs/>
          <w:color w:val="auto"/>
          <w:szCs w:val="21"/>
          <w:highlight w:val="none"/>
        </w:rPr>
        <w:t xml:space="preserve">.  </w:t>
      </w:r>
      <w:r>
        <w:rPr>
          <w:rFonts w:hint="eastAsia" w:ascii="宋体" w:hAnsi="宋体"/>
          <w:b/>
          <w:bCs/>
          <w:color w:val="auto"/>
          <w:szCs w:val="21"/>
          <w:highlight w:val="none"/>
        </w:rPr>
        <w:t>履约保证金</w:t>
      </w:r>
    </w:p>
    <w:p w14:paraId="56A8D24F">
      <w:pPr>
        <w:snapToGrid w:val="0"/>
        <w:spacing w:line="360" w:lineRule="auto"/>
        <w:ind w:left="525" w:hanging="525" w:hangingChars="250"/>
        <w:rPr>
          <w:rFonts w:ascii="宋体" w:hAnsi="宋体"/>
          <w:bCs/>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 xml:space="preserve"> </w:t>
      </w:r>
      <w:r>
        <w:rPr>
          <w:rFonts w:ascii="宋体" w:hAnsi="宋体"/>
          <w:color w:val="auto"/>
          <w:szCs w:val="21"/>
          <w:highlight w:val="none"/>
        </w:rPr>
        <w:t>在本合同签订时，卖方应向买方提交履约保证金，金额</w:t>
      </w:r>
      <w:r>
        <w:rPr>
          <w:rFonts w:hint="eastAsia" w:ascii="宋体" w:hAnsi="宋体"/>
          <w:bCs/>
          <w:color w:val="auto"/>
          <w:szCs w:val="21"/>
          <w:highlight w:val="none"/>
        </w:rPr>
        <w:t>为人民币（大写）</w:t>
      </w:r>
      <w:r>
        <w:rPr>
          <w:rFonts w:hint="eastAsia" w:ascii="宋体" w:hAnsi="宋体"/>
          <w:b/>
          <w:color w:val="auto"/>
          <w:szCs w:val="21"/>
          <w:highlight w:val="none"/>
          <w:u w:val="single"/>
        </w:rPr>
        <w:t xml:space="preserve">        </w:t>
      </w:r>
      <w:r>
        <w:rPr>
          <w:rFonts w:hint="eastAsia" w:ascii="宋体" w:hAnsi="宋体"/>
          <w:bCs/>
          <w:color w:val="auto"/>
          <w:szCs w:val="21"/>
          <w:highlight w:val="none"/>
        </w:rPr>
        <w:t>（</w:t>
      </w:r>
      <w:r>
        <w:rPr>
          <w:rFonts w:hint="eastAsia" w:ascii="宋体" w:hAnsi="宋体"/>
          <w:b/>
          <w:color w:val="auto"/>
          <w:szCs w:val="21"/>
          <w:highlight w:val="none"/>
        </w:rPr>
        <w:t>¥</w:t>
      </w:r>
      <w:r>
        <w:rPr>
          <w:rFonts w:hint="eastAsia" w:ascii="宋体" w:hAnsi="宋体"/>
          <w:b/>
          <w:color w:val="auto"/>
          <w:szCs w:val="21"/>
          <w:highlight w:val="none"/>
          <w:u w:val="single"/>
        </w:rPr>
        <w:t xml:space="preserve">        </w:t>
      </w:r>
      <w:r>
        <w:rPr>
          <w:rFonts w:hint="eastAsia" w:ascii="宋体" w:hAnsi="宋体"/>
          <w:bCs/>
          <w:color w:val="auto"/>
          <w:szCs w:val="21"/>
          <w:highlight w:val="none"/>
        </w:rPr>
        <w:t>元）。</w:t>
      </w:r>
    </w:p>
    <w:p w14:paraId="25990F85">
      <w:pPr>
        <w:snapToGrid w:val="0"/>
        <w:spacing w:line="360" w:lineRule="auto"/>
        <w:ind w:left="525" w:hanging="525" w:hangingChars="250"/>
        <w:rPr>
          <w:rFonts w:ascii="宋体" w:hAnsi="宋体"/>
          <w:color w:val="auto"/>
          <w:szCs w:val="21"/>
          <w:highlight w:val="none"/>
        </w:rPr>
      </w:pPr>
      <w:r>
        <w:rPr>
          <w:rFonts w:hint="eastAsia" w:ascii="宋体" w:hAnsi="宋体"/>
          <w:bCs/>
          <w:color w:val="auto"/>
          <w:szCs w:val="21"/>
          <w:highlight w:val="none"/>
        </w:rPr>
        <w:t>11.2</w:t>
      </w:r>
      <w:r>
        <w:rPr>
          <w:rFonts w:ascii="宋体" w:hAnsi="宋体"/>
          <w:bCs/>
          <w:color w:val="auto"/>
          <w:szCs w:val="21"/>
          <w:highlight w:val="none"/>
        </w:rPr>
        <w:t xml:space="preserve"> </w:t>
      </w:r>
      <w:r>
        <w:rPr>
          <w:rFonts w:hint="eastAsia" w:ascii="宋体" w:hAnsi="宋体"/>
          <w:bCs/>
          <w:color w:val="auto"/>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pPr>
        <w:snapToGrid w:val="0"/>
        <w:spacing w:line="360" w:lineRule="auto"/>
        <w:ind w:left="525" w:hanging="525" w:hangingChars="250"/>
        <w:rPr>
          <w:rFonts w:ascii="宋体" w:hAnsi="宋体"/>
          <w:b/>
          <w:bCs/>
          <w:color w:val="auto"/>
          <w:szCs w:val="21"/>
          <w:highlight w:val="none"/>
        </w:rPr>
      </w:pPr>
      <w:r>
        <w:rPr>
          <w:rFonts w:hint="eastAsia" w:ascii="宋体" w:hAnsi="宋体"/>
          <w:color w:val="auto"/>
          <w:szCs w:val="21"/>
          <w:highlight w:val="none"/>
        </w:rPr>
        <w:t>11.3</w:t>
      </w:r>
      <w:r>
        <w:rPr>
          <w:rFonts w:ascii="宋体" w:hAnsi="宋体"/>
          <w:color w:val="auto"/>
          <w:szCs w:val="21"/>
          <w:highlight w:val="none"/>
        </w:rPr>
        <w:t xml:space="preserve"> </w:t>
      </w:r>
      <w:r>
        <w:rPr>
          <w:rFonts w:hint="eastAsia" w:ascii="宋体" w:hAnsi="宋体"/>
          <w:color w:val="auto"/>
          <w:szCs w:val="21"/>
          <w:highlight w:val="none"/>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pPr>
        <w:snapToGrid w:val="0"/>
        <w:spacing w:line="360" w:lineRule="auto"/>
        <w:ind w:left="525" w:hanging="525" w:hangingChars="250"/>
        <w:rPr>
          <w:rFonts w:ascii="宋体" w:hAnsi="宋体"/>
          <w:b/>
          <w:bCs/>
          <w:color w:val="auto"/>
          <w:szCs w:val="21"/>
          <w:highlight w:val="none"/>
        </w:rPr>
      </w:pPr>
      <w:r>
        <w:rPr>
          <w:rFonts w:ascii="宋体" w:hAnsi="宋体"/>
          <w:color w:val="auto"/>
          <w:szCs w:val="21"/>
          <w:highlight w:val="none"/>
        </w:rPr>
        <w:t>1</w:t>
      </w:r>
      <w:r>
        <w:rPr>
          <w:rFonts w:hint="eastAsia" w:ascii="宋体" w:hAnsi="宋体"/>
          <w:color w:val="auto"/>
          <w:szCs w:val="21"/>
          <w:highlight w:val="none"/>
        </w:rPr>
        <w:t>1</w:t>
      </w:r>
      <w:r>
        <w:rPr>
          <w:rFonts w:ascii="宋体" w:hAnsi="宋体"/>
          <w:color w:val="auto"/>
          <w:szCs w:val="21"/>
          <w:highlight w:val="none"/>
        </w:rPr>
        <w:t xml:space="preserve">.4 </w:t>
      </w:r>
      <w:r>
        <w:rPr>
          <w:rFonts w:hint="eastAsia" w:ascii="宋体" w:hAnsi="宋体"/>
          <w:color w:val="auto"/>
          <w:szCs w:val="21"/>
          <w:highlight w:val="none"/>
        </w:rPr>
        <w:t>本框架合同终止并且</w:t>
      </w:r>
      <w:r>
        <w:rPr>
          <w:rFonts w:ascii="宋体" w:hAnsi="宋体"/>
          <w:color w:val="auto"/>
          <w:szCs w:val="21"/>
          <w:highlight w:val="none"/>
        </w:rPr>
        <w:t>卖方完成合同约定全部内容</w:t>
      </w:r>
      <w:r>
        <w:rPr>
          <w:rFonts w:hint="eastAsia" w:ascii="宋体" w:hAnsi="宋体"/>
          <w:color w:val="auto"/>
          <w:szCs w:val="21"/>
          <w:highlight w:val="none"/>
        </w:rPr>
        <w:t>后</w:t>
      </w:r>
      <w:r>
        <w:rPr>
          <w:rFonts w:ascii="宋体" w:hAnsi="宋体"/>
          <w:color w:val="auto"/>
          <w:szCs w:val="21"/>
          <w:highlight w:val="none"/>
        </w:rPr>
        <w:t>，</w:t>
      </w:r>
      <w:r>
        <w:rPr>
          <w:rFonts w:hint="eastAsia"/>
          <w:bCs/>
          <w:snapToGrid w:val="0"/>
          <w:color w:val="auto"/>
          <w:szCs w:val="21"/>
          <w:highlight w:val="none"/>
        </w:rPr>
        <w:t>买方于</w:t>
      </w:r>
      <w:r>
        <w:rPr>
          <w:rFonts w:hint="eastAsia"/>
          <w:bCs/>
          <w:snapToGrid w:val="0"/>
          <w:color w:val="auto"/>
          <w:szCs w:val="21"/>
          <w:highlight w:val="none"/>
          <w:u w:val="single"/>
        </w:rPr>
        <w:t xml:space="preserve"> </w:t>
      </w:r>
      <w:r>
        <w:rPr>
          <w:rFonts w:hint="eastAsia" w:ascii="宋体" w:hAnsi="宋体" w:cs="宋体"/>
          <w:bCs/>
          <w:snapToGrid w:val="0"/>
          <w:color w:val="auto"/>
          <w:szCs w:val="21"/>
          <w:highlight w:val="none"/>
          <w:u w:val="single"/>
        </w:rPr>
        <w:t>30</w:t>
      </w:r>
      <w:r>
        <w:rPr>
          <w:rFonts w:hint="eastAsia"/>
          <w:bCs/>
          <w:snapToGrid w:val="0"/>
          <w:color w:val="auto"/>
          <w:szCs w:val="21"/>
          <w:highlight w:val="none"/>
        </w:rPr>
        <w:t>个工作日内无息退还卖方缴纳的履约保证金。</w:t>
      </w:r>
    </w:p>
    <w:p w14:paraId="291BA926">
      <w:pPr>
        <w:snapToGrid w:val="0"/>
        <w:spacing w:line="360" w:lineRule="auto"/>
        <w:rPr>
          <w:rFonts w:ascii="宋体" w:hAnsi="宋体"/>
          <w:b/>
          <w:color w:val="auto"/>
          <w:szCs w:val="21"/>
          <w:highlight w:val="none"/>
        </w:rPr>
      </w:pPr>
      <w:r>
        <w:rPr>
          <w:rFonts w:hint="eastAsia" w:ascii="宋体" w:hAnsi="宋体"/>
          <w:b/>
          <w:bCs/>
          <w:color w:val="auto"/>
          <w:szCs w:val="21"/>
          <w:highlight w:val="none"/>
        </w:rPr>
        <w:t>12.</w:t>
      </w:r>
      <w:r>
        <w:rPr>
          <w:rFonts w:hint="eastAsia" w:ascii="宋体" w:hAnsi="宋体"/>
          <w:color w:val="auto"/>
          <w:szCs w:val="21"/>
          <w:highlight w:val="none"/>
        </w:rPr>
        <w:t xml:space="preserve">  </w:t>
      </w:r>
      <w:r>
        <w:rPr>
          <w:rFonts w:hint="eastAsia" w:ascii="宋体" w:hAnsi="宋体"/>
          <w:b/>
          <w:color w:val="auto"/>
          <w:szCs w:val="21"/>
          <w:highlight w:val="none"/>
        </w:rPr>
        <w:t>保密条款</w:t>
      </w:r>
    </w:p>
    <w:p w14:paraId="2534CE8E">
      <w:pPr>
        <w:snapToGrid w:val="0"/>
        <w:spacing w:line="360" w:lineRule="auto"/>
        <w:ind w:left="525" w:hanging="525" w:hangingChars="250"/>
        <w:rPr>
          <w:rFonts w:ascii="宋体" w:hAnsi="宋体"/>
          <w:bCs/>
          <w:color w:val="auto"/>
          <w:szCs w:val="21"/>
          <w:highlight w:val="none"/>
        </w:rPr>
      </w:pPr>
      <w:r>
        <w:rPr>
          <w:rFonts w:hint="eastAsia" w:ascii="宋体" w:hAnsi="宋体"/>
          <w:bCs/>
          <w:color w:val="auto"/>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75E4D674">
      <w:pPr>
        <w:snapToGrid w:val="0"/>
        <w:spacing w:line="360" w:lineRule="auto"/>
        <w:ind w:left="525" w:hanging="525" w:hangingChars="250"/>
        <w:rPr>
          <w:rFonts w:ascii="宋体" w:hAnsi="宋体"/>
          <w:bCs/>
          <w:color w:val="auto"/>
          <w:szCs w:val="21"/>
          <w:highlight w:val="none"/>
        </w:rPr>
      </w:pPr>
      <w:r>
        <w:rPr>
          <w:rFonts w:hint="eastAsia" w:ascii="宋体" w:hAnsi="宋体"/>
          <w:bCs/>
          <w:color w:val="auto"/>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pPr>
        <w:tabs>
          <w:tab w:val="left" w:pos="360"/>
        </w:tabs>
        <w:snapToGrid w:val="0"/>
        <w:spacing w:line="360" w:lineRule="auto"/>
        <w:rPr>
          <w:rFonts w:ascii="宋体" w:hAnsi="宋体"/>
          <w:color w:val="auto"/>
          <w:szCs w:val="21"/>
          <w:highlight w:val="none"/>
        </w:rPr>
      </w:pPr>
      <w:r>
        <w:rPr>
          <w:rFonts w:hint="eastAsia" w:ascii="宋体" w:hAnsi="宋体"/>
          <w:b/>
          <w:bCs/>
          <w:color w:val="auto"/>
          <w:szCs w:val="21"/>
          <w:highlight w:val="none"/>
        </w:rPr>
        <w:t>13.</w:t>
      </w:r>
      <w:r>
        <w:rPr>
          <w:rFonts w:hint="eastAsia" w:ascii="宋体" w:hAnsi="宋体"/>
          <w:color w:val="auto"/>
          <w:szCs w:val="21"/>
          <w:highlight w:val="none"/>
        </w:rPr>
        <w:t xml:space="preserve">  </w:t>
      </w:r>
      <w:r>
        <w:rPr>
          <w:rFonts w:hint="eastAsia" w:ascii="宋体" w:hAnsi="宋体"/>
          <w:b/>
          <w:color w:val="auto"/>
          <w:szCs w:val="21"/>
          <w:highlight w:val="none"/>
        </w:rPr>
        <w:t>违约责任</w:t>
      </w:r>
    </w:p>
    <w:p w14:paraId="23934AB7">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13.1 买方不得无正当理由拒收货物、拒付货款，非经卖方原因，买方延期付款，经卖方书面告知后</w:t>
      </w:r>
      <w:r>
        <w:rPr>
          <w:rFonts w:hint="eastAsia" w:ascii="宋体" w:hAnsi="宋体"/>
          <w:color w:val="auto"/>
          <w:szCs w:val="21"/>
          <w:highlight w:val="none"/>
          <w:u w:val="single"/>
        </w:rPr>
        <w:t xml:space="preserve"> 30 </w:t>
      </w:r>
      <w:r>
        <w:rPr>
          <w:rFonts w:hint="eastAsia" w:ascii="宋体" w:hAnsi="宋体"/>
          <w:color w:val="auto"/>
          <w:szCs w:val="21"/>
          <w:highlight w:val="none"/>
        </w:rPr>
        <w:t>个工作日内仍未付款的，每迟延一日，买方应向卖方支付迟延付款金额的</w:t>
      </w:r>
      <w:r>
        <w:rPr>
          <w:rFonts w:hint="eastAsia" w:ascii="宋体" w:hAnsi="宋体" w:cs="宋体"/>
          <w:color w:val="auto"/>
          <w:szCs w:val="21"/>
          <w:highlight w:val="none"/>
        </w:rPr>
        <w:t>0.3</w:t>
      </w:r>
      <w:r>
        <w:rPr>
          <w:rFonts w:hint="eastAsia" w:ascii="宋体" w:hAnsi="宋体"/>
          <w:color w:val="auto"/>
          <w:szCs w:val="21"/>
          <w:highlight w:val="none"/>
        </w:rPr>
        <w:t>‰的违约金，直至款项付清之日，但卖方不得以此为由迟延交付货物。</w:t>
      </w:r>
    </w:p>
    <w:p w14:paraId="64A61F40">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13.2 若卖方未能按本合同约定时间及方式将全部货物交付至买方指定地点，每迟延一日，应向买方支付该批货物总价的</w:t>
      </w:r>
      <w:r>
        <w:rPr>
          <w:rFonts w:hint="eastAsia" w:ascii="宋体" w:hAnsi="宋体" w:cs="宋体"/>
          <w:color w:val="auto"/>
          <w:szCs w:val="21"/>
          <w:highlight w:val="none"/>
        </w:rPr>
        <w:t>1</w:t>
      </w:r>
      <w:r>
        <w:rPr>
          <w:rFonts w:hint="eastAsia" w:ascii="宋体" w:hAnsi="宋体"/>
          <w:color w:val="auto"/>
          <w:szCs w:val="21"/>
          <w:highlight w:val="none"/>
        </w:rPr>
        <w:t>‰的违约金，直至货物交付之日。若卖方迟延交货超过</w:t>
      </w:r>
      <w:r>
        <w:rPr>
          <w:rFonts w:hint="eastAsia" w:ascii="宋体" w:hAnsi="宋体"/>
          <w:color w:val="auto"/>
          <w:szCs w:val="21"/>
          <w:highlight w:val="none"/>
          <w:u w:val="single"/>
        </w:rPr>
        <w:t xml:space="preserve"> 30 </w:t>
      </w:r>
      <w:r>
        <w:rPr>
          <w:rFonts w:hint="eastAsia" w:ascii="宋体" w:hAnsi="宋体"/>
          <w:color w:val="auto"/>
          <w:szCs w:val="21"/>
          <w:highlight w:val="none"/>
        </w:rPr>
        <w:t>日，买方有权书面通知卖方单方面解除本合同，且有权要求卖方支付相当于合同总价5%的违约金，若该违约金不足以补偿给买方造成的损失，则卖方还应当补足差额部分。</w:t>
      </w:r>
    </w:p>
    <w:p w14:paraId="5409D31C">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13.3 卖方所交付的货物品种、规格型号不符合合同规定的，买方有权拒收，卖方应向买方支付拒收不合格货物货款总额</w:t>
      </w:r>
      <w:r>
        <w:rPr>
          <w:rFonts w:hint="eastAsia" w:ascii="宋体" w:hAnsi="宋体" w:cs="宋体"/>
          <w:color w:val="auto"/>
          <w:szCs w:val="21"/>
          <w:highlight w:val="none"/>
        </w:rPr>
        <w:t>5</w:t>
      </w:r>
      <w:r>
        <w:rPr>
          <w:rFonts w:hint="eastAsia" w:ascii="宋体" w:hAnsi="宋体"/>
          <w:color w:val="auto"/>
          <w:szCs w:val="21"/>
          <w:highlight w:val="none"/>
        </w:rPr>
        <w:t>％的违约金。</w:t>
      </w:r>
    </w:p>
    <w:p w14:paraId="17F4B27D">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13.4 在卖方承诺或国家规定的质保期内(取两者中最长的期限)，如经卖方两次维修或更换，货物仍不能达到合同约定的质量标准，买方有权退货，卖方应退回全部货款，并支付合同总价5%的违约金。</w:t>
      </w:r>
    </w:p>
    <w:p w14:paraId="21702CAB">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13.5 卖方未按本合同的规定和“服务承诺”提供伴随服务/售后服务的，应按合同总额的5%向买方承担违约责任。</w:t>
      </w:r>
    </w:p>
    <w:p w14:paraId="676E6BFE">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13.8如果出现如下情形之一或者全部的，买方有权直接通知卖方解除或者终止合同：</w:t>
      </w:r>
    </w:p>
    <w:p w14:paraId="329A0E70">
      <w:pPr>
        <w:tabs>
          <w:tab w:val="left" w:pos="360"/>
        </w:tabs>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1）因不可抗力导致买方不能实现合同目的；</w:t>
      </w:r>
    </w:p>
    <w:p w14:paraId="5B28B275">
      <w:pPr>
        <w:tabs>
          <w:tab w:val="left" w:pos="360"/>
        </w:tabs>
        <w:snapToGrid w:val="0"/>
        <w:spacing w:line="360" w:lineRule="auto"/>
        <w:ind w:left="525" w:leftChars="200" w:hanging="105" w:hangingChars="50"/>
        <w:rPr>
          <w:rFonts w:ascii="宋体" w:hAnsi="宋体"/>
          <w:color w:val="auto"/>
          <w:szCs w:val="21"/>
          <w:highlight w:val="none"/>
        </w:rPr>
      </w:pPr>
      <w:r>
        <w:rPr>
          <w:rFonts w:hint="eastAsia" w:ascii="宋体" w:hAnsi="宋体"/>
          <w:color w:val="auto"/>
          <w:szCs w:val="21"/>
          <w:highlight w:val="none"/>
        </w:rPr>
        <w:t>2）在合同约定的履行期届满之前，卖方明确表示或者以自己的行为标明不履行相应义务的；</w:t>
      </w:r>
    </w:p>
    <w:p w14:paraId="43530F31">
      <w:pPr>
        <w:tabs>
          <w:tab w:val="left" w:pos="360"/>
        </w:tabs>
        <w:snapToGrid w:val="0"/>
        <w:spacing w:line="360" w:lineRule="auto"/>
        <w:ind w:left="525" w:leftChars="200" w:hanging="105" w:hangingChars="50"/>
        <w:rPr>
          <w:rFonts w:ascii="宋体" w:hAnsi="宋体"/>
          <w:color w:val="auto"/>
          <w:szCs w:val="21"/>
          <w:highlight w:val="none"/>
        </w:rPr>
      </w:pPr>
      <w:r>
        <w:rPr>
          <w:rFonts w:hint="eastAsia" w:ascii="宋体" w:hAnsi="宋体"/>
          <w:color w:val="auto"/>
          <w:szCs w:val="21"/>
          <w:highlight w:val="none"/>
        </w:rPr>
        <w:t>3）卖方延迟履行部分或者全部债务，或者发生其他行为，致使买方不能实现合同目的。</w:t>
      </w:r>
    </w:p>
    <w:p w14:paraId="647A98B9">
      <w:pPr>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14.  </w:t>
      </w:r>
      <w:r>
        <w:rPr>
          <w:rFonts w:hint="eastAsia" w:ascii="宋体" w:hAnsi="宋体"/>
          <w:b/>
          <w:color w:val="auto"/>
          <w:szCs w:val="21"/>
          <w:highlight w:val="none"/>
        </w:rPr>
        <w:t>不可抗力</w:t>
      </w:r>
    </w:p>
    <w:p w14:paraId="4E41EDD0">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auto"/>
          <w:szCs w:val="21"/>
          <w:highlight w:val="none"/>
          <w:u w:val="single"/>
        </w:rPr>
        <w:t xml:space="preserve"> 30 </w:t>
      </w:r>
      <w:r>
        <w:rPr>
          <w:rFonts w:hint="eastAsia" w:ascii="宋体" w:hAnsi="宋体"/>
          <w:color w:val="auto"/>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24D2106">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pPr>
        <w:tabs>
          <w:tab w:val="left" w:pos="360"/>
        </w:tabs>
        <w:snapToGrid w:val="0"/>
        <w:spacing w:line="360" w:lineRule="auto"/>
        <w:rPr>
          <w:bCs/>
          <w:snapToGrid w:val="0"/>
          <w:color w:val="auto"/>
          <w:szCs w:val="21"/>
          <w:highlight w:val="none"/>
        </w:rPr>
      </w:pPr>
      <w:r>
        <w:rPr>
          <w:rFonts w:hint="eastAsia" w:ascii="宋体" w:hAnsi="宋体"/>
          <w:b/>
          <w:bCs/>
          <w:color w:val="auto"/>
          <w:szCs w:val="21"/>
          <w:highlight w:val="none"/>
        </w:rPr>
        <w:t>15.</w:t>
      </w:r>
      <w:r>
        <w:rPr>
          <w:rFonts w:hint="eastAsia" w:ascii="宋体" w:hAnsi="宋体"/>
          <w:b/>
          <w:color w:val="auto"/>
          <w:szCs w:val="21"/>
          <w:highlight w:val="none"/>
        </w:rPr>
        <w:t xml:space="preserve">  知识产权</w:t>
      </w:r>
    </w:p>
    <w:p w14:paraId="294CF0EB">
      <w:pPr>
        <w:tabs>
          <w:tab w:val="left" w:pos="360"/>
        </w:tabs>
        <w:snapToGrid w:val="0"/>
        <w:spacing w:line="360" w:lineRule="auto"/>
        <w:rPr>
          <w:rFonts w:ascii="宋体" w:hAnsi="宋体"/>
          <w:color w:val="auto"/>
          <w:kern w:val="0"/>
          <w:szCs w:val="21"/>
          <w:highlight w:val="none"/>
        </w:rPr>
      </w:pPr>
      <w:r>
        <w:rPr>
          <w:rFonts w:hint="eastAsia" w:ascii="宋体" w:hAnsi="宋体"/>
          <w:color w:val="auto"/>
          <w:kern w:val="0"/>
          <w:szCs w:val="21"/>
          <w:highlight w:val="none"/>
        </w:rPr>
        <w:t>15.1 买方在履行合同过程中提供给卖方的全部图纸、文件和其他含有数据和信息的资料，其知识产权属于买方。</w:t>
      </w:r>
    </w:p>
    <w:p w14:paraId="07C342B6">
      <w:pPr>
        <w:tabs>
          <w:tab w:val="left" w:pos="360"/>
        </w:tabs>
        <w:snapToGrid w:val="0"/>
        <w:spacing w:line="360" w:lineRule="auto"/>
        <w:ind w:left="525" w:hanging="525" w:hangingChars="250"/>
        <w:rPr>
          <w:rFonts w:ascii="宋体" w:hAnsi="宋体"/>
          <w:color w:val="auto"/>
          <w:kern w:val="0"/>
          <w:szCs w:val="21"/>
          <w:highlight w:val="none"/>
        </w:rPr>
      </w:pPr>
      <w:r>
        <w:rPr>
          <w:rFonts w:hint="eastAsia" w:ascii="宋体" w:hAnsi="宋体"/>
          <w:color w:val="auto"/>
          <w:kern w:val="0"/>
          <w:szCs w:val="21"/>
          <w:highlight w:val="none"/>
        </w:rPr>
        <w:t>15.2 买方不因签署和履行合同而享有卖方在履行合同过程中提供给买方的图纸、文件、配套软件、电子辅助程序和其他含有数据和信息的资料的知识产权。</w:t>
      </w:r>
    </w:p>
    <w:p w14:paraId="68E303B3">
      <w:pPr>
        <w:tabs>
          <w:tab w:val="left" w:pos="360"/>
        </w:tabs>
        <w:snapToGrid w:val="0"/>
        <w:spacing w:line="360" w:lineRule="auto"/>
        <w:ind w:left="525" w:hanging="525" w:hangingChars="250"/>
        <w:rPr>
          <w:rFonts w:ascii="宋体" w:hAnsi="宋体"/>
          <w:color w:val="auto"/>
          <w:kern w:val="0"/>
          <w:szCs w:val="21"/>
          <w:highlight w:val="none"/>
        </w:rPr>
      </w:pPr>
      <w:r>
        <w:rPr>
          <w:rFonts w:hint="eastAsia" w:ascii="宋体" w:hAnsi="宋体"/>
          <w:color w:val="auto"/>
          <w:kern w:val="0"/>
          <w:szCs w:val="21"/>
          <w:highlight w:val="none"/>
        </w:rPr>
        <w:t>15.3 卖方保证，买方在使用本合同项下货物或该货物的任何一部分时，免受第三方提出的侵犯其专利权、商标权、著作权或其他知识产权的起诉。</w:t>
      </w:r>
    </w:p>
    <w:p w14:paraId="6811E415">
      <w:pPr>
        <w:tabs>
          <w:tab w:val="left" w:pos="360"/>
        </w:tabs>
        <w:snapToGrid w:val="0"/>
        <w:spacing w:line="360" w:lineRule="auto"/>
        <w:ind w:left="525" w:hanging="525" w:hangingChars="250"/>
        <w:rPr>
          <w:bCs/>
          <w:snapToGrid w:val="0"/>
          <w:color w:val="auto"/>
          <w:szCs w:val="21"/>
          <w:highlight w:val="none"/>
        </w:rPr>
      </w:pPr>
      <w:r>
        <w:rPr>
          <w:rFonts w:hint="eastAsia" w:ascii="宋体" w:hAnsi="宋体"/>
          <w:color w:val="auto"/>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pPr>
        <w:tabs>
          <w:tab w:val="left" w:pos="360"/>
        </w:tabs>
        <w:snapToGrid w:val="0"/>
        <w:spacing w:line="360" w:lineRule="auto"/>
        <w:rPr>
          <w:bCs/>
          <w:snapToGrid w:val="0"/>
          <w:color w:val="auto"/>
          <w:szCs w:val="21"/>
          <w:highlight w:val="none"/>
        </w:rPr>
      </w:pPr>
      <w:r>
        <w:rPr>
          <w:rFonts w:hint="eastAsia" w:ascii="宋体" w:hAnsi="宋体"/>
          <w:b/>
          <w:bCs/>
          <w:color w:val="auto"/>
          <w:szCs w:val="21"/>
          <w:highlight w:val="none"/>
        </w:rPr>
        <w:t>16.</w:t>
      </w:r>
      <w:r>
        <w:rPr>
          <w:rFonts w:hint="eastAsia" w:ascii="宋体" w:hAnsi="宋体"/>
          <w:b/>
          <w:color w:val="auto"/>
          <w:szCs w:val="21"/>
          <w:highlight w:val="none"/>
        </w:rPr>
        <w:t xml:space="preserve">  合同的变更或终止</w:t>
      </w:r>
    </w:p>
    <w:p w14:paraId="5C4A192A">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16.1 买方有权向卖方发出书面通知，从以下方面对合同内容进行变更，卖方应无条件执行买方的变更要求：</w:t>
      </w:r>
    </w:p>
    <w:p w14:paraId="21B43621">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1）提前、推迟或暂停合同货物的交货，但应在交货期</w:t>
      </w:r>
      <w:r>
        <w:rPr>
          <w:rFonts w:hint="eastAsia" w:ascii="宋体" w:hAnsi="宋体"/>
          <w:color w:val="auto"/>
          <w:szCs w:val="21"/>
          <w:highlight w:val="none"/>
          <w:u w:val="single"/>
        </w:rPr>
        <w:t xml:space="preserve"> 30 </w:t>
      </w:r>
      <w:r>
        <w:rPr>
          <w:rFonts w:hint="eastAsia" w:ascii="宋体" w:hAnsi="宋体"/>
          <w:color w:val="auto"/>
          <w:szCs w:val="21"/>
          <w:highlight w:val="none"/>
        </w:rPr>
        <w:t>天前（含本数）通知卖方，以便卖方提前做好各项生产准备工作。提前、推迟、暂停及重新确定交货时间均应办理有关合同变更手续。</w:t>
      </w:r>
    </w:p>
    <w:p w14:paraId="198D499C">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2）在交货期</w:t>
      </w:r>
      <w:r>
        <w:rPr>
          <w:rFonts w:hint="eastAsia" w:ascii="宋体" w:hAnsi="宋体"/>
          <w:color w:val="auto"/>
          <w:szCs w:val="21"/>
          <w:highlight w:val="none"/>
          <w:u w:val="single"/>
        </w:rPr>
        <w:t xml:space="preserve"> 7 </w:t>
      </w:r>
      <w:r>
        <w:rPr>
          <w:rFonts w:hint="eastAsia" w:ascii="宋体" w:hAnsi="宋体"/>
          <w:color w:val="auto"/>
          <w:szCs w:val="21"/>
          <w:highlight w:val="none"/>
        </w:rPr>
        <w:t>天前（含本数）通知卖方变更运输方式、包装方式、交货地点及卖方需提供的服务。</w:t>
      </w:r>
    </w:p>
    <w:p w14:paraId="5C4DB34C">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16.2 除合同另有约定外，本框架合同在下列情况下终止：</w:t>
      </w:r>
    </w:p>
    <w:p w14:paraId="2BE44B58">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1）双方协商同意，并签署书面终止合同；</w:t>
      </w:r>
    </w:p>
    <w:p w14:paraId="702B358C">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2）合同一方或者其受让人、承继人严重违反本合同规定的其义务且在另一方书面通知其纠正违约后的三十天内未能纠正违约，另一方可以书面通知违约方终止本合同；</w:t>
      </w:r>
    </w:p>
    <w:p w14:paraId="44B2401C">
      <w:pPr>
        <w:tabs>
          <w:tab w:val="left" w:pos="360"/>
          <w:tab w:val="left" w:pos="54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3）一方破产、解散或停业清理，另一方可以在向该方发出通知后的十天内终止本合同。</w:t>
      </w:r>
    </w:p>
    <w:p w14:paraId="05523C94">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3EEABB67">
      <w:pPr>
        <w:tabs>
          <w:tab w:val="left" w:pos="360"/>
          <w:tab w:val="left" w:pos="54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16.3 除非买卖双方签署书面变更合同，并成为本合同不可分割的一部分之情形外，本合同的条款不得有任何变化或修改。</w:t>
      </w:r>
    </w:p>
    <w:p w14:paraId="4E243CC1">
      <w:pPr>
        <w:tabs>
          <w:tab w:val="left" w:pos="180"/>
        </w:tabs>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17.  </w:t>
      </w:r>
      <w:r>
        <w:rPr>
          <w:rFonts w:hint="eastAsia" w:ascii="宋体" w:hAnsi="宋体"/>
          <w:b/>
          <w:color w:val="auto"/>
          <w:szCs w:val="21"/>
          <w:highlight w:val="none"/>
        </w:rPr>
        <w:t>合同的转让</w:t>
      </w:r>
      <w:r>
        <w:rPr>
          <w:rFonts w:hint="eastAsia" w:ascii="宋体" w:hAnsi="宋体"/>
          <w:color w:val="auto"/>
          <w:szCs w:val="21"/>
          <w:highlight w:val="none"/>
        </w:rPr>
        <w:t xml:space="preserve"> </w:t>
      </w:r>
    </w:p>
    <w:p w14:paraId="5F3B85E3">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卖方不得部分转让或全部转让其应履行的合同义务，如买方发现卖方有买方不能接受的转让行为，买方有权中止或解除合同，由此所造成的损失由卖方承担。</w:t>
      </w:r>
    </w:p>
    <w:p w14:paraId="098C4423">
      <w:pPr>
        <w:tabs>
          <w:tab w:val="left" w:pos="360"/>
        </w:tabs>
        <w:snapToGrid w:val="0"/>
        <w:spacing w:line="360" w:lineRule="auto"/>
        <w:rPr>
          <w:rFonts w:ascii="宋体" w:hAnsi="宋体"/>
          <w:color w:val="auto"/>
          <w:szCs w:val="21"/>
          <w:highlight w:val="none"/>
        </w:rPr>
      </w:pPr>
      <w:r>
        <w:rPr>
          <w:rFonts w:hint="eastAsia" w:ascii="宋体" w:hAnsi="宋体"/>
          <w:b/>
          <w:bCs/>
          <w:color w:val="auto"/>
          <w:szCs w:val="21"/>
          <w:highlight w:val="none"/>
        </w:rPr>
        <w:t xml:space="preserve">18.  </w:t>
      </w:r>
      <w:r>
        <w:rPr>
          <w:rFonts w:hint="eastAsia" w:ascii="宋体" w:hAnsi="宋体"/>
          <w:b/>
          <w:color w:val="auto"/>
          <w:szCs w:val="21"/>
          <w:highlight w:val="none"/>
        </w:rPr>
        <w:t>适用法律与争议解决</w:t>
      </w:r>
    </w:p>
    <w:p w14:paraId="651EB10E">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18.1 本合同的效力、履行及任何争议仅适用中华人民共和国法律。</w:t>
      </w:r>
    </w:p>
    <w:p w14:paraId="657B44B8">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18.2 因本合同引起的或与本合同有关的争议，买卖双方应通过友好协商解决，如果协商不成，双方同意按照以下第（1）种方式处理：</w:t>
      </w:r>
    </w:p>
    <w:p w14:paraId="4508307E">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1）向买方所在地有管辖权的人民法院提起诉讼；</w:t>
      </w:r>
    </w:p>
    <w:p w14:paraId="66392FF5">
      <w:pPr>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2）提交滁州市仲裁委员会仲裁，并同意按照该会届时有效的仲裁规则仲裁。仲裁裁决是终局的，对各方均有约束力。</w:t>
      </w:r>
    </w:p>
    <w:p w14:paraId="3AF1B035">
      <w:pPr>
        <w:snapToGrid w:val="0"/>
        <w:spacing w:line="360" w:lineRule="auto"/>
        <w:rPr>
          <w:rFonts w:ascii="宋体" w:hAnsi="宋体"/>
          <w:b/>
          <w:bCs/>
          <w:color w:val="auto"/>
          <w:szCs w:val="21"/>
          <w:highlight w:val="none"/>
        </w:rPr>
      </w:pPr>
      <w:r>
        <w:rPr>
          <w:rFonts w:hint="eastAsia" w:ascii="宋体" w:hAnsi="宋体"/>
          <w:b/>
          <w:bCs/>
          <w:color w:val="auto"/>
          <w:szCs w:val="21"/>
          <w:highlight w:val="none"/>
        </w:rPr>
        <w:t>19.  通知送达</w:t>
      </w:r>
    </w:p>
    <w:p w14:paraId="6501B1CD">
      <w:pPr>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xml:space="preserve">     卖方联系人：______________</w:t>
      </w:r>
    </w:p>
    <w:p w14:paraId="101DE047">
      <w:pPr>
        <w:tabs>
          <w:tab w:val="left" w:pos="360"/>
        </w:tabs>
        <w:snapToGrid w:val="0"/>
        <w:spacing w:line="360" w:lineRule="auto"/>
        <w:ind w:left="525" w:leftChars="250"/>
        <w:rPr>
          <w:rFonts w:ascii="宋体" w:hAnsi="宋体"/>
          <w:color w:val="auto"/>
          <w:szCs w:val="21"/>
          <w:highlight w:val="none"/>
        </w:rPr>
      </w:pPr>
      <w:bookmarkStart w:id="12" w:name="_Hlk27004249"/>
      <w:r>
        <w:rPr>
          <w:rFonts w:hint="eastAsia" w:ascii="宋体" w:hAnsi="宋体"/>
          <w:color w:val="auto"/>
          <w:szCs w:val="21"/>
          <w:highlight w:val="none"/>
        </w:rPr>
        <w:t>联系方式：</w:t>
      </w:r>
      <w:bookmarkEnd w:id="12"/>
      <w:r>
        <w:rPr>
          <w:rFonts w:hint="eastAsia" w:ascii="宋体" w:hAnsi="宋体"/>
          <w:color w:val="auto"/>
          <w:szCs w:val="21"/>
          <w:highlight w:val="none"/>
        </w:rPr>
        <w:t xml:space="preserve">  ______________</w:t>
      </w:r>
    </w:p>
    <w:p w14:paraId="6531C9ED">
      <w:pPr>
        <w:tabs>
          <w:tab w:val="left" w:pos="360"/>
        </w:tabs>
        <w:snapToGrid w:val="0"/>
        <w:spacing w:line="360" w:lineRule="auto"/>
        <w:rPr>
          <w:rFonts w:ascii="宋体" w:hAnsi="宋体"/>
          <w:color w:val="auto"/>
          <w:szCs w:val="21"/>
          <w:highlight w:val="none"/>
        </w:rPr>
      </w:pPr>
      <w:r>
        <w:rPr>
          <w:rFonts w:hint="eastAsia" w:ascii="宋体" w:hAnsi="宋体"/>
          <w:color w:val="auto"/>
          <w:szCs w:val="21"/>
          <w:highlight w:val="none"/>
        </w:rPr>
        <w:t xml:space="preserve">     买方联系人：______________</w:t>
      </w:r>
    </w:p>
    <w:p w14:paraId="421C6389">
      <w:pPr>
        <w:tabs>
          <w:tab w:val="left" w:pos="360"/>
        </w:tabs>
        <w:snapToGrid w:val="0"/>
        <w:spacing w:line="360" w:lineRule="auto"/>
        <w:ind w:firstLine="525" w:firstLineChars="250"/>
        <w:rPr>
          <w:rFonts w:ascii="宋体" w:hAnsi="宋体"/>
          <w:color w:val="auto"/>
          <w:szCs w:val="21"/>
          <w:highlight w:val="none"/>
        </w:rPr>
      </w:pPr>
      <w:r>
        <w:rPr>
          <w:rFonts w:ascii="宋体" w:hAnsi="宋体"/>
          <w:color w:val="auto"/>
          <w:szCs w:val="21"/>
          <w:highlight w:val="none"/>
        </w:rPr>
        <w:t>联系</w:t>
      </w:r>
      <w:r>
        <w:rPr>
          <w:rFonts w:hint="eastAsia" w:ascii="宋体" w:hAnsi="宋体"/>
          <w:color w:val="auto"/>
          <w:szCs w:val="21"/>
          <w:highlight w:val="none"/>
        </w:rPr>
        <w:t>方式：  ______________</w:t>
      </w:r>
    </w:p>
    <w:p w14:paraId="562361D3">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pPr>
        <w:spacing w:line="360" w:lineRule="auto"/>
        <w:ind w:left="525" w:hanging="525" w:hangingChars="250"/>
        <w:rPr>
          <w:rFonts w:ascii="宋体" w:hAnsi="宋体"/>
          <w:b/>
          <w:bCs/>
          <w:color w:val="auto"/>
          <w:szCs w:val="21"/>
          <w:highlight w:val="none"/>
        </w:rPr>
      </w:pPr>
      <w:r>
        <w:rPr>
          <w:rFonts w:hint="eastAsia" w:ascii="宋体" w:hAnsi="宋体"/>
          <w:color w:val="auto"/>
          <w:szCs w:val="21"/>
          <w:highlight w:val="none"/>
        </w:rPr>
        <w:t>19.3 本条款为独立条款，不受协议整体或其他条款的效力的影响，始终有效。</w:t>
      </w:r>
    </w:p>
    <w:p w14:paraId="34392BE9">
      <w:pPr>
        <w:snapToGrid w:val="0"/>
        <w:spacing w:line="360" w:lineRule="auto"/>
        <w:rPr>
          <w:rFonts w:ascii="宋体" w:hAnsi="宋体"/>
          <w:b/>
          <w:bCs/>
          <w:color w:val="auto"/>
          <w:szCs w:val="21"/>
          <w:highlight w:val="none"/>
        </w:rPr>
      </w:pPr>
      <w:r>
        <w:rPr>
          <w:rFonts w:ascii="宋体" w:hAnsi="宋体"/>
          <w:b/>
          <w:bCs/>
          <w:color w:val="auto"/>
          <w:szCs w:val="21"/>
          <w:highlight w:val="none"/>
        </w:rPr>
        <w:t>2</w:t>
      </w:r>
      <w:r>
        <w:rPr>
          <w:rFonts w:hint="eastAsia" w:ascii="宋体" w:hAnsi="宋体"/>
          <w:b/>
          <w:bCs/>
          <w:color w:val="auto"/>
          <w:szCs w:val="21"/>
          <w:highlight w:val="none"/>
        </w:rPr>
        <w:t>0.  其它</w:t>
      </w:r>
    </w:p>
    <w:p w14:paraId="10565F97">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0.1 本合同经双方法定代表人或其授权代表签名（如授权代表签名，卖方需提交法定代表人授权委托书）并加盖公章后生效。合同执行期间，买卖双方均不得随意变更或解除合同。</w:t>
      </w:r>
    </w:p>
    <w:p w14:paraId="5C9DE471">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0.2 当买方与卖方之间签署、确认的法律文件之间内容有冲突时，除另有明确书面约定外，其适用顺序如下：</w:t>
      </w:r>
    </w:p>
    <w:p w14:paraId="3051B2EC">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 xml:space="preserve"> 1）后达成的合同优先于先达成的合同适用；</w:t>
      </w:r>
    </w:p>
    <w:p w14:paraId="4949C27A">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 xml:space="preserve"> 2）双方确认的订单优先于特别条款；</w:t>
      </w:r>
    </w:p>
    <w:p w14:paraId="2DB6ABBF">
      <w:pPr>
        <w:tabs>
          <w:tab w:val="left" w:pos="360"/>
        </w:tabs>
        <w:snapToGrid w:val="0"/>
        <w:spacing w:line="360" w:lineRule="auto"/>
        <w:ind w:left="525" w:leftChars="250"/>
        <w:rPr>
          <w:rFonts w:ascii="宋体" w:hAnsi="宋体"/>
          <w:color w:val="auto"/>
          <w:szCs w:val="21"/>
          <w:highlight w:val="none"/>
        </w:rPr>
      </w:pPr>
      <w:r>
        <w:rPr>
          <w:rFonts w:hint="eastAsia" w:ascii="宋体" w:hAnsi="宋体"/>
          <w:color w:val="auto"/>
          <w:szCs w:val="21"/>
          <w:highlight w:val="none"/>
        </w:rPr>
        <w:t xml:space="preserve"> 3）特别条款优先于一般条款。</w:t>
      </w:r>
    </w:p>
    <w:p w14:paraId="53E787AA">
      <w:pPr>
        <w:tabs>
          <w:tab w:val="left" w:pos="360"/>
        </w:tabs>
        <w:snapToGrid w:val="0"/>
        <w:spacing w:line="360" w:lineRule="auto"/>
        <w:ind w:left="525" w:hanging="525" w:hangingChars="250"/>
        <w:rPr>
          <w:rFonts w:ascii="宋体" w:hAnsi="宋体"/>
          <w:color w:val="auto"/>
          <w:szCs w:val="21"/>
          <w:highlight w:val="none"/>
        </w:rPr>
      </w:pPr>
      <w:r>
        <w:rPr>
          <w:rFonts w:hint="eastAsia" w:ascii="宋体" w:hAnsi="宋体"/>
          <w:color w:val="auto"/>
          <w:szCs w:val="21"/>
          <w:highlight w:val="none"/>
        </w:rPr>
        <w:t>20.3 卖方如在中标后或者合同履行期间发生被人民法院列为失信被执行人、影响合同履约能力的重大行政处罚等情形，应及时向买方的履约管理单位、招标采购事业部报备。</w:t>
      </w:r>
    </w:p>
    <w:p w14:paraId="744C7752">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0.5 </w:t>
      </w:r>
      <w:r>
        <w:rPr>
          <w:rFonts w:hint="eastAsia" w:ascii="宋体" w:hAnsi="宋体"/>
          <w:bCs/>
          <w:color w:val="auto"/>
          <w:szCs w:val="21"/>
          <w:highlight w:val="none"/>
        </w:rPr>
        <w:t>本合同正本（包括附件）一式两份，买方执一份，卖方执一份；副本（包括附件）一式三份，买方执三份。正本和副本具有同等法律效力，如有互相矛盾之处，以正本为准。</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F114A6"/>
    <w:rsid w:val="02645583"/>
    <w:rsid w:val="02F823F5"/>
    <w:rsid w:val="03822CFE"/>
    <w:rsid w:val="039F5432"/>
    <w:rsid w:val="03AE3AF3"/>
    <w:rsid w:val="03FD05D6"/>
    <w:rsid w:val="040A2CF3"/>
    <w:rsid w:val="045B2BCC"/>
    <w:rsid w:val="046B5540"/>
    <w:rsid w:val="04893C18"/>
    <w:rsid w:val="04ED064B"/>
    <w:rsid w:val="059511D6"/>
    <w:rsid w:val="05CB5336"/>
    <w:rsid w:val="060A660A"/>
    <w:rsid w:val="062067FE"/>
    <w:rsid w:val="068F6E11"/>
    <w:rsid w:val="069A01B7"/>
    <w:rsid w:val="06AE70E8"/>
    <w:rsid w:val="07117EF5"/>
    <w:rsid w:val="07153E89"/>
    <w:rsid w:val="07D77390"/>
    <w:rsid w:val="084E7652"/>
    <w:rsid w:val="08504A1F"/>
    <w:rsid w:val="08DA2C94"/>
    <w:rsid w:val="08E375DA"/>
    <w:rsid w:val="094A5F81"/>
    <w:rsid w:val="097E3F67"/>
    <w:rsid w:val="09896468"/>
    <w:rsid w:val="09F2400E"/>
    <w:rsid w:val="0A00672A"/>
    <w:rsid w:val="0A490A8C"/>
    <w:rsid w:val="0A8960BD"/>
    <w:rsid w:val="0A981059"/>
    <w:rsid w:val="0B2F1F4E"/>
    <w:rsid w:val="0BAF665A"/>
    <w:rsid w:val="0BC35C62"/>
    <w:rsid w:val="0BCD7E05"/>
    <w:rsid w:val="0BEF4CA9"/>
    <w:rsid w:val="0D474670"/>
    <w:rsid w:val="0D49488C"/>
    <w:rsid w:val="0DFE3C20"/>
    <w:rsid w:val="0E41118E"/>
    <w:rsid w:val="0E6F3E7F"/>
    <w:rsid w:val="0E9B2F86"/>
    <w:rsid w:val="0FB12275"/>
    <w:rsid w:val="106313BA"/>
    <w:rsid w:val="10CA6ACA"/>
    <w:rsid w:val="11001706"/>
    <w:rsid w:val="119360D6"/>
    <w:rsid w:val="123A47A4"/>
    <w:rsid w:val="127315B1"/>
    <w:rsid w:val="12E24FBE"/>
    <w:rsid w:val="132A63DF"/>
    <w:rsid w:val="13503F20"/>
    <w:rsid w:val="13623FB2"/>
    <w:rsid w:val="1378114C"/>
    <w:rsid w:val="138B016E"/>
    <w:rsid w:val="138D1D96"/>
    <w:rsid w:val="13F80459"/>
    <w:rsid w:val="14237BE5"/>
    <w:rsid w:val="14BA3748"/>
    <w:rsid w:val="150F4102"/>
    <w:rsid w:val="15A13B32"/>
    <w:rsid w:val="15B17473"/>
    <w:rsid w:val="15E6711C"/>
    <w:rsid w:val="166D339A"/>
    <w:rsid w:val="16B926C0"/>
    <w:rsid w:val="16F13FCB"/>
    <w:rsid w:val="17575DF8"/>
    <w:rsid w:val="17CC40F0"/>
    <w:rsid w:val="17E31439"/>
    <w:rsid w:val="180A24D2"/>
    <w:rsid w:val="188E75F7"/>
    <w:rsid w:val="197902A7"/>
    <w:rsid w:val="198E2A16"/>
    <w:rsid w:val="19A76BC3"/>
    <w:rsid w:val="19B906A4"/>
    <w:rsid w:val="19DB2D10"/>
    <w:rsid w:val="1A18361C"/>
    <w:rsid w:val="1A240D2C"/>
    <w:rsid w:val="1AAE5D2F"/>
    <w:rsid w:val="1AF8344E"/>
    <w:rsid w:val="1B4A3CA9"/>
    <w:rsid w:val="1BAA7B2C"/>
    <w:rsid w:val="1CA90839"/>
    <w:rsid w:val="1CC21F65"/>
    <w:rsid w:val="1CEC6D48"/>
    <w:rsid w:val="1D21411F"/>
    <w:rsid w:val="1DBC6559"/>
    <w:rsid w:val="1DD2442A"/>
    <w:rsid w:val="1E312EFF"/>
    <w:rsid w:val="1F027EE3"/>
    <w:rsid w:val="1F3D0BF1"/>
    <w:rsid w:val="1F4A7345"/>
    <w:rsid w:val="1F4E71EE"/>
    <w:rsid w:val="1F7D45D0"/>
    <w:rsid w:val="1F831D1F"/>
    <w:rsid w:val="1FF22990"/>
    <w:rsid w:val="20531852"/>
    <w:rsid w:val="207D242B"/>
    <w:rsid w:val="20E44F18"/>
    <w:rsid w:val="20FF5536"/>
    <w:rsid w:val="21124FCE"/>
    <w:rsid w:val="21130FE1"/>
    <w:rsid w:val="216141DA"/>
    <w:rsid w:val="21661111"/>
    <w:rsid w:val="21C916A0"/>
    <w:rsid w:val="21EE1107"/>
    <w:rsid w:val="222C308D"/>
    <w:rsid w:val="227A50AE"/>
    <w:rsid w:val="228D0920"/>
    <w:rsid w:val="22E62859"/>
    <w:rsid w:val="23353491"/>
    <w:rsid w:val="2382546B"/>
    <w:rsid w:val="23A45829"/>
    <w:rsid w:val="241B2D61"/>
    <w:rsid w:val="24AC5BAF"/>
    <w:rsid w:val="255F2A47"/>
    <w:rsid w:val="25826736"/>
    <w:rsid w:val="266320C3"/>
    <w:rsid w:val="26C708A4"/>
    <w:rsid w:val="27133AE9"/>
    <w:rsid w:val="275C189F"/>
    <w:rsid w:val="277E1FE6"/>
    <w:rsid w:val="289F580D"/>
    <w:rsid w:val="28A25500"/>
    <w:rsid w:val="28C826B1"/>
    <w:rsid w:val="28D65B85"/>
    <w:rsid w:val="29A273A6"/>
    <w:rsid w:val="2A5921FA"/>
    <w:rsid w:val="2B7F044A"/>
    <w:rsid w:val="2B8B1E9A"/>
    <w:rsid w:val="2BB90BFC"/>
    <w:rsid w:val="2BF76571"/>
    <w:rsid w:val="2C3A1B18"/>
    <w:rsid w:val="2C90798A"/>
    <w:rsid w:val="2CAD4098"/>
    <w:rsid w:val="2CFF6CD5"/>
    <w:rsid w:val="2D1C2FCC"/>
    <w:rsid w:val="2D3C3C89"/>
    <w:rsid w:val="2D832FCE"/>
    <w:rsid w:val="2E4647A4"/>
    <w:rsid w:val="2E884FDF"/>
    <w:rsid w:val="2F1403FE"/>
    <w:rsid w:val="2F4F7689"/>
    <w:rsid w:val="2F7610B9"/>
    <w:rsid w:val="2FEF49C8"/>
    <w:rsid w:val="300372B7"/>
    <w:rsid w:val="30660AF7"/>
    <w:rsid w:val="31FB58A6"/>
    <w:rsid w:val="329B0E37"/>
    <w:rsid w:val="32A001FB"/>
    <w:rsid w:val="32B56DE4"/>
    <w:rsid w:val="32F56799"/>
    <w:rsid w:val="32FF03D4"/>
    <w:rsid w:val="33C9152D"/>
    <w:rsid w:val="33CF1916"/>
    <w:rsid w:val="33F20F2A"/>
    <w:rsid w:val="345117AD"/>
    <w:rsid w:val="346C4EC4"/>
    <w:rsid w:val="354237EC"/>
    <w:rsid w:val="354C53DB"/>
    <w:rsid w:val="368C2F70"/>
    <w:rsid w:val="370664EA"/>
    <w:rsid w:val="37691503"/>
    <w:rsid w:val="37E4443E"/>
    <w:rsid w:val="381C0324"/>
    <w:rsid w:val="38844711"/>
    <w:rsid w:val="388A7983"/>
    <w:rsid w:val="38BA6025"/>
    <w:rsid w:val="38D46E50"/>
    <w:rsid w:val="390A6409"/>
    <w:rsid w:val="394C2E8B"/>
    <w:rsid w:val="39AB7BB1"/>
    <w:rsid w:val="39EE21C7"/>
    <w:rsid w:val="3A120740"/>
    <w:rsid w:val="3A4B4EF0"/>
    <w:rsid w:val="3A687486"/>
    <w:rsid w:val="3B1765E0"/>
    <w:rsid w:val="3B691AD2"/>
    <w:rsid w:val="3B7B1805"/>
    <w:rsid w:val="3B824942"/>
    <w:rsid w:val="3B954675"/>
    <w:rsid w:val="3C37572C"/>
    <w:rsid w:val="3C5067EE"/>
    <w:rsid w:val="3EA70C81"/>
    <w:rsid w:val="3EB92D70"/>
    <w:rsid w:val="3EBA2645"/>
    <w:rsid w:val="3F1A0A47"/>
    <w:rsid w:val="3F6E5586"/>
    <w:rsid w:val="3FAE21A3"/>
    <w:rsid w:val="3FDA11F0"/>
    <w:rsid w:val="3FF9638C"/>
    <w:rsid w:val="400662A3"/>
    <w:rsid w:val="4013200C"/>
    <w:rsid w:val="401C02CA"/>
    <w:rsid w:val="40D75730"/>
    <w:rsid w:val="41886A2A"/>
    <w:rsid w:val="42642FF3"/>
    <w:rsid w:val="42964976"/>
    <w:rsid w:val="42997141"/>
    <w:rsid w:val="433B5A32"/>
    <w:rsid w:val="433E1A96"/>
    <w:rsid w:val="435F188A"/>
    <w:rsid w:val="436D237B"/>
    <w:rsid w:val="44044A8E"/>
    <w:rsid w:val="44474665"/>
    <w:rsid w:val="44D04A95"/>
    <w:rsid w:val="44D86B0F"/>
    <w:rsid w:val="44EB7AF4"/>
    <w:rsid w:val="452324F1"/>
    <w:rsid w:val="45246A6A"/>
    <w:rsid w:val="452F45DE"/>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B991F60"/>
    <w:rsid w:val="4D0C050F"/>
    <w:rsid w:val="4D4E0B28"/>
    <w:rsid w:val="4E726A98"/>
    <w:rsid w:val="4F021BCA"/>
    <w:rsid w:val="4F4162CB"/>
    <w:rsid w:val="4F55619D"/>
    <w:rsid w:val="4F825B80"/>
    <w:rsid w:val="4F8E7BBB"/>
    <w:rsid w:val="4F9273F2"/>
    <w:rsid w:val="4FB235F0"/>
    <w:rsid w:val="50487AB0"/>
    <w:rsid w:val="51962A9D"/>
    <w:rsid w:val="51EE0B2B"/>
    <w:rsid w:val="52923265"/>
    <w:rsid w:val="52BE3679"/>
    <w:rsid w:val="533802B0"/>
    <w:rsid w:val="53413127"/>
    <w:rsid w:val="53B06098"/>
    <w:rsid w:val="53B10062"/>
    <w:rsid w:val="53B13BBE"/>
    <w:rsid w:val="54183BDF"/>
    <w:rsid w:val="54A53D24"/>
    <w:rsid w:val="54FF6363"/>
    <w:rsid w:val="5520724E"/>
    <w:rsid w:val="557E32D7"/>
    <w:rsid w:val="55801A9A"/>
    <w:rsid w:val="5583158B"/>
    <w:rsid w:val="5632548A"/>
    <w:rsid w:val="56617B1E"/>
    <w:rsid w:val="566E223B"/>
    <w:rsid w:val="566E5A3F"/>
    <w:rsid w:val="56A62F15"/>
    <w:rsid w:val="56B539C6"/>
    <w:rsid w:val="56B93FA5"/>
    <w:rsid w:val="57825F9E"/>
    <w:rsid w:val="58A3441E"/>
    <w:rsid w:val="59AA17DC"/>
    <w:rsid w:val="59CA3C2C"/>
    <w:rsid w:val="5B1A7EA6"/>
    <w:rsid w:val="5B415796"/>
    <w:rsid w:val="5C0160DE"/>
    <w:rsid w:val="5CAE3391"/>
    <w:rsid w:val="5CEC5C67"/>
    <w:rsid w:val="5DB71380"/>
    <w:rsid w:val="5DEC1792"/>
    <w:rsid w:val="5DF90711"/>
    <w:rsid w:val="5E693A13"/>
    <w:rsid w:val="5E8C14B0"/>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B31701"/>
    <w:rsid w:val="62D022B3"/>
    <w:rsid w:val="6372336A"/>
    <w:rsid w:val="63C96D02"/>
    <w:rsid w:val="63D47B81"/>
    <w:rsid w:val="64654C7D"/>
    <w:rsid w:val="647608C2"/>
    <w:rsid w:val="64942E6C"/>
    <w:rsid w:val="651A5A67"/>
    <w:rsid w:val="65286901"/>
    <w:rsid w:val="653F54CE"/>
    <w:rsid w:val="657A02B4"/>
    <w:rsid w:val="65D57BE0"/>
    <w:rsid w:val="65F71905"/>
    <w:rsid w:val="66252916"/>
    <w:rsid w:val="668D6F37"/>
    <w:rsid w:val="67627252"/>
    <w:rsid w:val="67A42D64"/>
    <w:rsid w:val="67A678BF"/>
    <w:rsid w:val="68246BFD"/>
    <w:rsid w:val="68252676"/>
    <w:rsid w:val="683C3F47"/>
    <w:rsid w:val="684E502F"/>
    <w:rsid w:val="68555008"/>
    <w:rsid w:val="68753308"/>
    <w:rsid w:val="68CC0866"/>
    <w:rsid w:val="68D45F2D"/>
    <w:rsid w:val="68E731FC"/>
    <w:rsid w:val="691C65F4"/>
    <w:rsid w:val="692D388F"/>
    <w:rsid w:val="69750D65"/>
    <w:rsid w:val="69B24F3E"/>
    <w:rsid w:val="6A024D1C"/>
    <w:rsid w:val="6A0657AB"/>
    <w:rsid w:val="6A590DE0"/>
    <w:rsid w:val="6A6B0B13"/>
    <w:rsid w:val="6AF6662F"/>
    <w:rsid w:val="6B056872"/>
    <w:rsid w:val="6B6E2926"/>
    <w:rsid w:val="6BB838E4"/>
    <w:rsid w:val="6BC1163D"/>
    <w:rsid w:val="6BE609BE"/>
    <w:rsid w:val="6C3B62C3"/>
    <w:rsid w:val="6CFC1EF7"/>
    <w:rsid w:val="6D042B59"/>
    <w:rsid w:val="6D21195D"/>
    <w:rsid w:val="6D504CBA"/>
    <w:rsid w:val="6DF3366F"/>
    <w:rsid w:val="6DF5118C"/>
    <w:rsid w:val="6E0E3C8F"/>
    <w:rsid w:val="6E172AFA"/>
    <w:rsid w:val="6E340E03"/>
    <w:rsid w:val="6EC151A6"/>
    <w:rsid w:val="6EC92EC4"/>
    <w:rsid w:val="6ECB1B80"/>
    <w:rsid w:val="6EF26D5B"/>
    <w:rsid w:val="6F3E1828"/>
    <w:rsid w:val="6F5A6ADB"/>
    <w:rsid w:val="708D66C2"/>
    <w:rsid w:val="7095177A"/>
    <w:rsid w:val="70BD374B"/>
    <w:rsid w:val="70DC0D6F"/>
    <w:rsid w:val="71431EA2"/>
    <w:rsid w:val="714E5325"/>
    <w:rsid w:val="7169556A"/>
    <w:rsid w:val="71760761"/>
    <w:rsid w:val="71F80EDE"/>
    <w:rsid w:val="72351CEA"/>
    <w:rsid w:val="7290339E"/>
    <w:rsid w:val="73375A36"/>
    <w:rsid w:val="74793E2D"/>
    <w:rsid w:val="748527D2"/>
    <w:rsid w:val="74B135C7"/>
    <w:rsid w:val="753541DE"/>
    <w:rsid w:val="75B77529"/>
    <w:rsid w:val="75BC66C7"/>
    <w:rsid w:val="75EA6B03"/>
    <w:rsid w:val="76E9789C"/>
    <w:rsid w:val="77310F4C"/>
    <w:rsid w:val="77A4715B"/>
    <w:rsid w:val="77A613DD"/>
    <w:rsid w:val="77D777E8"/>
    <w:rsid w:val="78280044"/>
    <w:rsid w:val="78302F30"/>
    <w:rsid w:val="785410B1"/>
    <w:rsid w:val="792C393E"/>
    <w:rsid w:val="793D18CD"/>
    <w:rsid w:val="79881869"/>
    <w:rsid w:val="79C8563A"/>
    <w:rsid w:val="7A513882"/>
    <w:rsid w:val="7A9B79C4"/>
    <w:rsid w:val="7AE2097E"/>
    <w:rsid w:val="7B3B62E0"/>
    <w:rsid w:val="7B597D37"/>
    <w:rsid w:val="7B9A4DB4"/>
    <w:rsid w:val="7BBD0AA3"/>
    <w:rsid w:val="7BE566D0"/>
    <w:rsid w:val="7C1D1D83"/>
    <w:rsid w:val="7D0D549D"/>
    <w:rsid w:val="7D545437"/>
    <w:rsid w:val="7D8831F6"/>
    <w:rsid w:val="7DD16A88"/>
    <w:rsid w:val="7DE04EC6"/>
    <w:rsid w:val="7DF804B8"/>
    <w:rsid w:val="7E262225"/>
    <w:rsid w:val="7E6E00C4"/>
    <w:rsid w:val="7E8B1421"/>
    <w:rsid w:val="7EC43731"/>
    <w:rsid w:val="7EFC7B34"/>
    <w:rsid w:val="7F0013D2"/>
    <w:rsid w:val="7F05660A"/>
    <w:rsid w:val="7F25708B"/>
    <w:rsid w:val="7F3B356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24</Pages>
  <Words>13706</Words>
  <Characters>14527</Characters>
  <Lines>101</Lines>
  <Paragraphs>28</Paragraphs>
  <TotalTime>39</TotalTime>
  <ScaleCrop>false</ScaleCrop>
  <LinksUpToDate>false</LinksUpToDate>
  <CharactersWithSpaces>15903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2025-02-05T07:37:57Z</dcterms:modified>
  <dc:title>竞争性谈判文件</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