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073E5">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EAD595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B5524B6">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112"/>
          <w:szCs w:val="112"/>
          <w:highlight w:val="none"/>
          <w:u w:color="000000"/>
          <w:lang w:val="en-US" w:eastAsia="zh-CN" w:bidi="ar"/>
        </w:rPr>
      </w:pPr>
      <w:r>
        <w:rPr>
          <w:rFonts w:hint="eastAsia" w:ascii="新宋体" w:hAnsi="新宋体" w:eastAsia="新宋体" w:cs="新宋体"/>
          <w:b/>
          <w:bCs w:val="0"/>
          <w:color w:val="000000"/>
          <w:kern w:val="0"/>
          <w:sz w:val="60"/>
          <w:szCs w:val="60"/>
          <w:highlight w:val="none"/>
          <w:u w:color="000000"/>
          <w:lang w:val="en-US" w:eastAsia="zh-CN" w:bidi="ar"/>
        </w:rPr>
        <w:t>2024年滁宁城际铁路二期工程轨道润滑物资采购项目</w:t>
      </w:r>
    </w:p>
    <w:p w14:paraId="71F4790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32C1060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29522CC1">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51918E52">
      <w:pPr>
        <w:pStyle w:val="22"/>
        <w:widowControl/>
        <w:rPr>
          <w:highlight w:val="none"/>
          <w:lang w:val="en-US"/>
        </w:rPr>
      </w:pPr>
      <w:r>
        <w:rPr>
          <w:highlight w:val="none"/>
          <w:lang w:val="en-US"/>
        </w:rPr>
        <w:t xml:space="preserve"> </w:t>
      </w:r>
    </w:p>
    <w:p w14:paraId="57376B25">
      <w:pPr>
        <w:pStyle w:val="22"/>
        <w:widowControl/>
        <w:rPr>
          <w:highlight w:val="none"/>
          <w:lang w:val="en-US"/>
        </w:rPr>
      </w:pPr>
      <w:r>
        <w:rPr>
          <w:highlight w:val="none"/>
          <w:lang w:val="en-US"/>
        </w:rPr>
        <w:t xml:space="preserve"> </w:t>
      </w:r>
    </w:p>
    <w:p w14:paraId="2D68B4E6">
      <w:pPr>
        <w:pStyle w:val="22"/>
        <w:widowControl/>
        <w:rPr>
          <w:highlight w:val="none"/>
          <w:lang w:val="en-US"/>
        </w:rPr>
      </w:pPr>
      <w:r>
        <w:rPr>
          <w:highlight w:val="none"/>
          <w:lang w:val="en-US"/>
        </w:rPr>
        <w:t xml:space="preserve"> </w:t>
      </w:r>
    </w:p>
    <w:p w14:paraId="07440FD5">
      <w:pPr>
        <w:pStyle w:val="22"/>
        <w:widowControl/>
        <w:rPr>
          <w:highlight w:val="none"/>
          <w:lang w:val="en-US"/>
        </w:rPr>
      </w:pPr>
      <w:r>
        <w:rPr>
          <w:highlight w:val="none"/>
          <w:lang w:val="en-US"/>
        </w:rPr>
        <w:t xml:space="preserve"> </w:t>
      </w:r>
    </w:p>
    <w:p w14:paraId="4F8FD025">
      <w:pPr>
        <w:pStyle w:val="22"/>
        <w:widowControl/>
        <w:rPr>
          <w:rFonts w:eastAsia="宋体"/>
          <w:highlight w:val="none"/>
          <w:lang w:val="en-US"/>
        </w:rPr>
      </w:pPr>
      <w:r>
        <w:rPr>
          <w:highlight w:val="none"/>
          <w:lang w:val="en-US"/>
        </w:rPr>
        <w:t xml:space="preserve"> </w:t>
      </w:r>
    </w:p>
    <w:p w14:paraId="3C36B3D1">
      <w:pPr>
        <w:adjustRightInd w:val="0"/>
        <w:snapToGrid w:val="0"/>
        <w:ind w:firstLine="302" w:firstLineChars="94"/>
        <w:rPr>
          <w:rFonts w:hint="default" w:ascii="宋体" w:hAnsi="宋体" w:eastAsiaTheme="minorEastAsia"/>
          <w:b/>
          <w:sz w:val="32"/>
          <w:highlight w:val="none"/>
          <w:u w:val="thick"/>
          <w:lang w:val="en-US" w:eastAsia="zh-CN"/>
        </w:rPr>
      </w:pPr>
      <w:r>
        <w:rPr>
          <w:rFonts w:hint="eastAsia" w:ascii="宋体" w:hAnsi="宋体"/>
          <w:b/>
          <w:sz w:val="32"/>
          <w:highlight w:val="none"/>
          <w:lang w:val="en-US" w:eastAsia="zh-CN"/>
        </w:rPr>
        <w:t>招标</w:t>
      </w:r>
      <w:r>
        <w:rPr>
          <w:rFonts w:hint="eastAsia" w:ascii="宋体" w:hAnsi="宋体"/>
          <w:b/>
          <w:sz w:val="32"/>
          <w:highlight w:val="none"/>
        </w:rPr>
        <w:t>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lang w:val="en-US" w:eastAsia="zh-CN"/>
        </w:rPr>
        <w:t xml:space="preserve">       </w:t>
      </w:r>
    </w:p>
    <w:p w14:paraId="171637C7">
      <w:pPr>
        <w:adjustRightInd w:val="0"/>
        <w:snapToGrid w:val="0"/>
        <w:ind w:firstLine="302" w:firstLineChars="94"/>
        <w:rPr>
          <w:rFonts w:hint="eastAsia" w:ascii="宋体" w:hAnsi="宋体"/>
          <w:b/>
          <w:sz w:val="32"/>
          <w:highlight w:val="none"/>
          <w:u w:val="thick"/>
        </w:rPr>
      </w:pPr>
    </w:p>
    <w:p w14:paraId="3F6D2032">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代理机构:</w:t>
      </w:r>
      <w:r>
        <w:rPr>
          <w:rFonts w:hint="eastAsia" w:ascii="宋体" w:hAnsi="宋体"/>
          <w:b/>
          <w:spacing w:val="20"/>
          <w:sz w:val="32"/>
          <w:highlight w:val="none"/>
          <w:u w:val="thick"/>
        </w:rPr>
        <w:t xml:space="preserve"> </w:t>
      </w:r>
      <w:r>
        <w:rPr>
          <w:rFonts w:hint="eastAsia" w:ascii="宋体" w:hAnsi="宋体"/>
          <w:b/>
          <w:spacing w:val="20"/>
          <w:sz w:val="32"/>
          <w:highlight w:val="none"/>
          <w:u w:val="thick"/>
          <w:lang w:val="en-US" w:eastAsia="zh-CN"/>
        </w:rPr>
        <w:t xml:space="preserve"> </w:t>
      </w:r>
      <w:r>
        <w:rPr>
          <w:rFonts w:hint="eastAsia" w:ascii="宋体" w:hAnsi="宋体"/>
          <w:b/>
          <w:sz w:val="32"/>
          <w:highlight w:val="none"/>
          <w:u w:val="thick"/>
        </w:rPr>
        <w:t xml:space="preserve">滁州市城投工程咨询管理有限公司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412497A7">
      <w:pPr>
        <w:adjustRightInd w:val="0"/>
        <w:snapToGrid w:val="0"/>
        <w:rPr>
          <w:rFonts w:hint="eastAsia" w:ascii="宋体" w:hAnsi="宋体"/>
          <w:spacing w:val="20"/>
          <w:sz w:val="32"/>
          <w:highlight w:val="none"/>
          <w:u w:val="single"/>
        </w:rPr>
      </w:pPr>
    </w:p>
    <w:p w14:paraId="3DB22A49">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发布日期: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4</w:t>
      </w:r>
      <w:r>
        <w:rPr>
          <w:rFonts w:hint="eastAsia" w:ascii="宋体" w:hAnsi="宋体"/>
          <w:b/>
          <w:sz w:val="32"/>
          <w:highlight w:val="none"/>
          <w:u w:val="thick"/>
        </w:rPr>
        <w:t>年</w:t>
      </w:r>
      <w:r>
        <w:rPr>
          <w:rFonts w:hint="eastAsia" w:ascii="宋体" w:hAnsi="宋体"/>
          <w:b/>
          <w:sz w:val="32"/>
          <w:highlight w:val="none"/>
          <w:u w:val="thick"/>
          <w:lang w:val="en-US" w:eastAsia="zh-CN"/>
        </w:rPr>
        <w:t>9</w:t>
      </w:r>
      <w:r>
        <w:rPr>
          <w:rFonts w:hint="eastAsia" w:ascii="宋体" w:hAnsi="宋体"/>
          <w:b/>
          <w:sz w:val="32"/>
          <w:highlight w:val="none"/>
          <w:u w:val="thick"/>
        </w:rPr>
        <w:t xml:space="preserve">月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14:paraId="6C40120A">
      <w:pPr>
        <w:pStyle w:val="7"/>
        <w:widowControl/>
        <w:spacing w:before="0" w:beforeAutospacing="0" w:after="120" w:afterAutospacing="0"/>
        <w:ind w:leftChars="200" w:right="0"/>
        <w:rPr>
          <w:rFonts w:hint="eastAsia" w:eastAsia="宋体"/>
          <w:highlight w:val="none"/>
          <w:lang w:val="en-US" w:eastAsia="zh-CN"/>
        </w:rPr>
      </w:pPr>
      <w:r>
        <w:rPr>
          <w:highlight w:val="none"/>
          <w:lang w:val="en-US"/>
        </w:rPr>
        <w:t xml:space="preserve"> </w:t>
      </w:r>
      <w:r>
        <w:rPr>
          <w:rFonts w:hint="eastAsia"/>
          <w:highlight w:val="none"/>
          <w:lang w:val="en-US" w:eastAsia="zh-CN"/>
        </w:rPr>
        <w:t xml:space="preserve"> </w:t>
      </w:r>
    </w:p>
    <w:p w14:paraId="14C1E0A6">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5A5D9B8C">
      <w:pPr>
        <w:jc w:val="center"/>
        <w:rPr>
          <w:rFonts w:hint="eastAsia" w:ascii="宋体" w:hAnsi="宋体" w:eastAsia="宋体" w:cs="宋体"/>
          <w:b/>
          <w:bCs w:val="0"/>
          <w:color w:val="000000"/>
          <w:kern w:val="0"/>
          <w:sz w:val="36"/>
          <w:szCs w:val="36"/>
          <w:highlight w:val="none"/>
          <w:u w:color="000000"/>
          <w:lang w:val="en-US" w:eastAsia="zh-CN" w:bidi="ar"/>
        </w:rPr>
      </w:pPr>
    </w:p>
    <w:p w14:paraId="7853F652">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9BD0F6">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bookmarkStart w:id="0" w:name="_Toc29214"/>
      <w:bookmarkEnd w:id="0"/>
      <w:bookmarkStart w:id="1" w:name="_Toc23741_WPSOffice_Level1"/>
      <w:bookmarkEnd w:id="1"/>
      <w:r>
        <w:rPr>
          <w:rFonts w:hint="eastAsia" w:ascii="宋体" w:hAnsi="宋体" w:eastAsia="宋体" w:cs="宋体"/>
          <w:color w:val="000000"/>
          <w:kern w:val="0"/>
          <w:sz w:val="24"/>
          <w:szCs w:val="24"/>
          <w:highlight w:val="none"/>
          <w:u w:color="000000"/>
          <w:lang w:val="en-US" w:eastAsia="zh-CN" w:bidi="ar"/>
        </w:rPr>
        <w:t>第一章  招标公告</w:t>
      </w:r>
      <w:bookmarkStart w:id="2" w:name="OLE_LINK4"/>
      <w:r>
        <w:rPr>
          <w:rFonts w:hint="eastAsia" w:ascii="宋体" w:hAnsi="宋体" w:eastAsia="宋体" w:cs="宋体"/>
          <w:color w:val="000000"/>
          <w:kern w:val="0"/>
          <w:sz w:val="24"/>
          <w:szCs w:val="24"/>
          <w:highlight w:val="none"/>
          <w:u w:color="000000"/>
          <w:lang w:val="en-US" w:eastAsia="zh-CN" w:bidi="ar"/>
        </w:rPr>
        <w:t xml:space="preserve"> …………………………………………………………………</w:t>
      </w:r>
      <w:bookmarkEnd w:id="2"/>
      <w:r>
        <w:rPr>
          <w:rFonts w:hint="eastAsia" w:ascii="宋体" w:hAnsi="宋体" w:eastAsia="宋体" w:cs="宋体"/>
          <w:color w:val="000000"/>
          <w:kern w:val="0"/>
          <w:sz w:val="24"/>
          <w:szCs w:val="24"/>
          <w:highlight w:val="none"/>
          <w:u w:color="000000"/>
          <w:lang w:val="en-US" w:eastAsia="zh-CN" w:bidi="ar"/>
        </w:rPr>
        <w:t>1</w:t>
      </w:r>
    </w:p>
    <w:p w14:paraId="72C61B21">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1B3BDA6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…………………………………………………………13</w:t>
      </w:r>
    </w:p>
    <w:p w14:paraId="66B1B6D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评标办法…………………………………………………………………14</w:t>
      </w:r>
    </w:p>
    <w:p w14:paraId="63819FDA">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用户需求书………………………………………………………………19</w:t>
      </w:r>
    </w:p>
    <w:p w14:paraId="08C770D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合同条款及格式…………………………………………………………25</w:t>
      </w:r>
    </w:p>
    <w:p w14:paraId="586981A5">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投标文件格式……………………………………………………………31</w:t>
      </w:r>
    </w:p>
    <w:p w14:paraId="7A46D51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招标人、招标代理机构对本招标文件的确认…………………………43</w:t>
      </w:r>
    </w:p>
    <w:p w14:paraId="4384A60D">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46F3C3B">
      <w:pPr>
        <w:pStyle w:val="22"/>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highlight w:val="none"/>
          <w:lang w:val="en-US"/>
        </w:rPr>
      </w:pPr>
      <w:bookmarkStart w:id="92"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3B2E91E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79"/>
      <w:bookmarkEnd w:id="6"/>
      <w:bookmarkStart w:id="7" w:name="_Toc35393621"/>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6AB3443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2024年滁宁城际铁路二期工程轨道润滑物资采购项目的潜在投标人应在滁州市滁宁城际铁路开发建设有限公司网站（http://czctgs.cn/）获取招标文件，并于2024年9月27日10时00分（北京时间）前递交投标文件。</w:t>
      </w:r>
    </w:p>
    <w:p w14:paraId="5E2DEC2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67D60FB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项目名称：2024年滁宁城际铁路二期工程轨道润滑物资采购项目</w:t>
      </w:r>
    </w:p>
    <w:p w14:paraId="16827C1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项目预算金额：253000元</w:t>
      </w:r>
    </w:p>
    <w:p w14:paraId="7A99E60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最高限价：253000元，投标报价不得超过最高限价，否则按无效投标处理</w:t>
      </w:r>
    </w:p>
    <w:p w14:paraId="43667BA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用户需求书：详见《用户需求书》</w:t>
      </w:r>
    </w:p>
    <w:p w14:paraId="26B3F0EB">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合同履行期限：</w:t>
      </w:r>
      <w:r>
        <w:rPr>
          <w:rFonts w:hint="eastAsia" w:ascii="宋体" w:hAnsi="宋体" w:eastAsia="宋体" w:cs="宋体"/>
          <w:color w:val="000000"/>
          <w:kern w:val="0"/>
          <w:sz w:val="24"/>
          <w:szCs w:val="24"/>
          <w:highlight w:val="none"/>
          <w:u w:color="000000"/>
          <w:lang w:val="en-US" w:eastAsia="zh-CN" w:bidi="ar"/>
        </w:rPr>
        <w:t>自签订合同之日起30天内完成供货安装，实际进场时间以招标人通知并完成进场开工报审手续为准。</w:t>
      </w:r>
    </w:p>
    <w:p w14:paraId="361B92E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27AB9EDE">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0B8DD6E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1、在中华人民共和国境内注册的具有独立承担民事责任能力的法人或其他组织。</w:t>
      </w:r>
    </w:p>
    <w:p w14:paraId="7A8ABAC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21C60BA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2024年9月20日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2024年9月27日</w:t>
      </w:r>
    </w:p>
    <w:p w14:paraId="15E322FF">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w:t>
      </w:r>
    </w:p>
    <w:p w14:paraId="629962B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66C102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68D6364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28359005"/>
      <w:bookmarkEnd w:id="11"/>
      <w:bookmarkStart w:id="12" w:name="_Toc58430308"/>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212533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时间：</w:t>
      </w:r>
      <w:r>
        <w:rPr>
          <w:rFonts w:hint="eastAsia" w:ascii="宋体" w:hAnsi="宋体" w:eastAsia="宋体" w:cs="宋体"/>
          <w:bCs/>
          <w:color w:val="000000"/>
          <w:kern w:val="0"/>
          <w:sz w:val="24"/>
          <w:szCs w:val="24"/>
          <w:highlight w:val="none"/>
          <w:u w:val="single" w:color="000000"/>
          <w:lang w:val="en-US" w:eastAsia="zh-CN" w:bidi="ar"/>
        </w:rPr>
        <w:t>2024年9月27日10时00分</w:t>
      </w:r>
      <w:r>
        <w:rPr>
          <w:rFonts w:hint="eastAsia" w:ascii="宋体" w:hAnsi="宋体" w:eastAsia="宋体" w:cs="宋体"/>
          <w:bCs/>
          <w:color w:val="000000"/>
          <w:kern w:val="0"/>
          <w:sz w:val="24"/>
          <w:szCs w:val="24"/>
          <w:highlight w:val="none"/>
          <w:u w:color="000000"/>
          <w:lang w:val="en-US" w:eastAsia="zh-CN" w:bidi="ar"/>
        </w:rPr>
        <w:t>（北京时间）</w:t>
      </w:r>
    </w:p>
    <w:p w14:paraId="33E22B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14:paraId="285FFFB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14:paraId="40528F2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18F86F2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40E92A6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1DCD659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21D5681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D0427C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15B8AB7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szCs w:val="24"/>
          <w:highlight w:val="none"/>
          <w:u w:color="000000"/>
          <w:lang w:val="en-US" w:eastAsia="zh-CN" w:bidi="ar"/>
        </w:rPr>
        <w:t>18900509886</w:t>
      </w:r>
    </w:p>
    <w:p w14:paraId="13D79C71">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4B9C1D8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2DCFA29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5BE3A9A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45BD5C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479F976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项目联系人：王以伟、周蓓蕾    </w:t>
      </w:r>
    </w:p>
    <w:p w14:paraId="39D7D95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话：18900509886、0550-3519519、18005505728</w:t>
      </w:r>
    </w:p>
    <w:bookmarkEnd w:id="92"/>
    <w:p w14:paraId="42A7612E">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14:paraId="05F96262">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153083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225B8063">
            <w:pPr>
              <w:pStyle w:val="16"/>
              <w:keepNext w:val="0"/>
              <w:keepLines w:val="0"/>
              <w:pageBreakBefore w:val="0"/>
              <w:widowControl/>
              <w:kinsoku/>
              <w:wordWrap/>
              <w:overflowPunct/>
              <w:topLinePunct w:val="0"/>
              <w:autoSpaceDN/>
              <w:bidi w:val="0"/>
              <w:adjustRightInd/>
              <w:snapToGrid/>
              <w:spacing w:line="32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0B6E7426">
            <w:pPr>
              <w:pStyle w:val="16"/>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4F56991">
            <w:pPr>
              <w:pStyle w:val="16"/>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说明与要求</w:t>
            </w:r>
          </w:p>
        </w:tc>
      </w:tr>
      <w:tr w14:paraId="3C1D71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6ACA84">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C6DC07E">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336CD2">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cs="Times New Roman"/>
                <w:bCs/>
                <w:highlight w:val="none"/>
                <w:lang w:val="en-US" w:eastAsia="zh-CN"/>
              </w:rPr>
            </w:pPr>
            <w:r>
              <w:rPr>
                <w:rFonts w:hint="eastAsia" w:cs="Times New Roman"/>
                <w:bCs/>
                <w:highlight w:val="none"/>
                <w:lang w:eastAsia="zh-CN"/>
              </w:rPr>
              <w:t>2024年滁宁城际铁路二期工程轨道润滑物资采购项目</w:t>
            </w:r>
          </w:p>
        </w:tc>
      </w:tr>
      <w:tr w14:paraId="4D60E2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7186E6">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710AC5">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84AD441">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cs="Times New Roman"/>
                <w:bCs/>
                <w:highlight w:val="none"/>
                <w:lang w:val="en-US" w:eastAsia="zh-CN"/>
              </w:rPr>
            </w:pPr>
            <w:r>
              <w:rPr>
                <w:rFonts w:hint="eastAsia" w:ascii="ˎ̥" w:hAnsi="ˎ̥"/>
                <w:bCs/>
                <w:highlight w:val="none"/>
              </w:rPr>
              <w:t>详见第一章“招标公告”</w:t>
            </w:r>
          </w:p>
        </w:tc>
      </w:tr>
      <w:tr w14:paraId="0758C1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23061">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657D86">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8D95126">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Cs/>
                <w:highlight w:val="none"/>
                <w:lang w:val="en-US"/>
              </w:rPr>
            </w:pPr>
            <w:r>
              <w:rPr>
                <w:rFonts w:hint="eastAsia" w:cs="Times New Roman"/>
                <w:bCs/>
                <w:highlight w:val="none"/>
                <w:lang w:eastAsia="zh-CN"/>
              </w:rPr>
              <w:t>招标人</w:t>
            </w:r>
            <w:r>
              <w:rPr>
                <w:rFonts w:cs="Times New Roman"/>
                <w:bCs/>
                <w:highlight w:val="none"/>
              </w:rPr>
              <w:t>指定地点</w:t>
            </w:r>
          </w:p>
        </w:tc>
      </w:tr>
      <w:tr w14:paraId="1F3FE9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FD7CBB">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13B53C">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招标人</w:t>
            </w:r>
            <w:r>
              <w:rPr>
                <w:rFonts w:cs="Times New Roman"/>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B8BCED">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hint="eastAsia" w:cs="宋体"/>
                <w:highlight w:val="none"/>
                <w:lang w:val="en-US" w:eastAsia="zh-CN"/>
              </w:rPr>
              <w:t>王以伟 18900509886</w:t>
            </w:r>
          </w:p>
        </w:tc>
      </w:tr>
      <w:tr w14:paraId="31D600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7DF451">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9AF446">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BF78B6">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w:t>
            </w:r>
            <w:r>
              <w:rPr>
                <w:rFonts w:hint="eastAsia" w:cs="宋体"/>
                <w:highlight w:val="none"/>
                <w:lang w:val="en-US" w:eastAsia="zh-CN"/>
              </w:rPr>
              <w:t>、</w:t>
            </w:r>
            <w:r>
              <w:rPr>
                <w:rFonts w:cs="宋体"/>
                <w:highlight w:val="none"/>
                <w:lang w:val="en-US"/>
              </w:rPr>
              <w:t>18005505728</w:t>
            </w:r>
          </w:p>
        </w:tc>
      </w:tr>
      <w:tr w14:paraId="4ECEB7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18FC22">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538EFC">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906027">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自筹</w:t>
            </w:r>
            <w:r>
              <w:rPr>
                <w:rFonts w:cs="Times New Roman"/>
                <w:highlight w:val="none"/>
              </w:rPr>
              <w:t>资金</w:t>
            </w:r>
          </w:p>
        </w:tc>
      </w:tr>
      <w:tr w14:paraId="13EB60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8F984B">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EA669F7">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6F6186">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253000元</w:t>
            </w:r>
          </w:p>
        </w:tc>
      </w:tr>
      <w:tr w14:paraId="758304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87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246A93">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A68C3A">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6D5CA48">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253000元，投标报价不得超过最高限价，否则按无效投标处理</w:t>
            </w:r>
          </w:p>
        </w:tc>
      </w:tr>
      <w:tr w14:paraId="74FB4D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724D9D">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053AD52">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F8138B7">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eastAsia="zh-CN"/>
              </w:rPr>
              <w:t>用户需求书</w:t>
            </w:r>
            <w:r>
              <w:rPr>
                <w:rFonts w:hint="eastAsia" w:hAnsi="宋体" w:cs="宋体"/>
                <w:bCs/>
                <w:color w:val="000000"/>
                <w:szCs w:val="21"/>
                <w:highlight w:val="none"/>
              </w:rPr>
              <w:t>》</w:t>
            </w:r>
          </w:p>
        </w:tc>
      </w:tr>
      <w:tr w14:paraId="119E7A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9CD8AE0">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B705C1">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标</w:t>
            </w:r>
            <w:r>
              <w:rPr>
                <w:rFonts w:hint="eastAsia" w:cs="Times New Roman"/>
                <w:highlight w:val="none"/>
                <w:lang w:val="en-US" w:eastAsia="zh-CN"/>
              </w:rPr>
              <w:t>段</w:t>
            </w:r>
            <w:r>
              <w:rPr>
                <w:rFonts w:cs="Times New Roman"/>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7E762D8">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00DFC4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66C28B">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4E4A0B1">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F1B9D4">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19FA6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02DC089">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2F862D">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9577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6E9695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98484AA">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31646A">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F5AE643">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16BA28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8941D9">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CBF70E">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C3D464">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不召开</w:t>
            </w:r>
          </w:p>
        </w:tc>
      </w:tr>
      <w:tr w14:paraId="2E0528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41C1AE">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141D87">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AEF860D">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4</w:t>
            </w:r>
            <w:r>
              <w:rPr>
                <w:rFonts w:cs="Times New Roman"/>
                <w:b w:val="0"/>
                <w:bCs w:val="0"/>
                <w:highlight w:val="none"/>
              </w:rPr>
              <w:t>年</w:t>
            </w:r>
            <w:r>
              <w:rPr>
                <w:rFonts w:hint="eastAsia" w:cs="Times New Roman"/>
                <w:b w:val="0"/>
                <w:bCs w:val="0"/>
                <w:highlight w:val="none"/>
                <w:lang w:val="en-US" w:eastAsia="zh-CN"/>
              </w:rPr>
              <w:t>9</w:t>
            </w:r>
            <w:r>
              <w:rPr>
                <w:rFonts w:cs="Times New Roman"/>
                <w:b w:val="0"/>
                <w:bCs w:val="0"/>
                <w:highlight w:val="none"/>
              </w:rPr>
              <w:t>月</w:t>
            </w:r>
            <w:r>
              <w:rPr>
                <w:rFonts w:hint="eastAsia" w:cs="Times New Roman"/>
                <w:b w:val="0"/>
                <w:bCs w:val="0"/>
                <w:highlight w:val="none"/>
                <w:lang w:val="en-US" w:eastAsia="zh-CN"/>
              </w:rPr>
              <w:t>24</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FD70A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E34FCF5">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34A7C20">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eastAsia="zh-CN"/>
              </w:rPr>
              <w:t>招标人</w:t>
            </w:r>
            <w:r>
              <w:rPr>
                <w:rFonts w:cs="Times New Roman"/>
                <w:highlight w:val="none"/>
              </w:rPr>
              <w:t>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2D57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2024年9月24日17时后</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cs="宋体"/>
                <w:color w:val="auto"/>
                <w:szCs w:val="21"/>
                <w:highlight w:val="none"/>
                <w:lang w:eastAsia="zh-CN"/>
              </w:rPr>
              <w:t>滁州市滁宁城际铁路开发建设有限公司网站（http://czctgs.cn/）</w:t>
            </w:r>
            <w:r>
              <w:rPr>
                <w:rFonts w:hint="eastAsia" w:ascii="宋体" w:cs="宋体"/>
                <w:color w:val="auto"/>
                <w:szCs w:val="21"/>
                <w:highlight w:val="none"/>
              </w:rPr>
              <w:t>发布。</w:t>
            </w:r>
          </w:p>
        </w:tc>
      </w:tr>
      <w:tr w14:paraId="4BCDBC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1A65FE1">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771A60">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47F5E3">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202AB4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1CF5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8E1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E9E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代理服务费金额：招标代理费3000元，不含专家评审费（专家评审费用以实际支付为准）。</w:t>
            </w:r>
          </w:p>
          <w:p w14:paraId="29223FE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3A8621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DB00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85ED1F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6619C9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431A4B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A371131">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FD29E2">
            <w:pPr>
              <w:pStyle w:val="16"/>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720FA8">
            <w:pPr>
              <w:pStyle w:val="16"/>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49DB14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8B3B5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DEF71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29A00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2F6BAE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2BE60DC">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2958A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3ECF9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eastAsiaTheme="minorEastAsia"/>
                <w:kern w:val="2"/>
                <w:highlight w:val="none"/>
                <w:lang w:val="en-US" w:eastAsia="zh-CN"/>
              </w:rPr>
            </w:pPr>
            <w:r>
              <w:rPr>
                <w:rFonts w:hint="eastAsia" w:ascii="宋体" w:hAnsi="宋体" w:cs="宋体"/>
                <w:szCs w:val="21"/>
                <w:highlight w:val="none"/>
              </w:rPr>
              <w:t>投标文件须按格式文件要求签字或盖章</w:t>
            </w:r>
            <w:r>
              <w:rPr>
                <w:rFonts w:hint="eastAsia" w:ascii="宋体" w:hAnsi="宋体" w:cs="宋体"/>
                <w:szCs w:val="21"/>
                <w:highlight w:val="none"/>
                <w:lang w:eastAsia="zh-CN"/>
              </w:rPr>
              <w:t>。</w:t>
            </w:r>
            <w:r>
              <w:rPr>
                <w:rFonts w:hint="eastAsia" w:ascii="宋体" w:hAnsi="宋体" w:cs="宋体"/>
                <w:szCs w:val="21"/>
                <w:highlight w:val="none"/>
              </w:rPr>
              <w:t>否则经评委会一致认定后，按照无效投标处理。</w:t>
            </w:r>
          </w:p>
        </w:tc>
      </w:tr>
      <w:tr w14:paraId="5ED903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18DD0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99720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color w:val="auto"/>
                <w:sz w:val="21"/>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2F2A5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eastAsia="zh-CN"/>
              </w:rPr>
            </w:pPr>
            <w:r>
              <w:rPr>
                <w:rFonts w:hint="eastAsia" w:ascii="宋体" w:hAnsi="宋体" w:cs="宋体"/>
                <w:szCs w:val="21"/>
                <w:highlight w:val="none"/>
              </w:rPr>
              <w:t>投标人中标后须递交与网上电子投标文件完全一致的纸质版投标文件，并按要求加盖公章；份数：正本1份，副本</w:t>
            </w:r>
            <w:r>
              <w:rPr>
                <w:rFonts w:hint="eastAsia" w:ascii="宋体" w:hAnsi="宋体" w:cs="宋体"/>
                <w:szCs w:val="21"/>
                <w:highlight w:val="none"/>
                <w:lang w:val="en-US" w:eastAsia="zh-CN"/>
              </w:rPr>
              <w:t>1</w:t>
            </w:r>
            <w:r>
              <w:rPr>
                <w:rFonts w:hint="eastAsia" w:ascii="宋体" w:hAnsi="宋体" w:cs="宋体"/>
                <w:szCs w:val="21"/>
                <w:highlight w:val="none"/>
              </w:rPr>
              <w:t>份；中标单位领取中标通知书时，一并递交给招标代理机构</w:t>
            </w:r>
            <w:r>
              <w:rPr>
                <w:rFonts w:hint="eastAsia" w:ascii="宋体" w:hAnsi="宋体" w:cs="宋体"/>
                <w:szCs w:val="21"/>
                <w:highlight w:val="none"/>
                <w:lang w:eastAsia="zh-CN"/>
              </w:rPr>
              <w:t>。</w:t>
            </w:r>
          </w:p>
        </w:tc>
      </w:tr>
      <w:tr w14:paraId="4F7E57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34C0C8">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12AA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eastAsiaTheme="minorEastAsia"/>
                <w:highlight w:val="none"/>
                <w:lang w:val="en-US" w:eastAsia="zh-CN"/>
              </w:rPr>
            </w:pPr>
            <w:r>
              <w:rPr>
                <w:rFonts w:hint="eastAsia" w:ascii="宋体"/>
                <w:color w:val="auto"/>
                <w:sz w:val="21"/>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7BFB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rPr>
            </w:pPr>
            <w:r>
              <w:rPr>
                <w:rFonts w:hint="eastAsia" w:ascii="宋体" w:hAnsi="宋体" w:cs="宋体"/>
                <w:szCs w:val="21"/>
                <w:highlight w:val="none"/>
              </w:rPr>
              <w:t>时  间：202</w:t>
            </w:r>
            <w:r>
              <w:rPr>
                <w:rFonts w:hint="eastAsia" w:ascii="宋体" w:hAnsi="宋体" w:cs="宋体"/>
                <w:szCs w:val="21"/>
                <w:highlight w:val="none"/>
                <w:lang w:val="en-US" w:eastAsia="zh-CN"/>
              </w:rPr>
              <w:t>4</w:t>
            </w:r>
            <w:r>
              <w:rPr>
                <w:rFonts w:hint="eastAsia" w:ascii="宋体" w:hAnsi="宋体" w:cs="宋体"/>
                <w:szCs w:val="21"/>
                <w:highlight w:val="none"/>
              </w:rPr>
              <w:t>年</w:t>
            </w:r>
            <w:r>
              <w:rPr>
                <w:rFonts w:hint="eastAsia" w:ascii="宋体" w:hAnsi="宋体" w:cs="宋体"/>
                <w:szCs w:val="21"/>
                <w:highlight w:val="none"/>
                <w:lang w:val="en-US" w:eastAsia="zh-CN"/>
              </w:rPr>
              <w:t>9</w:t>
            </w:r>
            <w:r>
              <w:rPr>
                <w:rFonts w:hint="eastAsia" w:ascii="宋体" w:hAnsi="宋体" w:cs="宋体"/>
                <w:szCs w:val="21"/>
                <w:highlight w:val="none"/>
              </w:rPr>
              <w:t>月</w:t>
            </w:r>
            <w:r>
              <w:rPr>
                <w:rFonts w:hint="eastAsia" w:ascii="宋体" w:hAnsi="宋体" w:cs="宋体"/>
                <w:szCs w:val="21"/>
                <w:highlight w:val="none"/>
                <w:lang w:val="en-US" w:eastAsia="zh-CN"/>
              </w:rPr>
              <w:t>27</w:t>
            </w:r>
            <w:r>
              <w:rPr>
                <w:rFonts w:hint="eastAsia" w:ascii="宋体" w:hAnsi="宋体" w:cs="宋体"/>
                <w:szCs w:val="21"/>
                <w:highlight w:val="none"/>
              </w:rPr>
              <w:t>日</w:t>
            </w:r>
            <w:r>
              <w:rPr>
                <w:rFonts w:hint="eastAsia" w:ascii="宋体" w:hAnsi="宋体" w:cs="宋体"/>
                <w:szCs w:val="21"/>
                <w:highlight w:val="none"/>
                <w:lang w:val="en-US" w:eastAsia="zh-CN"/>
              </w:rPr>
              <w:t>10</w:t>
            </w:r>
            <w:r>
              <w:rPr>
                <w:rFonts w:hint="eastAsia" w:ascii="宋体" w:hAnsi="宋体" w:cs="宋体"/>
                <w:szCs w:val="21"/>
                <w:highlight w:val="none"/>
              </w:rPr>
              <w:t xml:space="preserve">时00分     </w:t>
            </w:r>
          </w:p>
          <w:p w14:paraId="6443EA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val="en-US"/>
              </w:rPr>
            </w:pPr>
            <w:r>
              <w:rPr>
                <w:rFonts w:hint="eastAsia" w:ascii="宋体" w:hAnsi="宋体"/>
                <w:color w:val="auto"/>
                <w:szCs w:val="21"/>
                <w:highlight w:val="none"/>
              </w:rPr>
              <w:t xml:space="preserve">地  </w:t>
            </w:r>
            <w:r>
              <w:rPr>
                <w:rFonts w:hint="eastAsia" w:ascii="宋体" w:hAnsi="宋体"/>
                <w:color w:val="auto"/>
                <w:szCs w:val="21"/>
                <w:highlight w:val="none"/>
                <w:lang w:eastAsia="zh-CN"/>
              </w:rPr>
              <w:t>点：</w:t>
            </w:r>
            <w:r>
              <w:rPr>
                <w:rFonts w:hint="eastAsia" w:ascii="宋体" w:hAnsi="宋体" w:eastAsia="宋体" w:cs="宋体"/>
                <w:b w:val="0"/>
                <w:bCs w:val="0"/>
                <w:color w:val="auto"/>
                <w:sz w:val="21"/>
                <w:szCs w:val="21"/>
                <w:highlight w:val="none"/>
                <w:lang w:val="en-US" w:eastAsia="zh-CN"/>
              </w:rPr>
              <w:t>滁州市滁宁城际铁路开发建设有限公司七楼会议室 (滁州市徽州路与扬子路交叉口东南侧)</w:t>
            </w:r>
          </w:p>
        </w:tc>
      </w:tr>
      <w:tr w14:paraId="5CB150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704D246">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8091E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color w:val="auto"/>
                <w:sz w:val="21"/>
                <w:szCs w:val="21"/>
                <w:highlight w:val="none"/>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B9130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62E75E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0397A4">
            <w:pPr>
              <w:pStyle w:val="16"/>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01553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hAnsi="宋体" w:cs="宋体"/>
                <w:szCs w:val="21"/>
                <w:highlight w:val="none"/>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DE04E9B">
            <w:pPr>
              <w:pStyle w:val="13"/>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spacing w:val="-4"/>
                <w:highlight w:val="none"/>
                <w:lang w:val="en-US"/>
              </w:rPr>
            </w:pPr>
            <w:r>
              <w:rPr>
                <w:rFonts w:hint="eastAsia" w:hAnsi="宋体" w:cs="宋体"/>
                <w:sz w:val="21"/>
                <w:szCs w:val="21"/>
                <w:highlight w:val="none"/>
              </w:rPr>
              <w:fldChar w:fldCharType="begin"/>
            </w:r>
            <w:r>
              <w:rPr>
                <w:rFonts w:hint="eastAsia" w:hAnsi="宋体" w:cs="宋体"/>
                <w:sz w:val="21"/>
                <w:szCs w:val="21"/>
                <w:highlight w:val="none"/>
              </w:rPr>
              <w:instrText xml:space="preserve"> eq \o\ac(□,√)</w:instrText>
            </w:r>
            <w:r>
              <w:rPr>
                <w:rFonts w:hint="eastAsia" w:hAnsi="宋体" w:cs="宋体"/>
                <w:sz w:val="21"/>
                <w:szCs w:val="21"/>
                <w:highlight w:val="none"/>
              </w:rPr>
              <w:fldChar w:fldCharType="end"/>
            </w:r>
            <w:r>
              <w:rPr>
                <w:rFonts w:hint="eastAsia" w:hAnsi="宋体" w:cs="宋体"/>
                <w:sz w:val="21"/>
                <w:highlight w:val="none"/>
              </w:rPr>
              <w:t>否；</w:t>
            </w:r>
            <w:r>
              <w:rPr>
                <w:rFonts w:hint="eastAsia" w:hAnsi="宋体" w:cs="宋体"/>
                <w:szCs w:val="32"/>
                <w:highlight w:val="none"/>
              </w:rPr>
              <w:t>□</w:t>
            </w:r>
            <w:r>
              <w:rPr>
                <w:rFonts w:hint="eastAsia" w:hAnsi="宋体" w:cs="宋体"/>
                <w:sz w:val="21"/>
                <w:highlight w:val="none"/>
              </w:rPr>
              <w:t>是</w:t>
            </w:r>
          </w:p>
        </w:tc>
      </w:tr>
      <w:tr w14:paraId="655139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F293C6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03DB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6597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评标委员会构成：</w:t>
            </w:r>
            <w:r>
              <w:rPr>
                <w:rFonts w:hint="eastAsia" w:ascii="宋体" w:hAnsi="宋体" w:cs="宋体"/>
                <w:szCs w:val="21"/>
                <w:highlight w:val="none"/>
                <w:u w:val="single"/>
              </w:rPr>
              <w:t>由</w:t>
            </w:r>
            <w:r>
              <w:rPr>
                <w:rFonts w:hint="eastAsia" w:ascii="宋体" w:hAnsi="宋体" w:cs="宋体"/>
                <w:szCs w:val="21"/>
                <w:highlight w:val="none"/>
                <w:u w:val="single"/>
                <w:lang w:val="en-US" w:eastAsia="zh-CN"/>
              </w:rPr>
              <w:t>招标人</w:t>
            </w:r>
            <w:r>
              <w:rPr>
                <w:rFonts w:hint="eastAsia" w:ascii="宋体" w:hAnsi="宋体" w:cs="宋体"/>
                <w:szCs w:val="21"/>
                <w:highlight w:val="none"/>
                <w:u w:val="single"/>
              </w:rPr>
              <w:t>依法组建。</w:t>
            </w:r>
          </w:p>
        </w:tc>
      </w:tr>
      <w:tr w14:paraId="30095A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47A681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553E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D03E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58A569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72A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7E7CE4">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5846B7">
            <w:pPr>
              <w:pStyle w:val="16"/>
              <w:keepNext w:val="0"/>
              <w:keepLines w:val="0"/>
              <w:pageBreakBefore w:val="0"/>
              <w:widowControl/>
              <w:kinsoku/>
              <w:wordWrap/>
              <w:overflowPunct/>
              <w:topLinePunct w:val="0"/>
              <w:autoSpaceDE w:val="0"/>
              <w:autoSpaceDN/>
              <w:bidi w:val="0"/>
              <w:adjustRightInd/>
              <w:snapToGrid/>
              <w:spacing w:line="32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滁州市滁宁城际铁路开发建设有限公司网站（http://czctgs.cn/）</w:t>
            </w:r>
          </w:p>
        </w:tc>
      </w:tr>
      <w:tr w14:paraId="56CCCF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19AC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DAED8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7EF0B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eastAsia" w:ascii="宋体" w:hAnsi="宋体" w:cs="宋体"/>
                <w:szCs w:val="21"/>
                <w:highlight w:val="none"/>
              </w:rPr>
            </w:pPr>
            <w:r>
              <w:rPr>
                <w:rFonts w:hint="eastAsia" w:ascii="宋体" w:cs="宋体"/>
                <w:color w:val="auto"/>
                <w:szCs w:val="21"/>
                <w:highlight w:val="none"/>
              </w:rPr>
              <w:t>中标通知书须加盖</w:t>
            </w:r>
            <w:r>
              <w:rPr>
                <w:rFonts w:hint="eastAsia" w:ascii="宋体" w:cs="宋体"/>
                <w:color w:val="auto"/>
                <w:szCs w:val="21"/>
                <w:highlight w:val="none"/>
                <w:lang w:eastAsia="zh-CN"/>
              </w:rPr>
              <w:t>招标人</w:t>
            </w:r>
            <w:r>
              <w:rPr>
                <w:rFonts w:hint="eastAsia" w:ascii="宋体" w:cs="宋体"/>
                <w:color w:val="auto"/>
                <w:szCs w:val="21"/>
                <w:highlight w:val="none"/>
              </w:rPr>
              <w:t>、招标代理公司公章后方可发出</w:t>
            </w:r>
            <w:r>
              <w:rPr>
                <w:rFonts w:hint="eastAsia" w:ascii="宋体" w:cs="宋体"/>
                <w:color w:val="auto"/>
                <w:szCs w:val="21"/>
                <w:highlight w:val="none"/>
                <w:lang w:eastAsia="zh-CN"/>
              </w:rPr>
              <w:t>。</w:t>
            </w:r>
          </w:p>
        </w:tc>
      </w:tr>
      <w:tr w14:paraId="0468F1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40C7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25E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cs="宋体"/>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2F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cs="宋体"/>
                <w:szCs w:val="21"/>
                <w:highlight w:val="none"/>
              </w:rPr>
              <w:t>本项目不要求提供履约担保</w:t>
            </w:r>
          </w:p>
        </w:tc>
      </w:tr>
      <w:tr w14:paraId="7FBE28A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5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9577BB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61A26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cs="宋体"/>
                <w:szCs w:val="21"/>
                <w:highlight w:val="none"/>
                <w:lang w:val="en-US" w:eastAsia="zh-CN"/>
              </w:rPr>
              <w:t>全部设备安装调试完成通过验收，并按要求移交备品备件后，一次性付清合同价款。</w:t>
            </w:r>
          </w:p>
        </w:tc>
      </w:tr>
      <w:tr w14:paraId="459BD6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CD2FF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BB88E2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04F6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793603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20B435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7A2190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14:paraId="55D737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14:paraId="5A0BD9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14:paraId="3770CEC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default"/>
                <w:highlight w:val="none"/>
                <w:lang w:val="en-US"/>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tc>
      </w:tr>
    </w:tbl>
    <w:p w14:paraId="2F6FF8B7">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3C1246EA">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2421E4E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69200ED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1532154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6251F45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11CEA45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51FA6EC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77B02FF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7EBCF715">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46F7C3D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34C705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476EAEF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34A97FBB">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14:paraId="10AD77E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4D05F24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3DEC07B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14:paraId="33FE3DB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600D2D9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1272FC0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5001E63F">
      <w:pPr>
        <w:keepNext w:val="0"/>
        <w:keepLines w:val="0"/>
        <w:widowControl/>
        <w:suppressLineNumbers w:val="0"/>
        <w:tabs>
          <w:tab w:val="left" w:pos="5725"/>
        </w:tabs>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r>
        <w:rPr>
          <w:rFonts w:hint="eastAsia" w:ascii="宋体" w:hAnsi="宋体" w:eastAsia="宋体" w:cs="宋体"/>
          <w:b/>
          <w:bCs w:val="0"/>
          <w:color w:val="000000"/>
          <w:kern w:val="0"/>
          <w:sz w:val="21"/>
          <w:szCs w:val="21"/>
          <w:highlight w:val="none"/>
          <w:u w:color="000000"/>
          <w:lang w:val="en-US" w:eastAsia="zh-CN" w:bidi="ar"/>
        </w:rPr>
        <w:tab/>
      </w:r>
    </w:p>
    <w:p w14:paraId="7883EE2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val="single" w:color="000000"/>
          <w:lang w:val="en-US" w:eastAsia="zh-CN" w:bidi="ar"/>
        </w:rPr>
        <w:t>固定总价</w:t>
      </w:r>
      <w:r>
        <w:rPr>
          <w:rFonts w:hint="eastAsia" w:ascii="宋体" w:hAnsi="宋体" w:eastAsia="宋体" w:cs="宋体"/>
          <w:color w:val="000000"/>
          <w:kern w:val="0"/>
          <w:sz w:val="21"/>
          <w:szCs w:val="21"/>
          <w:highlight w:val="none"/>
          <w:u w:val="single" w:color="000000"/>
          <w:lang w:val="en-US" w:eastAsia="zh-CN" w:bidi="ar"/>
        </w:rPr>
        <w:t xml:space="preserve"> 。  </w:t>
      </w:r>
    </w:p>
    <w:p w14:paraId="48662294">
      <w:pPr>
        <w:keepNext w:val="0"/>
        <w:keepLines w:val="0"/>
        <w:widowControl/>
        <w:suppressLineNumbers w:val="0"/>
        <w:tabs>
          <w:tab w:val="left" w:pos="6235"/>
        </w:tabs>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r>
        <w:rPr>
          <w:rFonts w:hint="eastAsia" w:ascii="黑体" w:hAnsi="宋体" w:eastAsia="黑体" w:cs="宋体"/>
          <w:b/>
          <w:bCs w:val="0"/>
          <w:color w:val="000000"/>
          <w:kern w:val="0"/>
          <w:sz w:val="21"/>
          <w:szCs w:val="21"/>
          <w:highlight w:val="none"/>
          <w:u w:color="000000"/>
          <w:lang w:val="en-US" w:eastAsia="zh-CN" w:bidi="ar"/>
        </w:rPr>
        <w:tab/>
      </w:r>
    </w:p>
    <w:p w14:paraId="110BBD5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741A842B">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14:paraId="7ECBE9D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06715A2">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14:paraId="1F1950D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6F180822">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5539"/>
      <w:bookmarkEnd w:id="21"/>
      <w:bookmarkStart w:id="22" w:name="_Toc144974507"/>
      <w:bookmarkEnd w:id="22"/>
      <w:bookmarkStart w:id="23" w:name="_Toc247513962"/>
      <w:bookmarkEnd w:id="23"/>
      <w:bookmarkStart w:id="24" w:name="_Toc152042315"/>
      <w:bookmarkEnd w:id="24"/>
      <w:bookmarkStart w:id="25" w:name="_Toc247527563"/>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3973B40A">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143B09C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822ED6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4890B5C">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7AD2691">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5A04950D">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49FA08E0">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14:paraId="5FC21C0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DE29A3B">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12.招标代理费和专家评审劳务费</w:t>
      </w:r>
    </w:p>
    <w:p w14:paraId="0D40D6A1">
      <w:pPr>
        <w:spacing w:line="360" w:lineRule="auto"/>
        <w:ind w:firstLine="420" w:firstLineChars="200"/>
        <w:rPr>
          <w:rFonts w:hint="eastAsia" w:ascii="宋体"/>
          <w:szCs w:val="21"/>
          <w:highlight w:val="none"/>
          <w:lang w:eastAsia="zh-CN"/>
        </w:rPr>
      </w:pPr>
      <w:r>
        <w:rPr>
          <w:rFonts w:hint="eastAsia" w:ascii="宋体"/>
          <w:szCs w:val="21"/>
          <w:highlight w:val="none"/>
        </w:rPr>
        <w:t xml:space="preserve">12.1 </w:t>
      </w:r>
      <w:r>
        <w:rPr>
          <w:rFonts w:hint="eastAsia" w:ascii="宋体"/>
          <w:szCs w:val="21"/>
          <w:highlight w:val="none"/>
          <w:lang w:eastAsia="zh-CN"/>
        </w:rPr>
        <w:t>招标代理费：见</w:t>
      </w:r>
      <w:r>
        <w:rPr>
          <w:rFonts w:hint="eastAsia" w:ascii="宋体"/>
          <w:szCs w:val="21"/>
          <w:highlight w:val="none"/>
        </w:rPr>
        <w:t>投标人须知前附表</w:t>
      </w:r>
      <w:r>
        <w:rPr>
          <w:rFonts w:hint="eastAsia" w:ascii="宋体"/>
          <w:szCs w:val="21"/>
          <w:highlight w:val="none"/>
          <w:lang w:eastAsia="zh-CN"/>
        </w:rPr>
        <w:t>。</w:t>
      </w:r>
    </w:p>
    <w:p w14:paraId="4E82D56B">
      <w:pPr>
        <w:spacing w:line="360" w:lineRule="auto"/>
        <w:ind w:firstLine="420" w:firstLineChars="200"/>
        <w:rPr>
          <w:rFonts w:hint="eastAsia" w:ascii="宋体"/>
          <w:szCs w:val="21"/>
          <w:highlight w:val="none"/>
          <w:lang w:eastAsia="zh-CN"/>
        </w:rPr>
      </w:pPr>
      <w:r>
        <w:rPr>
          <w:rFonts w:hint="eastAsia" w:ascii="宋体"/>
          <w:szCs w:val="21"/>
          <w:highlight w:val="none"/>
        </w:rPr>
        <w:t>12.</w:t>
      </w:r>
      <w:r>
        <w:rPr>
          <w:rFonts w:hint="eastAsia" w:ascii="宋体"/>
          <w:szCs w:val="21"/>
          <w:highlight w:val="none"/>
          <w:lang w:val="en-US" w:eastAsia="zh-CN"/>
        </w:rPr>
        <w:t>2</w:t>
      </w:r>
      <w:r>
        <w:rPr>
          <w:rFonts w:hint="eastAsia" w:ascii="宋体"/>
          <w:szCs w:val="21"/>
          <w:highlight w:val="none"/>
        </w:rPr>
        <w:t xml:space="preserve"> </w:t>
      </w:r>
      <w:r>
        <w:rPr>
          <w:rFonts w:hint="eastAsia" w:ascii="宋体"/>
          <w:szCs w:val="21"/>
          <w:highlight w:val="none"/>
          <w:lang w:eastAsia="zh-CN"/>
        </w:rPr>
        <w:t>专家评审劳务费：见</w:t>
      </w:r>
      <w:r>
        <w:rPr>
          <w:rFonts w:hint="eastAsia" w:ascii="宋体"/>
          <w:szCs w:val="21"/>
          <w:highlight w:val="none"/>
        </w:rPr>
        <w:t>投标人须知前附表</w:t>
      </w:r>
      <w:r>
        <w:rPr>
          <w:rFonts w:hint="eastAsia" w:ascii="宋体"/>
          <w:szCs w:val="21"/>
          <w:highlight w:val="none"/>
          <w:lang w:eastAsia="zh-CN"/>
        </w:rPr>
        <w:t>。</w:t>
      </w:r>
    </w:p>
    <w:p w14:paraId="18DDCA02">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14:paraId="7E9BE58E">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5626C8A2">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13.2投标人对采购内容中规定的相关要求必须满足。</w:t>
      </w:r>
    </w:p>
    <w:p w14:paraId="5CE6A550">
      <w:pPr>
        <w:spacing w:line="360" w:lineRule="auto"/>
        <w:ind w:firstLine="420" w:firstLineChars="200"/>
        <w:rPr>
          <w:rFonts w:hint="eastAsia" w:ascii="宋体"/>
          <w:szCs w:val="21"/>
          <w:highlight w:val="none"/>
        </w:rPr>
      </w:pPr>
      <w:r>
        <w:rPr>
          <w:rFonts w:hint="eastAsia" w:ascii="宋体"/>
          <w:szCs w:val="21"/>
          <w:highlight w:val="none"/>
        </w:rPr>
        <w:t>13.3推荐品牌有助于投标人选择所投产品，仅供参考，并无限制性，可以选择性能不低于推荐品牌的产品，但所投产品的技术参数，要最大限度满足招标文件提供的详细参数。</w:t>
      </w:r>
    </w:p>
    <w:p w14:paraId="15EAB712">
      <w:pPr>
        <w:spacing w:line="360" w:lineRule="auto"/>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单位负责人为同一人或者存在直接控股、管理关系的不同投标人，不得参加同一合同项下的政府采购活动。为采购项目提供整体设计、规范编制或者项目管理、监理、检测等服务的投标人，不得再参加该采购项目的其他采购活动。</w:t>
      </w:r>
    </w:p>
    <w:p w14:paraId="0D8FE8E3">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14:paraId="3A75A04F">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2F27CAFA">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48D23D54">
      <w:pPr>
        <w:spacing w:line="400" w:lineRule="exact"/>
        <w:ind w:firstLine="315" w:firstLineChars="150"/>
        <w:rPr>
          <w:rFonts w:hint="eastAsia" w:ascii="宋体"/>
          <w:szCs w:val="21"/>
          <w:highlight w:val="none"/>
        </w:rPr>
      </w:pPr>
      <w:r>
        <w:rPr>
          <w:rFonts w:hint="eastAsia" w:ascii="宋体"/>
          <w:szCs w:val="21"/>
          <w:highlight w:val="none"/>
        </w:rPr>
        <w:t>（3）</w:t>
      </w:r>
      <w:r>
        <w:rPr>
          <w:rFonts w:hint="eastAsia" w:ascii="宋体"/>
          <w:szCs w:val="21"/>
          <w:highlight w:val="none"/>
          <w:lang w:eastAsia="zh-CN"/>
        </w:rPr>
        <w:t>招标人</w:t>
      </w:r>
      <w:r>
        <w:rPr>
          <w:rFonts w:hint="eastAsia" w:ascii="宋体"/>
          <w:szCs w:val="21"/>
          <w:highlight w:val="none"/>
        </w:rPr>
        <w:t>的相关场地情况、基础建设、电力供应情况及相关设计标准。</w:t>
      </w:r>
    </w:p>
    <w:p w14:paraId="40AB52C6">
      <w:pPr>
        <w:spacing w:line="400" w:lineRule="exact"/>
        <w:ind w:firstLine="315" w:firstLineChars="150"/>
        <w:rPr>
          <w:rFonts w:hint="eastAsia" w:ascii="宋体"/>
          <w:szCs w:val="21"/>
          <w:highlight w:val="none"/>
        </w:rPr>
      </w:pPr>
      <w:r>
        <w:rPr>
          <w:rFonts w:hint="eastAsia" w:ascii="宋体"/>
          <w:szCs w:val="21"/>
          <w:highlight w:val="none"/>
        </w:rPr>
        <w:t>本招标文件不再对上述情况进行描述。</w:t>
      </w:r>
    </w:p>
    <w:p w14:paraId="4E30D1A8">
      <w:pPr>
        <w:spacing w:line="400" w:lineRule="exact"/>
        <w:ind w:firstLine="417" w:firstLineChars="199"/>
        <w:jc w:val="left"/>
        <w:rPr>
          <w:rFonts w:hint="default" w:eastAsia="楷体_GB2312"/>
          <w:highlight w:val="none"/>
          <w:lang w:val="en-US" w:eastAsia="zh-CN"/>
        </w:rPr>
      </w:pPr>
      <w:r>
        <w:rPr>
          <w:rFonts w:hint="eastAsia" w:ascii="宋体"/>
          <w:szCs w:val="21"/>
          <w:highlight w:val="none"/>
          <w:lang w:val="en-US" w:eastAsia="zh-CN"/>
        </w:rPr>
        <w:t>13.6</w:t>
      </w:r>
      <w:r>
        <w:rPr>
          <w:rFonts w:hint="eastAsia" w:ascii="宋体"/>
          <w:szCs w:val="21"/>
          <w:highlight w:val="none"/>
        </w:rPr>
        <w:t>中标候选人无正当理由放弃中标候选人资格的，其将被记不良信息记录。</w:t>
      </w:r>
    </w:p>
    <w:p w14:paraId="39A32DCD">
      <w:pPr>
        <w:spacing w:line="440" w:lineRule="exact"/>
        <w:ind w:firstLine="527" w:firstLineChars="250"/>
        <w:rPr>
          <w:rFonts w:ascii="宋体"/>
          <w:bCs/>
          <w:szCs w:val="21"/>
          <w:highlight w:val="none"/>
        </w:rPr>
      </w:pPr>
      <w:bookmarkStart w:id="28" w:name="_Toc10668_WPSOffice_Level3"/>
      <w:bookmarkEnd w:id="28"/>
      <w:bookmarkStart w:id="29" w:name="_Toc24655"/>
      <w:bookmarkEnd w:id="29"/>
      <w:r>
        <w:rPr>
          <w:rFonts w:hint="eastAsia" w:ascii="宋体"/>
          <w:b/>
          <w:szCs w:val="21"/>
          <w:highlight w:val="none"/>
        </w:rPr>
        <w:t>14.保密</w:t>
      </w:r>
    </w:p>
    <w:p w14:paraId="120E4504">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293C7E82">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4C85C346">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14:paraId="5DE37905">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参照《中华人民共和国招标投标法》、《中华人民共和国招标投标法实施条例》和《中华人民共和国民法典》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4827EA1">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14:paraId="2F90341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08B8D38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3949F7E3">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投标人须知</w:t>
      </w:r>
    </w:p>
    <w:p w14:paraId="1998672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55D4C23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第四章  评标办法</w:t>
      </w:r>
    </w:p>
    <w:p w14:paraId="413275E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第五章  </w:t>
      </w:r>
      <w:r>
        <w:rPr>
          <w:rFonts w:hint="eastAsia" w:ascii="宋体" w:eastAsia="宋体" w:cs="宋体"/>
          <w:color w:val="auto"/>
          <w:szCs w:val="21"/>
          <w:highlight w:val="none"/>
          <w:lang w:eastAsia="zh-CN"/>
        </w:rPr>
        <w:t>用户需求书</w:t>
      </w:r>
    </w:p>
    <w:p w14:paraId="620D3E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合同条款及格式</w:t>
      </w:r>
    </w:p>
    <w:p w14:paraId="6340AB9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投标文件格式</w:t>
      </w:r>
    </w:p>
    <w:p w14:paraId="273A37C5">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8150CE0">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E11443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596E59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58C45026">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32804C7C">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44AE25F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6FB1A367">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14:paraId="01B87A6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1512F96">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0" w:name="_Toc1549_WPSOffice_Level3"/>
      <w:bookmarkEnd w:id="30"/>
      <w:r>
        <w:rPr>
          <w:rFonts w:hint="eastAsia" w:ascii="宋体" w:hAnsi="宋体" w:eastAsia="宋体" w:cs="宋体"/>
          <w:b/>
          <w:bCs w:val="0"/>
          <w:color w:val="000000"/>
          <w:kern w:val="0"/>
          <w:sz w:val="24"/>
          <w:szCs w:val="24"/>
          <w:highlight w:val="none"/>
          <w:u w:color="000000"/>
          <w:lang w:val="en-US" w:eastAsia="zh-CN" w:bidi="ar"/>
        </w:rPr>
        <w:t>（三）投标文件的编制</w:t>
      </w:r>
    </w:p>
    <w:p w14:paraId="6F6B7452">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19. 投标的语言及度量衡单位</w:t>
      </w:r>
    </w:p>
    <w:p w14:paraId="50858E1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19.1投标人的投标文件、以及投标人与招标人就投标的所有往来函电，均须使用简体中文。</w:t>
      </w:r>
    </w:p>
    <w:p w14:paraId="3D0DCE62">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19.2除招标文件中另有规定外，投标文件所使用的度量衡均须采用法定计量单位。</w:t>
      </w:r>
    </w:p>
    <w:p w14:paraId="405679ED">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20. 投标文件的组成</w:t>
      </w:r>
    </w:p>
    <w:p w14:paraId="4BF51BB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48467F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20.2投标文件的编制</w:t>
      </w:r>
    </w:p>
    <w:p w14:paraId="69BA8DA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3A3FE2B2">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21.投标报价</w:t>
      </w:r>
    </w:p>
    <w:p w14:paraId="26C4567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招标人后期不再追加费用，投标供应商自行考虑投标风险。</w:t>
      </w:r>
    </w:p>
    <w:p w14:paraId="040585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21.2投标人只允许有一个方案、一个报价。</w:t>
      </w:r>
    </w:p>
    <w:p w14:paraId="604156C2">
      <w:pPr>
        <w:spacing w:line="440" w:lineRule="exact"/>
        <w:ind w:firstLine="420" w:firstLineChars="20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21.3</w:t>
      </w:r>
      <w:r>
        <w:rPr>
          <w:rFonts w:hint="eastAsia" w:ascii="宋体"/>
          <w:color w:val="000000"/>
          <w:szCs w:val="21"/>
          <w:highlight w:val="none"/>
        </w:rPr>
        <w:t>投标人应按</w:t>
      </w:r>
      <w:r>
        <w:rPr>
          <w:rFonts w:hint="eastAsia" w:ascii="宋体"/>
          <w:szCs w:val="21"/>
          <w:highlight w:val="none"/>
        </w:rPr>
        <w:t>“</w:t>
      </w:r>
      <w:r>
        <w:rPr>
          <w:rFonts w:hint="eastAsia" w:ascii="宋体"/>
          <w:szCs w:val="21"/>
          <w:highlight w:val="none"/>
          <w:lang w:eastAsia="zh-CN"/>
        </w:rPr>
        <w:t>第</w:t>
      </w:r>
      <w:r>
        <w:rPr>
          <w:rFonts w:hint="eastAsia" w:ascii="宋体"/>
          <w:szCs w:val="21"/>
          <w:highlight w:val="none"/>
          <w:lang w:val="en-US" w:eastAsia="zh-CN"/>
        </w:rPr>
        <w:t>五</w:t>
      </w:r>
      <w:r>
        <w:rPr>
          <w:rFonts w:hint="eastAsia" w:ascii="宋体"/>
          <w:szCs w:val="21"/>
          <w:highlight w:val="none"/>
          <w:lang w:eastAsia="zh-CN"/>
        </w:rPr>
        <w:t>章用户需求书</w:t>
      </w:r>
      <w:r>
        <w:rPr>
          <w:rFonts w:hint="eastAsia" w:ascii="宋体"/>
          <w:szCs w:val="21"/>
          <w:highlight w:val="none"/>
        </w:rPr>
        <w:t>”所列服务内容进行报价，</w:t>
      </w:r>
      <w:r>
        <w:rPr>
          <w:rFonts w:hint="eastAsia" w:ascii="宋体"/>
          <w:bCs/>
          <w:szCs w:val="21"/>
          <w:highlight w:val="none"/>
          <w:lang w:val="zh-CN"/>
        </w:rPr>
        <w:t>投标报价为完成本次招标项目的全费用价格，其组成包括</w:t>
      </w:r>
      <w:r>
        <w:rPr>
          <w:rFonts w:hint="eastAsia" w:ascii="宋体"/>
          <w:bCs/>
          <w:szCs w:val="21"/>
          <w:highlight w:val="none"/>
          <w:lang w:val="en-US" w:eastAsia="zh-CN"/>
        </w:rPr>
        <w:t>验收产生相关费用及</w:t>
      </w:r>
      <w:r>
        <w:rPr>
          <w:rFonts w:hint="eastAsia" w:ascii="宋体" w:hAnsi="宋体"/>
          <w:color w:val="000000"/>
          <w:szCs w:val="21"/>
          <w:highlight w:val="none"/>
        </w:rPr>
        <w:t>国家对中标单位征收的各种税费等所有一切费用，</w:t>
      </w:r>
      <w:r>
        <w:rPr>
          <w:rFonts w:hint="eastAsia" w:ascii="宋体" w:hAnsi="宋体"/>
          <w:color w:val="000000"/>
          <w:szCs w:val="21"/>
          <w:highlight w:val="none"/>
          <w:lang w:val="en-US" w:eastAsia="zh-CN"/>
        </w:rPr>
        <w:t>投标报价</w:t>
      </w:r>
      <w:r>
        <w:rPr>
          <w:rFonts w:hint="eastAsia" w:ascii="宋体" w:hAnsi="宋体"/>
          <w:color w:val="000000"/>
          <w:szCs w:val="21"/>
          <w:highlight w:val="none"/>
        </w:rPr>
        <w:t>今后将不作任何调整。。</w:t>
      </w:r>
    </w:p>
    <w:p w14:paraId="02D90D0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21.4</w:t>
      </w:r>
      <w:r>
        <w:rPr>
          <w:rFonts w:hint="eastAsia" w:ascii="宋体"/>
          <w:color w:val="000000"/>
          <w:szCs w:val="21"/>
          <w:highlight w:val="none"/>
        </w:rPr>
        <w:t>投标报价的价格是完成项目全部内容交付验收的价格，其总价即为履行合同的固定总价</w:t>
      </w:r>
      <w:r>
        <w:rPr>
          <w:rFonts w:hint="eastAsia" w:ascii="宋体" w:hAnsi="宋体" w:eastAsia="宋体" w:cs="宋体"/>
          <w:color w:val="000000"/>
          <w:kern w:val="0"/>
          <w:sz w:val="21"/>
          <w:szCs w:val="21"/>
          <w:highlight w:val="none"/>
          <w:u w:color="000000"/>
          <w:lang w:val="en-US" w:eastAsia="zh-CN" w:bidi="ar"/>
        </w:rPr>
        <w:t>。</w:t>
      </w:r>
    </w:p>
    <w:p w14:paraId="7462AD93">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eastAsia="宋体" w:cs="宋体"/>
          <w:bCs/>
          <w:color w:val="000000"/>
          <w:kern w:val="0"/>
          <w:sz w:val="21"/>
          <w:szCs w:val="21"/>
          <w:highlight w:val="none"/>
          <w:u w:color="000000"/>
          <w:lang w:val="en-US" w:eastAsia="zh-CN" w:bidi="ar"/>
        </w:rPr>
        <w:t>21.5</w:t>
      </w:r>
      <w:r>
        <w:rPr>
          <w:rFonts w:ascii="宋体" w:hAnsi="宋体" w:cs="宋体"/>
          <w:kern w:val="1"/>
          <w:szCs w:val="21"/>
          <w:highlight w:val="none"/>
        </w:rPr>
        <w:t>投标报价应由法定代表人或被授权人签署。</w:t>
      </w:r>
    </w:p>
    <w:p w14:paraId="320F0EE5">
      <w:pPr>
        <w:spacing w:line="420" w:lineRule="exact"/>
        <w:ind w:firstLine="42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21.6</w:t>
      </w:r>
      <w:r>
        <w:rPr>
          <w:rFonts w:ascii="宋体" w:hAnsi="宋体" w:cs="宋体"/>
          <w:kern w:val="1"/>
          <w:szCs w:val="21"/>
          <w:highlight w:val="none"/>
        </w:rPr>
        <w:t>投标人的报价不得高于本次招标最高限价，</w:t>
      </w:r>
      <w:r>
        <w:rPr>
          <w:rFonts w:ascii="宋体" w:hAnsi="宋体" w:cs="宋体"/>
          <w:b/>
          <w:bCs/>
          <w:kern w:val="1"/>
          <w:szCs w:val="21"/>
          <w:highlight w:val="none"/>
        </w:rPr>
        <w:t>否则将作为无效投标处理</w:t>
      </w:r>
      <w:r>
        <w:rPr>
          <w:rFonts w:ascii="宋体" w:hAnsi="宋体" w:cs="宋体"/>
          <w:kern w:val="1"/>
          <w:szCs w:val="21"/>
          <w:highlight w:val="none"/>
        </w:rPr>
        <w:t>。</w:t>
      </w:r>
    </w:p>
    <w:p w14:paraId="23AF8A6B">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cs="宋体"/>
          <w:kern w:val="1"/>
          <w:szCs w:val="21"/>
          <w:highlight w:val="none"/>
          <w:lang w:val="en-US" w:eastAsia="zh-CN"/>
        </w:rPr>
        <w:t>21.7</w:t>
      </w:r>
      <w:r>
        <w:rPr>
          <w:rFonts w:ascii="宋体" w:hAnsi="宋体" w:cs="宋体"/>
          <w:kern w:val="1"/>
          <w:szCs w:val="21"/>
          <w:highlight w:val="none"/>
        </w:rPr>
        <w:t>总投标价中不得包含招标文件要求以外的内容，否则，在评标时不予核减，但在授予合同时，</w:t>
      </w:r>
      <w:r>
        <w:rPr>
          <w:rFonts w:hint="eastAsia" w:ascii="宋体" w:hAnsi="宋体" w:cs="宋体"/>
          <w:kern w:val="1"/>
          <w:szCs w:val="21"/>
          <w:highlight w:val="none"/>
          <w:lang w:eastAsia="zh-CN"/>
        </w:rPr>
        <w:t>招标人</w:t>
      </w:r>
      <w:r>
        <w:rPr>
          <w:rFonts w:ascii="宋体" w:hAnsi="宋体" w:cs="宋体"/>
          <w:kern w:val="1"/>
          <w:szCs w:val="21"/>
          <w:highlight w:val="none"/>
        </w:rPr>
        <w:t>有权将这部分价格从其中标价格中扣除。</w:t>
      </w:r>
    </w:p>
    <w:p w14:paraId="07B4CA42">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highlight w:val="none"/>
          <w:lang w:val="en-US" w:eastAsia="zh-CN"/>
        </w:rPr>
      </w:pPr>
      <w:r>
        <w:rPr>
          <w:rFonts w:hint="eastAsia" w:ascii="宋体" w:hAnsi="宋体" w:cs="宋体"/>
          <w:kern w:val="1"/>
          <w:szCs w:val="21"/>
          <w:highlight w:val="none"/>
          <w:lang w:val="en-US" w:eastAsia="zh-CN"/>
        </w:rPr>
        <w:t>21.8</w:t>
      </w:r>
      <w:r>
        <w:rPr>
          <w:rFonts w:ascii="宋体" w:hAnsi="宋体" w:cs="宋体"/>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3BBF1FA">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22.投标有效期</w:t>
      </w:r>
    </w:p>
    <w:p w14:paraId="3766375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22.1 </w:t>
      </w:r>
      <w:r>
        <w:rPr>
          <w:rFonts w:hint="eastAsia" w:ascii="宋体"/>
          <w:color w:val="000000"/>
          <w:szCs w:val="21"/>
          <w:highlight w:val="none"/>
          <w:lang w:eastAsia="zh-CN"/>
        </w:rPr>
        <w:t>投标有效期见</w:t>
      </w:r>
      <w:r>
        <w:rPr>
          <w:rFonts w:hint="eastAsia" w:ascii="宋体"/>
          <w:color w:val="000000"/>
          <w:szCs w:val="21"/>
          <w:highlight w:val="none"/>
        </w:rPr>
        <w:t>投标人须知前附表</w:t>
      </w:r>
      <w:r>
        <w:rPr>
          <w:rFonts w:hint="eastAsia" w:ascii="宋体" w:hAnsi="宋体" w:eastAsia="宋体" w:cs="宋体"/>
          <w:color w:val="000000"/>
          <w:kern w:val="0"/>
          <w:sz w:val="21"/>
          <w:szCs w:val="21"/>
          <w:highlight w:val="none"/>
          <w:u w:color="000000"/>
          <w:lang w:val="en-US" w:eastAsia="zh-CN" w:bidi="ar"/>
        </w:rPr>
        <w:t>。</w:t>
      </w:r>
    </w:p>
    <w:p w14:paraId="0731D8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22.2在投标有效期内，投标人撤销或修改其投标文件的，应承担招标文件和法律规定的责任。</w:t>
      </w:r>
    </w:p>
    <w:p w14:paraId="4F2632B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22.3出现特殊情况需要延长投标有效期的，招标人以书面形式通知所有投标人延长投标有效期。投标人同意延长的，不得要求或被允许修改或撤销其投标文件；投标人拒绝延长的，其投标失效。</w:t>
      </w:r>
    </w:p>
    <w:p w14:paraId="04D7C87D">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23.投标保证金</w:t>
      </w:r>
    </w:p>
    <w:p w14:paraId="0FC6FC9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23.1本项目不要求投标人提交投标保证金。</w:t>
      </w:r>
    </w:p>
    <w:p w14:paraId="1A43D19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1" w:name="_Toc6570_WPSOffice_Level3"/>
      <w:bookmarkEnd w:id="31"/>
      <w:bookmarkStart w:id="32" w:name="_Toc26398"/>
      <w:r>
        <w:rPr>
          <w:rFonts w:hint="eastAsia" w:ascii="宋体" w:hAnsi="宋体" w:eastAsia="宋体" w:cs="宋体"/>
          <w:b/>
          <w:bCs w:val="0"/>
          <w:color w:val="000000"/>
          <w:kern w:val="0"/>
          <w:sz w:val="24"/>
          <w:szCs w:val="24"/>
          <w:highlight w:val="none"/>
          <w:u w:color="000000"/>
          <w:lang w:val="en-US" w:eastAsia="zh-CN" w:bidi="ar"/>
        </w:rPr>
        <w:t>（四）</w:t>
      </w:r>
      <w:bookmarkEnd w:id="32"/>
      <w:r>
        <w:rPr>
          <w:rFonts w:hint="eastAsia" w:ascii="宋体"/>
          <w:b/>
          <w:color w:val="auto"/>
          <w:sz w:val="24"/>
          <w:szCs w:val="24"/>
          <w:highlight w:val="none"/>
        </w:rPr>
        <w:t>投标文件的递交</w:t>
      </w:r>
    </w:p>
    <w:p w14:paraId="6682616C">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3" w:name="_Toc30407_WPSOffice_Level3"/>
      <w:bookmarkEnd w:id="33"/>
      <w:r>
        <w:rPr>
          <w:rFonts w:hint="eastAsia" w:ascii="宋体" w:hAnsi="宋体" w:eastAsia="宋体" w:cs="宋体"/>
          <w:b/>
          <w:bCs w:val="0"/>
          <w:color w:val="000000"/>
          <w:kern w:val="0"/>
          <w:sz w:val="21"/>
          <w:szCs w:val="21"/>
          <w:highlight w:val="none"/>
          <w:u w:color="000000"/>
          <w:lang w:val="en-US" w:eastAsia="zh-CN" w:bidi="ar"/>
        </w:rPr>
        <w:t>24.投标文件的份数和签署</w:t>
      </w:r>
    </w:p>
    <w:p w14:paraId="3B87C67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24.1投标文件份数：一份电子文件。投标人中标后须递交与网上电子投标文件完全一致的纸质版投标文件，并按要求加盖公章；份数：正本1份，副本2份；中标单位领取中标通知书时，一并递交给招标代理机构。</w:t>
      </w:r>
    </w:p>
    <w:p w14:paraId="4DEC2B5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24.2按格式文件要求签字或盖章，否则经评委会一致认定且经过招标人同意后, 按照无效投标处理。</w:t>
      </w:r>
    </w:p>
    <w:p w14:paraId="40840318">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25.投标文件的提交</w:t>
      </w:r>
    </w:p>
    <w:p w14:paraId="34228EDE">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14:paraId="7C16768F">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4" w:name="_Toc490"/>
      <w:bookmarkEnd w:id="34"/>
      <w:r>
        <w:rPr>
          <w:rFonts w:hint="eastAsia" w:ascii="宋体" w:hAnsi="宋体" w:eastAsia="宋体" w:cs="宋体"/>
          <w:b/>
          <w:bCs w:val="0"/>
          <w:color w:val="000000"/>
          <w:kern w:val="0"/>
          <w:sz w:val="21"/>
          <w:szCs w:val="21"/>
          <w:highlight w:val="none"/>
          <w:u w:color="000000"/>
          <w:lang w:val="en-US" w:eastAsia="zh-CN" w:bidi="ar"/>
        </w:rPr>
        <w:t>26.投标文件的</w:t>
      </w:r>
      <w:r>
        <w:rPr>
          <w:rFonts w:hint="eastAsia" w:ascii="宋体"/>
          <w:b/>
          <w:szCs w:val="21"/>
          <w:highlight w:val="none"/>
        </w:rPr>
        <w:t>修改与撤回</w:t>
      </w:r>
    </w:p>
    <w:p w14:paraId="1B98514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26.1在第一章“招标公告”规定的投标截止时间前，投标人可以自行从网上撤回已递交的投标文件，并可修改后重新发送，开标时以投标截止时间前投标人最后送达的投标文件为准。</w:t>
      </w:r>
    </w:p>
    <w:p w14:paraId="1544B4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04C56DA8">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w:t>
      </w:r>
      <w:r>
        <w:rPr>
          <w:rFonts w:hint="eastAsia" w:ascii="黑体" w:hAnsi="宋体" w:eastAsia="黑体" w:cs="宋体"/>
          <w:b/>
          <w:bCs w:val="0"/>
          <w:color w:val="000000"/>
          <w:kern w:val="0"/>
          <w:sz w:val="21"/>
          <w:szCs w:val="21"/>
          <w:highlight w:val="none"/>
          <w:u w:color="000000"/>
          <w:lang w:val="en-US" w:eastAsia="zh-CN" w:bidi="ar"/>
        </w:rPr>
        <w:t>开标</w:t>
      </w:r>
    </w:p>
    <w:p w14:paraId="10E1961B">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 开标的时间和地点</w:t>
      </w:r>
    </w:p>
    <w:p w14:paraId="04F1B186">
      <w:pPr>
        <w:keepNext w:val="0"/>
        <w:keepLines w:val="0"/>
        <w:pageBreakBefore w:val="0"/>
        <w:widowControl/>
        <w:kinsoku/>
        <w:wordWrap/>
        <w:overflowPunct/>
        <w:topLinePunct w:val="0"/>
        <w:autoSpaceDE/>
        <w:autoSpaceDN/>
        <w:bidi w:val="0"/>
        <w:spacing w:line="440" w:lineRule="exact"/>
        <w:ind w:firstLine="420" w:firstLineChars="200"/>
        <w:jc w:val="left"/>
        <w:textAlignment w:val="baseline"/>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27.1.1招标人投标须知前附表规定的提交投标文件的截止时间和地点公开开标</w:t>
      </w:r>
      <w:r>
        <w:rPr>
          <w:rFonts w:hint="eastAsia" w:ascii="宋体" w:cs="宋体"/>
          <w:color w:val="auto"/>
          <w:szCs w:val="21"/>
          <w:highlight w:val="none"/>
        </w:rPr>
        <w:t>。</w:t>
      </w:r>
    </w:p>
    <w:p w14:paraId="312C6B47">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27.2 参与开标的监督部门</w:t>
      </w:r>
    </w:p>
    <w:p w14:paraId="4FB0558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bookmarkStart w:id="35" w:name="_Toc15542_WPSOffice_Level3"/>
      <w:bookmarkEnd w:id="35"/>
      <w:r>
        <w:rPr>
          <w:rFonts w:hint="eastAsia" w:ascii="宋体" w:hAnsi="宋体" w:eastAsia="宋体" w:cs="宋体"/>
          <w:color w:val="000000"/>
          <w:kern w:val="0"/>
          <w:sz w:val="21"/>
          <w:szCs w:val="21"/>
          <w:highlight w:val="none"/>
          <w:u w:color="000000"/>
          <w:lang w:val="en-US" w:eastAsia="zh-CN" w:bidi="ar"/>
        </w:rPr>
        <w:t>27.2.1招标人可以邀请相关监督部门参加。</w:t>
      </w:r>
    </w:p>
    <w:p w14:paraId="750A923C">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27.3开标程序</w:t>
      </w:r>
    </w:p>
    <w:p w14:paraId="0C00076D">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771797A9">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3880C8C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（2）宣布招标人、代理机构主持人、监督人等有关人员姓名；</w:t>
      </w:r>
    </w:p>
    <w:p w14:paraId="74296F3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（3）投标人在投标截止时间后，规定时间内完成投标文件解密工作；</w:t>
      </w:r>
    </w:p>
    <w:p w14:paraId="14221E3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（4）公布投标人投标报价、服务期及其他内容，并记录在案；</w:t>
      </w:r>
    </w:p>
    <w:p w14:paraId="5D96745B">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（5）开标结束。</w:t>
      </w:r>
    </w:p>
    <w:p w14:paraId="39091383">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28.开标异议</w:t>
      </w:r>
    </w:p>
    <w:p w14:paraId="58D6783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236A8CC6">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29.评标委员会</w:t>
      </w:r>
    </w:p>
    <w:p w14:paraId="7FC968E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评标委员会的组成</w:t>
      </w:r>
    </w:p>
    <w:p w14:paraId="1F080D5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r>
        <w:rPr>
          <w:rFonts w:hint="eastAsia" w:ascii="宋体" w:hAnsi="宋体" w:eastAsia="宋体" w:cs="宋体"/>
          <w:color w:val="000000"/>
          <w:kern w:val="0"/>
          <w:sz w:val="21"/>
          <w:szCs w:val="21"/>
          <w:highlight w:val="none"/>
          <w:u w:color="000000"/>
          <w:lang w:val="en-US" w:eastAsia="zh-CN" w:bidi="ar"/>
        </w:rPr>
        <w:t>。</w:t>
      </w:r>
    </w:p>
    <w:p w14:paraId="0AF0232E">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cs="宋体"/>
          <w:color w:val="auto"/>
          <w:szCs w:val="21"/>
          <w:highlight w:val="none"/>
          <w:lang w:val="en-US" w:eastAsia="zh-CN"/>
        </w:rPr>
        <w:t xml:space="preserve">29.2  </w:t>
      </w:r>
      <w:r>
        <w:rPr>
          <w:rFonts w:hint="eastAsia" w:ascii="宋体" w:hAnsi="宋体" w:cs="宋体"/>
          <w:color w:val="auto"/>
          <w:szCs w:val="21"/>
          <w:highlight w:val="none"/>
        </w:rPr>
        <w:t>评标委员会成员有下列情形之一的，应当回避：</w:t>
      </w:r>
    </w:p>
    <w:p w14:paraId="1D2FA59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1C70D27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B620299">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527BAE5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1E893CF8">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687E05C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29.3 </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0C9DE1E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29.4招标人授权评标委员会对投标人资格进行审查。</w:t>
      </w:r>
    </w:p>
    <w:p w14:paraId="00AC2FBB">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30. 评标</w:t>
      </w:r>
    </w:p>
    <w:p w14:paraId="005DC95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14:paraId="04CE3A6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42F7956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30.3评标原则：</w:t>
      </w:r>
    </w:p>
    <w:p w14:paraId="224B4CA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6" w:name="_Toc5272_WPSOffice_Level3"/>
      <w:bookmarkEnd w:id="36"/>
      <w:r>
        <w:rPr>
          <w:rFonts w:hint="eastAsia" w:ascii="宋体" w:hAnsi="宋体" w:eastAsia="宋体" w:cs="宋体"/>
          <w:color w:val="000000"/>
          <w:kern w:val="0"/>
          <w:sz w:val="21"/>
          <w:szCs w:val="21"/>
          <w:highlight w:val="none"/>
          <w:u w:color="000000"/>
          <w:lang w:val="en-US" w:eastAsia="zh-CN" w:bidi="ar"/>
        </w:rPr>
        <w:t>30.3.1遵循公平、公正、科学和择优的原则。</w:t>
      </w:r>
    </w:p>
    <w:p w14:paraId="4622721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30.4报价合理性的判断</w:t>
      </w:r>
    </w:p>
    <w:p w14:paraId="70A19EE7">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4DDDA3B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715F4C17">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19CA3149">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346CE82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评标报告的签署</w:t>
      </w:r>
    </w:p>
    <w:p w14:paraId="7F6A9E22">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876391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w:t>
      </w:r>
      <w:r>
        <w:rPr>
          <w:rFonts w:hint="eastAsia" w:ascii="宋体" w:hAnsi="Times New Roman" w:eastAsia="宋体" w:cs="Times New Roman"/>
          <w:color w:val="auto"/>
          <w:szCs w:val="21"/>
          <w:highlight w:val="none"/>
        </w:rPr>
        <w:t>评标过程的保密</w:t>
      </w:r>
    </w:p>
    <w:p w14:paraId="510751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300E61A7">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w:t>
      </w:r>
      <w:r>
        <w:rPr>
          <w:rFonts w:hint="eastAsia" w:ascii="宋体" w:hAnsi="宋体" w:eastAsia="宋体" w:cs="宋体"/>
          <w:b/>
          <w:bCs w:val="0"/>
          <w:color w:val="000000"/>
          <w:kern w:val="0"/>
          <w:sz w:val="21"/>
          <w:szCs w:val="21"/>
          <w:highlight w:val="none"/>
          <w:u w:color="000000"/>
          <w:lang w:val="en-US" w:eastAsia="zh-CN" w:bidi="ar"/>
        </w:rPr>
        <w:t>开评审异常情况处理</w:t>
      </w:r>
    </w:p>
    <w:p w14:paraId="5CF2062B">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宋体" w:eastAsia="宋体" w:cs="宋体"/>
          <w:color w:val="000000"/>
          <w:kern w:val="0"/>
          <w:sz w:val="21"/>
          <w:szCs w:val="21"/>
          <w:highlight w:val="none"/>
          <w:u w:color="000000"/>
          <w:lang w:val="en-US" w:eastAsia="zh-CN" w:bidi="ar"/>
        </w:rPr>
      </w:pPr>
      <w:bookmarkStart w:id="37" w:name="_Toc8453_WPSOffice_Level3"/>
      <w:r>
        <w:rPr>
          <w:rFonts w:hint="eastAsia" w:ascii="宋体" w:hAnsi="宋体" w:eastAsia="宋体" w:cs="宋体"/>
          <w:color w:val="000000"/>
          <w:kern w:val="0"/>
          <w:sz w:val="21"/>
          <w:szCs w:val="21"/>
          <w:highlight w:val="none"/>
          <w:u w:color="000000"/>
          <w:lang w:val="en-US" w:eastAsia="zh-CN" w:bidi="ar"/>
        </w:rPr>
        <w:t>31.1若有效投标人不足三家，则采用竞争性谈判方式确定中标候选人，若有效投标人只有一家则项目流标。</w:t>
      </w:r>
    </w:p>
    <w:p w14:paraId="1E452D52">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32.重新招标 </w:t>
      </w:r>
    </w:p>
    <w:p w14:paraId="121BF4C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14:paraId="0A4E5C1D">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29E02C1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643F4632">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205B91A6">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（六）合同的授予</w:t>
      </w:r>
      <w:bookmarkEnd w:id="37"/>
    </w:p>
    <w:p w14:paraId="01E42E97">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33.中标公示</w:t>
      </w:r>
    </w:p>
    <w:p w14:paraId="10D9CED5">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14:paraId="78394D26">
      <w:pPr>
        <w:keepNext w:val="0"/>
        <w:keepLines w:val="0"/>
        <w:widowControl w:val="0"/>
        <w:numPr>
          <w:ilvl w:val="0"/>
          <w:numId w:val="0"/>
        </w:numPr>
        <w:suppressLineNumbers w:val="0"/>
        <w:autoSpaceDE w:val="0"/>
        <w:autoSpaceDN/>
        <w:spacing w:before="0" w:beforeAutospacing="0" w:after="0" w:afterAutospacing="0" w:line="400" w:lineRule="exact"/>
        <w:ind w:leftChars="247"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34.评标结果异议</w:t>
      </w:r>
    </w:p>
    <w:p w14:paraId="57209066">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2772047B">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14:paraId="41B38FF2">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3782BF3F">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14:paraId="2E9875A0">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14:paraId="7FF255E5">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38" w:name="_Toc7247"/>
      <w:bookmarkEnd w:id="38"/>
      <w:r>
        <w:rPr>
          <w:rFonts w:hint="eastAsia" w:ascii="宋体" w:hAnsi="Times New Roman" w:eastAsia="宋体" w:cs="Times New Roman"/>
          <w:b/>
          <w:color w:val="auto"/>
          <w:spacing w:val="0"/>
          <w:sz w:val="21"/>
          <w:szCs w:val="21"/>
          <w:highlight w:val="none"/>
          <w:lang w:val="en-US" w:eastAsia="zh-CN"/>
        </w:rPr>
        <w:t xml:space="preserve"> 37.</w:t>
      </w:r>
      <w:bookmarkStart w:id="39" w:name="_Toc217446068"/>
      <w:r>
        <w:rPr>
          <w:rFonts w:hint="eastAsia" w:ascii="宋体" w:hAnsi="Times New Roman" w:eastAsia="宋体" w:cs="Times New Roman"/>
          <w:b/>
          <w:color w:val="auto"/>
          <w:spacing w:val="0"/>
          <w:sz w:val="21"/>
          <w:szCs w:val="21"/>
          <w:highlight w:val="none"/>
          <w:lang w:val="en-US" w:eastAsia="zh-CN"/>
        </w:rPr>
        <w:t>履约保证金</w:t>
      </w:r>
      <w:bookmarkEnd w:id="39"/>
    </w:p>
    <w:p w14:paraId="1117770B">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0" w:name="_Toc316_WPSOffice_Level3"/>
      <w:bookmarkEnd w:id="40"/>
      <w:bookmarkStart w:id="41" w:name="_Toc23484"/>
      <w:r>
        <w:rPr>
          <w:rFonts w:hint="eastAsia" w:ascii="宋体" w:hAnsi="Times New Roman" w:eastAsia="宋体" w:cs="Times New Roman"/>
          <w:color w:val="auto"/>
          <w:spacing w:val="0"/>
          <w:sz w:val="21"/>
          <w:szCs w:val="21"/>
          <w:highlight w:val="none"/>
          <w:lang w:val="en-US" w:eastAsia="zh-CN"/>
        </w:rPr>
        <w:t>37.1</w:t>
      </w:r>
      <w:bookmarkEnd w:id="41"/>
      <w:r>
        <w:rPr>
          <w:rFonts w:hint="eastAsia" w:ascii="宋体" w:hAnsi="Times New Roman" w:eastAsia="宋体" w:cs="Times New Roman"/>
          <w:color w:val="auto"/>
          <w:spacing w:val="0"/>
          <w:sz w:val="21"/>
          <w:szCs w:val="21"/>
          <w:highlight w:val="none"/>
          <w:lang w:val="en-US" w:eastAsia="zh-CN"/>
        </w:rPr>
        <w:t>本项目不要求提交履约保证金。</w:t>
      </w:r>
    </w:p>
    <w:p w14:paraId="68CBFAF9">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3E9D65AA">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14:paraId="01196BC4">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14:paraId="4568B30D">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14:paraId="29E3CF93">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14:paraId="68EB420B">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14:paraId="2A588367">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40.1评标委员会成员不得收受他人的财物或者其他好处，不得向他人透漏对投标文件的评审和比较、中标候选人的推荐情况以及评标有关的其他情况。</w:t>
      </w:r>
    </w:p>
    <w:p w14:paraId="26C3F3B6">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40.2在评标活动中，评标委员会成员不得擅离职守，影响评标程序正常进行，不得使用第三章“评标办法”没有规定的评审因素和标准进行评标。 </w:t>
      </w:r>
    </w:p>
    <w:p w14:paraId="365B00C4">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14:paraId="1268A64C">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D6BD061">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2739E199">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14:paraId="35FD886C">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14:paraId="0A60766D">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14:paraId="142F723A">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0B8E7AC4">
      <w:pPr>
        <w:rPr>
          <w:rFonts w:hint="eastAsia" w:ascii="宋体"/>
          <w:b/>
          <w:color w:val="auto"/>
          <w:sz w:val="32"/>
          <w:szCs w:val="32"/>
          <w:highlight w:val="none"/>
        </w:rPr>
      </w:pPr>
      <w:bookmarkStart w:id="42" w:name="_Toc14651"/>
      <w:bookmarkEnd w:id="42"/>
      <w:r>
        <w:rPr>
          <w:rFonts w:hint="eastAsia" w:ascii="宋体"/>
          <w:b/>
          <w:color w:val="auto"/>
          <w:sz w:val="32"/>
          <w:szCs w:val="32"/>
          <w:highlight w:val="none"/>
        </w:rPr>
        <w:br w:type="page"/>
      </w:r>
    </w:p>
    <w:p w14:paraId="6E62CBA6">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1B6E3AC">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21A1F2C1">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982"/>
        <w:gridCol w:w="2955"/>
      </w:tblGrid>
      <w:tr w14:paraId="7674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ED38C1D">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5217" w:type="dxa"/>
            <w:gridSpan w:val="2"/>
            <w:noWrap w:val="0"/>
            <w:vAlign w:val="center"/>
          </w:tcPr>
          <w:p w14:paraId="02213DD0">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2955" w:type="dxa"/>
            <w:noWrap w:val="0"/>
            <w:vAlign w:val="center"/>
          </w:tcPr>
          <w:p w14:paraId="24C5EE5C">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242F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142D00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CC03E10">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982" w:type="dxa"/>
            <w:noWrap w:val="0"/>
            <w:vAlign w:val="center"/>
          </w:tcPr>
          <w:p w14:paraId="74F25172">
            <w:pPr>
              <w:keepNext w:val="0"/>
              <w:keepLines w:val="0"/>
              <w:suppressLineNumbers w:val="0"/>
              <w:spacing w:before="0" w:beforeAutospacing="0" w:after="0" w:afterAutospacing="0" w:line="320" w:lineRule="exact"/>
              <w:ind w:left="0" w:leftChars="0" w:right="0" w:rightChars="0"/>
              <w:jc w:val="left"/>
              <w:rPr>
                <w:rFonts w:hint="eastAsia" w:ascii="宋体" w:hAnsi="宋体"/>
                <w:color w:val="000000"/>
                <w:szCs w:val="21"/>
                <w:highlight w:val="none"/>
              </w:rPr>
            </w:pPr>
            <w:r>
              <w:rPr>
                <w:rFonts w:hint="eastAsia" w:asciiTheme="majorEastAsia" w:hAnsiTheme="majorEastAsia" w:eastAsiaTheme="majorEastAsia" w:cstheme="majorEastAsia"/>
                <w:color w:val="000000"/>
                <w:szCs w:val="21"/>
                <w:highlight w:val="none"/>
              </w:rPr>
              <w:t>（1）法定代表人身份证明和本人有效身份证(或法定代表人授权委托书和委托代理人有效身份证)</w:t>
            </w:r>
          </w:p>
        </w:tc>
        <w:tc>
          <w:tcPr>
            <w:tcW w:w="2955" w:type="dxa"/>
            <w:noWrap w:val="0"/>
            <w:vAlign w:val="center"/>
          </w:tcPr>
          <w:p w14:paraId="24E97106">
            <w:pPr>
              <w:keepNext w:val="0"/>
              <w:keepLines w:val="0"/>
              <w:suppressLineNumbers w:val="0"/>
              <w:spacing w:before="0" w:beforeAutospacing="0" w:after="0" w:afterAutospacing="0" w:line="320" w:lineRule="exact"/>
              <w:ind w:left="0" w:leftChars="0" w:right="0" w:rightChars="0"/>
              <w:jc w:val="left"/>
              <w:rPr>
                <w:rFonts w:hint="eastAsia" w:ascii="宋体" w:hAnsi="宋体"/>
                <w:color w:val="000000"/>
                <w:szCs w:val="21"/>
                <w:highlight w:val="none"/>
              </w:rPr>
            </w:pPr>
            <w:r>
              <w:rPr>
                <w:rFonts w:hint="eastAsia" w:asciiTheme="majorEastAsia" w:hAnsiTheme="majorEastAsia" w:eastAsiaTheme="majorEastAsia" w:cstheme="majorEastAsia"/>
                <w:color w:val="000000"/>
                <w:szCs w:val="21"/>
                <w:highlight w:val="none"/>
              </w:rPr>
              <w:t>现场查验</w:t>
            </w:r>
            <w:r>
              <w:rPr>
                <w:rFonts w:hint="eastAsia" w:asciiTheme="majorEastAsia" w:hAnsiTheme="majorEastAsia" w:eastAsiaTheme="majorEastAsia" w:cstheme="majorEastAsia"/>
                <w:color w:val="000000"/>
                <w:szCs w:val="21"/>
                <w:highlight w:val="none"/>
                <w:lang w:eastAsia="zh-CN"/>
              </w:rPr>
              <w:t>（</w:t>
            </w:r>
            <w:r>
              <w:rPr>
                <w:rFonts w:hint="eastAsia" w:asciiTheme="majorEastAsia" w:hAnsiTheme="majorEastAsia" w:eastAsiaTheme="majorEastAsia" w:cstheme="majorEastAsia"/>
                <w:color w:val="000000"/>
                <w:szCs w:val="21"/>
                <w:highlight w:val="none"/>
                <w:lang w:val="en-US" w:eastAsia="zh-CN"/>
              </w:rPr>
              <w:t>手持或密封于投标文件中均视为携带</w:t>
            </w:r>
            <w:r>
              <w:rPr>
                <w:rFonts w:hint="eastAsia" w:asciiTheme="majorEastAsia" w:hAnsiTheme="majorEastAsia" w:eastAsiaTheme="majorEastAsia" w:cstheme="majorEastAsia"/>
                <w:color w:val="000000"/>
                <w:szCs w:val="21"/>
                <w:highlight w:val="none"/>
                <w:lang w:eastAsia="zh-CN"/>
              </w:rPr>
              <w:t>）</w:t>
            </w:r>
            <w:r>
              <w:rPr>
                <w:rFonts w:hint="eastAsia" w:asciiTheme="majorEastAsia" w:hAnsiTheme="majorEastAsia" w:eastAsiaTheme="majorEastAsia" w:cstheme="majorEastAsia"/>
                <w:color w:val="000000"/>
                <w:szCs w:val="21"/>
                <w:highlight w:val="none"/>
              </w:rPr>
              <w:t>。</w:t>
            </w:r>
          </w:p>
        </w:tc>
      </w:tr>
      <w:tr w14:paraId="07E7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5FE6DF9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4317996">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982" w:type="dxa"/>
            <w:noWrap w:val="0"/>
            <w:vAlign w:val="center"/>
          </w:tcPr>
          <w:p w14:paraId="74E758FF">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2955" w:type="dxa"/>
            <w:noWrap w:val="0"/>
            <w:vAlign w:val="center"/>
          </w:tcPr>
          <w:p w14:paraId="62C8C87C">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评审核验标书中的下列证书、证明材料：</w:t>
            </w:r>
          </w:p>
          <w:p w14:paraId="6E652FF8">
            <w:pPr>
              <w:keepNext w:val="0"/>
              <w:keepLines w:val="0"/>
              <w:suppressLineNumbers w:val="0"/>
              <w:spacing w:before="0" w:beforeAutospacing="0" w:after="0" w:afterAutospacing="0" w:line="320" w:lineRule="exact"/>
              <w:ind w:left="0" w:right="0"/>
              <w:rPr>
                <w:rFonts w:hint="eastAsia" w:ascii="宋体" w:eastAsiaTheme="minorEastAsia"/>
                <w:color w:val="000000"/>
                <w:szCs w:val="21"/>
                <w:highlight w:val="none"/>
                <w:lang w:val="en-US" w:eastAsia="zh-CN"/>
              </w:rPr>
            </w:pPr>
            <w:r>
              <w:rPr>
                <w:rFonts w:hint="eastAsia" w:ascii="宋体"/>
                <w:color w:val="000000"/>
                <w:szCs w:val="21"/>
                <w:highlight w:val="none"/>
              </w:rPr>
              <w:t>投标人有效的营业执照、税务登记证、组织机构码证（或“三证合一证书”）</w:t>
            </w:r>
          </w:p>
        </w:tc>
      </w:tr>
      <w:tr w14:paraId="3882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348FE43F">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5E1F970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982" w:type="dxa"/>
            <w:noWrap w:val="0"/>
            <w:vAlign w:val="center"/>
          </w:tcPr>
          <w:p w14:paraId="749C11BE">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2955" w:type="dxa"/>
            <w:noWrap w:val="0"/>
            <w:vAlign w:val="center"/>
          </w:tcPr>
          <w:p w14:paraId="58194983">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宋体"/>
                <w:b/>
                <w:color w:val="000000"/>
                <w:szCs w:val="21"/>
                <w:highlight w:val="none"/>
              </w:rPr>
            </w:pPr>
            <w:r>
              <w:rPr>
                <w:rFonts w:hint="eastAsia"/>
                <w:color w:val="000000"/>
                <w:highlight w:val="none"/>
              </w:rPr>
              <w:t>格式见附件，检验电子标书</w:t>
            </w:r>
          </w:p>
        </w:tc>
      </w:tr>
      <w:tr w14:paraId="131E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21EA3A5C">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F12724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982" w:type="dxa"/>
            <w:noWrap w:val="0"/>
            <w:vAlign w:val="center"/>
          </w:tcPr>
          <w:p w14:paraId="33A1BAE3">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服务承诺书</w:t>
            </w:r>
          </w:p>
        </w:tc>
        <w:tc>
          <w:tcPr>
            <w:tcW w:w="2955" w:type="dxa"/>
            <w:noWrap w:val="0"/>
            <w:vAlign w:val="center"/>
          </w:tcPr>
          <w:p w14:paraId="3C700C1A">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color w:val="000000"/>
                <w:szCs w:val="21"/>
                <w:highlight w:val="none"/>
              </w:rPr>
            </w:pPr>
            <w:r>
              <w:rPr>
                <w:rFonts w:hint="eastAsia"/>
                <w:color w:val="000000"/>
                <w:highlight w:val="none"/>
              </w:rPr>
              <w:t>格式见附件，检验电子标书</w:t>
            </w:r>
          </w:p>
        </w:tc>
      </w:tr>
    </w:tbl>
    <w:p w14:paraId="31B1DE6B">
      <w:pPr>
        <w:adjustRightInd w:val="0"/>
        <w:snapToGrid w:val="0"/>
        <w:spacing w:line="560" w:lineRule="exact"/>
        <w:jc w:val="left"/>
        <w:rPr>
          <w:rFonts w:hint="eastAsia" w:ascii="Times New Roman" w:hAnsi="Times New Roman" w:eastAsia="宋体" w:cs="Times New Roman"/>
          <w:color w:val="000000"/>
          <w:highlight w:val="none"/>
        </w:rPr>
      </w:pPr>
      <w:bookmarkStart w:id="43" w:name="_Toc60061492"/>
      <w:bookmarkStart w:id="44" w:name="_Toc95223395"/>
      <w:bookmarkStart w:id="45" w:name="_Toc506107320"/>
      <w:bookmarkStart w:id="46" w:name="_Toc15058909"/>
      <w:r>
        <w:rPr>
          <w:rFonts w:hint="eastAsia" w:ascii="Times New Roman" w:hAnsi="Times New Roman" w:eastAsia="宋体" w:cs="Times New Roman"/>
          <w:color w:val="000000"/>
          <w:highlight w:val="none"/>
        </w:rPr>
        <w:t>2.审查办法</w:t>
      </w:r>
      <w:bookmarkEnd w:id="43"/>
      <w:bookmarkEnd w:id="44"/>
      <w:bookmarkEnd w:id="45"/>
      <w:bookmarkEnd w:id="46"/>
    </w:p>
    <w:p w14:paraId="4CD287D7">
      <w:pPr>
        <w:adjustRightInd w:val="0"/>
        <w:snapToGrid w:val="0"/>
        <w:spacing w:line="560" w:lineRule="exact"/>
        <w:jc w:val="left"/>
        <w:rPr>
          <w:rFonts w:hint="eastAsia" w:ascii="Times New Roman" w:hAnsi="Times New Roman" w:eastAsia="宋体" w:cs="Times New Roman"/>
          <w:color w:val="000000"/>
          <w:highlight w:val="none"/>
        </w:rPr>
      </w:pPr>
      <w:bookmarkStart w:id="47" w:name="_Toc60061493"/>
      <w:bookmarkStart w:id="48" w:name="_Toc15058910"/>
      <w:bookmarkStart w:id="49" w:name="_Toc506107321"/>
      <w:bookmarkStart w:id="50" w:name="_Toc324404868"/>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6C5603DF">
      <w:pPr>
        <w:adjustRightInd w:val="0"/>
        <w:snapToGrid w:val="0"/>
        <w:spacing w:line="560" w:lineRule="exact"/>
        <w:jc w:val="left"/>
        <w:rPr>
          <w:rFonts w:hint="eastAsia" w:ascii="Times New Roman" w:hAnsi="Times New Roman" w:eastAsia="宋体" w:cs="Times New Roman"/>
          <w:color w:val="000000"/>
          <w:highlight w:val="none"/>
        </w:rPr>
      </w:pPr>
      <w:bookmarkStart w:id="51" w:name="_Toc95223396"/>
      <w:r>
        <w:rPr>
          <w:rFonts w:hint="eastAsia" w:ascii="Times New Roman" w:hAnsi="Times New Roman" w:eastAsia="宋体" w:cs="Times New Roman"/>
          <w:color w:val="000000"/>
          <w:highlight w:val="none"/>
        </w:rPr>
        <w:t>3.资格审查委员会和审查标准</w:t>
      </w:r>
      <w:bookmarkEnd w:id="47"/>
      <w:bookmarkEnd w:id="48"/>
      <w:bookmarkEnd w:id="49"/>
      <w:bookmarkEnd w:id="50"/>
      <w:bookmarkEnd w:id="51"/>
    </w:p>
    <w:p w14:paraId="24B22249">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3168B197">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5B4F1F4">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（1）不能按要求提供证明材料或证明材料经审查不合格；</w:t>
      </w:r>
    </w:p>
    <w:p w14:paraId="2EBC3609">
      <w:pPr>
        <w:adjustRightInd w:val="0"/>
        <w:snapToGrid w:val="0"/>
        <w:spacing w:line="560" w:lineRule="exact"/>
        <w:jc w:val="left"/>
        <w:rPr>
          <w:rFonts w:hint="eastAsia" w:ascii="Times New Roman" w:hAnsi="Times New Roman" w:cs="Times New Roman" w:eastAsiaTheme="majorEastAsia"/>
          <w:color w:val="000000"/>
          <w:highlight w:val="none"/>
          <w:lang w:eastAsia="zh-CN"/>
        </w:rPr>
      </w:pPr>
      <w:r>
        <w:rPr>
          <w:rFonts w:hint="eastAsia" w:asciiTheme="majorEastAsia" w:hAnsiTheme="majorEastAsia" w:eastAsiaTheme="majorEastAsia" w:cstheme="majorEastAsia"/>
          <w:color w:val="000000"/>
          <w:highlight w:val="none"/>
        </w:rPr>
        <w:t>（2）法律、法规规定的其他情形</w:t>
      </w:r>
      <w:r>
        <w:rPr>
          <w:rFonts w:hint="eastAsia" w:asciiTheme="majorEastAsia" w:hAnsiTheme="majorEastAsia" w:eastAsiaTheme="majorEastAsia" w:cstheme="majorEastAsia"/>
          <w:color w:val="000000"/>
          <w:highlight w:val="none"/>
          <w:lang w:eastAsia="zh-CN"/>
        </w:rPr>
        <w:t>。</w:t>
      </w:r>
    </w:p>
    <w:p w14:paraId="618FC07D">
      <w:pPr>
        <w:adjustRightInd w:val="0"/>
        <w:snapToGrid w:val="0"/>
        <w:spacing w:line="560" w:lineRule="exact"/>
        <w:jc w:val="left"/>
        <w:rPr>
          <w:rFonts w:hint="eastAsia" w:ascii="Times New Roman" w:hAnsi="Times New Roman" w:eastAsia="宋体" w:cs="Times New Roman"/>
          <w:color w:val="000000"/>
          <w:highlight w:val="none"/>
        </w:rPr>
      </w:pPr>
      <w:bookmarkStart w:id="52" w:name="_Toc324404869"/>
      <w:bookmarkStart w:id="53" w:name="_Toc60061494"/>
      <w:bookmarkStart w:id="54" w:name="_Toc506107322"/>
      <w:bookmarkStart w:id="55" w:name="_Toc15058911"/>
      <w:bookmarkStart w:id="56" w:name="_Toc95223397"/>
      <w:r>
        <w:rPr>
          <w:rFonts w:hint="eastAsia" w:ascii="Times New Roman" w:hAnsi="Times New Roman" w:eastAsia="宋体" w:cs="Times New Roman"/>
          <w:color w:val="000000"/>
          <w:highlight w:val="none"/>
        </w:rPr>
        <w:t>4.审查结果</w:t>
      </w:r>
      <w:bookmarkEnd w:id="52"/>
      <w:bookmarkEnd w:id="53"/>
      <w:bookmarkEnd w:id="54"/>
      <w:bookmarkEnd w:id="55"/>
      <w:bookmarkEnd w:id="56"/>
    </w:p>
    <w:p w14:paraId="1C77B254">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05160832">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1AF7DE05">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5E007DF5">
      <w:pPr>
        <w:adjustRightInd w:val="0"/>
        <w:snapToGrid w:val="0"/>
        <w:spacing w:line="420" w:lineRule="exact"/>
        <w:ind w:firstLine="316" w:firstLineChars="150"/>
        <w:rPr>
          <w:rFonts w:ascii="宋体" w:hAnsi="宋体" w:cs="宋体"/>
          <w:b/>
          <w:bCs/>
          <w:color w:val="000000"/>
          <w:szCs w:val="21"/>
          <w:highlight w:val="none"/>
        </w:rPr>
      </w:pPr>
      <w:bookmarkStart w:id="57" w:name="_Toc23254"/>
      <w:bookmarkEnd w:id="57"/>
      <w:bookmarkStart w:id="58" w:name="_Toc10907_WPSOffice_Level3"/>
      <w:r>
        <w:rPr>
          <w:rFonts w:hint="eastAsia" w:ascii="宋体" w:hAnsi="宋体" w:cs="宋体"/>
          <w:b/>
          <w:bCs/>
          <w:color w:val="000000"/>
          <w:szCs w:val="21"/>
          <w:highlight w:val="none"/>
        </w:rPr>
        <w:t>1.中标候选人的确定</w:t>
      </w:r>
    </w:p>
    <w:p w14:paraId="6E0E6ACF">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14:paraId="631CB9AA">
      <w:pPr>
        <w:adjustRightInd w:val="0"/>
        <w:snapToGrid w:val="0"/>
        <w:spacing w:line="420" w:lineRule="exact"/>
        <w:ind w:firstLine="316" w:firstLineChars="150"/>
        <w:rPr>
          <w:rFonts w:ascii="宋体" w:hAnsi="宋体" w:cs="宋体"/>
          <w:color w:val="000000"/>
          <w:szCs w:val="21"/>
          <w:highlight w:val="none"/>
        </w:rPr>
      </w:pPr>
      <w:r>
        <w:rPr>
          <w:rFonts w:hint="eastAsia" w:ascii="宋体" w:hAnsi="宋体" w:cs="宋体"/>
          <w:b/>
          <w:bCs/>
          <w:color w:val="000000"/>
          <w:szCs w:val="21"/>
          <w:highlight w:val="none"/>
        </w:rPr>
        <w:t>2.资信标评审（</w:t>
      </w:r>
      <w:r>
        <w:rPr>
          <w:rFonts w:hint="eastAsia" w:ascii="宋体" w:hAnsi="宋体" w:cs="宋体"/>
          <w:b/>
          <w:bCs/>
          <w:color w:val="000000"/>
          <w:szCs w:val="21"/>
          <w:highlight w:val="none"/>
          <w:lang w:val="en-US" w:eastAsia="zh-CN"/>
        </w:rPr>
        <w:t>40</w:t>
      </w:r>
      <w:r>
        <w:rPr>
          <w:rFonts w:hint="eastAsia" w:ascii="宋体" w:hAnsi="宋体" w:cs="宋体"/>
          <w:b/>
          <w:bCs/>
          <w:color w:val="000000"/>
          <w:szCs w:val="21"/>
          <w:highlight w:val="none"/>
        </w:rPr>
        <w:t>分）</w:t>
      </w:r>
    </w:p>
    <w:tbl>
      <w:tblPr>
        <w:tblStyle w:val="26"/>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14:paraId="23C0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14:paraId="7A3559B7">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14:paraId="0B199D6B">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14:paraId="0C2C6F78">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14:paraId="16A2684D">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14:paraId="5834ED2D">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b/>
                <w:bCs/>
                <w:szCs w:val="21"/>
                <w:highlight w:val="none"/>
              </w:rPr>
              <w:t>须提供的证明材料</w:t>
            </w:r>
          </w:p>
        </w:tc>
      </w:tr>
      <w:tr w14:paraId="6A2B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vAlign w:val="center"/>
          </w:tcPr>
          <w:p w14:paraId="5854AF10">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rPr>
            </w:pPr>
            <w:r>
              <w:rPr>
                <w:rFonts w:hint="eastAsia" w:ascii="宋体" w:hAnsi="宋体"/>
                <w:szCs w:val="21"/>
                <w:highlight w:val="none"/>
              </w:rPr>
              <w:t>1</w:t>
            </w:r>
          </w:p>
        </w:tc>
        <w:tc>
          <w:tcPr>
            <w:tcW w:w="1315" w:type="dxa"/>
            <w:vAlign w:val="center"/>
          </w:tcPr>
          <w:p w14:paraId="6DBD15CF">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投标人业绩</w:t>
            </w:r>
          </w:p>
        </w:tc>
        <w:tc>
          <w:tcPr>
            <w:tcW w:w="739" w:type="dxa"/>
            <w:vAlign w:val="center"/>
          </w:tcPr>
          <w:p w14:paraId="120B98B1">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lang w:val="en-US" w:eastAsia="zh-CN"/>
              </w:rPr>
              <w:t>15</w:t>
            </w:r>
            <w:r>
              <w:rPr>
                <w:rFonts w:hint="eastAsia" w:ascii="宋体" w:hAnsi="宋体" w:cs="宋体"/>
                <w:szCs w:val="21"/>
                <w:highlight w:val="none"/>
              </w:rPr>
              <w:t>分</w:t>
            </w:r>
          </w:p>
        </w:tc>
        <w:tc>
          <w:tcPr>
            <w:tcW w:w="5615" w:type="dxa"/>
            <w:vAlign w:val="center"/>
          </w:tcPr>
          <w:p w14:paraId="2EB0E502">
            <w:pPr>
              <w:keepNext w:val="0"/>
              <w:keepLines w:val="0"/>
              <w:suppressLineNumbers w:val="0"/>
              <w:spacing w:before="0" w:beforeAutospacing="0" w:after="0" w:afterAutospacing="0"/>
              <w:ind w:left="0" w:right="0"/>
              <w:rPr>
                <w:rFonts w:hint="default" w:ascii="宋体" w:hAnsi="宋体" w:cs="宋体"/>
                <w:szCs w:val="21"/>
                <w:highlight w:val="none"/>
              </w:rPr>
            </w:pPr>
            <w:r>
              <w:rPr>
                <w:rFonts w:hint="eastAsia" w:ascii="宋体" w:hAnsi="宋体" w:eastAsia="宋体" w:cs="Times New Roman"/>
                <w:color w:val="000000"/>
                <w:szCs w:val="21"/>
                <w:highlight w:val="none"/>
                <w:lang w:val="en-US" w:eastAsia="zh-CN"/>
              </w:rPr>
              <w:t>自2019年1月1日至投标截止日（以合同签订时间为准），投标人具有不少于3条不同线路的同类产品供货业绩的</w:t>
            </w:r>
            <w:r>
              <w:rPr>
                <w:rFonts w:hint="eastAsia" w:ascii="宋体" w:hAnsi="宋体" w:cs="宋体"/>
                <w:szCs w:val="21"/>
                <w:highlight w:val="none"/>
              </w:rPr>
              <w:t>得</w:t>
            </w:r>
            <w:r>
              <w:rPr>
                <w:rFonts w:hint="eastAsia" w:ascii="宋体" w:hAnsi="宋体" w:cs="宋体"/>
                <w:szCs w:val="21"/>
                <w:highlight w:val="none"/>
                <w:lang w:val="en-US" w:eastAsia="zh-CN"/>
              </w:rPr>
              <w:t>15</w:t>
            </w:r>
            <w:r>
              <w:rPr>
                <w:rFonts w:hint="eastAsia" w:ascii="宋体" w:hAnsi="宋体" w:cs="宋体"/>
                <w:szCs w:val="21"/>
                <w:highlight w:val="none"/>
              </w:rPr>
              <w:t>分，</w:t>
            </w:r>
            <w:r>
              <w:rPr>
                <w:rFonts w:hint="eastAsia" w:ascii="宋体" w:hAnsi="宋体" w:cs="宋体"/>
                <w:kern w:val="1"/>
                <w:szCs w:val="21"/>
                <w:highlight w:val="none"/>
              </w:rPr>
              <w:t>其他的不得分，</w:t>
            </w:r>
            <w:r>
              <w:rPr>
                <w:rFonts w:hint="eastAsia" w:ascii="宋体" w:hAnsi="宋体" w:cs="宋体"/>
                <w:szCs w:val="21"/>
                <w:highlight w:val="none"/>
              </w:rPr>
              <w:t>本条满分</w:t>
            </w:r>
            <w:r>
              <w:rPr>
                <w:rFonts w:hint="eastAsia" w:ascii="宋体" w:hAnsi="宋体" w:cs="宋体"/>
                <w:szCs w:val="21"/>
                <w:highlight w:val="none"/>
                <w:lang w:val="en-US" w:eastAsia="zh-CN"/>
              </w:rPr>
              <w:t>15</w:t>
            </w:r>
            <w:r>
              <w:rPr>
                <w:rFonts w:hint="eastAsia" w:ascii="宋体" w:hAnsi="宋体" w:cs="宋体"/>
                <w:szCs w:val="21"/>
                <w:highlight w:val="none"/>
              </w:rPr>
              <w:t>分。</w:t>
            </w:r>
          </w:p>
          <w:p w14:paraId="5FA8D7E2">
            <w:pPr>
              <w:keepNext w:val="0"/>
              <w:keepLines w:val="0"/>
              <w:suppressLineNumbers w:val="0"/>
              <w:spacing w:before="0" w:beforeAutospacing="0" w:after="0" w:afterAutospacing="0" w:line="300" w:lineRule="exact"/>
              <w:ind w:left="0" w:right="0"/>
              <w:rPr>
                <w:rFonts w:hint="default"/>
                <w:highlight w:val="none"/>
              </w:rPr>
            </w:pPr>
            <w:r>
              <w:rPr>
                <w:rFonts w:hint="eastAsia" w:ascii="Times New Roman" w:hAnsi="Times New Roman"/>
                <w:szCs w:val="21"/>
                <w:highlight w:val="none"/>
              </w:rPr>
              <w:t>注</w:t>
            </w:r>
            <w:r>
              <w:rPr>
                <w:rFonts w:hint="eastAsia" w:ascii="Times New Roman" w:hAnsi="Times New Roman"/>
                <w:szCs w:val="21"/>
                <w:highlight w:val="none"/>
                <w:lang w:val="zh-CN"/>
              </w:rPr>
              <w:t>：</w:t>
            </w:r>
            <w:r>
              <w:rPr>
                <w:rFonts w:hint="eastAsia" w:ascii="Times New Roman" w:hAnsi="Times New Roman"/>
                <w:szCs w:val="21"/>
                <w:highlight w:val="none"/>
              </w:rPr>
              <w:t>投标人投标时只须提供</w:t>
            </w:r>
            <w:r>
              <w:rPr>
                <w:rFonts w:hint="eastAsia" w:ascii="Times New Roman" w:hAnsi="Times New Roman"/>
                <w:szCs w:val="21"/>
                <w:highlight w:val="none"/>
                <w:lang w:val="en-US" w:eastAsia="zh-CN"/>
              </w:rPr>
              <w:t>3</w:t>
            </w:r>
            <w:r>
              <w:rPr>
                <w:rFonts w:hint="eastAsia" w:ascii="Times New Roman" w:hAnsi="Times New Roman"/>
                <w:szCs w:val="21"/>
                <w:highlight w:val="none"/>
              </w:rPr>
              <w:t>个评审业绩，若投标人提供业绩个数超过</w:t>
            </w:r>
            <w:r>
              <w:rPr>
                <w:rFonts w:hint="eastAsia" w:ascii="Times New Roman" w:hAnsi="Times New Roman"/>
                <w:szCs w:val="21"/>
                <w:highlight w:val="none"/>
                <w:lang w:val="en-US" w:eastAsia="zh-CN"/>
              </w:rPr>
              <w:t>3</w:t>
            </w:r>
            <w:r>
              <w:rPr>
                <w:rFonts w:hint="eastAsia" w:ascii="Times New Roman" w:hAnsi="Times New Roman"/>
                <w:szCs w:val="21"/>
                <w:highlight w:val="none"/>
              </w:rPr>
              <w:t>个，则按照排列顺序从首个业绩开始评审至对应数量（</w:t>
            </w:r>
            <w:r>
              <w:rPr>
                <w:rFonts w:hint="eastAsia" w:ascii="Times New Roman" w:hAnsi="Times New Roman"/>
                <w:szCs w:val="21"/>
                <w:highlight w:val="none"/>
                <w:lang w:val="en-US" w:eastAsia="zh-CN"/>
              </w:rPr>
              <w:t>3</w:t>
            </w:r>
            <w:r>
              <w:rPr>
                <w:rFonts w:hint="eastAsia" w:ascii="Times New Roman" w:hAnsi="Times New Roman"/>
                <w:szCs w:val="21"/>
                <w:highlight w:val="none"/>
              </w:rPr>
              <w:t>个），超出部分业绩不进行评审。对应数量（</w:t>
            </w:r>
            <w:r>
              <w:rPr>
                <w:rFonts w:hint="eastAsia" w:ascii="Times New Roman" w:hAnsi="Times New Roman"/>
                <w:szCs w:val="21"/>
                <w:highlight w:val="none"/>
                <w:lang w:val="en-US" w:eastAsia="zh-CN"/>
              </w:rPr>
              <w:t>3</w:t>
            </w:r>
            <w:r>
              <w:rPr>
                <w:rFonts w:hint="eastAsia" w:ascii="Times New Roman" w:hAnsi="Times New Roman"/>
                <w:szCs w:val="21"/>
                <w:highlight w:val="none"/>
              </w:rPr>
              <w:t>个）内业绩不符合招标文件要求不得分的，不再补充评审超出部分业绩。如：提供</w:t>
            </w:r>
            <w:r>
              <w:rPr>
                <w:rFonts w:hint="eastAsia" w:ascii="Times New Roman" w:hAnsi="Times New Roman"/>
                <w:szCs w:val="21"/>
                <w:highlight w:val="none"/>
                <w:lang w:val="en-US" w:eastAsia="zh-CN"/>
              </w:rPr>
              <w:t>3</w:t>
            </w:r>
            <w:r>
              <w:rPr>
                <w:rFonts w:hint="eastAsia" w:ascii="Times New Roman" w:hAnsi="Times New Roman"/>
                <w:szCs w:val="21"/>
                <w:highlight w:val="none"/>
              </w:rPr>
              <w:t>个业绩即得满分的，按照投标文件排序评审第一、第二</w:t>
            </w:r>
            <w:r>
              <w:rPr>
                <w:rFonts w:hint="eastAsia" w:ascii="Times New Roman" w:hAnsi="Times New Roman"/>
                <w:szCs w:val="21"/>
                <w:highlight w:val="none"/>
                <w:lang w:eastAsia="zh-CN"/>
              </w:rPr>
              <w:t>、</w:t>
            </w:r>
            <w:r>
              <w:rPr>
                <w:rFonts w:hint="eastAsia" w:ascii="Times New Roman" w:hAnsi="Times New Roman"/>
                <w:szCs w:val="21"/>
                <w:highlight w:val="none"/>
                <w:lang w:val="en-US" w:eastAsia="zh-CN"/>
              </w:rPr>
              <w:t>第三</w:t>
            </w:r>
            <w:r>
              <w:rPr>
                <w:rFonts w:hint="eastAsia" w:ascii="Times New Roman" w:hAnsi="Times New Roman"/>
                <w:szCs w:val="21"/>
                <w:highlight w:val="none"/>
              </w:rPr>
              <w:t>项业绩，其余超出部分不再评审”。</w:t>
            </w:r>
          </w:p>
        </w:tc>
        <w:tc>
          <w:tcPr>
            <w:tcW w:w="1607" w:type="dxa"/>
            <w:vAlign w:val="center"/>
          </w:tcPr>
          <w:p w14:paraId="74864DCD">
            <w:pPr>
              <w:keepNext w:val="0"/>
              <w:keepLines w:val="0"/>
              <w:suppressLineNumbers w:val="0"/>
              <w:spacing w:before="0" w:beforeAutospacing="0" w:after="0" w:afterAutospacing="0" w:line="300" w:lineRule="exact"/>
              <w:ind w:left="-40" w:right="0"/>
              <w:jc w:val="center"/>
              <w:rPr>
                <w:rFonts w:hint="default" w:ascii="宋体" w:hAnsi="宋体" w:cs="仿宋_GB2312"/>
                <w:szCs w:val="21"/>
                <w:highlight w:val="none"/>
              </w:rPr>
            </w:pPr>
            <w:r>
              <w:rPr>
                <w:rFonts w:hint="eastAsia" w:ascii="宋体" w:hAnsi="宋体" w:cs="宋体"/>
                <w:szCs w:val="21"/>
                <w:highlight w:val="none"/>
              </w:rPr>
              <w:t>投标文件中须提供业绩合同扫描件，</w:t>
            </w:r>
            <w:r>
              <w:rPr>
                <w:rFonts w:hint="eastAsia" w:asciiTheme="majorEastAsia" w:hAnsiTheme="majorEastAsia" w:eastAsiaTheme="majorEastAsia" w:cstheme="majorEastAsia"/>
                <w:color w:val="000000"/>
                <w:szCs w:val="21"/>
                <w:highlight w:val="none"/>
                <w:lang w:val="en-US" w:eastAsia="zh-CN"/>
              </w:rPr>
              <w:t>合同中必须体现出甲乙双方名称、产品名称及合同金额等信息</w:t>
            </w:r>
            <w:r>
              <w:rPr>
                <w:rFonts w:hint="eastAsia" w:ascii="Times New Roman" w:hAnsi="Times New Roman"/>
                <w:szCs w:val="21"/>
                <w:highlight w:val="none"/>
              </w:rPr>
              <w:t>。</w:t>
            </w:r>
          </w:p>
        </w:tc>
      </w:tr>
      <w:tr w14:paraId="29AC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631E5A04">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rPr>
            </w:pPr>
            <w:r>
              <w:rPr>
                <w:rFonts w:hint="eastAsia" w:ascii="宋体" w:hAnsi="宋体"/>
                <w:szCs w:val="21"/>
                <w:highlight w:val="none"/>
              </w:rPr>
              <w:t>2</w:t>
            </w:r>
          </w:p>
        </w:tc>
        <w:tc>
          <w:tcPr>
            <w:tcW w:w="1315" w:type="dxa"/>
            <w:vAlign w:val="center"/>
          </w:tcPr>
          <w:p w14:paraId="47BF33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rPr>
            </w:pPr>
            <w:r>
              <w:rPr>
                <w:rFonts w:hint="eastAsia" w:ascii="宋体" w:hAnsi="宋体" w:cs="宋体"/>
                <w:szCs w:val="21"/>
                <w:highlight w:val="none"/>
                <w:lang w:val="en-US" w:eastAsia="zh-CN"/>
              </w:rPr>
              <w:t>体系认证</w:t>
            </w:r>
          </w:p>
        </w:tc>
        <w:tc>
          <w:tcPr>
            <w:tcW w:w="739" w:type="dxa"/>
            <w:vAlign w:val="center"/>
          </w:tcPr>
          <w:p w14:paraId="1B36936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eastAsia="宋体" w:cs="宋体"/>
                <w:szCs w:val="21"/>
                <w:highlight w:val="none"/>
                <w:lang w:val="en-US" w:eastAsia="zh-CN"/>
              </w:rPr>
              <w:t>5分</w:t>
            </w:r>
          </w:p>
        </w:tc>
        <w:tc>
          <w:tcPr>
            <w:tcW w:w="5615" w:type="dxa"/>
            <w:vAlign w:val="center"/>
          </w:tcPr>
          <w:p w14:paraId="28B80D1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default" w:ascii="Times New Roman" w:hAnsi="Times New Roman" w:eastAsiaTheme="minorEastAsia"/>
                <w:szCs w:val="21"/>
                <w:highlight w:val="none"/>
                <w:lang w:val="en-US" w:eastAsia="zh-CN"/>
              </w:rPr>
            </w:pPr>
            <w:r>
              <w:rPr>
                <w:rFonts w:hint="eastAsia" w:ascii="Times New Roman" w:hAnsi="Times New Roman"/>
                <w:szCs w:val="21"/>
                <w:highlight w:val="none"/>
                <w:lang w:val="en-US" w:eastAsia="zh-CN"/>
              </w:rPr>
              <w:t>投标人具有有效的质量管理体系认证证书的得5分，其他的不得分，本条满分5分。</w:t>
            </w:r>
          </w:p>
        </w:tc>
        <w:tc>
          <w:tcPr>
            <w:tcW w:w="1607" w:type="dxa"/>
            <w:vAlign w:val="center"/>
          </w:tcPr>
          <w:p w14:paraId="13D7AAD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Times New Roman" w:hAnsi="Times New Roman" w:eastAsia="宋体" w:cs="Times New Roman"/>
                <w:szCs w:val="21"/>
                <w:highlight w:val="none"/>
                <w:lang w:val="en-US" w:eastAsia="zh-CN"/>
              </w:rPr>
              <w:t>投标文件中提供有效的证书扫描件。</w:t>
            </w:r>
          </w:p>
        </w:tc>
      </w:tr>
      <w:tr w14:paraId="40E57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079A7B87">
            <w:pPr>
              <w:keepNext w:val="0"/>
              <w:keepLines w:val="0"/>
              <w:suppressLineNumbers w:val="0"/>
              <w:spacing w:before="0" w:beforeAutospacing="0" w:after="0" w:afterAutospacing="0" w:line="300" w:lineRule="exact"/>
              <w:ind w:left="0" w:right="0" w:firstLine="28"/>
              <w:jc w:val="center"/>
              <w:rPr>
                <w:rFonts w:hint="eastAsia" w:ascii="宋体" w:hAnsi="宋体" w:eastAsiaTheme="minorEastAsia"/>
                <w:szCs w:val="21"/>
                <w:highlight w:val="none"/>
                <w:lang w:val="en-US" w:eastAsia="zh-CN"/>
              </w:rPr>
            </w:pPr>
            <w:r>
              <w:rPr>
                <w:rFonts w:hint="eastAsia" w:ascii="宋体" w:hAnsi="宋体"/>
                <w:szCs w:val="21"/>
                <w:highlight w:val="none"/>
                <w:lang w:val="en-US" w:eastAsia="zh-CN"/>
              </w:rPr>
              <w:t>3</w:t>
            </w:r>
          </w:p>
        </w:tc>
        <w:tc>
          <w:tcPr>
            <w:tcW w:w="1315" w:type="dxa"/>
            <w:vAlign w:val="center"/>
          </w:tcPr>
          <w:p w14:paraId="38523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检测报告</w:t>
            </w:r>
          </w:p>
        </w:tc>
        <w:tc>
          <w:tcPr>
            <w:tcW w:w="739" w:type="dxa"/>
            <w:vAlign w:val="center"/>
          </w:tcPr>
          <w:p w14:paraId="73B87EEF">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jc w:val="center"/>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10分</w:t>
            </w:r>
          </w:p>
        </w:tc>
        <w:tc>
          <w:tcPr>
            <w:tcW w:w="5615" w:type="dxa"/>
            <w:vAlign w:val="center"/>
          </w:tcPr>
          <w:p w14:paraId="029C44B2">
            <w:pPr>
              <w:keepNext w:val="0"/>
              <w:keepLines w:val="0"/>
              <w:suppressLineNumbers w:val="0"/>
              <w:spacing w:before="0" w:beforeAutospacing="0" w:after="0" w:afterAutospacing="0"/>
              <w:ind w:left="0" w:right="0"/>
              <w:rPr>
                <w:rFonts w:hint="eastAsia" w:ascii="Times New Roman" w:hAnsi="Times New Roman" w:eastAsiaTheme="minorEastAsia"/>
                <w:szCs w:val="21"/>
                <w:highlight w:val="none"/>
                <w:lang w:val="en-US" w:eastAsia="zh-CN"/>
              </w:rPr>
            </w:pPr>
            <w:r>
              <w:rPr>
                <w:rFonts w:hint="eastAsia" w:ascii="宋体" w:hAnsi="宋体" w:eastAsia="宋体" w:cs="Times New Roman"/>
                <w:color w:val="000000"/>
                <w:szCs w:val="21"/>
                <w:highlight w:val="none"/>
                <w:lang w:val="en-US" w:eastAsia="zh-CN"/>
              </w:rPr>
              <w:t>投标人所投轨道润滑装置具备近五年（自2019年1月1日至投标截止日）内CMA或CNAS标识的检测报告</w:t>
            </w:r>
            <w:r>
              <w:rPr>
                <w:rFonts w:hint="eastAsia" w:ascii="宋体" w:hAnsi="宋体" w:cs="宋体"/>
                <w:szCs w:val="21"/>
                <w:highlight w:val="none"/>
              </w:rPr>
              <w:t>得</w:t>
            </w:r>
            <w:r>
              <w:rPr>
                <w:rFonts w:hint="eastAsia" w:ascii="宋体" w:hAnsi="宋体" w:cs="宋体"/>
                <w:szCs w:val="21"/>
                <w:highlight w:val="none"/>
                <w:lang w:val="en-US" w:eastAsia="zh-CN"/>
              </w:rPr>
              <w:t>10</w:t>
            </w:r>
            <w:r>
              <w:rPr>
                <w:rFonts w:hint="eastAsia" w:ascii="宋体" w:hAnsi="宋体" w:cs="宋体"/>
                <w:szCs w:val="21"/>
                <w:highlight w:val="none"/>
              </w:rPr>
              <w:t>分，</w:t>
            </w:r>
            <w:r>
              <w:rPr>
                <w:rFonts w:hint="eastAsia" w:ascii="宋体" w:hAnsi="宋体" w:cs="宋体"/>
                <w:kern w:val="1"/>
                <w:szCs w:val="21"/>
                <w:highlight w:val="none"/>
              </w:rPr>
              <w:t>其他的不得分，</w:t>
            </w:r>
            <w:r>
              <w:rPr>
                <w:rFonts w:hint="eastAsia" w:ascii="宋体" w:hAnsi="宋体" w:cs="宋体"/>
                <w:szCs w:val="21"/>
                <w:highlight w:val="none"/>
              </w:rPr>
              <w:t>本条满分</w:t>
            </w:r>
            <w:r>
              <w:rPr>
                <w:rFonts w:hint="eastAsia" w:ascii="宋体" w:hAnsi="宋体" w:cs="宋体"/>
                <w:szCs w:val="21"/>
                <w:highlight w:val="none"/>
                <w:lang w:val="en-US" w:eastAsia="zh-CN"/>
              </w:rPr>
              <w:t>10</w:t>
            </w:r>
            <w:r>
              <w:rPr>
                <w:rFonts w:hint="eastAsia" w:ascii="宋体" w:hAnsi="宋体" w:cs="宋体"/>
                <w:szCs w:val="21"/>
                <w:highlight w:val="none"/>
              </w:rPr>
              <w:t>分</w:t>
            </w:r>
            <w:r>
              <w:rPr>
                <w:rFonts w:hint="eastAsia" w:ascii="宋体" w:hAnsi="宋体" w:cs="宋体"/>
                <w:szCs w:val="21"/>
                <w:highlight w:val="none"/>
                <w:lang w:eastAsia="zh-CN"/>
              </w:rPr>
              <w:t>。</w:t>
            </w:r>
          </w:p>
        </w:tc>
        <w:tc>
          <w:tcPr>
            <w:tcW w:w="1607" w:type="dxa"/>
            <w:vAlign w:val="center"/>
          </w:tcPr>
          <w:p w14:paraId="197C7A5D">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投标文件中提供有效的检测报告扫描件。</w:t>
            </w:r>
          </w:p>
        </w:tc>
      </w:tr>
      <w:tr w14:paraId="61B2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14:paraId="55575DFC">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315" w:type="dxa"/>
            <w:vAlign w:val="center"/>
          </w:tcPr>
          <w:p w14:paraId="620CD5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企业实力</w:t>
            </w:r>
          </w:p>
        </w:tc>
        <w:tc>
          <w:tcPr>
            <w:tcW w:w="739" w:type="dxa"/>
            <w:vAlign w:val="center"/>
          </w:tcPr>
          <w:p w14:paraId="680934AD">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jc w:val="center"/>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10分</w:t>
            </w:r>
          </w:p>
        </w:tc>
        <w:tc>
          <w:tcPr>
            <w:tcW w:w="5615" w:type="dxa"/>
            <w:vAlign w:val="center"/>
          </w:tcPr>
          <w:p w14:paraId="2D440AE9">
            <w:pPr>
              <w:keepNext w:val="0"/>
              <w:keepLines w:val="0"/>
              <w:suppressLineNumbers w:val="0"/>
              <w:spacing w:before="0" w:beforeAutospacing="0" w:after="0" w:afterAutospacing="0"/>
              <w:ind w:left="0" w:right="0"/>
              <w:jc w:val="both"/>
              <w:rPr>
                <w:rFonts w:hint="eastAsia" w:ascii="宋体" w:hAnsi="宋体" w:eastAsia="宋体" w:cs="Times New Roman"/>
                <w:b/>
                <w:bCs/>
                <w:color w:val="000000"/>
                <w:szCs w:val="21"/>
                <w:highlight w:val="none"/>
                <w:lang w:val="en-US" w:eastAsia="zh-CN"/>
              </w:rPr>
            </w:pPr>
            <w:r>
              <w:rPr>
                <w:rFonts w:hint="eastAsia" w:ascii="宋体" w:hAnsi="宋体" w:eastAsia="宋体" w:cs="Times New Roman"/>
                <w:color w:val="000000"/>
                <w:szCs w:val="21"/>
                <w:highlight w:val="none"/>
                <w:lang w:val="en-US" w:eastAsia="zh-CN"/>
              </w:rPr>
              <w:t>投标人所投轨道润滑装置获取专利的得10分，其他的不得分，本条满分10分。</w:t>
            </w:r>
          </w:p>
        </w:tc>
        <w:tc>
          <w:tcPr>
            <w:tcW w:w="1607" w:type="dxa"/>
            <w:vAlign w:val="center"/>
          </w:tcPr>
          <w:p w14:paraId="6B0D201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投标文件中提供</w:t>
            </w:r>
            <w:r>
              <w:rPr>
                <w:rFonts w:hint="eastAsia"/>
                <w:snapToGrid w:val="0"/>
                <w:highlight w:val="none"/>
              </w:rPr>
              <w:t>合法有效的专利证明文件或专利授权</w:t>
            </w:r>
            <w:r>
              <w:rPr>
                <w:rFonts w:hint="eastAsia"/>
                <w:snapToGrid w:val="0"/>
                <w:highlight w:val="none"/>
                <w:lang w:val="en-US" w:eastAsia="zh-CN"/>
              </w:rPr>
              <w:t>材料</w:t>
            </w:r>
            <w:r>
              <w:rPr>
                <w:rFonts w:hint="eastAsia" w:ascii="Times New Roman" w:hAnsi="Times New Roman" w:eastAsia="宋体" w:cs="Times New Roman"/>
                <w:szCs w:val="21"/>
                <w:highlight w:val="none"/>
                <w:lang w:val="en-US" w:eastAsia="zh-CN"/>
              </w:rPr>
              <w:t>扫描件。</w:t>
            </w:r>
          </w:p>
        </w:tc>
      </w:tr>
    </w:tbl>
    <w:p w14:paraId="12644244">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w:t>
      </w:r>
      <w:r>
        <w:rPr>
          <w:rFonts w:hint="eastAsia" w:ascii="宋体" w:hAnsi="宋体" w:cs="宋体"/>
          <w:b/>
          <w:bCs/>
          <w:color w:val="000000"/>
          <w:szCs w:val="21"/>
          <w:highlight w:val="none"/>
          <w:lang w:val="en-US" w:eastAsia="zh-CN"/>
        </w:rPr>
        <w:t>30</w:t>
      </w:r>
      <w:r>
        <w:rPr>
          <w:rFonts w:hint="eastAsia" w:ascii="宋体" w:hAnsi="宋体" w:cs="宋体"/>
          <w:b/>
          <w:bCs/>
          <w:color w:val="000000"/>
          <w:szCs w:val="21"/>
          <w:highlight w:val="none"/>
        </w:rPr>
        <w:t>分）</w:t>
      </w:r>
    </w:p>
    <w:tbl>
      <w:tblPr>
        <w:tblStyle w:val="26"/>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14:paraId="79AC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14:paraId="02248206">
            <w:pPr>
              <w:keepNext w:val="0"/>
              <w:keepLines w:val="0"/>
              <w:suppressLineNumbers w:val="0"/>
              <w:adjustRightInd w:val="0"/>
              <w:snapToGrid w:val="0"/>
              <w:spacing w:before="0" w:beforeAutospacing="0" w:after="0" w:afterAutospacing="0"/>
              <w:ind w:left="0" w:right="0"/>
              <w:jc w:val="center"/>
              <w:rPr>
                <w:rFonts w:hint="default" w:ascii="宋体" w:cs="宋体"/>
                <w:b/>
                <w:bCs/>
                <w:szCs w:val="21"/>
                <w:highlight w:val="none"/>
              </w:rPr>
            </w:pPr>
            <w:r>
              <w:rPr>
                <w:rFonts w:hint="eastAsia" w:ascii="宋体" w:hAnsi="宋体" w:cs="宋体"/>
                <w:b/>
                <w:bCs/>
                <w:szCs w:val="21"/>
                <w:highlight w:val="none"/>
              </w:rPr>
              <w:t>序号</w:t>
            </w:r>
          </w:p>
        </w:tc>
        <w:tc>
          <w:tcPr>
            <w:tcW w:w="1300" w:type="dxa"/>
            <w:vAlign w:val="center"/>
          </w:tcPr>
          <w:p w14:paraId="149BF7CA">
            <w:pPr>
              <w:keepNext w:val="0"/>
              <w:keepLines w:val="0"/>
              <w:suppressLineNumbers w:val="0"/>
              <w:adjustRightInd w:val="0"/>
              <w:snapToGrid w:val="0"/>
              <w:spacing w:before="0" w:beforeAutospacing="0" w:after="0" w:afterAutospacing="0"/>
              <w:ind w:left="0" w:right="0"/>
              <w:jc w:val="center"/>
              <w:rPr>
                <w:rFonts w:hint="default" w:ascii="宋体" w:cs="宋体"/>
                <w:b/>
                <w:bCs/>
                <w:sz w:val="28"/>
                <w:highlight w:val="none"/>
              </w:rPr>
            </w:pPr>
            <w:r>
              <w:rPr>
                <w:rFonts w:hint="eastAsia" w:ascii="宋体" w:hAnsi="宋体" w:cs="宋体"/>
                <w:b/>
                <w:bCs/>
                <w:szCs w:val="21"/>
                <w:highlight w:val="none"/>
              </w:rPr>
              <w:t>评分因素</w:t>
            </w:r>
          </w:p>
        </w:tc>
        <w:tc>
          <w:tcPr>
            <w:tcW w:w="754" w:type="dxa"/>
            <w:vAlign w:val="center"/>
          </w:tcPr>
          <w:p w14:paraId="1658C8FA">
            <w:pPr>
              <w:keepNext w:val="0"/>
              <w:keepLines w:val="0"/>
              <w:suppressLineNumbers w:val="0"/>
              <w:adjustRightInd w:val="0"/>
              <w:snapToGrid w:val="0"/>
              <w:spacing w:before="0" w:beforeAutospacing="0" w:after="0" w:afterAutospacing="0"/>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14:paraId="081DF37D">
            <w:pPr>
              <w:keepNext w:val="0"/>
              <w:keepLines w:val="0"/>
              <w:suppressLineNumbers w:val="0"/>
              <w:adjustRightInd w:val="0"/>
              <w:snapToGrid w:val="0"/>
              <w:spacing w:before="0" w:beforeAutospacing="0" w:after="0" w:afterAutospacing="0"/>
              <w:ind w:left="0" w:right="0"/>
              <w:jc w:val="center"/>
              <w:rPr>
                <w:rFonts w:hint="default" w:ascii="宋体" w:cs="宋体"/>
                <w:b/>
                <w:bCs/>
                <w:sz w:val="28"/>
                <w:highlight w:val="none"/>
              </w:rPr>
            </w:pPr>
            <w:r>
              <w:rPr>
                <w:rFonts w:hint="eastAsia" w:ascii="宋体" w:cs="宋体"/>
                <w:b/>
                <w:bCs/>
                <w:szCs w:val="21"/>
                <w:highlight w:val="none"/>
              </w:rPr>
              <w:t>评审细则</w:t>
            </w:r>
          </w:p>
        </w:tc>
        <w:tc>
          <w:tcPr>
            <w:tcW w:w="1591" w:type="dxa"/>
            <w:vAlign w:val="center"/>
          </w:tcPr>
          <w:p w14:paraId="4DBFAE07">
            <w:pPr>
              <w:keepNext w:val="0"/>
              <w:keepLines w:val="0"/>
              <w:suppressLineNumbers w:val="0"/>
              <w:adjustRightInd w:val="0"/>
              <w:snapToGrid w:val="0"/>
              <w:spacing w:before="0" w:beforeAutospacing="0" w:after="0" w:afterAutospacing="0"/>
              <w:ind w:left="0" w:right="0"/>
              <w:jc w:val="center"/>
              <w:rPr>
                <w:rFonts w:hint="default" w:ascii="宋体" w:cs="宋体"/>
                <w:b/>
                <w:bCs/>
                <w:szCs w:val="21"/>
                <w:highlight w:val="none"/>
              </w:rPr>
            </w:pPr>
            <w:r>
              <w:rPr>
                <w:rFonts w:hint="eastAsia" w:ascii="宋体" w:cs="宋体"/>
                <w:b/>
                <w:bCs/>
                <w:szCs w:val="21"/>
                <w:highlight w:val="none"/>
              </w:rPr>
              <w:t>须提供的证明材料</w:t>
            </w:r>
          </w:p>
        </w:tc>
      </w:tr>
      <w:tr w14:paraId="7252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14:paraId="520BFB3D">
            <w:pPr>
              <w:keepNext w:val="0"/>
              <w:keepLines w:val="0"/>
              <w:suppressLineNumbers w:val="0"/>
              <w:spacing w:before="0" w:beforeAutospacing="0" w:after="0" w:afterAutospacing="0" w:line="440" w:lineRule="exact"/>
              <w:ind w:left="0" w:right="0"/>
              <w:jc w:val="center"/>
              <w:rPr>
                <w:rFonts w:hint="eastAsia" w:ascii="宋体" w:hAnsi="宋体" w:cs="宋体" w:eastAsiaTheme="minorEastAsia"/>
                <w:szCs w:val="21"/>
                <w:highlight w:val="none"/>
                <w:lang w:val="en-US" w:eastAsia="zh-CN"/>
              </w:rPr>
            </w:pPr>
            <w:r>
              <w:rPr>
                <w:rFonts w:hint="eastAsia" w:ascii="宋体" w:hAnsi="宋体" w:cs="宋体"/>
                <w:szCs w:val="21"/>
                <w:highlight w:val="none"/>
                <w:lang w:val="en-US" w:eastAsia="zh-CN"/>
              </w:rPr>
              <w:t>1</w:t>
            </w:r>
          </w:p>
        </w:tc>
        <w:tc>
          <w:tcPr>
            <w:tcW w:w="1300" w:type="dxa"/>
            <w:vAlign w:val="center"/>
          </w:tcPr>
          <w:p w14:paraId="724A7BDD">
            <w:pPr>
              <w:keepNext w:val="0"/>
              <w:keepLines w:val="0"/>
              <w:suppressLineNumbers w:val="0"/>
              <w:adjustRightInd w:val="0"/>
              <w:snapToGrid w:val="0"/>
              <w:spacing w:before="0" w:beforeAutospacing="0" w:after="0" w:afterAutospacing="0"/>
              <w:ind w:left="0" w:right="0"/>
              <w:jc w:val="center"/>
              <w:rPr>
                <w:rFonts w:hint="default" w:cs="宋体" w:eastAsiaTheme="minorEastAsia"/>
                <w:bCs/>
                <w:szCs w:val="21"/>
                <w:highlight w:val="none"/>
                <w:lang w:val="en-US" w:eastAsia="zh-CN"/>
              </w:rPr>
            </w:pPr>
            <w:r>
              <w:rPr>
                <w:rFonts w:hint="eastAsia" w:ascii="宋体" w:hAnsi="宋体" w:cs="宋体"/>
                <w:szCs w:val="21"/>
                <w:highlight w:val="none"/>
                <w:lang w:val="en-US" w:eastAsia="zh-CN"/>
              </w:rPr>
              <w:t>项目实施方案</w:t>
            </w:r>
          </w:p>
        </w:tc>
        <w:tc>
          <w:tcPr>
            <w:tcW w:w="754" w:type="dxa"/>
            <w:vAlign w:val="center"/>
          </w:tcPr>
          <w:p w14:paraId="3095A833">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cs="宋体"/>
                <w:color w:val="000000"/>
                <w:szCs w:val="21"/>
                <w:highlight w:val="none"/>
                <w:lang w:val="en-US" w:eastAsia="zh-CN"/>
              </w:rPr>
              <w:t>30</w:t>
            </w:r>
            <w:r>
              <w:rPr>
                <w:rFonts w:hint="eastAsia" w:ascii="宋体" w:hAnsi="宋体" w:cs="宋体"/>
                <w:color w:val="000000"/>
                <w:szCs w:val="21"/>
                <w:highlight w:val="none"/>
              </w:rPr>
              <w:t>分</w:t>
            </w:r>
          </w:p>
        </w:tc>
        <w:tc>
          <w:tcPr>
            <w:tcW w:w="5607" w:type="dxa"/>
            <w:vAlign w:val="center"/>
          </w:tcPr>
          <w:p w14:paraId="2447A38C">
            <w:pPr>
              <w:keepNext w:val="0"/>
              <w:keepLines w:val="0"/>
              <w:suppressLineNumbers w:val="0"/>
              <w:spacing w:before="0" w:beforeAutospacing="0" w:after="0" w:afterAutospacing="0" w:line="360" w:lineRule="auto"/>
              <w:ind w:left="0" w:right="0"/>
              <w:jc w:val="both"/>
              <w:rPr>
                <w:rFonts w:hint="default"/>
                <w:highlight w:val="none"/>
              </w:rPr>
            </w:pPr>
            <w:r>
              <w:rPr>
                <w:rFonts w:hint="eastAsia" w:ascii="宋体" w:hAnsi="宋体" w:cs="宋体"/>
                <w:szCs w:val="21"/>
                <w:highlight w:val="none"/>
                <w:lang w:val="en-US" w:eastAsia="zh-CN"/>
              </w:rPr>
              <w:t>投标人根据招标文件用户需求书，对本项目总体认识，理清工作重难点编制项目实施方案。由评标委员会进行综合评审：优秀的得20分＜F≤30分，良好的得10分＜F≤20分，一般的得0分＜F≤10分，不合格或未提供的不得分。</w:t>
            </w:r>
          </w:p>
        </w:tc>
        <w:tc>
          <w:tcPr>
            <w:tcW w:w="1591" w:type="dxa"/>
            <w:vAlign w:val="center"/>
          </w:tcPr>
          <w:p w14:paraId="42AF4896">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highlight w:val="none"/>
                <w:lang w:val="zh-TW"/>
              </w:rPr>
              <w:t>技术标中须能充分有效反映出本评分项内容</w:t>
            </w:r>
          </w:p>
        </w:tc>
      </w:tr>
    </w:tbl>
    <w:p w14:paraId="61D09145">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注：各投标人技术标总得分为各评委评分的平均值为最终得分。取两位小数，小数点后第三位四舍五入。</w:t>
      </w:r>
    </w:p>
    <w:p w14:paraId="4F73BD40">
      <w:pPr>
        <w:adjustRightInd w:val="0"/>
        <w:snapToGrid w:val="0"/>
        <w:spacing w:line="420" w:lineRule="exact"/>
        <w:ind w:firstLine="316" w:firstLineChars="150"/>
        <w:rPr>
          <w:rFonts w:ascii="宋体" w:hAnsi="宋体" w:cs="宋体"/>
          <w:color w:val="000000"/>
          <w:szCs w:val="21"/>
          <w:highlight w:val="none"/>
        </w:rPr>
      </w:pPr>
      <w:r>
        <w:rPr>
          <w:rFonts w:hint="eastAsia" w:ascii="宋体" w:hAnsi="宋体" w:cs="宋体"/>
          <w:b/>
          <w:bCs/>
          <w:color w:val="000000"/>
          <w:szCs w:val="21"/>
          <w:highlight w:val="none"/>
        </w:rPr>
        <w:t>4.商务标评审（</w:t>
      </w:r>
      <w:r>
        <w:rPr>
          <w:rFonts w:hint="eastAsia" w:ascii="宋体" w:hAnsi="宋体" w:cs="宋体"/>
          <w:b/>
          <w:bCs/>
          <w:color w:val="000000"/>
          <w:szCs w:val="21"/>
          <w:highlight w:val="none"/>
          <w:lang w:val="en-US" w:eastAsia="zh-CN"/>
        </w:rPr>
        <w:t>3</w:t>
      </w:r>
      <w:r>
        <w:rPr>
          <w:rFonts w:hint="eastAsia" w:ascii="宋体" w:hAnsi="宋体" w:cs="宋体"/>
          <w:b/>
          <w:bCs/>
          <w:color w:val="000000"/>
          <w:szCs w:val="21"/>
          <w:highlight w:val="none"/>
        </w:rPr>
        <w:t>0分）</w:t>
      </w:r>
    </w:p>
    <w:tbl>
      <w:tblPr>
        <w:tblStyle w:val="26"/>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14:paraId="4010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14:paraId="500F361B">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序号</w:t>
            </w:r>
          </w:p>
        </w:tc>
        <w:tc>
          <w:tcPr>
            <w:tcW w:w="1065" w:type="dxa"/>
            <w:vAlign w:val="center"/>
          </w:tcPr>
          <w:p w14:paraId="13D26B51">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评分因素</w:t>
            </w:r>
          </w:p>
        </w:tc>
        <w:tc>
          <w:tcPr>
            <w:tcW w:w="810" w:type="dxa"/>
            <w:vAlign w:val="center"/>
          </w:tcPr>
          <w:p w14:paraId="1A2AAC04">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分值</w:t>
            </w:r>
          </w:p>
        </w:tc>
        <w:tc>
          <w:tcPr>
            <w:tcW w:w="7181" w:type="dxa"/>
            <w:vAlign w:val="center"/>
          </w:tcPr>
          <w:p w14:paraId="2955BDB6">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评审细则</w:t>
            </w:r>
          </w:p>
        </w:tc>
      </w:tr>
      <w:tr w14:paraId="7C8C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14:paraId="38604023">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1</w:t>
            </w:r>
          </w:p>
        </w:tc>
        <w:tc>
          <w:tcPr>
            <w:tcW w:w="1065" w:type="dxa"/>
            <w:vAlign w:val="center"/>
          </w:tcPr>
          <w:p w14:paraId="3F19DE34">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投标报价</w:t>
            </w:r>
          </w:p>
        </w:tc>
        <w:tc>
          <w:tcPr>
            <w:tcW w:w="810" w:type="dxa"/>
            <w:vAlign w:val="center"/>
          </w:tcPr>
          <w:p w14:paraId="65B2EBEF">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0分</w:t>
            </w:r>
          </w:p>
        </w:tc>
        <w:tc>
          <w:tcPr>
            <w:tcW w:w="7181" w:type="dxa"/>
            <w:vAlign w:val="center"/>
          </w:tcPr>
          <w:p w14:paraId="15FD9014">
            <w:pPr>
              <w:pStyle w:val="7"/>
              <w:spacing w:after="0"/>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14:paraId="5176EB36">
            <w:pPr>
              <w:pStyle w:val="7"/>
              <w:spacing w:after="0"/>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w:t>
            </w:r>
            <w:r>
              <w:rPr>
                <w:rFonts w:hint="eastAsia" w:ascii="宋体" w:hAnsi="宋体" w:cs="宋体"/>
                <w:highlight w:val="none"/>
                <w:lang w:val="en-US" w:eastAsia="zh-CN"/>
              </w:rPr>
              <w:t>3</w:t>
            </w:r>
            <w:r>
              <w:rPr>
                <w:rFonts w:hint="eastAsia" w:ascii="宋体" w:hAnsi="宋体" w:cs="宋体"/>
                <w:highlight w:val="none"/>
              </w:rPr>
              <w:t>0分，小数点后保留二位小数，第三位四舍五入；</w:t>
            </w:r>
          </w:p>
          <w:p w14:paraId="37AEF036">
            <w:pPr>
              <w:pStyle w:val="7"/>
              <w:spacing w:after="0"/>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14:paraId="395B0EC6">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14:paraId="514B68D9">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14:paraId="7B4BD8F0">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14:paraId="3417DDFA">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58"/>
      <w:r>
        <w:rPr>
          <w:rFonts w:hint="eastAsia" w:ascii="宋体" w:hAnsi="宋体" w:cs="宋体"/>
          <w:b/>
          <w:bCs/>
          <w:color w:val="000000"/>
          <w:szCs w:val="21"/>
          <w:highlight w:val="none"/>
        </w:rPr>
        <w:t>评标办法</w:t>
      </w:r>
    </w:p>
    <w:p w14:paraId="4F8CBF81">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14:paraId="43984F01">
      <w:pPr>
        <w:adjustRightInd w:val="0"/>
        <w:snapToGrid w:val="0"/>
        <w:spacing w:line="420" w:lineRule="exact"/>
        <w:ind w:firstLine="316" w:firstLineChars="150"/>
        <w:rPr>
          <w:rFonts w:ascii="宋体" w:hAnsi="宋体" w:cs="宋体"/>
          <w:b/>
          <w:bCs/>
          <w:color w:val="000000"/>
          <w:szCs w:val="21"/>
          <w:highlight w:val="none"/>
        </w:rPr>
      </w:pPr>
      <w:bookmarkStart w:id="59" w:name="_Toc58430318"/>
      <w:bookmarkStart w:id="60" w:name="_Toc267320058"/>
      <w:bookmarkStart w:id="61" w:name="_Toc449028878"/>
      <w:bookmarkStart w:id="62" w:name="_Toc362983802"/>
      <w:bookmarkStart w:id="63" w:name="_Toc363135205"/>
      <w:r>
        <w:rPr>
          <w:rFonts w:hint="eastAsia" w:ascii="宋体" w:hAnsi="宋体" w:cs="宋体"/>
          <w:b/>
          <w:bCs/>
          <w:color w:val="000000"/>
          <w:szCs w:val="21"/>
          <w:highlight w:val="none"/>
        </w:rPr>
        <w:t>6.评标委员会的职责</w:t>
      </w:r>
    </w:p>
    <w:p w14:paraId="1D63B1BB">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74DB1A67">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7194F06A">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14:paraId="776A8100">
      <w:pPr>
        <w:spacing w:line="440" w:lineRule="exact"/>
        <w:ind w:firstLine="315" w:firstLineChars="150"/>
        <w:jc w:val="left"/>
        <w:rPr>
          <w:rFonts w:ascii="宋体" w:hAnsi="宋体" w:eastAsia="宋体" w:cs="宋体"/>
          <w:color w:val="000000"/>
          <w:highlight w:val="none"/>
        </w:rPr>
      </w:pPr>
      <w:bookmarkStart w:id="64" w:name="_Toc95223402"/>
      <w:r>
        <w:rPr>
          <w:rFonts w:hint="eastAsia" w:ascii="宋体" w:hAnsi="宋体"/>
          <w:color w:val="000000"/>
          <w:szCs w:val="21"/>
          <w:highlight w:val="none"/>
        </w:rPr>
        <w:t>评标先做准备工作，再进行资格、技术标评审，然后进行商务标评审。</w:t>
      </w:r>
      <w:bookmarkEnd w:id="64"/>
    </w:p>
    <w:p w14:paraId="6F0BCB8E">
      <w:pPr>
        <w:spacing w:line="440" w:lineRule="exact"/>
        <w:ind w:firstLine="315" w:firstLineChars="150"/>
        <w:jc w:val="left"/>
        <w:rPr>
          <w:rFonts w:ascii="宋体" w:hAnsi="宋体" w:cs="宋体"/>
          <w:color w:val="000000"/>
          <w:highlight w:val="none"/>
        </w:rPr>
      </w:pPr>
      <w:bookmarkStart w:id="65" w:name="_Toc60061500"/>
      <w:bookmarkStart w:id="66" w:name="_Toc15058917"/>
      <w:r>
        <w:rPr>
          <w:rFonts w:hint="eastAsia" w:ascii="宋体" w:hAnsi="宋体" w:cs="宋体"/>
          <w:color w:val="000000"/>
          <w:highlight w:val="none"/>
        </w:rPr>
        <w:t>7.1评标准备工作</w:t>
      </w:r>
    </w:p>
    <w:p w14:paraId="6061781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14:paraId="79BC48F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7" w:name="_Toc15058916"/>
      <w:bookmarkStart w:id="68" w:name="_Toc60061499"/>
      <w:r>
        <w:rPr>
          <w:rFonts w:hint="eastAsia" w:ascii="宋体" w:hAnsi="宋体" w:cs="宋体"/>
          <w:color w:val="000000"/>
          <w:highlight w:val="none"/>
        </w:rPr>
        <w:t>托的代理机构编</w:t>
      </w:r>
      <w:bookmarkEnd w:id="67"/>
      <w:bookmarkEnd w:id="68"/>
      <w:r>
        <w:rPr>
          <w:rFonts w:hint="eastAsia" w:ascii="宋体" w:hAnsi="宋体" w:cs="宋体"/>
          <w:color w:val="000000"/>
          <w:highlight w:val="none"/>
        </w:rPr>
        <w:t>制的招标项目情况材料。</w:t>
      </w:r>
    </w:p>
    <w:p w14:paraId="0F34367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4C7245D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14:paraId="13D38CE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65"/>
    <w:bookmarkEnd w:id="66"/>
    <w:p w14:paraId="08CA5B9F">
      <w:pPr>
        <w:spacing w:line="440" w:lineRule="exact"/>
        <w:ind w:firstLine="315" w:firstLineChars="150"/>
        <w:jc w:val="left"/>
        <w:rPr>
          <w:rFonts w:ascii="宋体" w:hAnsi="宋体" w:cs="宋体"/>
          <w:color w:val="000000"/>
          <w:highlight w:val="none"/>
        </w:rPr>
      </w:pPr>
      <w:bookmarkStart w:id="69" w:name="_Toc95223405"/>
      <w:r>
        <w:rPr>
          <w:rFonts w:hint="eastAsia" w:ascii="宋体" w:hAnsi="宋体" w:cs="宋体"/>
          <w:color w:val="000000"/>
          <w:highlight w:val="none"/>
        </w:rPr>
        <w:t>7.2推荐中标候选人</w:t>
      </w:r>
    </w:p>
    <w:p w14:paraId="5B827D6D">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14:paraId="1191752D">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69"/>
    </w:p>
    <w:bookmarkEnd w:id="59"/>
    <w:bookmarkEnd w:id="60"/>
    <w:bookmarkEnd w:id="61"/>
    <w:bookmarkEnd w:id="62"/>
    <w:p w14:paraId="0D6C1FE9">
      <w:pPr>
        <w:spacing w:line="440" w:lineRule="exact"/>
        <w:ind w:firstLine="315" w:firstLineChars="150"/>
        <w:jc w:val="left"/>
        <w:rPr>
          <w:rFonts w:ascii="宋体" w:hAnsi="宋体" w:cs="宋体"/>
          <w:color w:val="000000"/>
          <w:highlight w:val="none"/>
        </w:rPr>
      </w:pPr>
      <w:bookmarkStart w:id="70" w:name="_Hlk61815781"/>
      <w:r>
        <w:rPr>
          <w:rFonts w:hint="eastAsia" w:ascii="宋体" w:hAnsi="宋体" w:cs="宋体"/>
          <w:color w:val="000000"/>
          <w:highlight w:val="none"/>
        </w:rPr>
        <w:t>8.1详细评审标准：见资信标、技术标和商务标评审表。</w:t>
      </w:r>
    </w:p>
    <w:p w14:paraId="2948E82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14:paraId="1CF46DC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14:paraId="00B2158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14:paraId="2C04EB0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6218F0B">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14:paraId="4BF094C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14:paraId="54F99AD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 未在投标截止时间前通过电子邮箱递交有效电子投标文件的，投标将被拒绝。</w:t>
      </w:r>
    </w:p>
    <w:p w14:paraId="70BA94C7">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9.2其他无效投标情况：</w:t>
      </w:r>
    </w:p>
    <w:p w14:paraId="060EB5F1">
      <w:pPr>
        <w:spacing w:line="440" w:lineRule="exact"/>
        <w:ind w:firstLine="315" w:firstLineChars="150"/>
        <w:jc w:val="left"/>
        <w:rPr>
          <w:rFonts w:hint="eastAsia"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F07729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14:paraId="0050E674">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14:paraId="0F81114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14:paraId="5F7A5C1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14:paraId="3D9D01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14:paraId="11F08B8B">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14:paraId="51DF7762">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14:paraId="7A201FB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14:paraId="353359A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3"/>
    <w:bookmarkEnd w:id="70"/>
    <w:p w14:paraId="79B18868">
      <w:pPr>
        <w:adjustRightInd w:val="0"/>
        <w:snapToGrid w:val="0"/>
        <w:spacing w:line="420" w:lineRule="exact"/>
        <w:ind w:firstLine="316" w:firstLineChars="150"/>
        <w:rPr>
          <w:rFonts w:ascii="宋体" w:hAnsi="宋体" w:cs="宋体"/>
          <w:b/>
          <w:bCs/>
          <w:color w:val="000000"/>
          <w:szCs w:val="21"/>
          <w:highlight w:val="none"/>
        </w:rPr>
      </w:pPr>
      <w:bookmarkStart w:id="71" w:name="_Toc95223439"/>
      <w:r>
        <w:rPr>
          <w:rFonts w:hint="eastAsia" w:ascii="宋体" w:hAnsi="宋体" w:cs="宋体"/>
          <w:b/>
          <w:bCs/>
          <w:color w:val="000000"/>
          <w:szCs w:val="21"/>
          <w:highlight w:val="none"/>
        </w:rPr>
        <w:t>10.投标文件的澄清和补正</w:t>
      </w:r>
      <w:bookmarkEnd w:id="71"/>
    </w:p>
    <w:p w14:paraId="054071DE">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5AF135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14:paraId="55656E9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14:paraId="745E322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14:paraId="17F44C8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14:paraId="3CC7CFAA">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02CB25F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14:paraId="406AE83C">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14:paraId="1823828B">
      <w:pPr>
        <w:adjustRightInd w:val="0"/>
        <w:snapToGrid w:val="0"/>
        <w:spacing w:line="420" w:lineRule="exact"/>
        <w:ind w:firstLine="316" w:firstLineChars="150"/>
        <w:rPr>
          <w:rFonts w:ascii="宋体" w:hAnsi="宋体" w:cs="宋体"/>
          <w:b/>
          <w:bCs/>
          <w:color w:val="000000"/>
          <w:szCs w:val="21"/>
          <w:highlight w:val="none"/>
        </w:rPr>
      </w:pPr>
      <w:bookmarkStart w:id="72" w:name="_Toc95223441"/>
      <w:r>
        <w:rPr>
          <w:rFonts w:hint="eastAsia" w:ascii="宋体" w:hAnsi="宋体" w:cs="宋体"/>
          <w:b/>
          <w:bCs/>
          <w:color w:val="000000"/>
          <w:szCs w:val="21"/>
          <w:highlight w:val="none"/>
        </w:rPr>
        <w:t>11.评审结果</w:t>
      </w:r>
      <w:bookmarkEnd w:id="72"/>
    </w:p>
    <w:p w14:paraId="503F4127">
      <w:pPr>
        <w:spacing w:line="440" w:lineRule="exact"/>
        <w:ind w:firstLine="315" w:firstLineChars="150"/>
        <w:jc w:val="left"/>
        <w:rPr>
          <w:rFonts w:ascii="宋体" w:hAnsi="宋体" w:cs="宋体"/>
          <w:color w:val="000000"/>
          <w:highlight w:val="none"/>
        </w:rPr>
      </w:pPr>
      <w:bookmarkStart w:id="73" w:name="_Toc95223442"/>
      <w:r>
        <w:rPr>
          <w:rFonts w:hint="eastAsia" w:ascii="宋体" w:hAnsi="宋体" w:cs="宋体"/>
          <w:color w:val="000000"/>
          <w:highlight w:val="none"/>
        </w:rPr>
        <w:t>11.1评标委员会按照总得分由高到低顺序推荐中标候选人。</w:t>
      </w:r>
    </w:p>
    <w:p w14:paraId="6747171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14:paraId="70AA115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14:paraId="3A3E1E1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14:paraId="5D60171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14:paraId="43DA2E4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14:paraId="4223EC39">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14:paraId="7D83B365">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14:paraId="5E8F58D8">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14:paraId="6947FFD1">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14:paraId="1907546F">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14:paraId="71E8E0B3">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14:paraId="075A5016">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3891CFE7">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3"/>
    <w:p w14:paraId="57A2C8EF">
      <w:pPr>
        <w:snapToGrid w:val="0"/>
        <w:spacing w:line="440" w:lineRule="exact"/>
        <w:ind w:firstLine="422" w:firstLineChars="200"/>
        <w:rPr>
          <w:rFonts w:ascii="宋体"/>
          <w:b/>
          <w:bCs/>
          <w:szCs w:val="21"/>
          <w:highlight w:val="none"/>
        </w:rPr>
      </w:pPr>
      <w:r>
        <w:rPr>
          <w:rFonts w:hint="eastAsia" w:ascii="宋体"/>
          <w:b/>
          <w:bCs/>
          <w:szCs w:val="21"/>
          <w:highlight w:val="none"/>
        </w:rPr>
        <w:t>12.其他</w:t>
      </w:r>
    </w:p>
    <w:p w14:paraId="433AAC2C">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14:paraId="4DA385B7">
      <w:pPr>
        <w:keepNext w:val="0"/>
        <w:keepLines w:val="0"/>
        <w:pageBreakBefore w:val="0"/>
        <w:widowControl w:val="0"/>
        <w:tabs>
          <w:tab w:val="left" w:pos="8820"/>
        </w:tabs>
        <w:kinsoku/>
        <w:wordWrap/>
        <w:overflowPunct/>
        <w:topLinePunct w:val="0"/>
        <w:autoSpaceDE/>
        <w:autoSpaceDN/>
        <w:bidi w:val="0"/>
        <w:adjustRightInd/>
        <w:snapToGrid w:val="0"/>
        <w:spacing w:line="500" w:lineRule="exact"/>
        <w:jc w:val="center"/>
        <w:textAlignment w:val="auto"/>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4D25FB7B">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1、工程概况</w:t>
      </w:r>
    </w:p>
    <w:p w14:paraId="601CD9BE">
      <w:pPr>
        <w:ind w:firstLine="420"/>
        <w:jc w:val="both"/>
        <w:rPr>
          <w:highlight w:val="none"/>
        </w:rPr>
      </w:pPr>
      <w:r>
        <w:rPr>
          <w:rFonts w:hint="eastAsia"/>
          <w:highlight w:val="none"/>
        </w:rPr>
        <w:t>滁宁城际铁路（滁州段）</w:t>
      </w:r>
      <w:r>
        <w:rPr>
          <w:rFonts w:hint="eastAsia"/>
          <w:highlight w:val="none"/>
          <w:lang w:val="en-US" w:eastAsia="zh-CN"/>
        </w:rPr>
        <w:t>二期工程</w:t>
      </w:r>
      <w:r>
        <w:rPr>
          <w:rFonts w:hint="eastAsia"/>
          <w:highlight w:val="none"/>
        </w:rPr>
        <w:t>拟在腰铺~花博园小半径曲线位置加装</w:t>
      </w:r>
      <w:r>
        <w:rPr>
          <w:rFonts w:hint="eastAsia"/>
          <w:highlight w:val="none"/>
          <w:lang w:eastAsia="zh-CN"/>
        </w:rPr>
        <w:t>轨道润滑装置</w:t>
      </w:r>
      <w:r>
        <w:rPr>
          <w:rFonts w:hint="eastAsia"/>
          <w:highlight w:val="none"/>
        </w:rPr>
        <w:t>，另外加装的涂油器由花博园站配电箱预留回路馈出两回~220V电源分别至上下行侧新增涂油器处。</w:t>
      </w:r>
    </w:p>
    <w:p w14:paraId="27DDDA62">
      <w:pPr>
        <w:numPr>
          <w:ilvl w:val="0"/>
          <w:numId w:val="3"/>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曲线信息表</w:t>
      </w:r>
    </w:p>
    <w:tbl>
      <w:tblPr>
        <w:tblStyle w:val="26"/>
        <w:tblW w:w="5000" w:type="pct"/>
        <w:jc w:val="center"/>
        <w:tblLayout w:type="autofit"/>
        <w:tblCellMar>
          <w:top w:w="0" w:type="dxa"/>
          <w:left w:w="108" w:type="dxa"/>
          <w:bottom w:w="0" w:type="dxa"/>
          <w:right w:w="108" w:type="dxa"/>
        </w:tblCellMar>
      </w:tblPr>
      <w:tblGrid>
        <w:gridCol w:w="752"/>
        <w:gridCol w:w="1028"/>
        <w:gridCol w:w="1670"/>
        <w:gridCol w:w="1670"/>
        <w:gridCol w:w="2050"/>
        <w:gridCol w:w="1352"/>
      </w:tblGrid>
      <w:tr w14:paraId="07F0AE65">
        <w:tblPrEx>
          <w:tblCellMar>
            <w:top w:w="0" w:type="dxa"/>
            <w:left w:w="108" w:type="dxa"/>
            <w:bottom w:w="0" w:type="dxa"/>
            <w:right w:w="108" w:type="dxa"/>
          </w:tblCellMar>
        </w:tblPrEx>
        <w:trPr>
          <w:trHeight w:val="885" w:hRule="atLeast"/>
          <w:jc w:val="center"/>
        </w:trPr>
        <w:tc>
          <w:tcPr>
            <w:tcW w:w="441" w:type="pct"/>
            <w:tcBorders>
              <w:top w:val="single" w:color="000000" w:sz="4" w:space="0"/>
              <w:left w:val="single" w:color="000000" w:sz="4" w:space="0"/>
              <w:bottom w:val="nil"/>
              <w:right w:val="single" w:color="000000" w:sz="4" w:space="0"/>
            </w:tcBorders>
            <w:shd w:val="clear" w:color="auto" w:fill="FFFFFF"/>
            <w:noWrap w:val="0"/>
            <w:vAlign w:val="center"/>
          </w:tcPr>
          <w:p w14:paraId="4DC45D9D">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default"/>
                <w:highlight w:val="none"/>
              </w:rPr>
              <w:t>序号</w:t>
            </w:r>
          </w:p>
        </w:tc>
        <w:tc>
          <w:tcPr>
            <w:tcW w:w="603" w:type="pct"/>
            <w:tcBorders>
              <w:top w:val="single" w:color="000000" w:sz="4" w:space="0"/>
              <w:left w:val="nil"/>
              <w:bottom w:val="nil"/>
              <w:right w:val="single" w:color="000000" w:sz="4" w:space="0"/>
            </w:tcBorders>
            <w:shd w:val="clear" w:color="auto" w:fill="FFFFFF"/>
            <w:noWrap w:val="0"/>
            <w:vAlign w:val="center"/>
          </w:tcPr>
          <w:p w14:paraId="3AD3ECEB">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default"/>
                <w:highlight w:val="none"/>
              </w:rPr>
              <w:t>行别</w:t>
            </w:r>
          </w:p>
        </w:tc>
        <w:tc>
          <w:tcPr>
            <w:tcW w:w="979" w:type="pct"/>
            <w:tcBorders>
              <w:top w:val="single" w:color="000000" w:sz="4" w:space="0"/>
              <w:left w:val="nil"/>
              <w:bottom w:val="nil"/>
              <w:right w:val="single" w:color="000000" w:sz="4" w:space="0"/>
            </w:tcBorders>
            <w:shd w:val="clear" w:color="auto" w:fill="FFFFFF"/>
            <w:noWrap/>
            <w:vAlign w:val="center"/>
          </w:tcPr>
          <w:p w14:paraId="3C46AA10">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default"/>
                <w:highlight w:val="none"/>
              </w:rPr>
              <w:t>起点</w:t>
            </w:r>
          </w:p>
        </w:tc>
        <w:tc>
          <w:tcPr>
            <w:tcW w:w="979" w:type="pct"/>
            <w:tcBorders>
              <w:top w:val="single" w:color="000000" w:sz="4" w:space="0"/>
              <w:left w:val="nil"/>
              <w:bottom w:val="nil"/>
              <w:right w:val="single" w:color="000000" w:sz="4" w:space="0"/>
            </w:tcBorders>
            <w:shd w:val="clear" w:color="auto" w:fill="FFFFFF"/>
            <w:noWrap/>
            <w:vAlign w:val="center"/>
          </w:tcPr>
          <w:p w14:paraId="3883F285">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default"/>
                <w:highlight w:val="none"/>
              </w:rPr>
              <w:t>终点</w:t>
            </w:r>
          </w:p>
        </w:tc>
        <w:tc>
          <w:tcPr>
            <w:tcW w:w="1202" w:type="pct"/>
            <w:tcBorders>
              <w:top w:val="single" w:color="000000" w:sz="4" w:space="0"/>
              <w:left w:val="nil"/>
              <w:bottom w:val="nil"/>
              <w:right w:val="nil"/>
            </w:tcBorders>
            <w:shd w:val="clear" w:color="auto" w:fill="FFFFFF"/>
            <w:noWrap/>
            <w:vAlign w:val="center"/>
          </w:tcPr>
          <w:p w14:paraId="38EF5D87">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default"/>
                <w:highlight w:val="none"/>
              </w:rPr>
              <w:t>所属区间</w:t>
            </w:r>
          </w:p>
        </w:tc>
        <w:tc>
          <w:tcPr>
            <w:tcW w:w="793" w:type="pct"/>
            <w:tcBorders>
              <w:top w:val="single" w:color="000000" w:sz="4" w:space="0"/>
              <w:left w:val="single" w:color="000000" w:sz="4" w:space="0"/>
              <w:bottom w:val="nil"/>
              <w:right w:val="single" w:color="000000" w:sz="4" w:space="0"/>
            </w:tcBorders>
            <w:shd w:val="clear" w:color="auto" w:fill="FFFFFF"/>
            <w:noWrap w:val="0"/>
            <w:vAlign w:val="center"/>
          </w:tcPr>
          <w:p w14:paraId="0D7DE95B">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default"/>
                <w:highlight w:val="none"/>
              </w:rPr>
              <w:t>曲线半径Ｒ</w:t>
            </w:r>
            <w:r>
              <w:rPr>
                <w:rFonts w:hint="eastAsia"/>
                <w:highlight w:val="none"/>
              </w:rPr>
              <w:br w:type="textWrapping"/>
            </w:r>
            <w:r>
              <w:rPr>
                <w:rFonts w:hint="default"/>
                <w:highlight w:val="none"/>
              </w:rPr>
              <w:t>（m）</w:t>
            </w:r>
          </w:p>
        </w:tc>
      </w:tr>
      <w:tr w14:paraId="15194019">
        <w:tblPrEx>
          <w:tblCellMar>
            <w:top w:w="0" w:type="dxa"/>
            <w:left w:w="108" w:type="dxa"/>
            <w:bottom w:w="0" w:type="dxa"/>
            <w:right w:w="108" w:type="dxa"/>
          </w:tblCellMar>
        </w:tblPrEx>
        <w:trPr>
          <w:trHeight w:val="681" w:hRule="atLeast"/>
          <w:jc w:val="center"/>
        </w:trPr>
        <w:tc>
          <w:tcPr>
            <w:tcW w:w="4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03E76">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1</w:t>
            </w:r>
          </w:p>
        </w:tc>
        <w:tc>
          <w:tcPr>
            <w:tcW w:w="603" w:type="pct"/>
            <w:tcBorders>
              <w:top w:val="single" w:color="000000" w:sz="4" w:space="0"/>
              <w:left w:val="nil"/>
              <w:bottom w:val="nil"/>
              <w:right w:val="nil"/>
            </w:tcBorders>
            <w:shd w:val="clear" w:color="auto" w:fill="FFFFFF"/>
            <w:noWrap w:val="0"/>
            <w:vAlign w:val="center"/>
          </w:tcPr>
          <w:p w14:paraId="05233605">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上行</w:t>
            </w:r>
          </w:p>
        </w:tc>
        <w:tc>
          <w:tcPr>
            <w:tcW w:w="97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EE1F6">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K4+934.166</w:t>
            </w:r>
          </w:p>
        </w:tc>
        <w:tc>
          <w:tcPr>
            <w:tcW w:w="979" w:type="pct"/>
            <w:tcBorders>
              <w:top w:val="single" w:color="000000" w:sz="4" w:space="0"/>
              <w:left w:val="nil"/>
              <w:bottom w:val="single" w:color="000000" w:sz="4" w:space="0"/>
              <w:right w:val="single" w:color="000000" w:sz="4" w:space="0"/>
            </w:tcBorders>
            <w:shd w:val="clear" w:color="auto" w:fill="FFFFFF"/>
            <w:noWrap/>
            <w:vAlign w:val="center"/>
          </w:tcPr>
          <w:p w14:paraId="2AB58374">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K5+426.430</w:t>
            </w:r>
          </w:p>
        </w:tc>
        <w:tc>
          <w:tcPr>
            <w:tcW w:w="1202" w:type="pct"/>
            <w:tcBorders>
              <w:top w:val="single" w:color="000000" w:sz="4" w:space="0"/>
              <w:left w:val="nil"/>
              <w:bottom w:val="single" w:color="000000" w:sz="4" w:space="0"/>
              <w:right w:val="single" w:color="000000" w:sz="4" w:space="0"/>
            </w:tcBorders>
            <w:shd w:val="clear" w:color="auto" w:fill="FFFFFF"/>
            <w:noWrap/>
            <w:vAlign w:val="center"/>
          </w:tcPr>
          <w:p w14:paraId="222FD58D">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腰铺站－花博园站</w:t>
            </w:r>
          </w:p>
        </w:tc>
        <w:tc>
          <w:tcPr>
            <w:tcW w:w="793" w:type="pct"/>
            <w:tcBorders>
              <w:top w:val="single" w:color="000000" w:sz="4" w:space="0"/>
              <w:left w:val="nil"/>
              <w:bottom w:val="single" w:color="000000" w:sz="4" w:space="0"/>
              <w:right w:val="single" w:color="000000" w:sz="4" w:space="0"/>
            </w:tcBorders>
            <w:shd w:val="clear" w:color="auto" w:fill="FFFFFF"/>
            <w:noWrap/>
            <w:vAlign w:val="center"/>
          </w:tcPr>
          <w:p w14:paraId="53625BAA">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404.2</w:t>
            </w:r>
          </w:p>
        </w:tc>
      </w:tr>
      <w:tr w14:paraId="79D2D059">
        <w:tblPrEx>
          <w:tblCellMar>
            <w:top w:w="0" w:type="dxa"/>
            <w:left w:w="108" w:type="dxa"/>
            <w:bottom w:w="0" w:type="dxa"/>
            <w:right w:w="108" w:type="dxa"/>
          </w:tblCellMar>
        </w:tblPrEx>
        <w:trPr>
          <w:trHeight w:val="704" w:hRule="atLeast"/>
          <w:jc w:val="center"/>
        </w:trPr>
        <w:tc>
          <w:tcPr>
            <w:tcW w:w="4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6F556">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default"/>
                <w:highlight w:val="none"/>
              </w:rPr>
              <w:t>2</w:t>
            </w:r>
          </w:p>
        </w:tc>
        <w:tc>
          <w:tcPr>
            <w:tcW w:w="603" w:type="pct"/>
            <w:tcBorders>
              <w:top w:val="single" w:color="000000" w:sz="4" w:space="0"/>
              <w:left w:val="nil"/>
              <w:bottom w:val="single" w:color="000000" w:sz="4" w:space="0"/>
              <w:right w:val="single" w:color="000000" w:sz="4" w:space="0"/>
            </w:tcBorders>
            <w:shd w:val="clear" w:color="auto" w:fill="FFFFFF"/>
            <w:noWrap w:val="0"/>
            <w:vAlign w:val="center"/>
          </w:tcPr>
          <w:p w14:paraId="6DCC3881">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下行</w:t>
            </w:r>
          </w:p>
        </w:tc>
        <w:tc>
          <w:tcPr>
            <w:tcW w:w="979" w:type="pct"/>
            <w:tcBorders>
              <w:top w:val="single" w:color="000000" w:sz="4" w:space="0"/>
              <w:left w:val="nil"/>
              <w:bottom w:val="single" w:color="000000" w:sz="4" w:space="0"/>
              <w:right w:val="single" w:color="000000" w:sz="4" w:space="0"/>
            </w:tcBorders>
            <w:shd w:val="clear" w:color="auto" w:fill="FFFFFF"/>
            <w:noWrap/>
            <w:vAlign w:val="center"/>
          </w:tcPr>
          <w:p w14:paraId="66B7B02C">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K4+934.161</w:t>
            </w:r>
          </w:p>
        </w:tc>
        <w:tc>
          <w:tcPr>
            <w:tcW w:w="979" w:type="pct"/>
            <w:tcBorders>
              <w:top w:val="single" w:color="000000" w:sz="4" w:space="0"/>
              <w:left w:val="nil"/>
              <w:bottom w:val="single" w:color="000000" w:sz="4" w:space="0"/>
              <w:right w:val="single" w:color="000000" w:sz="4" w:space="0"/>
            </w:tcBorders>
            <w:shd w:val="clear" w:color="auto" w:fill="FFFFFF"/>
            <w:noWrap/>
            <w:vAlign w:val="center"/>
          </w:tcPr>
          <w:p w14:paraId="37057019">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K5+426.436</w:t>
            </w:r>
          </w:p>
        </w:tc>
        <w:tc>
          <w:tcPr>
            <w:tcW w:w="1202" w:type="pct"/>
            <w:tcBorders>
              <w:top w:val="single" w:color="000000" w:sz="4" w:space="0"/>
              <w:left w:val="nil"/>
              <w:bottom w:val="single" w:color="000000" w:sz="4" w:space="0"/>
              <w:right w:val="single" w:color="000000" w:sz="4" w:space="0"/>
            </w:tcBorders>
            <w:shd w:val="clear" w:color="auto" w:fill="FFFFFF"/>
            <w:noWrap/>
            <w:vAlign w:val="center"/>
          </w:tcPr>
          <w:p w14:paraId="466F908C">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腰铺站－花博园站</w:t>
            </w:r>
          </w:p>
        </w:tc>
        <w:tc>
          <w:tcPr>
            <w:tcW w:w="793" w:type="pct"/>
            <w:tcBorders>
              <w:top w:val="single" w:color="000000" w:sz="4" w:space="0"/>
              <w:left w:val="nil"/>
              <w:bottom w:val="single" w:color="000000" w:sz="4" w:space="0"/>
              <w:right w:val="single" w:color="000000" w:sz="4" w:space="0"/>
            </w:tcBorders>
            <w:shd w:val="clear" w:color="auto" w:fill="FFFFFF"/>
            <w:noWrap/>
            <w:vAlign w:val="center"/>
          </w:tcPr>
          <w:p w14:paraId="3546D5D7">
            <w:pPr>
              <w:pStyle w:val="21"/>
              <w:keepNext w:val="0"/>
              <w:keepLines w:val="0"/>
              <w:suppressLineNumbers w:val="0"/>
              <w:spacing w:before="31" w:beforeAutospacing="0" w:after="31" w:afterAutospacing="0"/>
              <w:ind w:left="0" w:right="0" w:firstLine="0" w:firstLineChars="0"/>
              <w:jc w:val="center"/>
              <w:rPr>
                <w:rFonts w:hint="default"/>
                <w:highlight w:val="none"/>
              </w:rPr>
            </w:pPr>
            <w:r>
              <w:rPr>
                <w:rFonts w:hint="eastAsia"/>
                <w:highlight w:val="none"/>
              </w:rPr>
              <w:t>400</w:t>
            </w:r>
          </w:p>
        </w:tc>
      </w:tr>
    </w:tbl>
    <w:p w14:paraId="47FBDAAB">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3、项目人员要求：</w:t>
      </w:r>
    </w:p>
    <w:p w14:paraId="67B7CE0E">
      <w:pPr>
        <w:ind w:firstLine="420"/>
        <w:jc w:val="both"/>
        <w:rPr>
          <w:rFonts w:hint="eastAsia"/>
          <w:highlight w:val="none"/>
          <w:lang w:val="en-US" w:eastAsia="zh-CN"/>
        </w:rPr>
      </w:pPr>
      <w:r>
        <w:rPr>
          <w:rFonts w:hint="eastAsia"/>
          <w:highlight w:val="none"/>
          <w:lang w:val="en-US" w:eastAsia="zh-CN"/>
        </w:rPr>
        <w:t xml:space="preserve">为优质高效地完成本项目，按招标人要求完成本项目范围内的工程，中标人应选派精干人员组成项目组，对项目进行全面管理，并全程参与项目的核算、实施、验收。 </w:t>
      </w:r>
    </w:p>
    <w:p w14:paraId="341EB1A9">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4、新增涂油器技术需求</w:t>
      </w:r>
    </w:p>
    <w:p w14:paraId="648EDC57">
      <w:pPr>
        <w:ind w:firstLine="420"/>
        <w:jc w:val="both"/>
        <w:rPr>
          <w:rFonts w:hint="eastAsia"/>
          <w:highlight w:val="none"/>
          <w:lang w:val="en-US" w:eastAsia="zh-CN"/>
        </w:rPr>
      </w:pPr>
      <w:r>
        <w:rPr>
          <w:rFonts w:hint="eastAsia"/>
          <w:highlight w:val="none"/>
          <w:lang w:val="en-US" w:eastAsia="zh-CN"/>
        </w:rPr>
        <w:t>4.1工程数量</w:t>
      </w:r>
    </w:p>
    <w:p w14:paraId="47425C48">
      <w:pPr>
        <w:ind w:firstLine="420"/>
        <w:jc w:val="both"/>
        <w:rPr>
          <w:rFonts w:hint="eastAsia"/>
          <w:highlight w:val="none"/>
          <w:lang w:val="en-US" w:eastAsia="zh-CN"/>
        </w:rPr>
      </w:pPr>
      <w:r>
        <w:rPr>
          <w:rFonts w:hint="eastAsia"/>
          <w:highlight w:val="none"/>
          <w:lang w:val="en-US" w:eastAsia="zh-CN"/>
        </w:rPr>
        <w:t>1、腰铺~花博园上行直缓点DK04+934位置附近加装1台涂油器；</w:t>
      </w:r>
    </w:p>
    <w:p w14:paraId="68988586">
      <w:pPr>
        <w:ind w:firstLine="420"/>
        <w:jc w:val="both"/>
        <w:rPr>
          <w:rFonts w:hint="eastAsia"/>
          <w:highlight w:val="none"/>
          <w:lang w:val="en-US" w:eastAsia="zh-CN"/>
        </w:rPr>
      </w:pPr>
      <w:r>
        <w:rPr>
          <w:rFonts w:hint="eastAsia"/>
          <w:highlight w:val="none"/>
          <w:lang w:val="en-US" w:eastAsia="zh-CN"/>
        </w:rPr>
        <w:t>2、腰铺~花博园下行直缓点DK05+426位置附近加装1台涂油器；</w:t>
      </w:r>
    </w:p>
    <w:p w14:paraId="49825B24">
      <w:pPr>
        <w:ind w:firstLine="420"/>
        <w:jc w:val="both"/>
        <w:rPr>
          <w:rFonts w:hint="eastAsia"/>
          <w:highlight w:val="none"/>
          <w:lang w:val="en-US" w:eastAsia="zh-CN"/>
        </w:rPr>
      </w:pPr>
      <w:r>
        <w:rPr>
          <w:rFonts w:hint="eastAsia"/>
          <w:highlight w:val="none"/>
          <w:lang w:val="en-US" w:eastAsia="zh-CN"/>
        </w:rPr>
        <w:t>以上位置共计需加装2台轨道润滑装置。</w:t>
      </w:r>
    </w:p>
    <w:p w14:paraId="186B062E">
      <w:pPr>
        <w:ind w:firstLine="420"/>
        <w:jc w:val="both"/>
        <w:rPr>
          <w:rFonts w:hint="eastAsia"/>
          <w:highlight w:val="none"/>
          <w:lang w:val="en-US" w:eastAsia="zh-CN"/>
        </w:rPr>
      </w:pPr>
      <w:r>
        <w:rPr>
          <w:rFonts w:hint="eastAsia"/>
          <w:highlight w:val="none"/>
          <w:lang w:val="en-US" w:eastAsia="zh-CN"/>
        </w:rPr>
        <w:t>4.2技术要求</w:t>
      </w:r>
    </w:p>
    <w:p w14:paraId="51AE47A9">
      <w:pPr>
        <w:ind w:firstLine="420"/>
        <w:jc w:val="both"/>
        <w:rPr>
          <w:rFonts w:hint="eastAsia"/>
          <w:highlight w:val="none"/>
          <w:lang w:val="en-US" w:eastAsia="zh-CN"/>
        </w:rPr>
      </w:pPr>
      <w:r>
        <w:rPr>
          <w:rFonts w:hint="eastAsia"/>
          <w:highlight w:val="none"/>
          <w:lang w:val="en-US" w:eastAsia="zh-CN"/>
        </w:rPr>
        <w:t xml:space="preserve">4.2.1适用范围 </w:t>
      </w:r>
    </w:p>
    <w:p w14:paraId="0C46D19D">
      <w:pPr>
        <w:ind w:firstLine="420"/>
        <w:jc w:val="both"/>
        <w:rPr>
          <w:rFonts w:hint="eastAsia"/>
          <w:highlight w:val="none"/>
          <w:lang w:val="en-US" w:eastAsia="zh-CN"/>
        </w:rPr>
      </w:pPr>
      <w:r>
        <w:rPr>
          <w:rFonts w:hint="eastAsia"/>
          <w:highlight w:val="none"/>
          <w:lang w:val="en-US" w:eastAsia="zh-CN"/>
        </w:rPr>
        <w:t>本节规定了加装轨道润滑装置的总体要求、安装要求、主要技术参数及性能、质量要求等。</w:t>
      </w:r>
    </w:p>
    <w:p w14:paraId="2CD1EDDA">
      <w:pPr>
        <w:ind w:firstLine="420"/>
        <w:jc w:val="both"/>
        <w:rPr>
          <w:rFonts w:hint="eastAsia"/>
          <w:highlight w:val="none"/>
          <w:lang w:val="en-US" w:eastAsia="zh-CN"/>
        </w:rPr>
      </w:pPr>
      <w:r>
        <w:rPr>
          <w:rFonts w:hint="eastAsia"/>
          <w:highlight w:val="none"/>
          <w:lang w:val="en-US" w:eastAsia="zh-CN"/>
        </w:rPr>
        <w:t>轨道润滑装置设备技术参数应能保证可靠地运行于本工程的环境条件中。涂油器向曲线钢轨轨头内侧面自动涂油，有效降低列车通过曲线的啸叫噪声，减缓钢轨侧磨或车轮轮缘的过早磨耗到限，延长换轨周期或减少车轮的落轮镟削。</w:t>
      </w:r>
    </w:p>
    <w:p w14:paraId="2392457F">
      <w:pPr>
        <w:ind w:firstLine="420"/>
        <w:jc w:val="both"/>
        <w:rPr>
          <w:rFonts w:hint="eastAsia"/>
          <w:highlight w:val="none"/>
          <w:lang w:val="en-US" w:eastAsia="zh-CN"/>
        </w:rPr>
      </w:pPr>
      <w:r>
        <w:rPr>
          <w:rFonts w:hint="eastAsia"/>
          <w:highlight w:val="none"/>
          <w:lang w:val="en-US" w:eastAsia="zh-CN"/>
        </w:rPr>
        <w:t xml:space="preserve">4.2.2引用的规范 </w:t>
      </w:r>
    </w:p>
    <w:p w14:paraId="5D430B57">
      <w:pPr>
        <w:ind w:firstLine="420"/>
        <w:rPr>
          <w:highlight w:val="none"/>
        </w:rPr>
      </w:pPr>
      <w:r>
        <w:rPr>
          <w:rFonts w:hint="eastAsia"/>
          <w:highlight w:val="none"/>
        </w:rPr>
        <w:t>考虑到</w:t>
      </w:r>
      <w:r>
        <w:rPr>
          <w:rFonts w:hint="eastAsia"/>
          <w:highlight w:val="none"/>
          <w:lang w:eastAsia="zh-CN"/>
        </w:rPr>
        <w:t>轨道润滑装置</w:t>
      </w:r>
      <w:r>
        <w:rPr>
          <w:rFonts w:hint="eastAsia"/>
          <w:highlight w:val="none"/>
        </w:rPr>
        <w:t>的使用现状和环境，设备设计生产过程中参考并符合如下标准：</w:t>
      </w:r>
    </w:p>
    <w:p w14:paraId="7A20C720">
      <w:pPr>
        <w:ind w:firstLine="420"/>
        <w:rPr>
          <w:highlight w:val="none"/>
        </w:rPr>
      </w:pPr>
      <w:r>
        <w:rPr>
          <w:rFonts w:hint="eastAsia"/>
          <w:highlight w:val="none"/>
        </w:rPr>
        <w:t>EN 16028  轮轨摩擦管理</w:t>
      </w:r>
      <w:r>
        <w:rPr>
          <w:highlight w:val="none"/>
        </w:rPr>
        <w:t>.</w:t>
      </w:r>
      <w:r>
        <w:rPr>
          <w:rFonts w:hint="eastAsia"/>
          <w:highlight w:val="none"/>
        </w:rPr>
        <w:t>列车和轨道旁应用设施用润滑油.</w:t>
      </w:r>
    </w:p>
    <w:p w14:paraId="58D6392C">
      <w:pPr>
        <w:ind w:firstLine="420"/>
        <w:rPr>
          <w:highlight w:val="none"/>
        </w:rPr>
      </w:pPr>
      <w:r>
        <w:rPr>
          <w:highlight w:val="none"/>
        </w:rPr>
        <w:t>DIN5510</w:t>
      </w:r>
      <w:r>
        <w:rPr>
          <w:rFonts w:hint="eastAsia"/>
          <w:highlight w:val="none"/>
        </w:rPr>
        <w:t xml:space="preserve">  铁路车辆防火保护措施</w:t>
      </w:r>
    </w:p>
    <w:p w14:paraId="54FD6A63">
      <w:pPr>
        <w:ind w:firstLine="420"/>
        <w:rPr>
          <w:highlight w:val="none"/>
        </w:rPr>
      </w:pPr>
      <w:r>
        <w:rPr>
          <w:rFonts w:hint="eastAsia"/>
          <w:highlight w:val="none"/>
        </w:rPr>
        <w:t>GB998   低压电器基本实验办法</w:t>
      </w:r>
    </w:p>
    <w:p w14:paraId="3272862C">
      <w:pPr>
        <w:ind w:firstLine="420"/>
        <w:rPr>
          <w:highlight w:val="none"/>
        </w:rPr>
      </w:pPr>
      <w:r>
        <w:rPr>
          <w:rFonts w:hint="eastAsia"/>
          <w:highlight w:val="none"/>
        </w:rPr>
        <w:t>GB/T2423.</w:t>
      </w:r>
      <w:r>
        <w:rPr>
          <w:highlight w:val="none"/>
        </w:rPr>
        <w:t>43</w:t>
      </w:r>
      <w:r>
        <w:rPr>
          <w:rFonts w:hint="eastAsia"/>
          <w:highlight w:val="none"/>
        </w:rPr>
        <w:t xml:space="preserve">  电工电子产品环境实验</w:t>
      </w:r>
      <w:r>
        <w:rPr>
          <w:highlight w:val="none"/>
        </w:rPr>
        <w:t xml:space="preserve"> </w:t>
      </w:r>
      <w:r>
        <w:rPr>
          <w:rFonts w:hint="eastAsia"/>
          <w:highlight w:val="none"/>
        </w:rPr>
        <w:t>第2部分，试验方法：振动、冲击和类似动力学试验样品的安装</w:t>
      </w:r>
    </w:p>
    <w:p w14:paraId="58D00B86">
      <w:pPr>
        <w:ind w:firstLine="420"/>
        <w:rPr>
          <w:highlight w:val="none"/>
        </w:rPr>
      </w:pPr>
      <w:r>
        <w:rPr>
          <w:highlight w:val="none"/>
        </w:rPr>
        <w:t>TB10623-2014</w:t>
      </w:r>
      <w:r>
        <w:rPr>
          <w:rFonts w:hint="eastAsia"/>
          <w:highlight w:val="none"/>
          <w:lang w:val="en-US" w:eastAsia="zh-CN"/>
        </w:rPr>
        <w:t xml:space="preserve">  </w:t>
      </w:r>
      <w:r>
        <w:rPr>
          <w:rFonts w:hint="eastAsia"/>
          <w:highlight w:val="none"/>
        </w:rPr>
        <w:t>城际铁路设计规范</w:t>
      </w:r>
    </w:p>
    <w:p w14:paraId="641A9480">
      <w:pPr>
        <w:ind w:firstLine="420"/>
        <w:rPr>
          <w:highlight w:val="none"/>
        </w:rPr>
      </w:pPr>
      <w:r>
        <w:rPr>
          <w:rFonts w:hint="eastAsia"/>
          <w:highlight w:val="none"/>
        </w:rPr>
        <w:t>Q/CNR J 00011  轨道交通装备产品禁用和限用物资</w:t>
      </w:r>
    </w:p>
    <w:p w14:paraId="3A27CC64">
      <w:pPr>
        <w:ind w:firstLine="420"/>
        <w:jc w:val="both"/>
        <w:rPr>
          <w:rFonts w:hint="eastAsia"/>
          <w:highlight w:val="none"/>
          <w:lang w:val="en-US" w:eastAsia="zh-CN"/>
        </w:rPr>
      </w:pPr>
      <w:r>
        <w:rPr>
          <w:rFonts w:hint="eastAsia"/>
          <w:highlight w:val="none"/>
          <w:lang w:val="en-US" w:eastAsia="zh-CN"/>
        </w:rPr>
        <w:t>4.2.3轨道润滑装置布置</w:t>
      </w:r>
    </w:p>
    <w:p w14:paraId="78067F78">
      <w:pPr>
        <w:ind w:firstLine="420"/>
        <w:rPr>
          <w:highlight w:val="none"/>
        </w:rPr>
      </w:pPr>
      <w:r>
        <w:rPr>
          <w:rFonts w:hint="eastAsia" w:ascii="新宋体" w:hAnsi="新宋体" w:eastAsia="新宋体"/>
          <w:highlight w:val="none"/>
          <w:lang w:eastAsia="zh-CN"/>
        </w:rPr>
        <w:t>轨道润滑装置</w:t>
      </w:r>
      <w:r>
        <w:rPr>
          <w:rFonts w:hint="eastAsia"/>
          <w:highlight w:val="none"/>
        </w:rPr>
        <w:t>的润滑泵站位于列车前进方向轨道的旁边，注油系统安装在列车前进方向的上轨，将轮轨专用润滑油涂在轨道上，供方根据客户提供的资料负责符合现场实际情况的系统设计和安装位置。</w:t>
      </w:r>
    </w:p>
    <w:p w14:paraId="18073FF2">
      <w:pPr>
        <w:ind w:firstLine="420"/>
        <w:rPr>
          <w:rFonts w:hint="default" w:ascii="新宋体" w:hAnsi="新宋体" w:eastAsia="宋体"/>
          <w:highlight w:val="none"/>
          <w:lang w:val="en-US" w:eastAsia="zh-CN"/>
        </w:rPr>
      </w:pPr>
      <w:r>
        <w:rPr>
          <w:rFonts w:hint="eastAsia" w:ascii="新宋体" w:hAnsi="新宋体" w:eastAsia="新宋体"/>
          <w:highlight w:val="none"/>
        </w:rPr>
        <w:t>为尽量保护曲线，改善列车经过曲线的平顺性，要求涂油器的安装位置在距离列车进入轨道曲线直缓点的</w:t>
      </w:r>
      <w:r>
        <w:rPr>
          <w:rFonts w:hint="eastAsia" w:ascii="新宋体" w:hAnsi="新宋体" w:eastAsia="新宋体"/>
          <w:highlight w:val="none"/>
          <w:lang w:val="en-US" w:eastAsia="zh-CN"/>
        </w:rPr>
        <w:t>附近，并需满足限界要求</w:t>
      </w:r>
      <w:r>
        <w:rPr>
          <w:rFonts w:hint="eastAsia" w:ascii="新宋体" w:hAnsi="新宋体" w:eastAsia="新宋体"/>
          <w:highlight w:val="none"/>
        </w:rPr>
        <w:t>。</w:t>
      </w:r>
    </w:p>
    <w:p w14:paraId="3581C5F8">
      <w:pPr>
        <w:ind w:firstLine="420"/>
        <w:jc w:val="both"/>
        <w:rPr>
          <w:rFonts w:hint="eastAsia"/>
          <w:highlight w:val="none"/>
          <w:lang w:val="en-US" w:eastAsia="zh-CN"/>
        </w:rPr>
      </w:pPr>
      <w:r>
        <w:rPr>
          <w:rFonts w:hint="eastAsia"/>
          <w:highlight w:val="none"/>
          <w:lang w:val="en-US" w:eastAsia="zh-CN"/>
        </w:rPr>
        <w:t xml:space="preserve">4.2.4接口条件 </w:t>
      </w:r>
    </w:p>
    <w:p w14:paraId="099674F2">
      <w:pPr>
        <w:ind w:firstLine="420"/>
        <w:rPr>
          <w:snapToGrid w:val="0"/>
          <w:highlight w:val="none"/>
        </w:rPr>
      </w:pPr>
      <w:r>
        <w:rPr>
          <w:rFonts w:hint="eastAsia"/>
          <w:snapToGrid w:val="0"/>
          <w:highlight w:val="none"/>
        </w:rPr>
        <w:t>1）输入电源：电压：</w:t>
      </w:r>
      <w:r>
        <w:rPr>
          <w:snapToGrid w:val="0"/>
          <w:highlight w:val="none"/>
        </w:rPr>
        <w:t>AC</w:t>
      </w:r>
      <w:r>
        <w:rPr>
          <w:rFonts w:hint="eastAsia"/>
          <w:snapToGrid w:val="0"/>
          <w:highlight w:val="none"/>
        </w:rPr>
        <w:t xml:space="preserve"> </w:t>
      </w:r>
      <w:r>
        <w:rPr>
          <w:snapToGrid w:val="0"/>
          <w:highlight w:val="none"/>
        </w:rPr>
        <w:t>220V</w:t>
      </w:r>
      <w:r>
        <w:rPr>
          <w:rFonts w:hint="eastAsia"/>
          <w:snapToGrid w:val="0"/>
          <w:highlight w:val="none"/>
        </w:rPr>
        <w:t>，频率：</w:t>
      </w:r>
      <w:r>
        <w:rPr>
          <w:snapToGrid w:val="0"/>
          <w:highlight w:val="none"/>
        </w:rPr>
        <w:t>50HZ</w:t>
      </w:r>
      <w:r>
        <w:rPr>
          <w:rFonts w:hint="eastAsia"/>
          <w:snapToGrid w:val="0"/>
          <w:highlight w:val="none"/>
        </w:rPr>
        <w:t>，负荷等级为三级；</w:t>
      </w:r>
    </w:p>
    <w:p w14:paraId="4F60C649">
      <w:pPr>
        <w:ind w:firstLine="420"/>
        <w:rPr>
          <w:snapToGrid w:val="0"/>
          <w:highlight w:val="none"/>
        </w:rPr>
      </w:pPr>
      <w:r>
        <w:rPr>
          <w:rFonts w:hint="eastAsia"/>
          <w:snapToGrid w:val="0"/>
          <w:highlight w:val="none"/>
        </w:rPr>
        <w:t>2）车辆：D型车；</w:t>
      </w:r>
    </w:p>
    <w:p w14:paraId="7F7B095D">
      <w:pPr>
        <w:ind w:firstLine="420"/>
        <w:rPr>
          <w:snapToGrid w:val="0"/>
          <w:highlight w:val="none"/>
        </w:rPr>
      </w:pPr>
      <w:r>
        <w:rPr>
          <w:rFonts w:hint="eastAsia"/>
          <w:snapToGrid w:val="0"/>
          <w:highlight w:val="none"/>
        </w:rPr>
        <w:t>3）钢轨类型：正线</w:t>
      </w:r>
      <w:r>
        <w:rPr>
          <w:snapToGrid w:val="0"/>
          <w:highlight w:val="none"/>
        </w:rPr>
        <w:t>60kg/m</w:t>
      </w:r>
      <w:r>
        <w:rPr>
          <w:rFonts w:hint="eastAsia"/>
          <w:snapToGrid w:val="0"/>
          <w:highlight w:val="none"/>
        </w:rPr>
        <w:t>钢轨；</w:t>
      </w:r>
    </w:p>
    <w:p w14:paraId="3BC5ADB2">
      <w:pPr>
        <w:ind w:firstLine="420"/>
        <w:rPr>
          <w:szCs w:val="21"/>
          <w:highlight w:val="none"/>
        </w:rPr>
      </w:pPr>
      <w:r>
        <w:rPr>
          <w:rFonts w:hint="eastAsia"/>
          <w:snapToGrid w:val="0"/>
          <w:highlight w:val="none"/>
        </w:rPr>
        <w:t>4）在安装位置附近配套可靠地设备专用电源，并有良好可靠的接地系统。</w:t>
      </w:r>
    </w:p>
    <w:p w14:paraId="5F3B47E9">
      <w:pPr>
        <w:ind w:firstLine="420"/>
        <w:jc w:val="both"/>
        <w:rPr>
          <w:rFonts w:hint="eastAsia"/>
          <w:highlight w:val="none"/>
          <w:lang w:val="en-US" w:eastAsia="zh-CN"/>
        </w:rPr>
      </w:pPr>
      <w:r>
        <w:rPr>
          <w:rFonts w:hint="eastAsia"/>
          <w:highlight w:val="none"/>
          <w:lang w:val="en-US" w:eastAsia="zh-CN"/>
        </w:rPr>
        <w:t xml:space="preserve">4.2.5安装要求 </w:t>
      </w:r>
    </w:p>
    <w:p w14:paraId="2C8ABDDC">
      <w:pPr>
        <w:ind w:firstLine="420"/>
        <w:rPr>
          <w:snapToGrid w:val="0"/>
          <w:highlight w:val="none"/>
        </w:rPr>
      </w:pPr>
      <w:r>
        <w:rPr>
          <w:rFonts w:hint="eastAsia"/>
          <w:snapToGrid w:val="0"/>
          <w:highlight w:val="none"/>
        </w:rPr>
        <w:t>1）</w:t>
      </w:r>
      <w:r>
        <w:rPr>
          <w:rFonts w:hint="eastAsia"/>
          <w:snapToGrid w:val="0"/>
          <w:highlight w:val="none"/>
          <w:lang w:eastAsia="zh-CN"/>
        </w:rPr>
        <w:t>轨道润滑装置</w:t>
      </w:r>
      <w:r>
        <w:rPr>
          <w:rFonts w:hint="eastAsia"/>
          <w:snapToGrid w:val="0"/>
          <w:highlight w:val="none"/>
        </w:rPr>
        <w:t>的润滑材料涂覆装置和车轮探测装置根据安装地点钢轨型号需适用于</w:t>
      </w:r>
      <w:r>
        <w:rPr>
          <w:snapToGrid w:val="0"/>
          <w:highlight w:val="none"/>
        </w:rPr>
        <w:t xml:space="preserve">60 kg/m </w:t>
      </w:r>
      <w:r>
        <w:rPr>
          <w:rFonts w:hint="eastAsia"/>
          <w:snapToGrid w:val="0"/>
          <w:highlight w:val="none"/>
        </w:rPr>
        <w:t>钢轨，主机要求在高架桥路段可安装。</w:t>
      </w:r>
    </w:p>
    <w:p w14:paraId="0B733567">
      <w:pPr>
        <w:ind w:firstLine="420"/>
        <w:rPr>
          <w:snapToGrid w:val="0"/>
          <w:highlight w:val="none"/>
        </w:rPr>
      </w:pPr>
      <w:r>
        <w:rPr>
          <w:rFonts w:hint="eastAsia"/>
          <w:snapToGrid w:val="0"/>
          <w:highlight w:val="none"/>
        </w:rPr>
        <w:t>2）涂油器主机最靠近轨道的突出点距离轨道中心距离不小于</w:t>
      </w:r>
      <w:r>
        <w:rPr>
          <w:rFonts w:hint="eastAsia"/>
          <w:snapToGrid w:val="0"/>
          <w:highlight w:val="none"/>
          <w:lang w:val="en-US" w:eastAsia="zh-CN"/>
        </w:rPr>
        <w:t>2000</w:t>
      </w:r>
      <w:r>
        <w:rPr>
          <w:snapToGrid w:val="0"/>
          <w:highlight w:val="none"/>
        </w:rPr>
        <w:t>mm</w:t>
      </w:r>
      <w:r>
        <w:rPr>
          <w:rFonts w:hint="eastAsia"/>
          <w:snapToGrid w:val="0"/>
          <w:highlight w:val="none"/>
        </w:rPr>
        <w:t>。如果安装地点超出范围或有可能侵入限界。</w:t>
      </w:r>
    </w:p>
    <w:p w14:paraId="4F6181AD">
      <w:pPr>
        <w:ind w:firstLine="420"/>
        <w:rPr>
          <w:snapToGrid w:val="0"/>
          <w:highlight w:val="none"/>
        </w:rPr>
      </w:pPr>
      <w:r>
        <w:rPr>
          <w:rFonts w:hint="eastAsia"/>
          <w:snapToGrid w:val="0"/>
          <w:highlight w:val="none"/>
        </w:rPr>
        <w:t>3）设备外形尺寸必须符合安装现场安全限界要求，安装后不影响行车信号，不对通讯产生干扰，不影响或碰坏其他电力设备或电缆及其他地铁安全要求。</w:t>
      </w:r>
    </w:p>
    <w:p w14:paraId="622907E4">
      <w:pPr>
        <w:ind w:firstLine="420"/>
        <w:rPr>
          <w:snapToGrid w:val="0"/>
          <w:highlight w:val="none"/>
        </w:rPr>
      </w:pPr>
      <w:r>
        <w:rPr>
          <w:rFonts w:hint="eastAsia"/>
          <w:snapToGrid w:val="0"/>
          <w:highlight w:val="none"/>
        </w:rPr>
        <w:t>4）涂油板通常安装位置的优选地点需距离绝缘接头、焊缝、信号设施、以及其他固定轨道设备有足够的安全距离，可根据现场实际情况进行调整。</w:t>
      </w:r>
    </w:p>
    <w:p w14:paraId="08CBE790">
      <w:pPr>
        <w:ind w:firstLine="420"/>
        <w:jc w:val="both"/>
        <w:rPr>
          <w:rFonts w:hint="eastAsia"/>
          <w:highlight w:val="none"/>
          <w:lang w:val="en-US" w:eastAsia="zh-CN"/>
        </w:rPr>
      </w:pPr>
      <w:r>
        <w:rPr>
          <w:rFonts w:hint="eastAsia"/>
          <w:highlight w:val="none"/>
          <w:lang w:val="en-US" w:eastAsia="zh-CN"/>
        </w:rPr>
        <w:t xml:space="preserve">4.2.6涂油器技术参数要求 </w:t>
      </w:r>
    </w:p>
    <w:p w14:paraId="6C9C3CFD">
      <w:pPr>
        <w:ind w:firstLine="420"/>
        <w:rPr>
          <w:highlight w:val="none"/>
        </w:rPr>
      </w:pPr>
      <w:r>
        <w:rPr>
          <w:rFonts w:hint="eastAsia"/>
          <w:highlight w:val="none"/>
        </w:rPr>
        <w:t>1）可在线监控设备的油位状态，当油量过低时系统在线报警（带低液位感应器）。</w:t>
      </w:r>
    </w:p>
    <w:p w14:paraId="66C3D21E">
      <w:pPr>
        <w:ind w:firstLine="420"/>
        <w:rPr>
          <w:highlight w:val="none"/>
        </w:rPr>
      </w:pPr>
      <w:r>
        <w:rPr>
          <w:rFonts w:hint="eastAsia"/>
          <w:highlight w:val="none"/>
        </w:rPr>
        <w:t>2）可在线监控电机的损坏情况，当有故障时系统在线报警（带泵齿感应器）。</w:t>
      </w:r>
    </w:p>
    <w:p w14:paraId="0BDACA9C">
      <w:pPr>
        <w:ind w:firstLine="420"/>
        <w:rPr>
          <w:highlight w:val="none"/>
        </w:rPr>
      </w:pPr>
      <w:r>
        <w:rPr>
          <w:rFonts w:hint="eastAsia"/>
          <w:highlight w:val="none"/>
        </w:rPr>
        <w:t>3）可在线监控轨道接近开关的损坏情况，当有故障时系统在线报警（带故障反馈）。</w:t>
      </w:r>
    </w:p>
    <w:p w14:paraId="015EEA9B">
      <w:pPr>
        <w:ind w:firstLine="420"/>
        <w:rPr>
          <w:highlight w:val="none"/>
        </w:rPr>
      </w:pPr>
      <w:r>
        <w:rPr>
          <w:rFonts w:hint="eastAsia"/>
          <w:highlight w:val="none"/>
        </w:rPr>
        <w:t>4）可在线监控设备的运行车辆数、出油量等状态。</w:t>
      </w:r>
    </w:p>
    <w:p w14:paraId="149BAFD7">
      <w:pPr>
        <w:ind w:firstLine="420"/>
        <w:rPr>
          <w:highlight w:val="none"/>
        </w:rPr>
      </w:pPr>
      <w:r>
        <w:rPr>
          <w:rFonts w:hint="eastAsia"/>
          <w:highlight w:val="none"/>
        </w:rPr>
        <w:t>5）控制模式：泵齿模式、时间模式、休眠模式三种模式可选。</w:t>
      </w:r>
    </w:p>
    <w:p w14:paraId="091C1EAF">
      <w:pPr>
        <w:ind w:firstLine="420"/>
        <w:rPr>
          <w:highlight w:val="none"/>
        </w:rPr>
      </w:pPr>
      <w:r>
        <w:rPr>
          <w:rFonts w:hint="eastAsia"/>
          <w:highlight w:val="none"/>
        </w:rPr>
        <w:t>6）可通过远程实现对设备的开、关机功能。</w:t>
      </w:r>
    </w:p>
    <w:p w14:paraId="12F70CF1">
      <w:pPr>
        <w:ind w:firstLine="420"/>
        <w:rPr>
          <w:highlight w:val="none"/>
        </w:rPr>
      </w:pPr>
      <w:r>
        <w:rPr>
          <w:rFonts w:hint="eastAsia"/>
          <w:highlight w:val="none"/>
        </w:rPr>
        <w:t>7）</w:t>
      </w:r>
      <w:r>
        <w:rPr>
          <w:rFonts w:hint="eastAsia" w:cs="Times New Roman"/>
          <w:highlight w:val="none"/>
        </w:rPr>
        <w:t>可通过远程实现对设备出油频率和系统参数的手机APP与设备的交互修改功能。</w:t>
      </w:r>
    </w:p>
    <w:p w14:paraId="4AF86A08">
      <w:pPr>
        <w:ind w:firstLine="420"/>
        <w:rPr>
          <w:highlight w:val="none"/>
        </w:rPr>
      </w:pPr>
      <w:r>
        <w:rPr>
          <w:rFonts w:hint="eastAsia"/>
          <w:highlight w:val="none"/>
        </w:rPr>
        <w:t>8）可通过远程实现对以上数据的存储、下载和分析功能。</w:t>
      </w:r>
    </w:p>
    <w:p w14:paraId="65BB74C8">
      <w:pPr>
        <w:ind w:firstLine="420"/>
        <w:rPr>
          <w:highlight w:val="none"/>
        </w:rPr>
      </w:pPr>
      <w:r>
        <w:rPr>
          <w:rFonts w:hint="eastAsia"/>
          <w:highlight w:val="none"/>
        </w:rPr>
        <w:t>9）可实现单个涂油器对单向曲线的完全覆盖（曲线长度不限于300-1000米，不限于单轨润滑还是双轨润滑）而又不浪费润滑剂。</w:t>
      </w:r>
    </w:p>
    <w:p w14:paraId="7801B499">
      <w:pPr>
        <w:ind w:firstLine="420"/>
        <w:rPr>
          <w:highlight w:val="none"/>
        </w:rPr>
      </w:pPr>
      <w:r>
        <w:rPr>
          <w:rFonts w:hint="eastAsia"/>
          <w:highlight w:val="none"/>
        </w:rPr>
        <w:t>10）曲线中间不得安装涂油器，不受曲线长度影响，要求1台涂油器完全覆盖整条曲线。</w:t>
      </w:r>
    </w:p>
    <w:p w14:paraId="3C0E0A92">
      <w:pPr>
        <w:ind w:firstLine="420"/>
        <w:rPr>
          <w:highlight w:val="none"/>
        </w:rPr>
      </w:pPr>
      <w:r>
        <w:rPr>
          <w:rFonts w:hint="eastAsia"/>
          <w:highlight w:val="none"/>
        </w:rPr>
        <w:t>11）涂油器的轨道开关感应器或光电感应，要求轨道开关感应器只会对金属感应，行人经过或近距离操作时不会感应；光电感应只能感应列车，不得夜间感应行人或施工作业车辆。</w:t>
      </w:r>
    </w:p>
    <w:p w14:paraId="7C847CF5">
      <w:pPr>
        <w:ind w:firstLine="420"/>
        <w:rPr>
          <w:highlight w:val="none"/>
        </w:rPr>
      </w:pPr>
      <w:r>
        <w:rPr>
          <w:rFonts w:hint="eastAsia"/>
          <w:highlight w:val="none"/>
        </w:rPr>
        <w:t>12）通过调节涂油器适量的出油频率和出油量，可有效防止钢轨踏面敷油和润滑剂溢流至道床上。</w:t>
      </w:r>
    </w:p>
    <w:p w14:paraId="0874276E">
      <w:pPr>
        <w:ind w:firstLine="420"/>
        <w:rPr>
          <w:highlight w:val="none"/>
        </w:rPr>
      </w:pPr>
      <w:r>
        <w:rPr>
          <w:rFonts w:hint="eastAsia"/>
          <w:highlight w:val="none"/>
        </w:rPr>
        <w:t>13）涂油器箱体为钢质，开门方式均为侧开和上开，以确保箱体的牢固性和操作的安全性；箱体可实现挂墙安装，也可以直接座地安装，通过支架的固定，可长期保证稳定、牢固。</w:t>
      </w:r>
    </w:p>
    <w:p w14:paraId="673A83C0">
      <w:pPr>
        <w:ind w:firstLine="420"/>
        <w:rPr>
          <w:highlight w:val="none"/>
        </w:rPr>
      </w:pPr>
      <w:r>
        <w:rPr>
          <w:rFonts w:hint="eastAsia"/>
          <w:highlight w:val="none"/>
        </w:rPr>
        <w:t>14）涂油器箱体锁统一执行铁路通用的三角锁，牢固且防盗，方便专人维修。</w:t>
      </w:r>
    </w:p>
    <w:p w14:paraId="057FA0BA">
      <w:pPr>
        <w:ind w:firstLine="420"/>
        <w:rPr>
          <w:highlight w:val="none"/>
        </w:rPr>
      </w:pPr>
      <w:r>
        <w:rPr>
          <w:rFonts w:hint="eastAsia"/>
          <w:highlight w:val="none"/>
        </w:rPr>
        <w:t>15）油箱有效容积不少于45L，油脂更换周期一般不少于6个月，避免了更换润滑剂周期过短而加大工务维护工作量。</w:t>
      </w:r>
    </w:p>
    <w:p w14:paraId="3D06EC83">
      <w:pPr>
        <w:ind w:firstLine="420"/>
        <w:rPr>
          <w:highlight w:val="none"/>
        </w:rPr>
      </w:pPr>
      <w:r>
        <w:rPr>
          <w:rFonts w:hint="eastAsia"/>
          <w:highlight w:val="none"/>
        </w:rPr>
        <w:t>16）油箱采用直接注油方式，维护更方便，环境更友好。</w:t>
      </w:r>
    </w:p>
    <w:p w14:paraId="1A008231">
      <w:pPr>
        <w:ind w:firstLine="420"/>
        <w:rPr>
          <w:highlight w:val="none"/>
        </w:rPr>
      </w:pPr>
      <w:r>
        <w:rPr>
          <w:rFonts w:hint="eastAsia"/>
          <w:highlight w:val="none"/>
        </w:rPr>
        <w:t>17）油箱内置有搅拌装置，当涂油器工作时，内置搅拌装置可有效防止油脂沉淀和排出的油脂参数均匀，有效提高润滑效果。</w:t>
      </w:r>
    </w:p>
    <w:p w14:paraId="57EEBC66">
      <w:pPr>
        <w:ind w:firstLine="420"/>
        <w:rPr>
          <w:highlight w:val="none"/>
        </w:rPr>
      </w:pPr>
      <w:r>
        <w:rPr>
          <w:rFonts w:hint="eastAsia"/>
          <w:highlight w:val="none"/>
        </w:rPr>
        <w:t>18）安装在轨道上的涂油板为2组，每个涂油板长度不小于500mm，出油口数量为不少于16个。</w:t>
      </w:r>
    </w:p>
    <w:p w14:paraId="0D79733C">
      <w:pPr>
        <w:ind w:firstLine="420"/>
        <w:rPr>
          <w:highlight w:val="none"/>
        </w:rPr>
      </w:pPr>
      <w:r>
        <w:rPr>
          <w:rFonts w:hint="eastAsia"/>
          <w:highlight w:val="none"/>
        </w:rPr>
        <w:t>19）油管均采用绝缘管路，以防破损导电；具备压扁复位能力；不能出现漏油现象。</w:t>
      </w:r>
    </w:p>
    <w:p w14:paraId="58EF7024">
      <w:pPr>
        <w:ind w:firstLine="420"/>
        <w:rPr>
          <w:highlight w:val="none"/>
        </w:rPr>
      </w:pPr>
      <w:r>
        <w:rPr>
          <w:rFonts w:hint="eastAsia"/>
          <w:highlight w:val="none"/>
        </w:rPr>
        <w:t>20）涂油器输入电源：AC220V，50HZ，3A；涂油器工作电压：24VDC，功率不高于100W。</w:t>
      </w:r>
    </w:p>
    <w:p w14:paraId="4CFBF45C">
      <w:pPr>
        <w:ind w:firstLine="420"/>
        <w:rPr>
          <w:snapToGrid w:val="0"/>
          <w:kern w:val="0"/>
          <w:highlight w:val="none"/>
        </w:rPr>
      </w:pPr>
      <w:r>
        <w:rPr>
          <w:rFonts w:hint="eastAsia"/>
          <w:highlight w:val="none"/>
        </w:rPr>
        <w:t>21）</w:t>
      </w:r>
      <w:r>
        <w:rPr>
          <w:rFonts w:hint="eastAsia"/>
          <w:snapToGrid w:val="0"/>
          <w:kern w:val="0"/>
          <w:highlight w:val="none"/>
        </w:rPr>
        <w:t>设备部件，安装支架，膨胀螺栓，紧固螺栓等都具备足够的强度和安全冗余，并有充分的防锈，防松，防脱，防断措施，安装支架所使用膨胀螺栓整体拉拔力和剪切力保证充分的安全冗余。</w:t>
      </w:r>
    </w:p>
    <w:p w14:paraId="28203063">
      <w:pPr>
        <w:ind w:firstLine="420"/>
        <w:rPr>
          <w:snapToGrid w:val="0"/>
          <w:kern w:val="0"/>
          <w:highlight w:val="none"/>
        </w:rPr>
      </w:pPr>
      <w:r>
        <w:rPr>
          <w:rFonts w:hint="eastAsia"/>
          <w:highlight w:val="none"/>
        </w:rPr>
        <w:t>22）</w:t>
      </w:r>
      <w:r>
        <w:rPr>
          <w:rFonts w:hint="eastAsia"/>
          <w:snapToGrid w:val="0"/>
          <w:kern w:val="0"/>
          <w:highlight w:val="none"/>
        </w:rPr>
        <w:t>安装在钢轨上的卡铁紧固螺栓具有专门的防松装置以防止螺栓松动脱落；安装涂油板的支架具备防松，防断，防脱落；涂油板原则上一次调整到位，而无需担心涂油板和列车车轮之间可能的碰撞，实现寿命周期内的免维护。</w:t>
      </w:r>
    </w:p>
    <w:p w14:paraId="31B7F169">
      <w:pPr>
        <w:ind w:firstLine="420"/>
        <w:rPr>
          <w:snapToGrid w:val="0"/>
          <w:kern w:val="0"/>
          <w:highlight w:val="none"/>
        </w:rPr>
      </w:pPr>
      <w:r>
        <w:rPr>
          <w:rFonts w:hint="eastAsia"/>
          <w:highlight w:val="none"/>
        </w:rPr>
        <w:t>23）</w:t>
      </w:r>
      <w:r>
        <w:rPr>
          <w:rFonts w:hint="eastAsia"/>
          <w:snapToGrid w:val="0"/>
          <w:kern w:val="0"/>
          <w:highlight w:val="none"/>
        </w:rPr>
        <w:t>涂油器在油量低或故障工况下，泵能及时停止工作，且有远程报警和现场指示报警，以提示使用人员及时装填油脂。</w:t>
      </w:r>
    </w:p>
    <w:p w14:paraId="54E8317F">
      <w:pPr>
        <w:ind w:firstLine="420"/>
        <w:rPr>
          <w:snapToGrid w:val="0"/>
          <w:kern w:val="0"/>
          <w:highlight w:val="none"/>
        </w:rPr>
      </w:pPr>
      <w:r>
        <w:rPr>
          <w:rFonts w:hint="eastAsia"/>
          <w:snapToGrid w:val="0"/>
          <w:kern w:val="0"/>
          <w:highlight w:val="none"/>
        </w:rPr>
        <w:t>24）寿命期内，正常使用情况下，涂油板和油管不能作为耗材。</w:t>
      </w:r>
    </w:p>
    <w:p w14:paraId="175D74EA">
      <w:pPr>
        <w:ind w:firstLine="420"/>
        <w:jc w:val="both"/>
        <w:rPr>
          <w:rFonts w:hint="eastAsia"/>
          <w:highlight w:val="none"/>
          <w:lang w:val="en-US" w:eastAsia="zh-CN"/>
        </w:rPr>
      </w:pPr>
      <w:r>
        <w:rPr>
          <w:rFonts w:hint="eastAsia"/>
          <w:highlight w:val="none"/>
          <w:lang w:val="en-US" w:eastAsia="zh-CN"/>
        </w:rPr>
        <w:t xml:space="preserve">4.2.7润滑剂性能要求 </w:t>
      </w:r>
    </w:p>
    <w:p w14:paraId="26479056">
      <w:pPr>
        <w:numPr>
          <w:ilvl w:val="0"/>
          <w:numId w:val="4"/>
        </w:numPr>
        <w:ind w:firstLine="420"/>
        <w:rPr>
          <w:snapToGrid w:val="0"/>
          <w:highlight w:val="none"/>
        </w:rPr>
      </w:pPr>
      <w:r>
        <w:rPr>
          <w:rFonts w:hint="eastAsia"/>
          <w:snapToGrid w:val="0"/>
          <w:highlight w:val="none"/>
        </w:rPr>
        <w:t>优异的承载能力和极压抗磨性，四球极压测试PD&gt;4800N，显著降低轮轨的磨损。</w:t>
      </w:r>
    </w:p>
    <w:p w14:paraId="4500E52F">
      <w:pPr>
        <w:numPr>
          <w:ilvl w:val="0"/>
          <w:numId w:val="4"/>
        </w:numPr>
        <w:ind w:firstLine="420"/>
        <w:rPr>
          <w:snapToGrid w:val="0"/>
          <w:highlight w:val="none"/>
        </w:rPr>
      </w:pPr>
      <w:r>
        <w:rPr>
          <w:rFonts w:hint="eastAsia"/>
          <w:snapToGrid w:val="0"/>
          <w:highlight w:val="none"/>
        </w:rPr>
        <w:t>磨斑直径（D392N，60min）</w:t>
      </w:r>
      <w:r>
        <w:rPr>
          <w:rFonts w:hint="eastAsia" w:ascii="宋体" w:hAnsi="宋体" w:cs="宋体"/>
          <w:snapToGrid w:val="0"/>
          <w:highlight w:val="none"/>
        </w:rPr>
        <w:t>≤0.5。</w:t>
      </w:r>
    </w:p>
    <w:p w14:paraId="6A850362">
      <w:pPr>
        <w:ind w:firstLine="420"/>
        <w:rPr>
          <w:snapToGrid w:val="0"/>
          <w:highlight w:val="none"/>
        </w:rPr>
      </w:pPr>
      <w:r>
        <w:rPr>
          <w:rFonts w:hint="eastAsia"/>
          <w:snapToGrid w:val="0"/>
          <w:highlight w:val="none"/>
        </w:rPr>
        <w:t>3）浅黄色触变性胶体，优异的附着力和粘附性，具有良好的保持性。</w:t>
      </w:r>
    </w:p>
    <w:p w14:paraId="6851552D">
      <w:pPr>
        <w:ind w:firstLine="420"/>
        <w:rPr>
          <w:snapToGrid w:val="0"/>
          <w:highlight w:val="none"/>
        </w:rPr>
      </w:pPr>
      <w:r>
        <w:rPr>
          <w:rFonts w:hint="eastAsia"/>
          <w:snapToGrid w:val="0"/>
          <w:highlight w:val="none"/>
        </w:rPr>
        <w:t>4）优异的高低温稳定性，宽工作温度范围，可适用-40~+180℃环境</w:t>
      </w:r>
      <w:r>
        <w:rPr>
          <w:snapToGrid w:val="0"/>
          <w:highlight w:val="none"/>
        </w:rPr>
        <w:t>，</w:t>
      </w:r>
      <w:r>
        <w:rPr>
          <w:rFonts w:hint="eastAsia"/>
          <w:snapToGrid w:val="0"/>
          <w:highlight w:val="none"/>
        </w:rPr>
        <w:t xml:space="preserve"> 高温不析出液化油，低温不出现油脂冻结。</w:t>
      </w:r>
    </w:p>
    <w:p w14:paraId="5B2EAAF0">
      <w:pPr>
        <w:ind w:firstLine="420"/>
        <w:rPr>
          <w:snapToGrid w:val="0"/>
          <w:highlight w:val="none"/>
        </w:rPr>
      </w:pPr>
      <w:r>
        <w:rPr>
          <w:rFonts w:hint="eastAsia"/>
          <w:snapToGrid w:val="0"/>
          <w:highlight w:val="none"/>
        </w:rPr>
        <w:t>5）优异的防尘和防腐蚀性能。</w:t>
      </w:r>
    </w:p>
    <w:p w14:paraId="6C944613">
      <w:pPr>
        <w:ind w:firstLine="420"/>
        <w:rPr>
          <w:snapToGrid w:val="0"/>
          <w:highlight w:val="none"/>
        </w:rPr>
      </w:pPr>
      <w:r>
        <w:rPr>
          <w:rFonts w:hint="eastAsia"/>
          <w:snapToGrid w:val="0"/>
          <w:highlight w:val="none"/>
        </w:rPr>
        <w:t>6）优异的化学稳定性和机械安定性。</w:t>
      </w:r>
    </w:p>
    <w:p w14:paraId="488BF11D">
      <w:pPr>
        <w:ind w:firstLine="420"/>
        <w:rPr>
          <w:snapToGrid w:val="0"/>
          <w:highlight w:val="none"/>
        </w:rPr>
      </w:pPr>
      <w:r>
        <w:rPr>
          <w:rFonts w:hint="eastAsia"/>
          <w:snapToGrid w:val="0"/>
          <w:highlight w:val="none"/>
        </w:rPr>
        <w:t>7）优异的抗水性能，确保雨雪天气条件下的正常使用。</w:t>
      </w:r>
    </w:p>
    <w:p w14:paraId="56BD61D6">
      <w:pPr>
        <w:ind w:firstLine="420"/>
        <w:rPr>
          <w:snapToGrid w:val="0"/>
          <w:highlight w:val="none"/>
        </w:rPr>
      </w:pPr>
      <w:r>
        <w:rPr>
          <w:rFonts w:hint="eastAsia"/>
          <w:snapToGrid w:val="0"/>
          <w:highlight w:val="none"/>
        </w:rPr>
        <w:t>8）极好的泵送性能，能更好的与涂油器匹配，不阻塞或腐蚀润滑系统油泵、油管及涂油板等油路系统。</w:t>
      </w:r>
    </w:p>
    <w:p w14:paraId="5A534FB5">
      <w:pPr>
        <w:ind w:firstLine="420"/>
        <w:rPr>
          <w:snapToGrid w:val="0"/>
          <w:highlight w:val="none"/>
        </w:rPr>
      </w:pPr>
      <w:r>
        <w:rPr>
          <w:rFonts w:hint="eastAsia"/>
          <w:snapToGrid w:val="0"/>
          <w:highlight w:val="none"/>
        </w:rPr>
        <w:t>9）先进的环保配方技术，对健康和环境无不良影响，并具备一定的可生物降解能力。</w:t>
      </w:r>
    </w:p>
    <w:p w14:paraId="6F8FB35A">
      <w:pPr>
        <w:ind w:firstLine="420"/>
        <w:rPr>
          <w:snapToGrid w:val="0"/>
          <w:highlight w:val="none"/>
        </w:rPr>
      </w:pPr>
      <w:r>
        <w:rPr>
          <w:rFonts w:hint="eastAsia"/>
          <w:snapToGrid w:val="0"/>
          <w:highlight w:val="none"/>
        </w:rPr>
        <w:t>10）保证不会对地铁运营产生潜在的安全风险。</w:t>
      </w:r>
    </w:p>
    <w:p w14:paraId="0DD7FA69">
      <w:pPr>
        <w:ind w:firstLine="420"/>
        <w:rPr>
          <w:snapToGrid w:val="0"/>
          <w:highlight w:val="none"/>
        </w:rPr>
      </w:pPr>
      <w:r>
        <w:rPr>
          <w:rFonts w:hint="eastAsia"/>
          <w:snapToGrid w:val="0"/>
          <w:highlight w:val="none"/>
        </w:rPr>
        <w:t>11）使用单位所在地区有其他环保要求的，还必须满足使用单位所在地区的相关环保要求。</w:t>
      </w:r>
    </w:p>
    <w:p w14:paraId="532E8D92">
      <w:pPr>
        <w:ind w:firstLine="420"/>
        <w:jc w:val="both"/>
        <w:rPr>
          <w:rFonts w:hint="eastAsia"/>
          <w:highlight w:val="none"/>
          <w:lang w:val="en-US" w:eastAsia="zh-CN"/>
        </w:rPr>
      </w:pPr>
      <w:r>
        <w:rPr>
          <w:rFonts w:hint="eastAsia"/>
          <w:highlight w:val="none"/>
          <w:lang w:val="en-US" w:eastAsia="zh-CN"/>
        </w:rPr>
        <w:t xml:space="preserve">4.2.8使用方的退换货要求 </w:t>
      </w:r>
    </w:p>
    <w:p w14:paraId="6600F5CB">
      <w:pPr>
        <w:ind w:firstLine="420"/>
        <w:rPr>
          <w:snapToGrid w:val="0"/>
          <w:highlight w:val="none"/>
        </w:rPr>
      </w:pPr>
      <w:r>
        <w:rPr>
          <w:rFonts w:hint="eastAsia"/>
          <w:snapToGrid w:val="0"/>
          <w:highlight w:val="none"/>
        </w:rPr>
        <w:t>以下情况下设备使用单位有权要求设备供应商整改设备，整改后三个月内设备仍然无法满足使用单位要求的，使用方有权要求无条件拆除所安装设备并重新选择符合要求的设备供应商：</w:t>
      </w:r>
    </w:p>
    <w:p w14:paraId="35FEF8C2">
      <w:pPr>
        <w:ind w:firstLine="420"/>
        <w:rPr>
          <w:snapToGrid w:val="0"/>
          <w:highlight w:val="none"/>
        </w:rPr>
      </w:pPr>
      <w:r>
        <w:rPr>
          <w:rFonts w:hint="eastAsia"/>
          <w:snapToGrid w:val="0"/>
          <w:highlight w:val="none"/>
        </w:rPr>
        <w:t>1）四球极压测试PD</w:t>
      </w:r>
      <w:r>
        <w:rPr>
          <w:rFonts w:hint="eastAsia" w:ascii="宋体" w:hAnsi="宋体" w:cs="宋体"/>
          <w:snapToGrid w:val="0"/>
          <w:highlight w:val="none"/>
        </w:rPr>
        <w:t>值达不到要求（供方提供</w:t>
      </w:r>
      <w:r>
        <w:rPr>
          <w:rFonts w:hint="eastAsia"/>
          <w:snapToGrid w:val="0"/>
          <w:highlight w:val="none"/>
        </w:rPr>
        <w:t>具备CNAS认证的第三方产品质量检验报告，购买方或终端用户保留随机抽取样品检测的权利）。</w:t>
      </w:r>
    </w:p>
    <w:p w14:paraId="2C26CDEF">
      <w:pPr>
        <w:ind w:firstLine="420"/>
        <w:rPr>
          <w:snapToGrid w:val="0"/>
          <w:highlight w:val="none"/>
        </w:rPr>
      </w:pPr>
      <w:r>
        <w:rPr>
          <w:rFonts w:hint="eastAsia"/>
          <w:snapToGrid w:val="0"/>
          <w:highlight w:val="none"/>
        </w:rPr>
        <w:t>2）磨斑直径（D392N，60min）</w:t>
      </w:r>
      <w:r>
        <w:rPr>
          <w:rFonts w:hint="eastAsia" w:ascii="宋体" w:hAnsi="宋体" w:cs="宋体"/>
          <w:snapToGrid w:val="0"/>
          <w:highlight w:val="none"/>
        </w:rPr>
        <w:t>达不到要求（供方提供</w:t>
      </w:r>
      <w:r>
        <w:rPr>
          <w:rFonts w:hint="eastAsia"/>
          <w:snapToGrid w:val="0"/>
          <w:highlight w:val="none"/>
        </w:rPr>
        <w:t>具备CNAS认证的第三方产品质量检验报告，购买方或终端用户保留随机抽取样品检测的权利）。</w:t>
      </w:r>
    </w:p>
    <w:p w14:paraId="252D5427">
      <w:pPr>
        <w:ind w:firstLine="420"/>
        <w:rPr>
          <w:snapToGrid w:val="0"/>
          <w:highlight w:val="none"/>
        </w:rPr>
      </w:pPr>
      <w:r>
        <w:rPr>
          <w:rFonts w:hint="eastAsia"/>
          <w:snapToGrid w:val="0"/>
          <w:highlight w:val="none"/>
        </w:rPr>
        <w:t>3）1台涂油器满足不了覆盖一条曲线（不受曲线长度影响）。</w:t>
      </w:r>
    </w:p>
    <w:p w14:paraId="552B620A">
      <w:pPr>
        <w:ind w:firstLine="420"/>
        <w:rPr>
          <w:snapToGrid w:val="0"/>
          <w:highlight w:val="none"/>
        </w:rPr>
      </w:pPr>
      <w:r>
        <w:rPr>
          <w:rFonts w:hint="eastAsia"/>
          <w:snapToGrid w:val="0"/>
          <w:highlight w:val="none"/>
        </w:rPr>
        <w:t>4）油脂在涂油板出油口的爬升高度达不到8mm。</w:t>
      </w:r>
    </w:p>
    <w:p w14:paraId="265A309F">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5、新增电缆技术需求</w:t>
      </w:r>
    </w:p>
    <w:p w14:paraId="06766769">
      <w:pPr>
        <w:ind w:firstLine="420"/>
        <w:jc w:val="both"/>
        <w:rPr>
          <w:rFonts w:hint="eastAsia"/>
          <w:highlight w:val="none"/>
          <w:lang w:val="en-US" w:eastAsia="zh-CN"/>
        </w:rPr>
      </w:pPr>
      <w:r>
        <w:rPr>
          <w:rFonts w:hint="eastAsia"/>
          <w:highlight w:val="none"/>
          <w:lang w:val="en-US" w:eastAsia="zh-CN"/>
        </w:rPr>
        <w:t>5.1腰铺~花博园新增涂油器配套电缆线</w:t>
      </w:r>
    </w:p>
    <w:p w14:paraId="02FC4248">
      <w:pPr>
        <w:ind w:firstLine="420"/>
        <w:jc w:val="both"/>
        <w:rPr>
          <w:rFonts w:hint="eastAsia"/>
          <w:highlight w:val="none"/>
          <w:lang w:val="en-US" w:eastAsia="zh-CN"/>
        </w:rPr>
      </w:pPr>
      <w:r>
        <w:rPr>
          <w:rFonts w:hint="eastAsia"/>
          <w:highlight w:val="none"/>
          <w:lang w:val="en-US" w:eastAsia="zh-CN"/>
        </w:rPr>
        <w:t>5.1.1工程数量</w:t>
      </w:r>
    </w:p>
    <w:tbl>
      <w:tblPr>
        <w:tblStyle w:val="26"/>
        <w:tblpPr w:leftFromText="180" w:rightFromText="180" w:vertAnchor="text" w:horzAnchor="page" w:tblpX="2024" w:tblpY="171"/>
        <w:tblOverlap w:val="never"/>
        <w:tblW w:w="0" w:type="auto"/>
        <w:tblInd w:w="0" w:type="dxa"/>
        <w:tblLayout w:type="fixed"/>
        <w:tblCellMar>
          <w:top w:w="0" w:type="dxa"/>
          <w:left w:w="108" w:type="dxa"/>
          <w:bottom w:w="0" w:type="dxa"/>
          <w:right w:w="108" w:type="dxa"/>
        </w:tblCellMar>
      </w:tblPr>
      <w:tblGrid>
        <w:gridCol w:w="959"/>
        <w:gridCol w:w="1991"/>
        <w:gridCol w:w="2403"/>
        <w:gridCol w:w="984"/>
        <w:gridCol w:w="1001"/>
        <w:gridCol w:w="1134"/>
      </w:tblGrid>
      <w:tr w14:paraId="5B1D68D8">
        <w:tblPrEx>
          <w:tblCellMar>
            <w:top w:w="0" w:type="dxa"/>
            <w:left w:w="108" w:type="dxa"/>
            <w:bottom w:w="0" w:type="dxa"/>
            <w:right w:w="108" w:type="dxa"/>
          </w:tblCellMar>
        </w:tblPrEx>
        <w:trPr>
          <w:trHeight w:val="429" w:hRule="atLeast"/>
        </w:trPr>
        <w:tc>
          <w:tcPr>
            <w:tcW w:w="9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FBEA97">
            <w:pPr>
              <w:pStyle w:val="50"/>
              <w:keepNext w:val="0"/>
              <w:keepLines w:val="0"/>
              <w:suppressLineNumbers w:val="0"/>
              <w:kinsoku w:val="0"/>
              <w:overflowPunct w:val="0"/>
              <w:spacing w:before="2" w:beforeAutospacing="0" w:after="0" w:afterAutospacing="0"/>
              <w:ind w:left="0" w:right="0" w:firstLine="0" w:firstLineChars="0"/>
              <w:rPr>
                <w:rFonts w:hint="default" w:eastAsia="Times New Roman"/>
                <w:w w:val="99"/>
                <w:sz w:val="20"/>
                <w:highlight w:val="none"/>
              </w:rPr>
            </w:pPr>
            <w:r>
              <w:rPr>
                <w:sz w:val="20"/>
                <w:highlight w:val="none"/>
              </w:rPr>
              <w:t>序号</w:t>
            </w:r>
          </w:p>
        </w:tc>
        <w:tc>
          <w:tcPr>
            <w:tcW w:w="1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109DAA">
            <w:pPr>
              <w:pStyle w:val="50"/>
              <w:keepNext w:val="0"/>
              <w:keepLines w:val="0"/>
              <w:suppressLineNumbers w:val="0"/>
              <w:kinsoku w:val="0"/>
              <w:overflowPunct w:val="0"/>
              <w:spacing w:before="2" w:beforeAutospacing="0" w:after="0" w:afterAutospacing="0"/>
              <w:ind w:left="269" w:right="272" w:firstLine="400"/>
              <w:rPr>
                <w:rFonts w:hint="default"/>
                <w:sz w:val="20"/>
                <w:highlight w:val="none"/>
              </w:rPr>
            </w:pPr>
            <w:r>
              <w:rPr>
                <w:sz w:val="20"/>
                <w:highlight w:val="none"/>
              </w:rPr>
              <w:t>名称</w:t>
            </w:r>
          </w:p>
        </w:tc>
        <w:tc>
          <w:tcPr>
            <w:tcW w:w="24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4C62A3">
            <w:pPr>
              <w:pStyle w:val="50"/>
              <w:keepNext w:val="0"/>
              <w:keepLines w:val="0"/>
              <w:suppressLineNumbers w:val="0"/>
              <w:kinsoku w:val="0"/>
              <w:overflowPunct w:val="0"/>
              <w:spacing w:before="2" w:beforeAutospacing="0" w:after="0" w:afterAutospacing="0"/>
              <w:ind w:left="0" w:right="0" w:firstLine="400"/>
              <w:rPr>
                <w:rFonts w:hint="default"/>
                <w:sz w:val="20"/>
                <w:highlight w:val="none"/>
              </w:rPr>
            </w:pPr>
            <w:r>
              <w:rPr>
                <w:sz w:val="20"/>
                <w:highlight w:val="none"/>
              </w:rPr>
              <w:t>型号规格</w:t>
            </w:r>
          </w:p>
        </w:tc>
        <w:tc>
          <w:tcPr>
            <w:tcW w:w="9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24D8F5">
            <w:pPr>
              <w:pStyle w:val="50"/>
              <w:keepNext w:val="0"/>
              <w:keepLines w:val="0"/>
              <w:suppressLineNumbers w:val="0"/>
              <w:kinsoku w:val="0"/>
              <w:overflowPunct w:val="0"/>
              <w:spacing w:before="2" w:beforeAutospacing="0" w:after="0" w:afterAutospacing="0"/>
              <w:ind w:left="0" w:right="0" w:firstLine="0" w:firstLineChars="0"/>
              <w:rPr>
                <w:rFonts w:hint="default" w:eastAsia="Times New Roman"/>
                <w:sz w:val="20"/>
                <w:highlight w:val="none"/>
              </w:rPr>
            </w:pPr>
            <w:r>
              <w:rPr>
                <w:sz w:val="20"/>
                <w:highlight w:val="none"/>
              </w:rPr>
              <w:t>单位</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F23FD5">
            <w:pPr>
              <w:pStyle w:val="50"/>
              <w:keepNext w:val="0"/>
              <w:keepLines w:val="0"/>
              <w:suppressLineNumbers w:val="0"/>
              <w:kinsoku w:val="0"/>
              <w:overflowPunct w:val="0"/>
              <w:spacing w:before="2" w:beforeAutospacing="0" w:after="0" w:afterAutospacing="0"/>
              <w:ind w:left="0" w:right="0" w:firstLine="0" w:firstLineChars="0"/>
              <w:rPr>
                <w:rFonts w:hint="default" w:eastAsia="Times New Roman"/>
                <w:sz w:val="20"/>
                <w:highlight w:val="none"/>
              </w:rPr>
            </w:pPr>
            <w:r>
              <w:rPr>
                <w:sz w:val="20"/>
                <w:highlight w:val="none"/>
              </w:rPr>
              <w:t>数量</w:t>
            </w:r>
          </w:p>
        </w:tc>
        <w:tc>
          <w:tcPr>
            <w:tcW w:w="11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8DD1C3">
            <w:pPr>
              <w:pStyle w:val="50"/>
              <w:keepNext w:val="0"/>
              <w:keepLines w:val="0"/>
              <w:suppressLineNumbers w:val="0"/>
              <w:kinsoku w:val="0"/>
              <w:overflowPunct w:val="0"/>
              <w:spacing w:before="2" w:beforeAutospacing="0" w:after="0" w:afterAutospacing="0"/>
              <w:ind w:left="0" w:right="0" w:firstLine="0" w:firstLineChars="0"/>
              <w:rPr>
                <w:rFonts w:hint="default" w:eastAsia="Times New Roman"/>
                <w:highlight w:val="none"/>
              </w:rPr>
            </w:pPr>
            <w:r>
              <w:rPr>
                <w:sz w:val="20"/>
                <w:highlight w:val="none"/>
              </w:rPr>
              <w:t>备注</w:t>
            </w:r>
          </w:p>
        </w:tc>
      </w:tr>
      <w:tr w14:paraId="6EE1EC68">
        <w:tblPrEx>
          <w:tblCellMar>
            <w:top w:w="0" w:type="dxa"/>
            <w:left w:w="108" w:type="dxa"/>
            <w:bottom w:w="0" w:type="dxa"/>
            <w:right w:w="108" w:type="dxa"/>
          </w:tblCellMar>
        </w:tblPrEx>
        <w:trPr>
          <w:trHeight w:val="389" w:hRule="atLeast"/>
        </w:trPr>
        <w:tc>
          <w:tcPr>
            <w:tcW w:w="9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B4BFFD">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1</w:t>
            </w:r>
          </w:p>
        </w:tc>
        <w:tc>
          <w:tcPr>
            <w:tcW w:w="1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7A084B">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低压电力电缆</w:t>
            </w:r>
          </w:p>
        </w:tc>
        <w:tc>
          <w:tcPr>
            <w:tcW w:w="24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D06C8E">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WDZB-YJY23-0.6/1kV 3X4</w:t>
            </w:r>
          </w:p>
        </w:tc>
        <w:tc>
          <w:tcPr>
            <w:tcW w:w="9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8747BC">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km</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49AD0A">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1.5</w:t>
            </w:r>
          </w:p>
        </w:tc>
        <w:tc>
          <w:tcPr>
            <w:tcW w:w="11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40A764">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r>
      <w:tr w14:paraId="6DC24C8B">
        <w:tblPrEx>
          <w:tblCellMar>
            <w:top w:w="0" w:type="dxa"/>
            <w:left w:w="108" w:type="dxa"/>
            <w:bottom w:w="0" w:type="dxa"/>
            <w:right w:w="108" w:type="dxa"/>
          </w:tblCellMar>
        </w:tblPrEx>
        <w:trPr>
          <w:trHeight w:val="388" w:hRule="atLeast"/>
        </w:trPr>
        <w:tc>
          <w:tcPr>
            <w:tcW w:w="9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DA5E9B">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1-1</w:t>
            </w:r>
          </w:p>
        </w:tc>
        <w:tc>
          <w:tcPr>
            <w:tcW w:w="1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4AEBF4">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穿钢管敷设</w:t>
            </w:r>
          </w:p>
        </w:tc>
        <w:tc>
          <w:tcPr>
            <w:tcW w:w="24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50EECC">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SC32</w:t>
            </w:r>
          </w:p>
        </w:tc>
        <w:tc>
          <w:tcPr>
            <w:tcW w:w="9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4505F0">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km</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D0348B">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0.3</w:t>
            </w:r>
          </w:p>
        </w:tc>
        <w:tc>
          <w:tcPr>
            <w:tcW w:w="11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B1A0ED">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r>
      <w:tr w14:paraId="6586C91A">
        <w:tblPrEx>
          <w:tblCellMar>
            <w:top w:w="0" w:type="dxa"/>
            <w:left w:w="108" w:type="dxa"/>
            <w:bottom w:w="0" w:type="dxa"/>
            <w:right w:w="108" w:type="dxa"/>
          </w:tblCellMar>
        </w:tblPrEx>
        <w:trPr>
          <w:trHeight w:val="90" w:hRule="atLeast"/>
        </w:trPr>
        <w:tc>
          <w:tcPr>
            <w:tcW w:w="9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FCCAA12">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1-2</w:t>
            </w:r>
          </w:p>
        </w:tc>
        <w:tc>
          <w:tcPr>
            <w:tcW w:w="1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77D100">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沿电缆沟敷设</w:t>
            </w:r>
          </w:p>
        </w:tc>
        <w:tc>
          <w:tcPr>
            <w:tcW w:w="24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CBF662">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c>
          <w:tcPr>
            <w:tcW w:w="9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03D6E1">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km</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277F5">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1.2</w:t>
            </w:r>
          </w:p>
        </w:tc>
        <w:tc>
          <w:tcPr>
            <w:tcW w:w="11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DA3583">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r>
      <w:tr w14:paraId="5B50A3CF">
        <w:tblPrEx>
          <w:tblCellMar>
            <w:top w:w="0" w:type="dxa"/>
            <w:left w:w="108" w:type="dxa"/>
            <w:bottom w:w="0" w:type="dxa"/>
            <w:right w:w="108" w:type="dxa"/>
          </w:tblCellMar>
        </w:tblPrEx>
        <w:trPr>
          <w:trHeight w:val="389" w:hRule="atLeast"/>
        </w:trPr>
        <w:tc>
          <w:tcPr>
            <w:tcW w:w="9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A8FEFC">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2</w:t>
            </w:r>
          </w:p>
        </w:tc>
        <w:tc>
          <w:tcPr>
            <w:tcW w:w="1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FAD46B">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低压电力电缆头</w:t>
            </w:r>
          </w:p>
        </w:tc>
        <w:tc>
          <w:tcPr>
            <w:tcW w:w="24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7194DE">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干包式</w:t>
            </w:r>
          </w:p>
        </w:tc>
        <w:tc>
          <w:tcPr>
            <w:tcW w:w="9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1F4254">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个</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B9117C">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4</w:t>
            </w:r>
          </w:p>
        </w:tc>
        <w:tc>
          <w:tcPr>
            <w:tcW w:w="11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70B1FC">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r>
      <w:tr w14:paraId="3536FF1A">
        <w:tblPrEx>
          <w:tblCellMar>
            <w:top w:w="0" w:type="dxa"/>
            <w:left w:w="108" w:type="dxa"/>
            <w:bottom w:w="0" w:type="dxa"/>
            <w:right w:w="108" w:type="dxa"/>
          </w:tblCellMar>
        </w:tblPrEx>
        <w:trPr>
          <w:trHeight w:val="388" w:hRule="atLeast"/>
        </w:trPr>
        <w:tc>
          <w:tcPr>
            <w:tcW w:w="9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CF44DD">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3</w:t>
            </w:r>
          </w:p>
        </w:tc>
        <w:tc>
          <w:tcPr>
            <w:tcW w:w="1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91A3AA">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防火隔板</w:t>
            </w:r>
          </w:p>
        </w:tc>
        <w:tc>
          <w:tcPr>
            <w:tcW w:w="24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295702">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c>
          <w:tcPr>
            <w:tcW w:w="9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7D80C6">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km</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B6F92F">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1.2</w:t>
            </w:r>
          </w:p>
        </w:tc>
        <w:tc>
          <w:tcPr>
            <w:tcW w:w="11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6CA833">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r>
      <w:tr w14:paraId="51DD45DF">
        <w:tblPrEx>
          <w:tblCellMar>
            <w:top w:w="0" w:type="dxa"/>
            <w:left w:w="108" w:type="dxa"/>
            <w:bottom w:w="0" w:type="dxa"/>
            <w:right w:w="108" w:type="dxa"/>
          </w:tblCellMar>
        </w:tblPrEx>
        <w:trPr>
          <w:trHeight w:val="388" w:hRule="atLeast"/>
        </w:trPr>
        <w:tc>
          <w:tcPr>
            <w:tcW w:w="9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4689E8">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4</w:t>
            </w:r>
          </w:p>
        </w:tc>
        <w:tc>
          <w:tcPr>
            <w:tcW w:w="199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BD4604">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配电箱改造</w:t>
            </w:r>
          </w:p>
        </w:tc>
        <w:tc>
          <w:tcPr>
            <w:tcW w:w="240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27C342">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c>
          <w:tcPr>
            <w:tcW w:w="9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DDE8EB">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处</w:t>
            </w:r>
          </w:p>
        </w:tc>
        <w:tc>
          <w:tcPr>
            <w:tcW w:w="100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1F83D6">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r>
              <w:rPr>
                <w:rFonts w:ascii="宋体" w:hAnsi="宋体" w:cs="宋体"/>
                <w:sz w:val="20"/>
                <w:highlight w:val="none"/>
              </w:rPr>
              <w:t>1</w:t>
            </w:r>
          </w:p>
        </w:tc>
        <w:tc>
          <w:tcPr>
            <w:tcW w:w="11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42FCB1">
            <w:pPr>
              <w:pStyle w:val="50"/>
              <w:keepNext w:val="0"/>
              <w:keepLines w:val="0"/>
              <w:suppressLineNumbers w:val="0"/>
              <w:kinsoku w:val="0"/>
              <w:overflowPunct w:val="0"/>
              <w:spacing w:before="2" w:beforeAutospacing="0" w:after="0" w:afterAutospacing="0"/>
              <w:ind w:left="0" w:right="0" w:firstLine="0" w:firstLineChars="0"/>
              <w:rPr>
                <w:rFonts w:ascii="宋体" w:hAnsi="宋体" w:cs="宋体"/>
                <w:sz w:val="20"/>
                <w:highlight w:val="none"/>
              </w:rPr>
            </w:pPr>
          </w:p>
        </w:tc>
      </w:tr>
    </w:tbl>
    <w:p w14:paraId="067148B0">
      <w:pPr>
        <w:ind w:firstLine="420"/>
        <w:jc w:val="both"/>
        <w:rPr>
          <w:rFonts w:hint="eastAsia"/>
          <w:highlight w:val="none"/>
          <w:lang w:val="en-US" w:eastAsia="zh-CN"/>
        </w:rPr>
      </w:pPr>
      <w:r>
        <w:rPr>
          <w:rFonts w:hint="eastAsia"/>
          <w:highlight w:val="none"/>
          <w:lang w:val="en-US" w:eastAsia="zh-CN"/>
        </w:rPr>
        <w:t>5.2电缆敷设要求</w:t>
      </w:r>
    </w:p>
    <w:p w14:paraId="3AEE7CC2">
      <w:pPr>
        <w:ind w:firstLine="420"/>
        <w:rPr>
          <w:rFonts w:hint="eastAsia"/>
          <w:snapToGrid w:val="0"/>
          <w:highlight w:val="none"/>
        </w:rPr>
      </w:pPr>
      <w:r>
        <w:rPr>
          <w:rFonts w:hint="eastAsia"/>
          <w:snapToGrid w:val="0"/>
          <w:highlight w:val="none"/>
          <w:lang w:val="en-US" w:eastAsia="zh-CN"/>
        </w:rPr>
        <w:t>5.2.1</w:t>
      </w:r>
      <w:r>
        <w:rPr>
          <w:rFonts w:hint="eastAsia"/>
          <w:snapToGrid w:val="0"/>
          <w:highlight w:val="none"/>
        </w:rPr>
        <w:t>用电需求</w:t>
      </w:r>
    </w:p>
    <w:p w14:paraId="53DCE030">
      <w:pPr>
        <w:ind w:firstLine="420"/>
        <w:rPr>
          <w:rFonts w:hint="eastAsia"/>
          <w:snapToGrid w:val="0"/>
          <w:highlight w:val="none"/>
        </w:rPr>
      </w:pPr>
      <w:r>
        <w:rPr>
          <w:rFonts w:hint="eastAsia"/>
          <w:snapToGrid w:val="0"/>
          <w:highlight w:val="none"/>
        </w:rPr>
        <w:t>腰铺~花博园新增涂油器用电需求为～</w:t>
      </w:r>
      <w:r>
        <w:rPr>
          <w:rFonts w:hint="default"/>
          <w:snapToGrid w:val="0"/>
          <w:highlight w:val="none"/>
        </w:rPr>
        <w:t>220V</w:t>
      </w:r>
      <w:r>
        <w:rPr>
          <w:rFonts w:hint="eastAsia"/>
          <w:snapToGrid w:val="0"/>
          <w:highlight w:val="none"/>
        </w:rPr>
        <w:t>、</w:t>
      </w:r>
      <w:r>
        <w:rPr>
          <w:rFonts w:hint="default"/>
          <w:snapToGrid w:val="0"/>
          <w:highlight w:val="none"/>
        </w:rPr>
        <w:t>300W</w:t>
      </w:r>
      <w:r>
        <w:rPr>
          <w:rFonts w:hint="eastAsia"/>
          <w:snapToGrid w:val="0"/>
          <w:highlight w:val="none"/>
        </w:rPr>
        <w:t>，按三级负荷供电。</w:t>
      </w:r>
    </w:p>
    <w:p w14:paraId="7C1CD313">
      <w:pPr>
        <w:ind w:firstLine="420"/>
        <w:rPr>
          <w:rFonts w:hint="eastAsia"/>
          <w:snapToGrid w:val="0"/>
          <w:highlight w:val="none"/>
        </w:rPr>
      </w:pPr>
      <w:r>
        <w:rPr>
          <w:rFonts w:hint="eastAsia"/>
          <w:snapToGrid w:val="0"/>
          <w:highlight w:val="none"/>
          <w:lang w:val="en-US" w:eastAsia="zh-CN"/>
        </w:rPr>
        <w:t>5.2.2</w:t>
      </w:r>
      <w:r>
        <w:rPr>
          <w:rFonts w:hint="eastAsia"/>
          <w:snapToGrid w:val="0"/>
          <w:highlight w:val="none"/>
        </w:rPr>
        <w:t>电缆路径及安全要求</w:t>
      </w:r>
    </w:p>
    <w:p w14:paraId="6ECBD032">
      <w:pPr>
        <w:ind w:firstLine="420"/>
        <w:rPr>
          <w:rFonts w:hint="eastAsia"/>
          <w:snapToGrid w:val="0"/>
          <w:highlight w:val="none"/>
        </w:rPr>
      </w:pPr>
      <w:r>
        <w:rPr>
          <w:rFonts w:hint="eastAsia"/>
          <w:snapToGrid w:val="0"/>
          <w:highlight w:val="none"/>
        </w:rPr>
        <w:t>由花博园站1AP2配电箱预留回路馈出两回～220V 电源分别至上下行侧新增涂油器，采用 WDZB-YJY23-0.6/1kV 3X4电缆供电，电缆在站房内穿钢管敷设、在高架区间内沿电力电缆沟敷设并设置防火隔板与既有环网电缆隔离。电缆阻燃等级不低于B级、燃烧等级不应低于B1 级，产烟毒性不低于 t1 级，燃烧滴落物/微粒等级不低于 d1 级。低压电力电缆金属层应在线路一端或中间部位直接接地。</w:t>
      </w:r>
    </w:p>
    <w:p w14:paraId="090B811F">
      <w:pPr>
        <w:ind w:firstLine="420"/>
        <w:jc w:val="both"/>
        <w:rPr>
          <w:rFonts w:hint="eastAsia"/>
          <w:highlight w:val="none"/>
          <w:lang w:val="en-US" w:eastAsia="zh-CN"/>
        </w:rPr>
      </w:pPr>
      <w:r>
        <w:rPr>
          <w:rFonts w:hint="eastAsia"/>
          <w:highlight w:val="none"/>
          <w:lang w:val="en-US" w:eastAsia="zh-CN"/>
        </w:rPr>
        <w:t>5.3电力电缆与通信信号电缆的间距要求</w:t>
      </w:r>
    </w:p>
    <w:p w14:paraId="1B80EB7E">
      <w:pPr>
        <w:rPr>
          <w:rFonts w:hint="eastAsia"/>
          <w:highlight w:val="none"/>
          <w:lang w:val="en-US" w:eastAsia="zh-CN"/>
        </w:rPr>
      </w:pPr>
      <w:r>
        <w:rPr>
          <w:sz w:val="24"/>
          <w:highlight w:val="none"/>
        </w:rPr>
        <w:drawing>
          <wp:inline distT="0" distB="0" distL="114300" distR="114300">
            <wp:extent cx="5274310" cy="287210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5274310" cy="2872105"/>
                    </a:xfrm>
                    <a:prstGeom prst="rect">
                      <a:avLst/>
                    </a:prstGeom>
                    <a:noFill/>
                    <a:ln>
                      <a:noFill/>
                    </a:ln>
                  </pic:spPr>
                </pic:pic>
              </a:graphicData>
            </a:graphic>
          </wp:inline>
        </w:drawing>
      </w:r>
    </w:p>
    <w:p w14:paraId="123666D2">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6、施工作业要求</w:t>
      </w:r>
    </w:p>
    <w:p w14:paraId="38A6C9A6">
      <w:pPr>
        <w:ind w:firstLine="420"/>
        <w:rPr>
          <w:rFonts w:hint="eastAsia"/>
          <w:snapToGrid w:val="0"/>
          <w:highlight w:val="none"/>
        </w:rPr>
      </w:pPr>
      <w:r>
        <w:rPr>
          <w:rFonts w:hint="eastAsia"/>
          <w:snapToGrid w:val="0"/>
          <w:highlight w:val="none"/>
        </w:rPr>
        <w:t>1）乙方自行将每日施工所需材料运至施工现场，并做好未完品保护。</w:t>
      </w:r>
    </w:p>
    <w:p w14:paraId="2372CCE0">
      <w:pPr>
        <w:ind w:firstLine="420"/>
        <w:rPr>
          <w:rFonts w:hint="eastAsia"/>
          <w:snapToGrid w:val="0"/>
          <w:highlight w:val="none"/>
        </w:rPr>
      </w:pPr>
      <w:r>
        <w:rPr>
          <w:rFonts w:hint="eastAsia"/>
          <w:snapToGrid w:val="0"/>
          <w:highlight w:val="none"/>
        </w:rPr>
        <w:t>2）乙方每日作业完成后须经双方检查确认合格后方可撤离现场。</w:t>
      </w:r>
    </w:p>
    <w:p w14:paraId="3E004835">
      <w:pPr>
        <w:ind w:firstLine="420"/>
        <w:rPr>
          <w:rFonts w:hint="eastAsia"/>
          <w:snapToGrid w:val="0"/>
          <w:highlight w:val="none"/>
        </w:rPr>
      </w:pPr>
      <w:r>
        <w:rPr>
          <w:rFonts w:hint="eastAsia"/>
          <w:snapToGrid w:val="0"/>
          <w:highlight w:val="none"/>
        </w:rPr>
        <w:t>3）施工人员要求具备一定的登高施工作业经验，作业前要了解工程项目的内容和性质、服务对象及安装位置，施工人员必须持有电工证，同时要熟悉技术、质量要求，现场负责人要强化技术管理及安全保护措施。</w:t>
      </w:r>
    </w:p>
    <w:p w14:paraId="4B6B273C">
      <w:pPr>
        <w:ind w:firstLine="420"/>
        <w:rPr>
          <w:rFonts w:hint="eastAsia"/>
          <w:snapToGrid w:val="0"/>
          <w:highlight w:val="none"/>
        </w:rPr>
      </w:pPr>
      <w:r>
        <w:rPr>
          <w:rFonts w:hint="eastAsia"/>
          <w:snapToGrid w:val="0"/>
          <w:highlight w:val="none"/>
        </w:rPr>
        <w:t>4）合理安排施工进度及人力和物力的投入。</w:t>
      </w:r>
    </w:p>
    <w:p w14:paraId="459B8B1A">
      <w:pPr>
        <w:ind w:firstLine="420"/>
        <w:rPr>
          <w:rFonts w:hint="eastAsia"/>
          <w:snapToGrid w:val="0"/>
          <w:highlight w:val="none"/>
        </w:rPr>
      </w:pPr>
      <w:r>
        <w:rPr>
          <w:rFonts w:hint="eastAsia"/>
          <w:snapToGrid w:val="0"/>
          <w:highlight w:val="none"/>
        </w:rPr>
        <w:t>5）施工单位应严格遵守地铁车站内的安全施工制度要求，施工前到车控室进行登记、请点，在得到批准后方可进入施工现场。必须保证当天所有施工作业人员都安全离开施工区域，方可进行销点。</w:t>
      </w:r>
    </w:p>
    <w:p w14:paraId="683905D2">
      <w:pPr>
        <w:ind w:firstLine="420"/>
        <w:rPr>
          <w:rFonts w:hint="eastAsia"/>
          <w:snapToGrid w:val="0"/>
          <w:highlight w:val="none"/>
        </w:rPr>
      </w:pPr>
      <w:r>
        <w:rPr>
          <w:rFonts w:hint="eastAsia"/>
          <w:snapToGrid w:val="0"/>
          <w:highlight w:val="none"/>
        </w:rPr>
        <w:t>6）乙方根据滁宁铁路运营有限责任公司《施工检修管理办法》等相关文件要求做好现场施工管理及防护工作。</w:t>
      </w:r>
    </w:p>
    <w:p w14:paraId="7374E58E">
      <w:pPr>
        <w:ind w:firstLine="420"/>
        <w:rPr>
          <w:rFonts w:hint="eastAsia"/>
          <w:snapToGrid w:val="0"/>
          <w:highlight w:val="none"/>
        </w:rPr>
      </w:pPr>
      <w:r>
        <w:rPr>
          <w:rFonts w:hint="eastAsia"/>
          <w:snapToGrid w:val="0"/>
          <w:highlight w:val="none"/>
        </w:rPr>
        <w:t>7）服从现场管理，作业人员及作业机具不得影响运营正常办公。</w:t>
      </w:r>
    </w:p>
    <w:p w14:paraId="7311871B">
      <w:pPr>
        <w:ind w:firstLine="420"/>
        <w:rPr>
          <w:rFonts w:hint="eastAsia"/>
          <w:snapToGrid w:val="0"/>
          <w:highlight w:val="none"/>
        </w:rPr>
      </w:pPr>
      <w:r>
        <w:rPr>
          <w:rFonts w:hint="eastAsia"/>
          <w:snapToGrid w:val="0"/>
          <w:highlight w:val="none"/>
        </w:rPr>
        <w:t>8）做好施工现场的作业安全防护，文明施工，保证施工现场工完料清。</w:t>
      </w:r>
    </w:p>
    <w:p w14:paraId="56C53036">
      <w:pPr>
        <w:ind w:firstLine="420"/>
        <w:rPr>
          <w:rFonts w:hint="eastAsia"/>
          <w:snapToGrid w:val="0"/>
          <w:highlight w:val="none"/>
        </w:rPr>
      </w:pPr>
      <w:r>
        <w:rPr>
          <w:rFonts w:hint="eastAsia"/>
          <w:snapToGrid w:val="0"/>
          <w:highlight w:val="none"/>
        </w:rPr>
        <w:t>9）施工人员进入施工现场应立足本职工作，不得擅自非工程范围内任何设备，尤其注意电缆线、电器设备。</w:t>
      </w:r>
    </w:p>
    <w:p w14:paraId="1EAF183B">
      <w:pPr>
        <w:ind w:firstLine="420"/>
        <w:rPr>
          <w:rFonts w:hint="eastAsia"/>
          <w:snapToGrid w:val="0"/>
          <w:highlight w:val="none"/>
        </w:rPr>
      </w:pPr>
      <w:r>
        <w:rPr>
          <w:rFonts w:hint="eastAsia"/>
          <w:snapToGrid w:val="0"/>
          <w:highlight w:val="none"/>
        </w:rPr>
        <w:t>10）安装过程中导致道床破损、钢轨擦伤等滁宁城际铁路设备损坏，由施工单位负责恢复。</w:t>
      </w:r>
    </w:p>
    <w:p w14:paraId="5DBCB7BB">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7、安全施工要求</w:t>
      </w:r>
    </w:p>
    <w:p w14:paraId="01725DC2">
      <w:pPr>
        <w:ind w:firstLine="420"/>
        <w:rPr>
          <w:highlight w:val="none"/>
        </w:rPr>
      </w:pPr>
      <w:r>
        <w:rPr>
          <w:rFonts w:hint="eastAsia"/>
          <w:highlight w:val="none"/>
        </w:rPr>
        <w:t>1）乙方根据滁宁铁路运营有限责任公司相关文件要求做好现场施工管理及防护工作。</w:t>
      </w:r>
    </w:p>
    <w:p w14:paraId="6DEBF0C4">
      <w:pPr>
        <w:ind w:firstLine="420"/>
        <w:rPr>
          <w:highlight w:val="none"/>
        </w:rPr>
      </w:pPr>
      <w:r>
        <w:rPr>
          <w:rFonts w:hint="eastAsia"/>
          <w:highlight w:val="none"/>
        </w:rPr>
        <w:t>2）施工人员工作前不许饮酒，进入施工现场不准嬉笑打闹及大声吵闹，严格服从现场负责人指挥。</w:t>
      </w:r>
    </w:p>
    <w:p w14:paraId="2B896AA6">
      <w:pPr>
        <w:ind w:firstLine="420"/>
        <w:rPr>
          <w:highlight w:val="none"/>
        </w:rPr>
      </w:pPr>
      <w:r>
        <w:rPr>
          <w:rFonts w:hint="eastAsia"/>
          <w:highlight w:val="none"/>
        </w:rPr>
        <w:t>3）乙方在施工前应组织施工动员大会，全员做好安全预想工作，切实了解现场施工时存在的所有安全隐患。</w:t>
      </w:r>
    </w:p>
    <w:p w14:paraId="797CE69C">
      <w:pPr>
        <w:ind w:firstLine="420"/>
        <w:rPr>
          <w:highlight w:val="none"/>
        </w:rPr>
      </w:pPr>
      <w:r>
        <w:rPr>
          <w:rFonts w:hint="eastAsia"/>
          <w:highlight w:val="none"/>
        </w:rPr>
        <w:t>4）施工前须由负责人向施工人员进行技术交底和安全交底，并做好记录（签字确认），未经教育者不得进入施工现场作业。</w:t>
      </w:r>
    </w:p>
    <w:p w14:paraId="725A6E2A">
      <w:pPr>
        <w:ind w:firstLine="420"/>
        <w:rPr>
          <w:highlight w:val="none"/>
        </w:rPr>
      </w:pPr>
      <w:r>
        <w:rPr>
          <w:rFonts w:hint="eastAsia"/>
          <w:highlight w:val="none"/>
        </w:rPr>
        <w:t>5）乙方应根据现场情况提前做好突发事故应急处理计划，并与所有参与人员进行学习。</w:t>
      </w:r>
    </w:p>
    <w:p w14:paraId="535A3C19">
      <w:pPr>
        <w:ind w:firstLine="420"/>
        <w:rPr>
          <w:highlight w:val="none"/>
        </w:rPr>
      </w:pPr>
      <w:r>
        <w:rPr>
          <w:rFonts w:hint="eastAsia"/>
          <w:highlight w:val="none"/>
        </w:rPr>
        <w:t>6）施工完成后必须清理现场，做到“三清”，并配合甲方人员检查完毕后方可撤离现场。</w:t>
      </w:r>
    </w:p>
    <w:p w14:paraId="733FD4F1">
      <w:pPr>
        <w:ind w:firstLine="420"/>
        <w:rPr>
          <w:highlight w:val="none"/>
        </w:rPr>
      </w:pPr>
      <w:r>
        <w:rPr>
          <w:rFonts w:hint="eastAsia"/>
          <w:highlight w:val="none"/>
        </w:rPr>
        <w:t>7）施工过程严格防尘、防火，涉及动火切割作业时，施工动火作业应取得动火证，动火作业时，需有相应的保护措施，并具有动火作业应急预案。</w:t>
      </w:r>
    </w:p>
    <w:p w14:paraId="798BBF79">
      <w:pPr>
        <w:ind w:firstLine="420"/>
        <w:rPr>
          <w:highlight w:val="none"/>
        </w:rPr>
      </w:pPr>
      <w:r>
        <w:rPr>
          <w:rFonts w:hint="eastAsia"/>
          <w:highlight w:val="none"/>
        </w:rPr>
        <w:t>8）施工时应做好相应的安全保护措施，现场指挥员、安全员及小组组长必须佩带醒目职责标志，施工人员必须统一佩齐安全防护用品（反光背心、安全帽、劳保手套、劳保鞋等）。</w:t>
      </w:r>
    </w:p>
    <w:p w14:paraId="5991FDC2">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8、文明施工要求</w:t>
      </w:r>
    </w:p>
    <w:p w14:paraId="37FF3953">
      <w:pPr>
        <w:ind w:firstLine="420"/>
        <w:rPr>
          <w:highlight w:val="none"/>
        </w:rPr>
      </w:pPr>
      <w:r>
        <w:rPr>
          <w:rFonts w:hint="eastAsia"/>
          <w:highlight w:val="none"/>
        </w:rPr>
        <w:t>1）施工作业不得影响地铁设施设备正常运行，保持作业场地的整洁卫生。施工现场材料分规格、品种堆码整齐，施工用机具摆放位置合理安全，保持现场整洁。</w:t>
      </w:r>
    </w:p>
    <w:p w14:paraId="3D1BBC77">
      <w:pPr>
        <w:ind w:firstLine="420"/>
        <w:rPr>
          <w:highlight w:val="none"/>
        </w:rPr>
      </w:pPr>
      <w:r>
        <w:rPr>
          <w:rFonts w:hint="eastAsia"/>
          <w:highlight w:val="none"/>
        </w:rPr>
        <w:t>2）拆除原有构筑物时，施工过程中要采取可靠措施保护既有设备，不得损坏及影响设备正常运转。</w:t>
      </w:r>
    </w:p>
    <w:p w14:paraId="29805391">
      <w:pPr>
        <w:ind w:firstLine="420"/>
        <w:rPr>
          <w:highlight w:val="none"/>
        </w:rPr>
      </w:pPr>
      <w:r>
        <w:rPr>
          <w:rFonts w:hint="eastAsia"/>
          <w:highlight w:val="none"/>
        </w:rPr>
        <w:t>3）严格禁止在施工现场抽烟、焚烧油毡、塑料、皮革等会产生明火、有毒、有害烟尘和恶臭气体的物质。</w:t>
      </w:r>
    </w:p>
    <w:p w14:paraId="205A5028">
      <w:pPr>
        <w:ind w:firstLine="420"/>
        <w:rPr>
          <w:highlight w:val="none"/>
        </w:rPr>
      </w:pPr>
      <w:r>
        <w:rPr>
          <w:rFonts w:hint="eastAsia"/>
          <w:highlight w:val="none"/>
        </w:rPr>
        <w:t>4）与施工无关的人员禁止进入现场，维护良好的工作秩序和劳动纪律，禁止赌博、打架、斗殴等行为，遵守治安规定。</w:t>
      </w:r>
    </w:p>
    <w:p w14:paraId="3D13CC02">
      <w:pPr>
        <w:ind w:firstLine="420"/>
        <w:rPr>
          <w:highlight w:val="none"/>
        </w:rPr>
      </w:pPr>
      <w:r>
        <w:rPr>
          <w:rFonts w:hint="eastAsia"/>
          <w:highlight w:val="none"/>
        </w:rPr>
        <w:t xml:space="preserve">5）现场使用的施工机械、车辆尾气排放符合环保要求。施工现场设专人负责环保工作，配备相应的洒水设备，及时洒水，减少扬尘污染。 </w:t>
      </w:r>
    </w:p>
    <w:p w14:paraId="5250F4DC">
      <w:pPr>
        <w:ind w:firstLine="420"/>
        <w:rPr>
          <w:highlight w:val="none"/>
        </w:rPr>
      </w:pPr>
      <w:r>
        <w:rPr>
          <w:rFonts w:hint="eastAsia"/>
          <w:highlight w:val="none"/>
        </w:rPr>
        <w:t>6）本项目所有施工垃圾袋装清运，随施工同步清理，不得遗漏、抛洒至高架桥外，保持工完场清，施工结束确保施工区域及周边环境卫生、干净整洁。涉及与外部单位、机构协调，由承包人负责。</w:t>
      </w:r>
    </w:p>
    <w:p w14:paraId="6DC388CB">
      <w:pPr>
        <w:ind w:firstLine="420"/>
        <w:rPr>
          <w:highlight w:val="none"/>
        </w:rPr>
      </w:pPr>
      <w:r>
        <w:rPr>
          <w:rFonts w:hint="eastAsia"/>
          <w:highlight w:val="none"/>
        </w:rPr>
        <w:t>7）施工人员必须严格遵守甲方及乙方规定的劳动纪律，乙方规定的劳动纪律及各类规章制度、规程不得与甲方的规章制度、规程相违背。</w:t>
      </w:r>
    </w:p>
    <w:p w14:paraId="54904EC8">
      <w:pPr>
        <w:ind w:firstLine="420"/>
        <w:rPr>
          <w:highlight w:val="none"/>
        </w:rPr>
      </w:pPr>
      <w:r>
        <w:rPr>
          <w:rFonts w:hint="eastAsia"/>
          <w:highlight w:val="none"/>
        </w:rPr>
        <w:t>8）施工单位在施工期间应统一着装，且着装应符合安全施工相关要求。</w:t>
      </w:r>
    </w:p>
    <w:p w14:paraId="32C25E6F">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9、质量保证</w:t>
      </w:r>
    </w:p>
    <w:p w14:paraId="53E367B3">
      <w:pPr>
        <w:ind w:firstLine="420"/>
        <w:rPr>
          <w:snapToGrid w:val="0"/>
          <w:highlight w:val="none"/>
        </w:rPr>
      </w:pPr>
      <w:r>
        <w:rPr>
          <w:rFonts w:hint="eastAsia"/>
          <w:snapToGrid w:val="0"/>
          <w:highlight w:val="none"/>
          <w:lang w:val="en-US" w:eastAsia="zh-CN"/>
        </w:rPr>
        <w:t>1</w:t>
      </w:r>
      <w:r>
        <w:rPr>
          <w:rFonts w:hint="eastAsia"/>
          <w:snapToGrid w:val="0"/>
          <w:highlight w:val="none"/>
        </w:rPr>
        <w:t>）应随产品出具维修说明书。</w:t>
      </w:r>
    </w:p>
    <w:p w14:paraId="78B4493F">
      <w:pPr>
        <w:ind w:firstLine="420"/>
        <w:rPr>
          <w:snapToGrid w:val="0"/>
          <w:highlight w:val="none"/>
        </w:rPr>
      </w:pPr>
      <w:r>
        <w:rPr>
          <w:rFonts w:hint="eastAsia"/>
          <w:snapToGrid w:val="0"/>
          <w:highlight w:val="none"/>
          <w:lang w:val="en-US" w:eastAsia="zh-CN"/>
        </w:rPr>
        <w:t>2</w:t>
      </w:r>
      <w:r>
        <w:rPr>
          <w:rFonts w:hint="eastAsia"/>
          <w:snapToGrid w:val="0"/>
          <w:highlight w:val="none"/>
        </w:rPr>
        <w:t>）涂油器供货还应包括现场安装所需的电源线、安装支架、固定螺栓及其它相关辅助材料。供货方应在涂油器安装过程中配合、指导安装单位完成设备的安装和调试工作，直至该设备验收合格。</w:t>
      </w:r>
    </w:p>
    <w:p w14:paraId="0E062293">
      <w:pPr>
        <w:ind w:firstLine="420"/>
        <w:rPr>
          <w:snapToGrid w:val="0"/>
          <w:highlight w:val="none"/>
        </w:rPr>
      </w:pPr>
      <w:r>
        <w:rPr>
          <w:rFonts w:hint="eastAsia"/>
          <w:snapToGrid w:val="0"/>
          <w:highlight w:val="none"/>
          <w:lang w:val="en-US" w:eastAsia="zh-CN"/>
        </w:rPr>
        <w:t>3</w:t>
      </w:r>
      <w:r>
        <w:rPr>
          <w:rFonts w:hint="eastAsia"/>
          <w:snapToGrid w:val="0"/>
          <w:highlight w:val="none"/>
        </w:rPr>
        <w:t>）附送</w:t>
      </w:r>
      <w:r>
        <w:rPr>
          <w:rFonts w:hint="eastAsia"/>
          <w:snapToGrid w:val="0"/>
          <w:highlight w:val="none"/>
          <w:lang w:eastAsia="zh-CN"/>
        </w:rPr>
        <w:t>轨道润滑装置</w:t>
      </w:r>
      <w:r>
        <w:rPr>
          <w:rFonts w:hint="eastAsia"/>
          <w:snapToGrid w:val="0"/>
          <w:highlight w:val="none"/>
          <w:lang w:val="en-US" w:eastAsia="zh-CN"/>
        </w:rPr>
        <w:t>48</w:t>
      </w:r>
      <w:r>
        <w:rPr>
          <w:rFonts w:hint="eastAsia"/>
          <w:snapToGrid w:val="0"/>
          <w:highlight w:val="none"/>
        </w:rPr>
        <w:t>kg专用润滑脂。</w:t>
      </w:r>
    </w:p>
    <w:p w14:paraId="45406E2E">
      <w:pPr>
        <w:ind w:firstLine="420"/>
        <w:rPr>
          <w:snapToGrid w:val="0"/>
          <w:highlight w:val="none"/>
        </w:rPr>
      </w:pPr>
      <w:r>
        <w:rPr>
          <w:rFonts w:hint="eastAsia"/>
          <w:snapToGrid w:val="0"/>
          <w:highlight w:val="none"/>
          <w:lang w:val="en-US" w:eastAsia="zh-CN"/>
        </w:rPr>
        <w:t>4</w:t>
      </w:r>
      <w:r>
        <w:rPr>
          <w:rFonts w:hint="eastAsia"/>
          <w:snapToGrid w:val="0"/>
          <w:highlight w:val="none"/>
        </w:rPr>
        <w:t>）</w:t>
      </w:r>
      <w:r>
        <w:rPr>
          <w:rFonts w:hint="eastAsia"/>
          <w:snapToGrid w:val="0"/>
          <w:highlight w:val="none"/>
          <w:lang w:eastAsia="zh-CN"/>
        </w:rPr>
        <w:t>轨道润滑装置</w:t>
      </w:r>
      <w:r>
        <w:rPr>
          <w:rFonts w:hint="eastAsia"/>
          <w:snapToGrid w:val="0"/>
          <w:highlight w:val="none"/>
        </w:rPr>
        <w:t>产品应在保证使用安全，润滑效果显著的前提下做到性能稳定，质量可靠，使用方便，维护简单，尽可能的降低使用单位的使用维护成本。</w:t>
      </w:r>
    </w:p>
    <w:p w14:paraId="5259037A">
      <w:pPr>
        <w:ind w:firstLine="420"/>
        <w:rPr>
          <w:snapToGrid w:val="0"/>
          <w:highlight w:val="none"/>
        </w:rPr>
      </w:pPr>
      <w:r>
        <w:rPr>
          <w:rFonts w:hint="eastAsia"/>
          <w:snapToGrid w:val="0"/>
          <w:highlight w:val="none"/>
          <w:lang w:val="en-US" w:eastAsia="zh-CN"/>
        </w:rPr>
        <w:t>5</w:t>
      </w:r>
      <w:r>
        <w:rPr>
          <w:rFonts w:hint="eastAsia"/>
          <w:snapToGrid w:val="0"/>
          <w:highlight w:val="none"/>
        </w:rPr>
        <w:t>）产品使用期间，应按使用者要求进行售后服务，该要求在订货时确定。</w:t>
      </w:r>
    </w:p>
    <w:p w14:paraId="410BE41C">
      <w:pPr>
        <w:ind w:firstLine="420"/>
        <w:rPr>
          <w:snapToGrid w:val="0"/>
          <w:highlight w:val="none"/>
        </w:rPr>
      </w:pPr>
      <w:r>
        <w:rPr>
          <w:rFonts w:hint="eastAsia"/>
          <w:snapToGrid w:val="0"/>
          <w:highlight w:val="none"/>
          <w:lang w:val="en-US" w:eastAsia="zh-CN"/>
        </w:rPr>
        <w:t>6</w:t>
      </w:r>
      <w:r>
        <w:rPr>
          <w:rFonts w:hint="eastAsia"/>
          <w:snapToGrid w:val="0"/>
          <w:highlight w:val="none"/>
        </w:rPr>
        <w:t>）培训运营单位相关使用维护人员。</w:t>
      </w:r>
    </w:p>
    <w:p w14:paraId="19368F76">
      <w:pPr>
        <w:ind w:firstLine="420"/>
        <w:rPr>
          <w:snapToGrid w:val="0"/>
          <w:highlight w:val="none"/>
        </w:rPr>
      </w:pPr>
      <w:r>
        <w:rPr>
          <w:rFonts w:hint="eastAsia"/>
          <w:snapToGrid w:val="0"/>
          <w:highlight w:val="none"/>
          <w:lang w:val="en-US" w:eastAsia="zh-CN"/>
        </w:rPr>
        <w:t>7</w:t>
      </w:r>
      <w:r>
        <w:rPr>
          <w:rFonts w:hint="eastAsia"/>
          <w:snapToGrid w:val="0"/>
          <w:highlight w:val="none"/>
        </w:rPr>
        <w:t>）涂油器2年质保期，质保期内若出现设计，制造，安装等原因产生的质量问题，免费维修或更换零部件；超出质保期有保修承诺和措施。</w:t>
      </w:r>
    </w:p>
    <w:p w14:paraId="64435814">
      <w:pPr>
        <w:ind w:firstLine="420"/>
        <w:rPr>
          <w:snapToGrid w:val="0"/>
          <w:highlight w:val="none"/>
        </w:rPr>
      </w:pPr>
      <w:r>
        <w:rPr>
          <w:rFonts w:hint="eastAsia"/>
          <w:snapToGrid w:val="0"/>
          <w:highlight w:val="none"/>
          <w:lang w:val="en-US" w:eastAsia="zh-CN"/>
        </w:rPr>
        <w:t>8</w:t>
      </w:r>
      <w:r>
        <w:rPr>
          <w:rFonts w:hint="eastAsia"/>
          <w:snapToGrid w:val="0"/>
          <w:highlight w:val="none"/>
        </w:rPr>
        <w:t>）设备供应商必须有售后服务的技术咨询热线，售后服务的团队，必须承诺设备不会因停产导致零部件停止供应，必须具备提供全寿命期内售后维修服务的能力。</w:t>
      </w:r>
    </w:p>
    <w:p w14:paraId="504218F4">
      <w:pPr>
        <w:ind w:firstLine="420"/>
        <w:rPr>
          <w:snapToGrid w:val="0"/>
          <w:highlight w:val="none"/>
        </w:rPr>
      </w:pPr>
      <w:r>
        <w:rPr>
          <w:rFonts w:hint="eastAsia"/>
          <w:snapToGrid w:val="0"/>
          <w:highlight w:val="none"/>
          <w:lang w:val="en-US" w:eastAsia="zh-CN"/>
        </w:rPr>
        <w:t>9</w:t>
      </w:r>
      <w:r>
        <w:rPr>
          <w:rFonts w:hint="eastAsia"/>
          <w:snapToGrid w:val="0"/>
          <w:highlight w:val="none"/>
        </w:rPr>
        <w:t>）</w:t>
      </w:r>
      <w:r>
        <w:rPr>
          <w:rFonts w:hint="eastAsia"/>
          <w:snapToGrid w:val="0"/>
          <w:highlight w:val="none"/>
          <w:lang w:eastAsia="zh-CN"/>
        </w:rPr>
        <w:t>轨道润滑装置</w:t>
      </w:r>
      <w:r>
        <w:rPr>
          <w:rFonts w:hint="eastAsia"/>
          <w:snapToGrid w:val="0"/>
          <w:highlight w:val="none"/>
        </w:rPr>
        <w:t>内部电缆线具备良好的阻燃、耐火及防潮性能，所设电箱安全接地。</w:t>
      </w:r>
    </w:p>
    <w:p w14:paraId="3831FB4C">
      <w:pPr>
        <w:numPr>
          <w:ilvl w:val="0"/>
          <w:numId w:val="0"/>
        </w:numPr>
        <w:spacing w:before="156" w:beforeLines="50" w:line="360" w:lineRule="auto"/>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t xml:space="preserve">10、包装，标志和储藏 </w:t>
      </w:r>
    </w:p>
    <w:p w14:paraId="3A068706">
      <w:pPr>
        <w:ind w:firstLine="420"/>
        <w:rPr>
          <w:snapToGrid w:val="0"/>
          <w:highlight w:val="none"/>
        </w:rPr>
      </w:pPr>
      <w:r>
        <w:rPr>
          <w:rFonts w:hint="eastAsia"/>
          <w:snapToGrid w:val="0"/>
          <w:highlight w:val="none"/>
        </w:rPr>
        <w:t>1）产品经出厂试验合格后按厂家标准包装，若无厂家包装标准，则按国家标</w:t>
      </w:r>
      <w:r>
        <w:rPr>
          <w:snapToGrid w:val="0"/>
          <w:highlight w:val="none"/>
        </w:rPr>
        <w:t xml:space="preserve">GB/T13384 </w:t>
      </w:r>
      <w:r>
        <w:rPr>
          <w:rFonts w:hint="eastAsia"/>
          <w:snapToGrid w:val="0"/>
          <w:highlight w:val="none"/>
        </w:rPr>
        <w:t>的规定进行包装。</w:t>
      </w:r>
    </w:p>
    <w:p w14:paraId="6A98CB14">
      <w:pPr>
        <w:ind w:firstLine="420"/>
        <w:rPr>
          <w:snapToGrid w:val="0"/>
          <w:highlight w:val="none"/>
        </w:rPr>
      </w:pPr>
      <w:r>
        <w:rPr>
          <w:rFonts w:hint="eastAsia"/>
          <w:snapToGrid w:val="0"/>
          <w:highlight w:val="none"/>
        </w:rPr>
        <w:t>2）每台产品必须附有产品《合格证》、《产品维护说明书》各一份。</w:t>
      </w:r>
    </w:p>
    <w:p w14:paraId="10CBF03B">
      <w:pPr>
        <w:ind w:firstLine="420"/>
        <w:rPr>
          <w:snapToGrid w:val="0"/>
          <w:highlight w:val="none"/>
        </w:rPr>
      </w:pPr>
      <w:r>
        <w:rPr>
          <w:rFonts w:hint="eastAsia"/>
          <w:snapToGrid w:val="0"/>
          <w:highlight w:val="none"/>
        </w:rPr>
        <w:t>3）产品要适合于公路、铁路运输及装载的要求。</w:t>
      </w:r>
    </w:p>
    <w:p w14:paraId="16F0D771">
      <w:pPr>
        <w:ind w:firstLine="420"/>
        <w:rPr>
          <w:snapToGrid w:val="0"/>
          <w:highlight w:val="none"/>
        </w:rPr>
      </w:pPr>
      <w:r>
        <w:rPr>
          <w:rFonts w:hint="eastAsia"/>
          <w:snapToGrid w:val="0"/>
          <w:highlight w:val="none"/>
        </w:rPr>
        <w:t>4）不组装运输的产品必要时各部件应有便于组装的标志。</w:t>
      </w:r>
    </w:p>
    <w:p w14:paraId="3C583DDF">
      <w:pPr>
        <w:ind w:firstLine="420"/>
        <w:rPr>
          <w:snapToGrid w:val="0"/>
          <w:highlight w:val="none"/>
        </w:rPr>
      </w:pPr>
      <w:r>
        <w:rPr>
          <w:rFonts w:hint="eastAsia"/>
          <w:snapToGrid w:val="0"/>
          <w:highlight w:val="none"/>
        </w:rPr>
        <w:t>5）可动部分和触头应固定。</w:t>
      </w:r>
    </w:p>
    <w:p w14:paraId="470084AD">
      <w:pPr>
        <w:ind w:firstLine="420"/>
        <w:rPr>
          <w:snapToGrid w:val="0"/>
          <w:highlight w:val="none"/>
        </w:rPr>
      </w:pPr>
      <w:r>
        <w:rPr>
          <w:rFonts w:hint="eastAsia"/>
          <w:snapToGrid w:val="0"/>
          <w:highlight w:val="none"/>
        </w:rPr>
        <w:t>6）装箱后，箱子外壁应有下列文字及标记：</w:t>
      </w:r>
    </w:p>
    <w:p w14:paraId="64A71B64">
      <w:pPr>
        <w:ind w:firstLine="840" w:firstLineChars="400"/>
        <w:rPr>
          <w:snapToGrid w:val="0"/>
          <w:highlight w:val="none"/>
        </w:rPr>
      </w:pPr>
      <w:r>
        <w:rPr>
          <w:rFonts w:hint="eastAsia"/>
          <w:snapToGrid w:val="0"/>
          <w:highlight w:val="none"/>
        </w:rPr>
        <w:t>a）制造厂厂名、产品型号及名称。</w:t>
      </w:r>
    </w:p>
    <w:p w14:paraId="548EE393">
      <w:pPr>
        <w:ind w:firstLine="840" w:firstLineChars="400"/>
        <w:rPr>
          <w:snapToGrid w:val="0"/>
          <w:highlight w:val="none"/>
        </w:rPr>
      </w:pPr>
      <w:r>
        <w:rPr>
          <w:rFonts w:hint="eastAsia"/>
          <w:snapToGrid w:val="0"/>
          <w:highlight w:val="none"/>
        </w:rPr>
        <w:t>b）收货单位名称和地址。</w:t>
      </w:r>
    </w:p>
    <w:p w14:paraId="083BD76B">
      <w:pPr>
        <w:ind w:firstLine="420"/>
        <w:rPr>
          <w:snapToGrid w:val="0"/>
          <w:highlight w:val="none"/>
        </w:rPr>
      </w:pPr>
      <w:r>
        <w:rPr>
          <w:rFonts w:hint="eastAsia"/>
          <w:snapToGrid w:val="0"/>
          <w:highlight w:val="none"/>
        </w:rPr>
        <w:t>7）产品的安装、使用和维护方面有产品《产品维护说明书》规定。</w:t>
      </w:r>
    </w:p>
    <w:p w14:paraId="70DB4B86">
      <w:pPr>
        <w:ind w:firstLine="420"/>
        <w:rPr>
          <w:snapToGrid w:val="0"/>
          <w:highlight w:val="none"/>
        </w:rPr>
      </w:pPr>
      <w:r>
        <w:rPr>
          <w:rFonts w:hint="eastAsia"/>
          <w:snapToGrid w:val="0"/>
          <w:highlight w:val="none"/>
        </w:rPr>
        <w:t>8）专用润滑脂需采用客户接受的包装，以免货物损坏和污染。</w:t>
      </w:r>
    </w:p>
    <w:p w14:paraId="2FFC7B72">
      <w:pPr>
        <w:ind w:firstLine="420"/>
        <w:rPr>
          <w:snapToGrid w:val="0"/>
          <w:highlight w:val="none"/>
        </w:rPr>
      </w:pPr>
      <w:r>
        <w:rPr>
          <w:rFonts w:hint="eastAsia"/>
          <w:snapToGrid w:val="0"/>
          <w:highlight w:val="none"/>
        </w:rPr>
        <w:t>9）专用润滑脂标牌需符合相关规定，并至少包含以下内容：</w:t>
      </w:r>
    </w:p>
    <w:p w14:paraId="2E605447">
      <w:pPr>
        <w:ind w:firstLine="840" w:firstLineChars="400"/>
        <w:rPr>
          <w:snapToGrid w:val="0"/>
          <w:highlight w:val="none"/>
        </w:rPr>
      </w:pPr>
      <w:r>
        <w:rPr>
          <w:rFonts w:hint="eastAsia"/>
          <w:snapToGrid w:val="0"/>
          <w:highlight w:val="none"/>
        </w:rPr>
        <w:t>a）供货厂家名称等信息。</w:t>
      </w:r>
    </w:p>
    <w:p w14:paraId="47321BEC">
      <w:pPr>
        <w:ind w:firstLine="840" w:firstLineChars="400"/>
        <w:rPr>
          <w:rFonts w:hint="eastAsia"/>
          <w:snapToGrid w:val="0"/>
          <w:highlight w:val="none"/>
        </w:rPr>
      </w:pPr>
      <w:r>
        <w:rPr>
          <w:rFonts w:hint="eastAsia"/>
          <w:snapToGrid w:val="0"/>
          <w:highlight w:val="none"/>
        </w:rPr>
        <w:t>b）产品规格参数等信息。</w:t>
      </w:r>
    </w:p>
    <w:p w14:paraId="0A706A05">
      <w:pPr>
        <w:numPr>
          <w:ilvl w:val="0"/>
          <w:numId w:val="0"/>
        </w:numPr>
        <w:spacing w:before="156" w:beforeLines="50" w:line="360" w:lineRule="auto"/>
        <w:rPr>
          <w:rFonts w:hint="default" w:ascii="宋体" w:hAnsi="宋体" w:eastAsia="宋体" w:cs="宋体"/>
          <w:b/>
          <w:sz w:val="24"/>
          <w:highlight w:val="none"/>
          <w:lang w:val="en-US" w:eastAsia="zh-CN"/>
        </w:rPr>
      </w:pPr>
      <w:r>
        <w:rPr>
          <w:rFonts w:hint="eastAsia" w:ascii="宋体" w:hAnsi="宋体" w:eastAsia="宋体" w:cs="宋体"/>
          <w:b/>
          <w:sz w:val="24"/>
          <w:highlight w:val="none"/>
          <w:lang w:val="en-US" w:eastAsia="zh-CN"/>
        </w:rPr>
        <w:t>11、工期</w:t>
      </w:r>
    </w:p>
    <w:p w14:paraId="1E644010">
      <w:pPr>
        <w:ind w:firstLine="420"/>
        <w:rPr>
          <w:rFonts w:hint="eastAsia"/>
          <w:snapToGrid w:val="0"/>
          <w:highlight w:val="none"/>
          <w:lang w:val="en-US" w:eastAsia="zh-CN"/>
        </w:rPr>
      </w:pPr>
      <w:r>
        <w:rPr>
          <w:rFonts w:hint="eastAsia"/>
          <w:snapToGrid w:val="0"/>
          <w:highlight w:val="none"/>
          <w:lang w:val="en-US" w:eastAsia="zh-CN"/>
        </w:rPr>
        <w:t>自签订合同之日起30天内完成供货安装，实际进场时间以招标人通知并完成进场开工报审手续为准。</w:t>
      </w:r>
    </w:p>
    <w:p w14:paraId="405FB3F4">
      <w:pPr>
        <w:ind w:firstLine="420"/>
        <w:jc w:val="both"/>
        <w:rPr>
          <w:rFonts w:hint="eastAsia"/>
          <w:highlight w:val="none"/>
          <w:lang w:val="en-US" w:eastAsia="zh-CN"/>
        </w:rPr>
      </w:pPr>
    </w:p>
    <w:p w14:paraId="46A57349">
      <w:pPr>
        <w:rPr>
          <w:rFonts w:hint="eastAsia" w:ascii="宋体"/>
          <w:b/>
          <w:color w:val="auto"/>
          <w:sz w:val="30"/>
          <w:szCs w:val="30"/>
          <w:highlight w:val="none"/>
          <w:lang w:val="en-US" w:eastAsia="zh-CN"/>
        </w:rPr>
      </w:pPr>
      <w:r>
        <w:rPr>
          <w:rFonts w:hint="eastAsia" w:ascii="宋体"/>
          <w:b/>
          <w:color w:val="auto"/>
          <w:sz w:val="30"/>
          <w:szCs w:val="30"/>
          <w:highlight w:val="none"/>
          <w:lang w:val="en-US" w:eastAsia="zh-CN"/>
        </w:rPr>
        <w:br w:type="page"/>
      </w:r>
    </w:p>
    <w:p w14:paraId="09506BEB">
      <w:pPr>
        <w:numPr>
          <w:ilvl w:val="0"/>
          <w:numId w:val="0"/>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lang w:val="en-US" w:eastAsia="zh-CN"/>
        </w:rPr>
        <w:t xml:space="preserve">第六章 </w:t>
      </w:r>
      <w:r>
        <w:rPr>
          <w:rFonts w:hint="eastAsia" w:ascii="宋体"/>
          <w:b/>
          <w:color w:val="auto"/>
          <w:sz w:val="30"/>
          <w:szCs w:val="30"/>
          <w:highlight w:val="none"/>
        </w:rPr>
        <w:t>合同条款及格式</w:t>
      </w:r>
    </w:p>
    <w:p w14:paraId="203D244D">
      <w:pPr>
        <w:pageBreakBefore w:val="0"/>
        <w:widowControl/>
        <w:numPr>
          <w:ilvl w:val="0"/>
          <w:numId w:val="5"/>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74"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74"/>
    </w:p>
    <w:p w14:paraId="37EACBC2">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14:paraId="258A782A">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75" w:name="_Toc296602498"/>
      <w:bookmarkStart w:id="76" w:name="_Toc246996253"/>
      <w:bookmarkStart w:id="77" w:name="_Toc246996996"/>
      <w:bookmarkStart w:id="78" w:name="_Toc247085768"/>
      <w:bookmarkStart w:id="79" w:name="_Toc469495742"/>
      <w:bookmarkStart w:id="80" w:name="_Toc152042388"/>
      <w:bookmarkStart w:id="81" w:name="_Toc152045610"/>
      <w:bookmarkStart w:id="82" w:name="_Toc179632628"/>
      <w:bookmarkStart w:id="83" w:name="_Toc144974578"/>
      <w:r>
        <w:rPr>
          <w:rFonts w:hint="eastAsia" w:ascii="宋体" w:hAnsi="宋体" w:cs="宋体"/>
          <w:color w:val="auto"/>
          <w:szCs w:val="21"/>
          <w:highlight w:val="none"/>
        </w:rPr>
        <w:t>买    方：                                   卖    方：</w:t>
      </w:r>
    </w:p>
    <w:p w14:paraId="17D99DC6">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14:paraId="5FE94EB9">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14:paraId="3C67D217">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14:paraId="799E7F69">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14:paraId="1C913DDC">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14:paraId="34ED9058">
      <w:pPr>
        <w:pageBreakBefore w:val="0"/>
        <w:numPr>
          <w:ilvl w:val="0"/>
          <w:numId w:val="6"/>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14:paraId="3DBC4E7C">
      <w:pPr>
        <w:pageBreakBefore w:val="0"/>
        <w:numPr>
          <w:ilvl w:val="0"/>
          <w:numId w:val="6"/>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14:paraId="5315E82B">
      <w:pPr>
        <w:pageBreakBefore w:val="0"/>
        <w:numPr>
          <w:ilvl w:val="0"/>
          <w:numId w:val="6"/>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14:paraId="4F92F75D">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14:paraId="515B3287">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14:paraId="7FE7365C">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14:paraId="73F3364E">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14:paraId="7175A080">
      <w:pPr>
        <w:pageBreakBefore w:val="0"/>
        <w:numPr>
          <w:ilvl w:val="0"/>
          <w:numId w:val="7"/>
        </w:numPr>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付款方式：</w:t>
      </w:r>
    </w:p>
    <w:p w14:paraId="29627CB7">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w:t>
      </w:r>
      <w:r>
        <w:rPr>
          <w:rFonts w:hint="eastAsia" w:ascii="宋体" w:hAnsi="宋体" w:eastAsia="宋体" w:cs="宋体"/>
          <w:b/>
          <w:bCs/>
          <w:color w:val="auto"/>
          <w:szCs w:val="21"/>
          <w:highlight w:val="none"/>
          <w:lang w:val="en-US" w:eastAsia="zh-CN"/>
        </w:rPr>
        <w:t>工</w:t>
      </w:r>
      <w:r>
        <w:rPr>
          <w:rFonts w:hint="eastAsia" w:ascii="宋体" w:hAnsi="宋体" w:eastAsia="宋体" w:cs="宋体"/>
          <w:b/>
          <w:bCs/>
          <w:color w:val="auto"/>
          <w:szCs w:val="21"/>
          <w:highlight w:val="none"/>
        </w:rPr>
        <w:t>期：</w:t>
      </w:r>
    </w:p>
    <w:p w14:paraId="725C5385">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14:paraId="3A664B96">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14:paraId="0CEF4E97">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14:paraId="653ADFB5">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14:paraId="68A3318B">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14:paraId="5B4D2076">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14:paraId="19BCD0B3">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14:paraId="728D33DE">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14:paraId="0149848B">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14:paraId="435CE53E">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14:paraId="6EEA7753">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14:paraId="1E155D94">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14:paraId="60675996">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14:paraId="1FAB81BE">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14:paraId="13189E6E">
      <w:pPr>
        <w:pStyle w:val="8"/>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14:paraId="6E4BF9FD">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84" w:name="_Toc23596"/>
      <w:r>
        <w:rPr>
          <w:rFonts w:hint="eastAsia" w:ascii="宋体" w:hAnsi="宋体" w:cs="宋体"/>
          <w:b/>
          <w:color w:val="auto"/>
          <w:sz w:val="30"/>
          <w:szCs w:val="30"/>
          <w:highlight w:val="none"/>
        </w:rPr>
        <w:t>二  合同条款</w:t>
      </w:r>
      <w:bookmarkEnd w:id="75"/>
      <w:bookmarkEnd w:id="76"/>
      <w:bookmarkEnd w:id="77"/>
      <w:bookmarkEnd w:id="78"/>
      <w:bookmarkEnd w:id="79"/>
      <w:bookmarkEnd w:id="80"/>
      <w:bookmarkEnd w:id="81"/>
      <w:bookmarkEnd w:id="82"/>
      <w:bookmarkEnd w:id="83"/>
      <w:bookmarkEnd w:id="84"/>
    </w:p>
    <w:p w14:paraId="4AD49F5E">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14:paraId="01210E9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14:paraId="42A98F4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14:paraId="3854BAB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14:paraId="43D09E4F">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14:paraId="6CF407B8">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14:paraId="085B409C">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14:paraId="103BAD8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14:paraId="7B4387AC">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14:paraId="5E1D74F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14:paraId="73858A2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14:paraId="77C99DC5">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14:paraId="4DC8358C">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14:paraId="76E760E5">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14:paraId="7B544C87">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14:paraId="1C4F2DBB">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14:paraId="3B9F2EC1">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14:paraId="23137987">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14:paraId="6DEBC016">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52E9B055">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0EC4DAB5">
      <w:pPr>
        <w:pStyle w:val="6"/>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602FEA4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14:paraId="4DEF4266">
      <w:pPr>
        <w:pStyle w:val="6"/>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2939DE72">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14:paraId="70727883">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14:paraId="4378486F">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14:paraId="43F8D8F5">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14:paraId="71BB7DFD">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14:paraId="29443A92">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14:paraId="0FEE346C">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14:paraId="17B18143">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14:paraId="35CBBF9C">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14:paraId="69105C20">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14:paraId="027EF004">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14:paraId="5BE77ED5">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14:paraId="41A2F86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14:paraId="2F6D6F1E">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4A49C5B3">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14:paraId="21A6DE53">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14:paraId="32F8E513">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14:paraId="35CA3B51">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14:paraId="56E83A6F">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14:paraId="1E3112AF">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14:paraId="63C6DC11">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14:paraId="57C0F9CA">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14:paraId="4C5C603E">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14:paraId="51B9AB36">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14:paraId="035BFCF2">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14:paraId="5A542819">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14:paraId="05EB13E6">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14:paraId="0333E7ED">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14:paraId="5D48E983">
      <w:pPr>
        <w:pStyle w:val="6"/>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14:paraId="37CD92CD">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14:paraId="2E14674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14:paraId="342563D9">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14:paraId="5A9DDC9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14:paraId="615F188C">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14:paraId="74B4A9A2">
      <w:pPr>
        <w:pStyle w:val="6"/>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14:paraId="2E83BEB2">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14:paraId="371D280A">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14:paraId="4713EB28">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14:paraId="0B50AFF7">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14:paraId="0710222B">
      <w:pPr>
        <w:pStyle w:val="6"/>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14:paraId="5EDF32BC">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14:paraId="5D7B1277">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14:paraId="4D241C39">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14:paraId="47C671CA">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14:paraId="584F09B3">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14:paraId="4874AE8E">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14:paraId="0C4CDC3B">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14:paraId="0B9822EB">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4AA93F5F">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14:paraId="2700D7D9">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1C256053">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21200625">
      <w:pPr>
        <w:pStyle w:val="6"/>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14:paraId="5F5CF183">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14:paraId="0334A1DC">
      <w:pPr>
        <w:spacing w:line="4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17.</w:t>
      </w:r>
      <w:r>
        <w:rPr>
          <w:rFonts w:hint="eastAsia" w:ascii="宋体" w:hAnsi="宋体" w:cs="宋体"/>
          <w:color w:val="auto"/>
          <w:szCs w:val="21"/>
          <w:highlight w:val="none"/>
          <w:lang w:val="en-US" w:eastAsia="zh-CN"/>
        </w:rPr>
        <w:t>本项目不收取</w:t>
      </w:r>
      <w:r>
        <w:rPr>
          <w:rFonts w:hint="eastAsia" w:ascii="宋体" w:hAnsi="宋体" w:cs="宋体"/>
          <w:color w:val="auto"/>
          <w:szCs w:val="21"/>
          <w:highlight w:val="none"/>
        </w:rPr>
        <w:t>履约保证金</w:t>
      </w:r>
      <w:r>
        <w:rPr>
          <w:rFonts w:hint="eastAsia" w:ascii="宋体" w:hAnsi="宋体" w:cs="宋体"/>
          <w:color w:val="auto"/>
          <w:szCs w:val="21"/>
          <w:highlight w:val="none"/>
          <w:lang w:eastAsia="zh-CN"/>
        </w:rPr>
        <w:t>。</w:t>
      </w:r>
    </w:p>
    <w:p w14:paraId="0A90E652">
      <w:pPr>
        <w:pStyle w:val="6"/>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14:paraId="1B7F2498">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14:paraId="7C99EBCF">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14:paraId="6FA0C653">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14:paraId="4B1850AE">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14:paraId="3B78A91D">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14:paraId="240E2D92">
      <w:pPr>
        <w:pStyle w:val="6"/>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14:paraId="019DD0BD">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14:paraId="063644B7">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14:paraId="05BB3F2F">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14:paraId="74DC0156">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14:paraId="5F9AFAB6">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14:paraId="2F648269">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14:paraId="7904C5DB">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14:paraId="06830D60">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14:paraId="59C5FC03">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14:paraId="0826B553">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14:paraId="12C5F1FF">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14:paraId="0D460FC7">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14:paraId="2D2EC30E">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14:paraId="6195BA03">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14:paraId="5CC609C9">
      <w:pPr>
        <w:pStyle w:val="6"/>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14:paraId="4A9304B1">
      <w:pPr>
        <w:rPr>
          <w:rFonts w:hint="eastAsia" w:ascii="宋体" w:hAnsi="宋体" w:eastAsia="宋体" w:cs="宋体"/>
          <w:color w:val="auto"/>
          <w:kern w:val="2"/>
          <w:sz w:val="28"/>
          <w:szCs w:val="28"/>
          <w:highlight w:val="none"/>
          <w:u w:color="auto"/>
          <w:lang w:val="en-US" w:eastAsia="zh-CN" w:bidi="ar"/>
        </w:rPr>
      </w:pPr>
    </w:p>
    <w:p w14:paraId="5773D273">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14:paraId="27369BF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bookmarkStart w:id="85" w:name="_Toc6275_WPSOffice_Level1"/>
      <w:bookmarkEnd w:id="85"/>
      <w:r>
        <w:rPr>
          <w:rFonts w:hint="eastAsia" w:ascii="宋体" w:hAnsi="宋体" w:eastAsia="宋体" w:cs="宋体"/>
          <w:color w:val="auto"/>
          <w:kern w:val="2"/>
          <w:sz w:val="28"/>
          <w:szCs w:val="28"/>
          <w:highlight w:val="none"/>
          <w:u w:color="auto"/>
          <w:lang w:val="en-US" w:eastAsia="zh-CN" w:bidi="ar"/>
        </w:rPr>
        <w:t>第七章 投标文件格式</w:t>
      </w:r>
    </w:p>
    <w:p w14:paraId="77274FAC">
      <w:pPr>
        <w:jc w:val="right"/>
        <w:rPr>
          <w:rFonts w:ascii="宋体" w:hAnsi="宋体"/>
          <w:sz w:val="28"/>
          <w:szCs w:val="28"/>
          <w:highlight w:val="none"/>
          <w:bdr w:val="single" w:color="auto" w:sz="4" w:space="0"/>
        </w:rPr>
      </w:pPr>
    </w:p>
    <w:p w14:paraId="6AF3F164">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58B3C774">
      <w:pPr>
        <w:jc w:val="center"/>
        <w:rPr>
          <w:rFonts w:hint="eastAsia" w:ascii="宋体"/>
          <w:b/>
          <w:color w:val="auto"/>
          <w:sz w:val="44"/>
          <w:szCs w:val="44"/>
          <w:highlight w:val="none"/>
        </w:rPr>
      </w:pPr>
      <w:bookmarkStart w:id="86" w:name="_Toc21573"/>
      <w:bookmarkEnd w:id="86"/>
      <w:bookmarkStart w:id="87" w:name="_Toc350698753"/>
      <w:bookmarkStart w:id="88" w:name="_Toc449028949"/>
      <w:r>
        <w:rPr>
          <w:rFonts w:hint="eastAsia" w:ascii="宋体"/>
          <w:b/>
          <w:color w:val="auto"/>
          <w:sz w:val="44"/>
          <w:szCs w:val="44"/>
          <w:highlight w:val="none"/>
        </w:rPr>
        <w:t>资信证明文件</w:t>
      </w:r>
      <w:bookmarkEnd w:id="87"/>
      <w:bookmarkEnd w:id="88"/>
    </w:p>
    <w:p w14:paraId="2924478C">
      <w:pPr>
        <w:jc w:val="center"/>
        <w:rPr>
          <w:rFonts w:hint="eastAsia" w:ascii="宋体"/>
          <w:color w:val="auto"/>
          <w:sz w:val="32"/>
          <w:szCs w:val="32"/>
          <w:highlight w:val="none"/>
        </w:rPr>
      </w:pPr>
      <w:r>
        <w:rPr>
          <w:rFonts w:hint="eastAsia" w:ascii="宋体"/>
          <w:color w:val="auto"/>
          <w:sz w:val="32"/>
          <w:szCs w:val="32"/>
          <w:highlight w:val="none"/>
        </w:rPr>
        <w:t>（投标文件一）</w:t>
      </w:r>
    </w:p>
    <w:p w14:paraId="65B37F8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6693B55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bookmarkStart w:id="89" w:name="_Toc7180_WPSOffice_Level3"/>
      <w:bookmarkEnd w:id="89"/>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15FE458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A07C83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7E71AA4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8731FE8">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2C3F69BD">
      <w:pPr>
        <w:pStyle w:val="22"/>
        <w:widowControl/>
        <w:rPr>
          <w:highlight w:val="none"/>
          <w:lang w:val="en-US"/>
        </w:rPr>
      </w:pPr>
      <w:r>
        <w:rPr>
          <w:highlight w:val="none"/>
          <w:lang w:val="en-US"/>
        </w:rPr>
        <w:t xml:space="preserve"> </w:t>
      </w:r>
    </w:p>
    <w:p w14:paraId="3BE2C95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4E0BCE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3942CBB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50DD432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7E07FC36">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20BFACC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71D24498">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val="0"/>
          <w:color w:val="000000"/>
          <w:kern w:val="0"/>
          <w:sz w:val="44"/>
          <w:szCs w:val="44"/>
          <w:highlight w:val="none"/>
          <w:lang w:val="en-US" w:eastAsia="zh-CN" w:bidi="ar"/>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90" w:name="_Toc14710_WPSOffice_Level1"/>
      <w:bookmarkEnd w:id="90"/>
    </w:p>
    <w:p w14:paraId="65115373">
      <w:pPr>
        <w:keepNext w:val="0"/>
        <w:keepLines w:val="0"/>
        <w:widowControl/>
        <w:suppressLineNumbers w:val="0"/>
        <w:spacing w:before="0" w:beforeAutospacing="0" w:after="0" w:afterAutospacing="0" w:line="640" w:lineRule="exact"/>
        <w:ind w:left="0" w:right="0"/>
        <w:jc w:val="center"/>
        <w:rPr>
          <w:rFonts w:hint="default" w:ascii="Times New Roman" w:hAnsi="Times New Roman" w:eastAsia="宋体" w:cs="Times New Roman"/>
          <w:b/>
          <w:bCs w:val="0"/>
          <w:color w:val="000000"/>
          <w:kern w:val="0"/>
          <w:sz w:val="44"/>
          <w:szCs w:val="44"/>
          <w:highlight w:val="none"/>
          <w:lang w:val="en-US" w:eastAsia="zh-CN" w:bidi="ar"/>
        </w:rPr>
      </w:pPr>
    </w:p>
    <w:p w14:paraId="3545A7CD">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目   录</w:t>
      </w:r>
    </w:p>
    <w:p w14:paraId="40C619F5">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5CE23CFB">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1D8ADBD2">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（1）法人代表人身份证明及其有效身份证（或法人代表授权委托书及其有效身份证）（格式见附件）；</w:t>
      </w:r>
    </w:p>
    <w:p w14:paraId="1725158E">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（2）投标人有效的营业执照、税务登记证、组织机构代码证（或三合一证书）；</w:t>
      </w:r>
    </w:p>
    <w:p w14:paraId="521C445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（3）诚信投标承诺书（格式见附件）；</w:t>
      </w:r>
    </w:p>
    <w:p w14:paraId="65BB49EB">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（4）服务承诺：是否响应招标文件要求的书面说明和服务承诺书（格式见附件）；</w:t>
      </w:r>
    </w:p>
    <w:p w14:paraId="4BB68CB4">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（5）详细的货物名称、规格、技术参数等【附技术参数响应表、货物的详细配置清单，格式见附件】；</w:t>
      </w:r>
    </w:p>
    <w:p w14:paraId="222DBBE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（6）招标文件中要求的资信评审（评分）的支持资料；</w:t>
      </w:r>
    </w:p>
    <w:p w14:paraId="739E322C">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szCs w:val="21"/>
          <w:highlight w:val="none"/>
          <w:lang w:val="en-US" w:eastAsia="zh-CN"/>
        </w:rPr>
      </w:pPr>
      <w:r>
        <w:rPr>
          <w:rFonts w:hint="eastAsia" w:ascii="宋体" w:hAnsi="宋体"/>
          <w:szCs w:val="21"/>
          <w:highlight w:val="none"/>
          <w:lang w:val="en-US" w:eastAsia="zh-CN"/>
        </w:rPr>
        <w:t>（7）投标人认为需要提供的其他资信证明材料。</w:t>
      </w:r>
    </w:p>
    <w:p w14:paraId="44060729">
      <w:pPr>
        <w:spacing w:line="360" w:lineRule="auto"/>
        <w:ind w:firstLine="420" w:firstLineChars="200"/>
        <w:rPr>
          <w:rFonts w:hint="eastAsia" w:ascii="宋体" w:hAnsi="Times New Roman" w:eastAsia="宋体" w:cs="Times New Roman"/>
          <w:color w:val="auto"/>
          <w:szCs w:val="21"/>
          <w:highlight w:val="none"/>
          <w:lang w:eastAsia="zh-CN"/>
        </w:rPr>
      </w:pPr>
    </w:p>
    <w:p w14:paraId="1B0FF29B">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p>
    <w:p w14:paraId="4F342F5C">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181610F">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1321D593">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9C45A5D">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14:paraId="31AC92B4">
      <w:pPr>
        <w:pStyle w:val="41"/>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91" w:name="_Toc6019_WPSOffice_Level1"/>
      <w:bookmarkEnd w:id="91"/>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14:paraId="004DED3E">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5CFE9E85">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69D60E30">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412F00BB">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14:paraId="2CF12331">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6BF27AAC">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14:paraId="1FEC4DD6">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14:paraId="181D6CF5">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14:paraId="7A6AA1B0">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14:paraId="0E2C4EC3">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14:paraId="38754A99">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14:paraId="20236F0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20A43B10">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14:paraId="5785622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489CB29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6074727E">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14:paraId="55EA6C22">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47B748E3">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207F7CD2">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07321A31">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0FE9BF61">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5B62EB1D">
      <w:pPr>
        <w:keepNext w:val="0"/>
        <w:keepLines w:val="0"/>
        <w:pageBreakBefore w:val="0"/>
        <w:kinsoku/>
        <w:wordWrap/>
        <w:overflowPunct/>
        <w:topLinePunct w:val="0"/>
        <w:autoSpaceDE/>
        <w:autoSpaceDN/>
        <w:bidi w:val="0"/>
        <w:adjustRightInd/>
        <w:snapToGrid/>
        <w:spacing w:line="38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33EA7087">
      <w:pPr>
        <w:keepNext w:val="0"/>
        <w:keepLines w:val="0"/>
        <w:pageBreakBefore w:val="0"/>
        <w:widowControl w:val="0"/>
        <w:kinsoku/>
        <w:wordWrap/>
        <w:overflowPunct/>
        <w:topLinePunct w:val="0"/>
        <w:autoSpaceDE/>
        <w:autoSpaceDN/>
        <w:bidi w:val="0"/>
        <w:adjustRightInd/>
        <w:snapToGrid/>
        <w:spacing w:line="400" w:lineRule="exact"/>
        <w:ind w:firstLine="413" w:firstLineChars="147"/>
        <w:jc w:val="center"/>
        <w:textAlignment w:val="auto"/>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19E884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本人以企业法定代表人的身份郑重承诺：</w:t>
      </w:r>
    </w:p>
    <w:p w14:paraId="2D019B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一、将遵循公开、公正和诚实信用的原则自愿参加</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项目的投标；</w:t>
      </w:r>
    </w:p>
    <w:p w14:paraId="02A0414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二、所提供的一切材料都是真实、有效、合法的；</w:t>
      </w:r>
    </w:p>
    <w:p w14:paraId="743A51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三、不出借、转让资质证书，不让他人挂靠投标，不以他人名义投标或者以其他方式弄虚作假，骗取中标；</w:t>
      </w:r>
    </w:p>
    <w:p w14:paraId="67A5CF1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四、不与其他投标人相互串通投标报价，不排挤其他投标人的公平竞争、损害招标人的合法权益；</w:t>
      </w:r>
    </w:p>
    <w:p w14:paraId="7F066EC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五、不与招标人、招标代理机构或其他投标人串通投标，损害国家利益、社会公共利益或者他人的合法权益；</w:t>
      </w:r>
    </w:p>
    <w:p w14:paraId="10E1D0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六、我公司没有下列情形</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被人民法院列入失信被执行人的；2、我公司及其法定代表人、拟任项目经理（建造师）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8、</w:t>
      </w:r>
      <w:r>
        <w:rPr>
          <w:rFonts w:hint="eastAsia" w:ascii="宋体" w:hAnsi="宋体" w:eastAsia="宋体" w:cs="宋体"/>
          <w:color w:val="auto"/>
          <w:sz w:val="21"/>
          <w:szCs w:val="21"/>
          <w:highlight w:val="none"/>
          <w:lang w:eastAsia="zh-CN"/>
        </w:rPr>
        <w:t>被列入省级、市级农民工工资支付异常名录的施工企业，限制其参加全市范围内项目投标；列入县级异常名录的施工企业，限制其参加本行政区域内项目投标。</w:t>
      </w:r>
    </w:p>
    <w:p w14:paraId="30865C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、保证中标后不转包及使用挂靠队伍，若有分包征得建设单位同意；</w:t>
      </w:r>
    </w:p>
    <w:p w14:paraId="4E062B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rPr>
        <w:t>、保证中标之后，按照投标文件承诺</w:t>
      </w:r>
      <w:r>
        <w:rPr>
          <w:rFonts w:hint="eastAsia" w:ascii="宋体" w:hAnsi="宋体" w:eastAsia="宋体" w:cs="宋体"/>
          <w:color w:val="auto"/>
          <w:sz w:val="21"/>
          <w:szCs w:val="21"/>
          <w:highlight w:val="none"/>
          <w:lang w:val="en-US" w:eastAsia="zh-CN"/>
        </w:rPr>
        <w:t>供货及服务</w:t>
      </w:r>
      <w:r>
        <w:rPr>
          <w:rFonts w:hint="eastAsia" w:ascii="宋体" w:hAnsi="宋体" w:eastAsia="宋体" w:cs="宋体"/>
          <w:color w:val="auto"/>
          <w:sz w:val="21"/>
          <w:szCs w:val="21"/>
          <w:highlight w:val="none"/>
        </w:rPr>
        <w:t>，如有违反，同意接受建设单位违约处罚；</w:t>
      </w:r>
    </w:p>
    <w:p w14:paraId="001BD4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、保证企业及所属相关人员在本次投标中无行贿等犯罪行为；</w:t>
      </w:r>
    </w:p>
    <w:p w14:paraId="6DAD321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7B57A6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14:paraId="3034D7F6">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color w:val="auto"/>
          <w:szCs w:val="21"/>
          <w:highlight w:val="none"/>
        </w:rPr>
        <w:t> </w:t>
      </w:r>
      <w:r>
        <w:rPr>
          <w:rFonts w:hint="eastAsia" w:ascii="宋体" w:hAnsi="宋体"/>
          <w:szCs w:val="21"/>
          <w:highlight w:val="none"/>
        </w:rPr>
        <w:t>开户银行：                          基本账户：</w:t>
      </w:r>
    </w:p>
    <w:p w14:paraId="3A9B76E6">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投标单位（签章或盖章）：          法定代表人（签字或签章）：</w:t>
      </w:r>
    </w:p>
    <w:p w14:paraId="11651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14:paraId="1F74D2D0">
      <w:pPr>
        <w:keepNext/>
        <w:keepLines/>
        <w:spacing w:line="720" w:lineRule="auto"/>
        <w:jc w:val="both"/>
        <w:outlineLvl w:val="2"/>
        <w:rPr>
          <w:rFonts w:hint="eastAsia"/>
          <w:b/>
          <w:bCs/>
          <w:sz w:val="28"/>
          <w:szCs w:val="28"/>
          <w:highlight w:val="none"/>
          <w:lang w:val="en-US" w:eastAsia="zh-CN"/>
        </w:rPr>
      </w:pPr>
      <w:r>
        <w:rPr>
          <w:rFonts w:hint="eastAsia" w:ascii="宋体" w:hAnsi="宋体" w:eastAsia="宋体" w:cs="宋体"/>
          <w:color w:val="000000"/>
          <w:kern w:val="0"/>
          <w:sz w:val="21"/>
          <w:szCs w:val="21"/>
          <w:highlight w:val="none"/>
          <w:u w:color="000000"/>
          <w:lang w:val="en-US" w:eastAsia="zh-CN" w:bidi="ar"/>
        </w:rPr>
        <w:br w:type="page"/>
      </w:r>
      <w:r>
        <w:rPr>
          <w:rFonts w:hint="eastAsia"/>
          <w:b/>
          <w:bCs/>
          <w:sz w:val="28"/>
          <w:szCs w:val="28"/>
          <w:highlight w:val="none"/>
          <w:lang w:val="en-US" w:eastAsia="zh-CN"/>
        </w:rPr>
        <w:t>附件3：</w:t>
      </w:r>
    </w:p>
    <w:p w14:paraId="039C3213">
      <w:pPr>
        <w:keepNext/>
        <w:keepLines/>
        <w:spacing w:line="720" w:lineRule="auto"/>
        <w:jc w:val="center"/>
        <w:outlineLvl w:val="2"/>
        <w:rPr>
          <w:b/>
          <w:bCs/>
          <w:sz w:val="28"/>
          <w:szCs w:val="28"/>
          <w:highlight w:val="none"/>
        </w:rPr>
      </w:pPr>
      <w:r>
        <w:rPr>
          <w:rFonts w:hint="eastAsia"/>
          <w:b/>
          <w:bCs/>
          <w:sz w:val="28"/>
          <w:szCs w:val="28"/>
          <w:highlight w:val="none"/>
        </w:rPr>
        <w:t>服务承诺书</w:t>
      </w:r>
    </w:p>
    <w:p w14:paraId="57F96DC0">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07E5E744">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w:t>
      </w:r>
      <w:r>
        <w:rPr>
          <w:rFonts w:hint="eastAsia" w:ascii="宋体" w:hAnsi="宋体"/>
          <w:color w:val="000000"/>
          <w:sz w:val="24"/>
          <w:highlight w:val="none"/>
          <w:lang w:val="en-US" w:eastAsia="zh-CN"/>
        </w:rPr>
        <w:t>供货和</w:t>
      </w:r>
      <w:r>
        <w:rPr>
          <w:rFonts w:hint="eastAsia" w:ascii="宋体" w:hAnsi="宋体"/>
          <w:color w:val="000000"/>
          <w:sz w:val="24"/>
          <w:highlight w:val="none"/>
        </w:rPr>
        <w:t>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14:paraId="35FECFB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14:paraId="6581C774">
      <w:pPr>
        <w:spacing w:line="720" w:lineRule="auto"/>
        <w:rPr>
          <w:rFonts w:ascii="宋体" w:hAnsi="宋体"/>
          <w:color w:val="000000"/>
          <w:sz w:val="24"/>
          <w:highlight w:val="none"/>
        </w:rPr>
      </w:pPr>
      <w:r>
        <w:rPr>
          <w:rFonts w:hint="eastAsia" w:ascii="宋体" w:hAnsi="宋体"/>
          <w:color w:val="000000"/>
          <w:sz w:val="24"/>
          <w:highlight w:val="none"/>
        </w:rPr>
        <w:t> </w:t>
      </w:r>
    </w:p>
    <w:p w14:paraId="703CAE04">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14:paraId="43BF399E">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14:paraId="6EBAEF83">
      <w:pPr>
        <w:spacing w:line="720" w:lineRule="auto"/>
        <w:ind w:firstLine="4560" w:firstLineChars="1900"/>
        <w:jc w:val="left"/>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10A8A76E">
      <w:pPr>
        <w:rPr>
          <w:rFonts w:hint="eastAsia" w:ascii="宋体" w:hAnsi="宋体"/>
          <w:b/>
          <w:color w:val="auto"/>
          <w:sz w:val="24"/>
          <w:highlight w:val="none"/>
        </w:rPr>
      </w:pPr>
      <w:r>
        <w:rPr>
          <w:rFonts w:hint="eastAsia" w:ascii="宋体" w:hAnsi="宋体"/>
          <w:b/>
          <w:color w:val="auto"/>
          <w:sz w:val="24"/>
          <w:highlight w:val="none"/>
        </w:rPr>
        <w:br w:type="page"/>
      </w:r>
    </w:p>
    <w:p w14:paraId="2FF3C81E">
      <w:pPr>
        <w:spacing w:line="360" w:lineRule="exact"/>
        <w:ind w:firstLine="354" w:firstLineChars="147"/>
        <w:rPr>
          <w:rFonts w:hint="eastAsia" w:ascii="宋体" w:hAnsi="宋体" w:eastAsia="宋体"/>
          <w:b/>
          <w:color w:val="auto"/>
          <w:sz w:val="24"/>
          <w:highlight w:val="none"/>
          <w:lang w:val="en-US" w:eastAsia="zh-CN"/>
        </w:rPr>
      </w:pPr>
      <w:r>
        <w:rPr>
          <w:rFonts w:hint="eastAsia" w:ascii="宋体" w:hAnsi="宋体"/>
          <w:b/>
          <w:color w:val="auto"/>
          <w:sz w:val="24"/>
          <w:highlight w:val="none"/>
        </w:rPr>
        <w:t>附件</w:t>
      </w:r>
      <w:r>
        <w:rPr>
          <w:rFonts w:hint="eastAsia" w:ascii="宋体" w:hAnsi="宋体"/>
          <w:b/>
          <w:color w:val="auto"/>
          <w:sz w:val="24"/>
          <w:highlight w:val="none"/>
          <w:lang w:val="en-US" w:eastAsia="zh-CN"/>
        </w:rPr>
        <w:t>4</w:t>
      </w:r>
    </w:p>
    <w:p w14:paraId="0AB08FA4">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14:paraId="72A99F48">
      <w:pPr>
        <w:rPr>
          <w:rFonts w:hint="eastAsia" w:ascii="宋体" w:hAnsi="宋体"/>
          <w:color w:val="auto"/>
          <w:sz w:val="24"/>
          <w:highlight w:val="none"/>
        </w:rPr>
      </w:pPr>
    </w:p>
    <w:tbl>
      <w:tblPr>
        <w:tblStyle w:val="26"/>
        <w:tblW w:w="91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421"/>
        <w:gridCol w:w="3094"/>
        <w:gridCol w:w="1577"/>
        <w:gridCol w:w="1962"/>
      </w:tblGrid>
      <w:tr w14:paraId="1F3A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065" w:type="dxa"/>
            <w:noWrap w:val="0"/>
            <w:vAlign w:val="center"/>
          </w:tcPr>
          <w:p w14:paraId="298EF5C7">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21" w:type="dxa"/>
            <w:noWrap w:val="0"/>
            <w:vAlign w:val="center"/>
          </w:tcPr>
          <w:p w14:paraId="37A1FA28">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94" w:type="dxa"/>
            <w:noWrap w:val="0"/>
            <w:vAlign w:val="center"/>
          </w:tcPr>
          <w:p w14:paraId="70D81C3E">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1577" w:type="dxa"/>
            <w:noWrap w:val="0"/>
            <w:vAlign w:val="center"/>
          </w:tcPr>
          <w:p w14:paraId="3104C035">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tc>
        <w:tc>
          <w:tcPr>
            <w:tcW w:w="1962" w:type="dxa"/>
            <w:noWrap w:val="0"/>
            <w:vAlign w:val="center"/>
          </w:tcPr>
          <w:p w14:paraId="74D7A069">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其他情况说明</w:t>
            </w:r>
          </w:p>
        </w:tc>
      </w:tr>
      <w:tr w14:paraId="6714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shd w:val="clear" w:color="auto" w:fill="auto"/>
            <w:noWrap w:val="0"/>
            <w:vAlign w:val="center"/>
          </w:tcPr>
          <w:p w14:paraId="0BF6D5B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21" w:type="dxa"/>
            <w:shd w:val="clear" w:color="auto" w:fill="FFFFFF"/>
            <w:noWrap w:val="0"/>
            <w:vAlign w:val="center"/>
          </w:tcPr>
          <w:p w14:paraId="59164CC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3094" w:type="dxa"/>
            <w:noWrap w:val="0"/>
            <w:vAlign w:val="center"/>
          </w:tcPr>
          <w:p w14:paraId="5FC496DC">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7" w:type="dxa"/>
            <w:noWrap w:val="0"/>
            <w:vAlign w:val="center"/>
          </w:tcPr>
          <w:p w14:paraId="268C612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s="宋体"/>
                <w:color w:val="auto"/>
                <w:szCs w:val="21"/>
                <w:highlight w:val="none"/>
              </w:rPr>
              <w:t>是/否</w:t>
            </w:r>
          </w:p>
        </w:tc>
        <w:tc>
          <w:tcPr>
            <w:tcW w:w="1962" w:type="dxa"/>
            <w:noWrap w:val="0"/>
            <w:vAlign w:val="center"/>
          </w:tcPr>
          <w:p w14:paraId="1278653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70DC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shd w:val="clear" w:color="auto" w:fill="auto"/>
            <w:noWrap w:val="0"/>
            <w:vAlign w:val="center"/>
          </w:tcPr>
          <w:p w14:paraId="27B889F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21" w:type="dxa"/>
            <w:shd w:val="clear" w:color="auto" w:fill="FFFFFF"/>
            <w:noWrap w:val="0"/>
            <w:vAlign w:val="center"/>
          </w:tcPr>
          <w:p w14:paraId="585C084D">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3094" w:type="dxa"/>
            <w:noWrap w:val="0"/>
            <w:vAlign w:val="center"/>
          </w:tcPr>
          <w:p w14:paraId="63F61108">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7" w:type="dxa"/>
            <w:noWrap w:val="0"/>
            <w:vAlign w:val="center"/>
          </w:tcPr>
          <w:p w14:paraId="40828E00">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是/否</w:t>
            </w:r>
          </w:p>
        </w:tc>
        <w:tc>
          <w:tcPr>
            <w:tcW w:w="1962" w:type="dxa"/>
            <w:noWrap w:val="0"/>
            <w:vAlign w:val="center"/>
          </w:tcPr>
          <w:p w14:paraId="4DC563E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A02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shd w:val="clear" w:color="auto" w:fill="auto"/>
            <w:noWrap w:val="0"/>
            <w:vAlign w:val="center"/>
          </w:tcPr>
          <w:p w14:paraId="4DE59FE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21" w:type="dxa"/>
            <w:shd w:val="clear" w:color="auto" w:fill="FFFFFF"/>
            <w:noWrap w:val="0"/>
            <w:vAlign w:val="center"/>
          </w:tcPr>
          <w:p w14:paraId="6686D75A">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3094" w:type="dxa"/>
            <w:noWrap w:val="0"/>
            <w:vAlign w:val="center"/>
          </w:tcPr>
          <w:p w14:paraId="1E0F2C9D">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7" w:type="dxa"/>
            <w:noWrap w:val="0"/>
            <w:vAlign w:val="center"/>
          </w:tcPr>
          <w:p w14:paraId="2FEB80AD">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是/否</w:t>
            </w:r>
          </w:p>
        </w:tc>
        <w:tc>
          <w:tcPr>
            <w:tcW w:w="1962" w:type="dxa"/>
            <w:noWrap w:val="0"/>
            <w:vAlign w:val="center"/>
          </w:tcPr>
          <w:p w14:paraId="66E6260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2664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065" w:type="dxa"/>
            <w:shd w:val="clear" w:color="auto" w:fill="auto"/>
            <w:noWrap w:val="0"/>
            <w:vAlign w:val="center"/>
          </w:tcPr>
          <w:p w14:paraId="472059F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olor w:val="auto"/>
                <w:szCs w:val="21"/>
                <w:highlight w:val="none"/>
              </w:rPr>
              <w:t>…</w:t>
            </w:r>
          </w:p>
        </w:tc>
        <w:tc>
          <w:tcPr>
            <w:tcW w:w="1421" w:type="dxa"/>
            <w:shd w:val="clear" w:color="auto" w:fill="FFFFFF"/>
            <w:noWrap w:val="0"/>
            <w:vAlign w:val="center"/>
          </w:tcPr>
          <w:p w14:paraId="5DBEAC56">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3094" w:type="dxa"/>
            <w:noWrap w:val="0"/>
            <w:vAlign w:val="center"/>
          </w:tcPr>
          <w:p w14:paraId="5A351195">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7" w:type="dxa"/>
            <w:noWrap w:val="0"/>
            <w:vAlign w:val="center"/>
          </w:tcPr>
          <w:p w14:paraId="4C5719E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default" w:ascii="宋体" w:hAnsi="宋体" w:cs="宋体"/>
                <w:color w:val="auto"/>
                <w:szCs w:val="21"/>
                <w:highlight w:val="none"/>
              </w:rPr>
              <w:t>…</w:t>
            </w:r>
          </w:p>
        </w:tc>
        <w:tc>
          <w:tcPr>
            <w:tcW w:w="1962" w:type="dxa"/>
            <w:noWrap w:val="0"/>
            <w:vAlign w:val="center"/>
          </w:tcPr>
          <w:p w14:paraId="14F6F5E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14:paraId="785B76DE">
      <w:pPr>
        <w:autoSpaceDE w:val="0"/>
        <w:autoSpaceDN w:val="0"/>
        <w:adjustRightInd w:val="0"/>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注：1.</w:t>
      </w: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lang w:val="zh-CN"/>
        </w:rPr>
        <w:t>应逐一说明投标产品和</w:t>
      </w:r>
      <w:r>
        <w:rPr>
          <w:rFonts w:hint="eastAsia" w:ascii="宋体" w:hAnsi="宋体" w:eastAsia="宋体" w:cs="宋体"/>
          <w:color w:val="auto"/>
          <w:szCs w:val="21"/>
          <w:highlight w:val="none"/>
          <w:lang w:val="en-US" w:eastAsia="zh-CN"/>
        </w:rPr>
        <w:t>参数</w:t>
      </w:r>
      <w:r>
        <w:rPr>
          <w:rFonts w:hint="eastAsia" w:ascii="宋体" w:hAnsi="宋体" w:eastAsia="宋体" w:cs="宋体"/>
          <w:color w:val="auto"/>
          <w:szCs w:val="21"/>
          <w:highlight w:val="none"/>
          <w:lang w:val="zh-CN"/>
        </w:rPr>
        <w:t>响应；</w:t>
      </w:r>
    </w:p>
    <w:p w14:paraId="5B04FEBE">
      <w:pPr>
        <w:autoSpaceDE w:val="0"/>
        <w:autoSpaceDN w:val="0"/>
        <w:adjustRightInd w:val="0"/>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2.如果行数不够，请自行增加。</w:t>
      </w:r>
    </w:p>
    <w:p w14:paraId="4FC4FC10">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4AADAEC1">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7E122AD">
      <w:pPr>
        <w:spacing w:line="480" w:lineRule="auto"/>
        <w:rPr>
          <w:rFonts w:ascii="宋体" w:hAnsi="宋体"/>
          <w:color w:val="auto"/>
          <w:szCs w:val="21"/>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E60F9A6">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货物的详细配置清单</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436"/>
        <w:gridCol w:w="2154"/>
        <w:gridCol w:w="1171"/>
        <w:gridCol w:w="2180"/>
        <w:gridCol w:w="1532"/>
      </w:tblGrid>
      <w:tr w14:paraId="7A8A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noWrap w:val="0"/>
            <w:vAlign w:val="center"/>
          </w:tcPr>
          <w:p w14:paraId="1F4A7C32">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436" w:type="dxa"/>
            <w:noWrap w:val="0"/>
            <w:vAlign w:val="center"/>
          </w:tcPr>
          <w:p w14:paraId="374902D8">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54" w:type="dxa"/>
            <w:noWrap w:val="0"/>
            <w:vAlign w:val="center"/>
          </w:tcPr>
          <w:p w14:paraId="549D5F4C">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71" w:type="dxa"/>
            <w:noWrap w:val="0"/>
            <w:vAlign w:val="center"/>
          </w:tcPr>
          <w:p w14:paraId="3DBF9FF6">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产地</w:t>
            </w:r>
          </w:p>
        </w:tc>
        <w:tc>
          <w:tcPr>
            <w:tcW w:w="2180" w:type="dxa"/>
            <w:noWrap w:val="0"/>
            <w:vAlign w:val="center"/>
          </w:tcPr>
          <w:p w14:paraId="25CCDD67">
            <w:pPr>
              <w:keepNext w:val="0"/>
              <w:keepLines w:val="0"/>
              <w:suppressLineNumbers w:val="0"/>
              <w:spacing w:before="0" w:beforeAutospacing="0" w:after="0" w:afterAutospacing="0" w:line="360" w:lineRule="auto"/>
              <w:ind w:left="261" w:right="0"/>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32" w:type="dxa"/>
            <w:noWrap w:val="0"/>
            <w:vAlign w:val="center"/>
          </w:tcPr>
          <w:p w14:paraId="5C61C521">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14:paraId="1AA5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shd w:val="clear" w:color="auto" w:fill="auto"/>
            <w:noWrap w:val="0"/>
            <w:vAlign w:val="top"/>
          </w:tcPr>
          <w:p w14:paraId="40C5A623">
            <w:pPr>
              <w:keepNext w:val="0"/>
              <w:keepLines w:val="0"/>
              <w:numPr>
                <w:ilvl w:val="0"/>
                <w:numId w:val="8"/>
              </w:numPr>
              <w:suppressLineNumbers w:val="0"/>
              <w:spacing w:before="0" w:beforeAutospacing="0" w:after="0" w:afterAutospacing="0" w:line="360" w:lineRule="auto"/>
              <w:ind w:right="0"/>
              <w:rPr>
                <w:rFonts w:hint="eastAsia" w:ascii="宋体" w:hAnsi="宋体"/>
                <w:color w:val="auto"/>
                <w:szCs w:val="21"/>
                <w:highlight w:val="none"/>
              </w:rPr>
            </w:pPr>
          </w:p>
        </w:tc>
        <w:tc>
          <w:tcPr>
            <w:tcW w:w="1436" w:type="dxa"/>
            <w:shd w:val="clear" w:color="auto" w:fill="FFFFFF"/>
            <w:noWrap w:val="0"/>
            <w:vAlign w:val="center"/>
          </w:tcPr>
          <w:p w14:paraId="58A2C7E5">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54" w:type="dxa"/>
            <w:noWrap w:val="0"/>
            <w:vAlign w:val="top"/>
          </w:tcPr>
          <w:p w14:paraId="1BE949F5">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71" w:type="dxa"/>
            <w:noWrap w:val="0"/>
            <w:vAlign w:val="top"/>
          </w:tcPr>
          <w:p w14:paraId="1D46FF3A">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80" w:type="dxa"/>
            <w:noWrap w:val="0"/>
            <w:vAlign w:val="top"/>
          </w:tcPr>
          <w:p w14:paraId="204F48D1">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32" w:type="dxa"/>
            <w:noWrap w:val="0"/>
            <w:vAlign w:val="top"/>
          </w:tcPr>
          <w:p w14:paraId="6766718D">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28A1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shd w:val="clear" w:color="auto" w:fill="auto"/>
            <w:noWrap w:val="0"/>
            <w:vAlign w:val="top"/>
          </w:tcPr>
          <w:p w14:paraId="0D4C40BF">
            <w:pPr>
              <w:keepNext w:val="0"/>
              <w:keepLines w:val="0"/>
              <w:numPr>
                <w:ilvl w:val="0"/>
                <w:numId w:val="8"/>
              </w:numPr>
              <w:suppressLineNumbers w:val="0"/>
              <w:spacing w:before="0" w:beforeAutospacing="0" w:after="0" w:afterAutospacing="0" w:line="360" w:lineRule="auto"/>
              <w:ind w:right="0"/>
              <w:rPr>
                <w:rFonts w:hint="eastAsia" w:ascii="宋体" w:hAnsi="宋体"/>
                <w:color w:val="auto"/>
                <w:szCs w:val="21"/>
                <w:highlight w:val="none"/>
              </w:rPr>
            </w:pPr>
          </w:p>
        </w:tc>
        <w:tc>
          <w:tcPr>
            <w:tcW w:w="1436" w:type="dxa"/>
            <w:shd w:val="clear" w:color="auto" w:fill="FFFFFF"/>
            <w:noWrap w:val="0"/>
            <w:vAlign w:val="center"/>
          </w:tcPr>
          <w:p w14:paraId="4EAFA3C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54" w:type="dxa"/>
            <w:noWrap w:val="0"/>
            <w:vAlign w:val="top"/>
          </w:tcPr>
          <w:p w14:paraId="379C6F5F">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71" w:type="dxa"/>
            <w:noWrap w:val="0"/>
            <w:vAlign w:val="top"/>
          </w:tcPr>
          <w:p w14:paraId="3F48C483">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80" w:type="dxa"/>
            <w:noWrap w:val="0"/>
            <w:vAlign w:val="top"/>
          </w:tcPr>
          <w:p w14:paraId="0719AFE6">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32" w:type="dxa"/>
            <w:noWrap w:val="0"/>
            <w:vAlign w:val="top"/>
          </w:tcPr>
          <w:p w14:paraId="532F3B5F">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5DB5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shd w:val="clear" w:color="auto" w:fill="auto"/>
            <w:noWrap w:val="0"/>
            <w:vAlign w:val="top"/>
          </w:tcPr>
          <w:p w14:paraId="4CC69A0C">
            <w:pPr>
              <w:keepNext w:val="0"/>
              <w:keepLines w:val="0"/>
              <w:numPr>
                <w:ilvl w:val="0"/>
                <w:numId w:val="8"/>
              </w:numPr>
              <w:suppressLineNumbers w:val="0"/>
              <w:spacing w:before="0" w:beforeAutospacing="0" w:after="0" w:afterAutospacing="0" w:line="360" w:lineRule="auto"/>
              <w:ind w:right="0"/>
              <w:rPr>
                <w:rFonts w:hint="eastAsia" w:ascii="宋体" w:hAnsi="宋体"/>
                <w:color w:val="auto"/>
                <w:szCs w:val="21"/>
                <w:highlight w:val="none"/>
              </w:rPr>
            </w:pPr>
          </w:p>
        </w:tc>
        <w:tc>
          <w:tcPr>
            <w:tcW w:w="1436" w:type="dxa"/>
            <w:shd w:val="clear" w:color="auto" w:fill="FFFFFF"/>
            <w:noWrap w:val="0"/>
            <w:vAlign w:val="center"/>
          </w:tcPr>
          <w:p w14:paraId="784FBDB1">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54" w:type="dxa"/>
            <w:noWrap w:val="0"/>
            <w:vAlign w:val="top"/>
          </w:tcPr>
          <w:p w14:paraId="77C5DF25">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71" w:type="dxa"/>
            <w:noWrap w:val="0"/>
            <w:vAlign w:val="top"/>
          </w:tcPr>
          <w:p w14:paraId="0A0843F8">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80" w:type="dxa"/>
            <w:noWrap w:val="0"/>
            <w:vAlign w:val="top"/>
          </w:tcPr>
          <w:p w14:paraId="2D0E522C">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32" w:type="dxa"/>
            <w:noWrap w:val="0"/>
            <w:vAlign w:val="top"/>
          </w:tcPr>
          <w:p w14:paraId="6B1A0072">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14:paraId="297B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27" w:type="dxa"/>
            <w:shd w:val="clear" w:color="auto" w:fill="auto"/>
            <w:noWrap w:val="0"/>
            <w:vAlign w:val="top"/>
          </w:tcPr>
          <w:p w14:paraId="71493582">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r>
              <w:rPr>
                <w:rFonts w:hint="default" w:ascii="宋体" w:hAnsi="宋体"/>
                <w:color w:val="auto"/>
                <w:szCs w:val="21"/>
                <w:highlight w:val="none"/>
              </w:rPr>
              <w:t>…</w:t>
            </w:r>
          </w:p>
        </w:tc>
        <w:tc>
          <w:tcPr>
            <w:tcW w:w="1436" w:type="dxa"/>
            <w:shd w:val="clear" w:color="auto" w:fill="FFFFFF"/>
            <w:noWrap w:val="0"/>
            <w:vAlign w:val="center"/>
          </w:tcPr>
          <w:p w14:paraId="22F46CCF">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54" w:type="dxa"/>
            <w:noWrap w:val="0"/>
            <w:vAlign w:val="top"/>
          </w:tcPr>
          <w:p w14:paraId="619DABC3">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71" w:type="dxa"/>
            <w:noWrap w:val="0"/>
            <w:vAlign w:val="top"/>
          </w:tcPr>
          <w:p w14:paraId="23D9B787">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80" w:type="dxa"/>
            <w:noWrap w:val="0"/>
            <w:vAlign w:val="top"/>
          </w:tcPr>
          <w:p w14:paraId="12293C84">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32" w:type="dxa"/>
            <w:noWrap w:val="0"/>
            <w:vAlign w:val="top"/>
          </w:tcPr>
          <w:p w14:paraId="2608F288">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bl>
    <w:p w14:paraId="38EACC07">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cs="宋体"/>
          <w:color w:val="auto"/>
          <w:szCs w:val="21"/>
          <w:highlight w:val="none"/>
          <w:lang w:val="zh-CN"/>
        </w:rPr>
        <w:t>如果行数不够，请自行增加。</w:t>
      </w:r>
    </w:p>
    <w:p w14:paraId="14A81A55">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03BF8826">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7C14469E">
      <w:pPr>
        <w:spacing w:line="480" w:lineRule="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7159C5F">
      <w:pPr>
        <w:rPr>
          <w:highlight w:val="none"/>
        </w:rPr>
      </w:pPr>
      <w:r>
        <w:rPr>
          <w:highlight w:val="none"/>
        </w:rPr>
        <w:br w:type="page"/>
      </w:r>
    </w:p>
    <w:p w14:paraId="42EF774A">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4922667A">
      <w:pPr>
        <w:jc w:val="center"/>
        <w:rPr>
          <w:rFonts w:hint="eastAsia" w:ascii="宋体"/>
          <w:b/>
          <w:color w:val="auto"/>
          <w:sz w:val="44"/>
          <w:szCs w:val="44"/>
          <w:highlight w:val="none"/>
        </w:rPr>
      </w:pPr>
      <w:r>
        <w:rPr>
          <w:rFonts w:hint="eastAsia" w:ascii="宋体"/>
          <w:b/>
          <w:color w:val="auto"/>
          <w:sz w:val="44"/>
          <w:szCs w:val="44"/>
          <w:highlight w:val="none"/>
          <w:lang w:val="en-US" w:eastAsia="zh-CN"/>
        </w:rPr>
        <w:t>技术标</w:t>
      </w:r>
    </w:p>
    <w:p w14:paraId="4C878EC2">
      <w:pPr>
        <w:jc w:val="center"/>
        <w:rPr>
          <w:rFonts w:hint="eastAsia" w:ascii="宋体"/>
          <w:color w:val="auto"/>
          <w:sz w:val="32"/>
          <w:szCs w:val="32"/>
          <w:highlight w:val="none"/>
        </w:rPr>
      </w:pPr>
      <w:r>
        <w:rPr>
          <w:rFonts w:hint="eastAsia" w:ascii="宋体"/>
          <w:color w:val="auto"/>
          <w:sz w:val="32"/>
          <w:szCs w:val="32"/>
          <w:highlight w:val="none"/>
        </w:rPr>
        <w:t>（投标文件</w:t>
      </w:r>
      <w:r>
        <w:rPr>
          <w:rFonts w:hint="eastAsia" w:ascii="宋体"/>
          <w:color w:val="auto"/>
          <w:sz w:val="32"/>
          <w:szCs w:val="32"/>
          <w:highlight w:val="none"/>
          <w:lang w:val="en-US" w:eastAsia="zh-CN"/>
        </w:rPr>
        <w:t>二</w:t>
      </w:r>
      <w:r>
        <w:rPr>
          <w:rFonts w:hint="eastAsia" w:ascii="宋体"/>
          <w:color w:val="auto"/>
          <w:sz w:val="32"/>
          <w:szCs w:val="32"/>
          <w:highlight w:val="none"/>
        </w:rPr>
        <w:t>）</w:t>
      </w:r>
    </w:p>
    <w:p w14:paraId="73573764">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2BE12DA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7D5481D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FE3DBB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155EC03">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8D5539F">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6B78DBE4">
      <w:pPr>
        <w:pStyle w:val="22"/>
        <w:widowControl/>
        <w:rPr>
          <w:highlight w:val="none"/>
          <w:lang w:val="en-US"/>
        </w:rPr>
      </w:pPr>
      <w:r>
        <w:rPr>
          <w:highlight w:val="none"/>
          <w:lang w:val="en-US"/>
        </w:rPr>
        <w:t xml:space="preserve"> </w:t>
      </w:r>
    </w:p>
    <w:p w14:paraId="4DCD088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AA3759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29578B9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78449A86">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34E1A061">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60BAC5F0">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03E11A96">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43FE314C">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14:paraId="16D83784">
      <w:pPr>
        <w:spacing w:line="400" w:lineRule="exact"/>
        <w:jc w:val="center"/>
        <w:rPr>
          <w:rFonts w:hint="eastAsia"/>
          <w:b/>
          <w:color w:val="auto"/>
          <w:sz w:val="36"/>
          <w:szCs w:val="36"/>
          <w:highlight w:val="none"/>
        </w:rPr>
      </w:pPr>
    </w:p>
    <w:p w14:paraId="612B297B">
      <w:pPr>
        <w:spacing w:line="400" w:lineRule="exact"/>
        <w:jc w:val="center"/>
        <w:rPr>
          <w:rFonts w:hint="eastAsia"/>
          <w:b/>
          <w:color w:val="auto"/>
          <w:sz w:val="36"/>
          <w:szCs w:val="36"/>
          <w:highlight w:val="none"/>
        </w:rPr>
      </w:pPr>
      <w:r>
        <w:rPr>
          <w:rFonts w:hint="eastAsia"/>
          <w:b/>
          <w:color w:val="auto"/>
          <w:sz w:val="36"/>
          <w:szCs w:val="36"/>
          <w:highlight w:val="none"/>
        </w:rPr>
        <w:t>目   录</w:t>
      </w:r>
    </w:p>
    <w:p w14:paraId="114E3C2B">
      <w:pPr>
        <w:spacing w:line="360" w:lineRule="auto"/>
        <w:ind w:firstLine="420" w:firstLineChars="200"/>
        <w:rPr>
          <w:rFonts w:hint="eastAsia" w:ascii="宋体" w:hAnsi="Times New Roman" w:eastAsia="宋体" w:cs="Times New Roman"/>
          <w:color w:val="auto"/>
          <w:szCs w:val="21"/>
          <w:highlight w:val="none"/>
        </w:rPr>
      </w:pPr>
    </w:p>
    <w:p w14:paraId="212791ED">
      <w:pPr>
        <w:spacing w:line="360" w:lineRule="auto"/>
        <w:ind w:firstLine="420" w:firstLineChars="200"/>
        <w:rPr>
          <w:rFonts w:hint="eastAsia"/>
          <w:b/>
          <w:color w:val="auto"/>
          <w:sz w:val="28"/>
          <w:szCs w:val="28"/>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1）项目实施方案。</w:t>
      </w:r>
    </w:p>
    <w:p w14:paraId="1C558860">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14:paraId="5B3A2FC1">
      <w:pPr>
        <w:jc w:val="center"/>
        <w:rPr>
          <w:rFonts w:hint="eastAsia" w:ascii="宋体"/>
          <w:b/>
          <w:color w:val="auto"/>
          <w:sz w:val="44"/>
          <w:szCs w:val="44"/>
          <w:highlight w:val="none"/>
          <w:lang w:val="en-US" w:eastAsia="zh-CN"/>
        </w:rPr>
      </w:pPr>
    </w:p>
    <w:p w14:paraId="598AD052">
      <w:pPr>
        <w:jc w:val="center"/>
        <w:rPr>
          <w:rFonts w:hint="eastAsia" w:ascii="宋体"/>
          <w:b/>
          <w:color w:val="auto"/>
          <w:sz w:val="44"/>
          <w:szCs w:val="44"/>
          <w:highlight w:val="none"/>
          <w:lang w:val="en-US" w:eastAsia="zh-CN"/>
        </w:rPr>
      </w:pPr>
    </w:p>
    <w:p w14:paraId="3A62D2AF">
      <w:pPr>
        <w:jc w:val="center"/>
        <w:rPr>
          <w:rFonts w:hint="eastAsia" w:ascii="宋体"/>
          <w:b/>
          <w:color w:val="auto"/>
          <w:sz w:val="44"/>
          <w:szCs w:val="44"/>
          <w:highlight w:val="none"/>
          <w:lang w:val="en-US" w:eastAsia="zh-CN"/>
        </w:rPr>
      </w:pPr>
    </w:p>
    <w:p w14:paraId="6261C731">
      <w:pPr>
        <w:jc w:val="center"/>
        <w:rPr>
          <w:rFonts w:hint="eastAsia" w:ascii="宋体"/>
          <w:b/>
          <w:color w:val="auto"/>
          <w:sz w:val="44"/>
          <w:szCs w:val="44"/>
          <w:highlight w:val="none"/>
        </w:rPr>
      </w:pPr>
      <w:r>
        <w:rPr>
          <w:rFonts w:hint="eastAsia" w:ascii="宋体"/>
          <w:b/>
          <w:color w:val="auto"/>
          <w:sz w:val="44"/>
          <w:szCs w:val="44"/>
          <w:highlight w:val="none"/>
          <w:lang w:val="en-US" w:eastAsia="zh-CN"/>
        </w:rPr>
        <w:t>商务标</w:t>
      </w:r>
    </w:p>
    <w:p w14:paraId="7F3D9A22">
      <w:pPr>
        <w:jc w:val="center"/>
        <w:rPr>
          <w:rFonts w:hint="eastAsia" w:ascii="宋体"/>
          <w:color w:val="auto"/>
          <w:sz w:val="32"/>
          <w:szCs w:val="32"/>
          <w:highlight w:val="none"/>
        </w:rPr>
      </w:pPr>
      <w:r>
        <w:rPr>
          <w:rFonts w:hint="eastAsia" w:ascii="宋体"/>
          <w:color w:val="auto"/>
          <w:sz w:val="32"/>
          <w:szCs w:val="32"/>
          <w:highlight w:val="none"/>
        </w:rPr>
        <w:t>（投标文件</w:t>
      </w:r>
      <w:r>
        <w:rPr>
          <w:rFonts w:hint="eastAsia" w:ascii="宋体"/>
          <w:color w:val="auto"/>
          <w:sz w:val="32"/>
          <w:szCs w:val="32"/>
          <w:highlight w:val="none"/>
          <w:lang w:val="en-US" w:eastAsia="zh-CN"/>
        </w:rPr>
        <w:t>三</w:t>
      </w:r>
      <w:r>
        <w:rPr>
          <w:rFonts w:hint="eastAsia" w:ascii="宋体"/>
          <w:color w:val="auto"/>
          <w:sz w:val="32"/>
          <w:szCs w:val="32"/>
          <w:highlight w:val="none"/>
        </w:rPr>
        <w:t>）</w:t>
      </w:r>
    </w:p>
    <w:p w14:paraId="120CB52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14:paraId="2CB5682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14:paraId="24FFE526">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4704F1C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74F3AE2F">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74B69F26">
      <w:pPr>
        <w:pStyle w:val="7"/>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0546B083">
      <w:pPr>
        <w:pStyle w:val="22"/>
        <w:widowControl/>
        <w:rPr>
          <w:highlight w:val="none"/>
          <w:lang w:val="en-US"/>
        </w:rPr>
      </w:pPr>
      <w:r>
        <w:rPr>
          <w:highlight w:val="none"/>
          <w:lang w:val="en-US"/>
        </w:rPr>
        <w:t xml:space="preserve"> </w:t>
      </w:r>
    </w:p>
    <w:p w14:paraId="6A151021">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12425074">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59135E25">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085CB32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33CD89F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5EEFA969">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367760CB">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14:paraId="1BBA3F5B">
      <w:pPr>
        <w:spacing w:line="400" w:lineRule="exact"/>
        <w:jc w:val="center"/>
        <w:rPr>
          <w:b/>
          <w:color w:val="auto"/>
          <w:sz w:val="36"/>
          <w:szCs w:val="36"/>
          <w:highlight w:val="none"/>
        </w:rPr>
      </w:pPr>
    </w:p>
    <w:p w14:paraId="34D9801F">
      <w:pPr>
        <w:pStyle w:val="42"/>
        <w:rPr>
          <w:b/>
          <w:color w:val="auto"/>
          <w:sz w:val="36"/>
          <w:szCs w:val="36"/>
          <w:highlight w:val="none"/>
        </w:rPr>
      </w:pPr>
    </w:p>
    <w:p w14:paraId="15AB8A84">
      <w:pPr>
        <w:pStyle w:val="42"/>
        <w:rPr>
          <w:b/>
          <w:color w:val="auto"/>
          <w:sz w:val="36"/>
          <w:szCs w:val="36"/>
          <w:highlight w:val="none"/>
        </w:rPr>
      </w:pPr>
    </w:p>
    <w:p w14:paraId="405202BC">
      <w:pPr>
        <w:spacing w:line="400" w:lineRule="exact"/>
        <w:jc w:val="center"/>
        <w:rPr>
          <w:rFonts w:hint="eastAsia"/>
          <w:b/>
          <w:color w:val="auto"/>
          <w:sz w:val="36"/>
          <w:szCs w:val="36"/>
          <w:highlight w:val="none"/>
        </w:rPr>
      </w:pPr>
      <w:r>
        <w:rPr>
          <w:rFonts w:hint="eastAsia"/>
          <w:b/>
          <w:color w:val="auto"/>
          <w:sz w:val="36"/>
          <w:szCs w:val="36"/>
          <w:highlight w:val="none"/>
        </w:rPr>
        <w:t>目   录</w:t>
      </w:r>
    </w:p>
    <w:p w14:paraId="2931E90E">
      <w:pPr>
        <w:spacing w:line="400" w:lineRule="exact"/>
        <w:ind w:firstLine="4130" w:firstLineChars="935"/>
        <w:rPr>
          <w:rFonts w:hint="eastAsia"/>
          <w:b/>
          <w:color w:val="auto"/>
          <w:sz w:val="44"/>
          <w:szCs w:val="44"/>
          <w:highlight w:val="none"/>
        </w:rPr>
      </w:pPr>
    </w:p>
    <w:p w14:paraId="24F11D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（1）开标一览表（格式见附件）；</w:t>
      </w:r>
    </w:p>
    <w:p w14:paraId="239A22A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（2）投标函（格式见附件）；</w:t>
      </w:r>
    </w:p>
    <w:p w14:paraId="612DAD1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（3）</w:t>
      </w:r>
      <w:r>
        <w:rPr>
          <w:rFonts w:hint="eastAsia" w:ascii="宋体"/>
          <w:szCs w:val="21"/>
          <w:highlight w:val="none"/>
        </w:rPr>
        <w:t>招标文件商务评审中要求提供的其他相关资料；</w:t>
      </w:r>
    </w:p>
    <w:p w14:paraId="5CB8C85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（4）投标人认为需要提供的其他材料。</w:t>
      </w:r>
    </w:p>
    <w:p w14:paraId="120CE28A">
      <w:pPr>
        <w:rPr>
          <w:rFonts w:hint="eastAsia" w:ascii="宋体"/>
          <w:b/>
          <w:color w:val="auto"/>
          <w:sz w:val="28"/>
          <w:szCs w:val="28"/>
          <w:highlight w:val="none"/>
        </w:rPr>
      </w:pPr>
      <w:r>
        <w:rPr>
          <w:rFonts w:hint="eastAsia" w:ascii="宋体"/>
          <w:b/>
          <w:color w:val="auto"/>
          <w:sz w:val="28"/>
          <w:szCs w:val="28"/>
          <w:highlight w:val="none"/>
        </w:rPr>
        <w:br w:type="page"/>
      </w:r>
    </w:p>
    <w:p w14:paraId="029BCAD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14:paraId="61AE7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开标一览表</w:t>
      </w:r>
    </w:p>
    <w:p w14:paraId="05D28958">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42C7544E">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4B6D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1DC87675">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1DC6E700">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2EE30C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6FD019C6">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79F03F7F">
            <w:pPr>
              <w:pStyle w:val="17"/>
              <w:widowControl/>
              <w:spacing w:line="460" w:lineRule="exact"/>
              <w:ind w:left="86" w:leftChars="41"/>
              <w:rPr>
                <w:rFonts w:hint="eastAsia" w:ascii="宋体" w:hAnsi="Arial" w:eastAsia="宋体" w:cs="宋体"/>
                <w:sz w:val="24"/>
                <w:szCs w:val="24"/>
                <w:highlight w:val="none"/>
                <w:lang w:val="en-US"/>
              </w:rPr>
            </w:pPr>
          </w:p>
        </w:tc>
      </w:tr>
      <w:tr w14:paraId="5C1AD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4354F1A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6A6E0611">
            <w:pPr>
              <w:keepNext w:val="0"/>
              <w:keepLines w:val="0"/>
              <w:suppressLineNumbers w:val="0"/>
              <w:spacing w:before="0" w:beforeAutospacing="0" w:after="0" w:afterAutospacing="0" w:line="360" w:lineRule="auto"/>
              <w:ind w:left="0" w:right="0"/>
              <w:rPr>
                <w:rFonts w:hint="default" w:ascii="宋体"/>
                <w:color w:val="000000"/>
                <w:sz w:val="24"/>
                <w:highlight w:val="none"/>
              </w:rPr>
            </w:pPr>
            <w:r>
              <w:rPr>
                <w:rFonts w:hint="eastAsia" w:ascii="宋体"/>
                <w:color w:val="000000"/>
                <w:sz w:val="24"/>
                <w:highlight w:val="none"/>
              </w:rPr>
              <w:t>投标</w:t>
            </w:r>
            <w:r>
              <w:rPr>
                <w:rFonts w:hint="eastAsia" w:ascii="宋体"/>
                <w:color w:val="000000"/>
                <w:sz w:val="24"/>
                <w:highlight w:val="none"/>
                <w:lang w:val="en-US" w:eastAsia="zh-CN"/>
              </w:rPr>
              <w:t>报</w:t>
            </w:r>
            <w:r>
              <w:rPr>
                <w:rFonts w:hint="eastAsia" w:ascii="宋体"/>
                <w:color w:val="000000"/>
                <w:sz w:val="24"/>
                <w:highlight w:val="none"/>
              </w:rPr>
              <w:t>价（大写）：</w:t>
            </w:r>
            <w:r>
              <w:rPr>
                <w:rFonts w:hint="eastAsia" w:ascii="宋体"/>
                <w:color w:val="000000"/>
                <w:sz w:val="24"/>
                <w:highlight w:val="none"/>
                <w:u w:val="single"/>
              </w:rPr>
              <w:t xml:space="preserve">                   </w:t>
            </w:r>
            <w:r>
              <w:rPr>
                <w:rFonts w:hint="eastAsia" w:ascii="宋体"/>
                <w:color w:val="000000"/>
                <w:sz w:val="24"/>
                <w:highlight w:val="none"/>
              </w:rPr>
              <w:t>元</w:t>
            </w:r>
          </w:p>
          <w:p w14:paraId="0E7F1934">
            <w:pPr>
              <w:keepNext w:val="0"/>
              <w:keepLines w:val="0"/>
              <w:suppressLineNumbers w:val="0"/>
              <w:spacing w:before="0" w:beforeAutospacing="0" w:after="0" w:afterAutospacing="0" w:line="360" w:lineRule="auto"/>
              <w:ind w:left="0" w:right="0" w:firstLine="1080" w:firstLineChars="450"/>
              <w:rPr>
                <w:rFonts w:hint="default" w:ascii="宋体"/>
                <w:color w:val="000000"/>
                <w:sz w:val="24"/>
                <w:highlight w:val="none"/>
              </w:rPr>
            </w:pPr>
            <w:r>
              <w:rPr>
                <w:rFonts w:hint="eastAsia" w:ascii="宋体"/>
                <w:color w:val="000000"/>
                <w:sz w:val="24"/>
                <w:highlight w:val="none"/>
              </w:rPr>
              <w:t>(小写) ：</w:t>
            </w:r>
            <w:r>
              <w:rPr>
                <w:rFonts w:hint="eastAsia" w:ascii="宋体"/>
                <w:color w:val="000000"/>
                <w:sz w:val="24"/>
                <w:highlight w:val="none"/>
                <w:u w:val="single"/>
              </w:rPr>
              <w:t xml:space="preserve">                    </w:t>
            </w:r>
            <w:r>
              <w:rPr>
                <w:rFonts w:hint="eastAsia" w:ascii="宋体"/>
                <w:color w:val="000000"/>
                <w:sz w:val="24"/>
                <w:highlight w:val="none"/>
              </w:rPr>
              <w:t>元</w:t>
            </w:r>
          </w:p>
          <w:p w14:paraId="1544DA12">
            <w:pPr>
              <w:keepNext w:val="0"/>
              <w:keepLines w:val="0"/>
              <w:widowControl/>
              <w:suppressLineNumbers w:val="0"/>
              <w:spacing w:before="0" w:beforeAutospacing="0" w:after="0" w:afterAutospacing="0" w:line="360" w:lineRule="auto"/>
              <w:ind w:left="0" w:right="0"/>
              <w:jc w:val="both"/>
              <w:rPr>
                <w:rFonts w:hint="eastAsia" w:ascii="宋体"/>
                <w:color w:val="000000"/>
                <w:sz w:val="24"/>
                <w:highlight w:val="none"/>
              </w:rPr>
            </w:pPr>
          </w:p>
          <w:p w14:paraId="32A20B44">
            <w:pPr>
              <w:keepNext w:val="0"/>
              <w:keepLines w:val="0"/>
              <w:suppressLineNumbers w:val="0"/>
              <w:spacing w:before="0" w:beforeAutospacing="0" w:after="0" w:afterAutospacing="0" w:line="360" w:lineRule="auto"/>
              <w:ind w:left="0" w:right="0" w:firstLine="1200" w:firstLineChars="500"/>
              <w:rPr>
                <w:rFonts w:hint="eastAsia" w:ascii="宋体" w:hAnsi="宋体" w:eastAsiaTheme="minorEastAsia"/>
                <w:color w:val="auto"/>
                <w:sz w:val="24"/>
                <w:highlight w:val="none"/>
                <w:lang w:val="en-US" w:eastAsia="zh-CN"/>
              </w:rPr>
            </w:pPr>
          </w:p>
          <w:p w14:paraId="1DF3C52A">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color w:val="000000"/>
                <w:sz w:val="24"/>
                <w:highlight w:val="none"/>
                <w:lang w:val="en-US" w:eastAsia="zh-CN"/>
              </w:rPr>
              <w:t>供货期</w:t>
            </w:r>
            <w:r>
              <w:rPr>
                <w:rFonts w:hint="eastAsia" w:ascii="宋体"/>
                <w:color w:val="000000"/>
                <w:sz w:val="24"/>
                <w:highlight w:val="none"/>
              </w:rPr>
              <w:t>：</w:t>
            </w:r>
          </w:p>
        </w:tc>
      </w:tr>
    </w:tbl>
    <w:p w14:paraId="034F99AE">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FA41260">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23E96353">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4BE53829">
      <w:pPr>
        <w:spacing w:line="360" w:lineRule="auto"/>
        <w:rPr>
          <w:rFonts w:hint="eastAsia" w:ascii="宋体" w:hAnsi="宋体" w:eastAsia="宋体" w:cs="宋体"/>
          <w:b/>
          <w:bCs w:val="0"/>
          <w:color w:val="000000"/>
          <w:kern w:val="0"/>
          <w:sz w:val="30"/>
          <w:szCs w:val="30"/>
          <w:highlight w:val="none"/>
          <w:lang w:val="en-US" w:eastAsia="zh-CN" w:bidi="ar"/>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14:paraId="3B94AF0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14:paraId="2FDA4F56">
      <w:pPr>
        <w:keepNext w:val="0"/>
        <w:keepLines w:val="0"/>
        <w:widowControl/>
        <w:suppressLineNumbers w:val="0"/>
        <w:spacing w:before="0" w:beforeAutospacing="0" w:after="0" w:afterAutospacing="0" w:line="360" w:lineRule="exact"/>
        <w:ind w:left="0" w:right="0" w:firstLine="443" w:firstLineChars="147"/>
        <w:jc w:val="both"/>
        <w:rPr>
          <w:rFonts w:hint="default"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14:paraId="624EAF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2E6E5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2D4D1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531B5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4A843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2.我方愿意按照招标文件规定的各项要求，向招标人提供本项目的供货及服务，投标报价为人民币（大写）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0683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0215A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B0CEF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5A351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43639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23567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421984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9D2C8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7B8704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751E3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7FF1C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3A5B050F">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5FC01E4">
      <w:pPr>
        <w:pStyle w:val="24"/>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br w:type="page"/>
      </w: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rFonts w:hint="eastAsia"/>
          <w:b/>
          <w:bCs w:val="0"/>
          <w:sz w:val="32"/>
          <w:szCs w:val="32"/>
          <w:highlight w:val="none"/>
          <w:lang w:eastAsia="zh-CN"/>
        </w:rPr>
        <w:t>招标人</w:t>
      </w:r>
      <w:r>
        <w:rPr>
          <w:b/>
          <w:bCs w:val="0"/>
          <w:sz w:val="32"/>
          <w:szCs w:val="32"/>
          <w:highlight w:val="none"/>
          <w:lang w:eastAsia="zh-CN"/>
        </w:rPr>
        <w:t>、招标代理机构对本招标文件的确认</w:t>
      </w:r>
    </w:p>
    <w:tbl>
      <w:tblPr>
        <w:tblStyle w:val="26"/>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072F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712E8A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3E19CB49">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2024年滁宁城际铁路二期工程轨道润滑物资采购项目</w:t>
            </w:r>
            <w:r>
              <w:rPr>
                <w:rFonts w:hint="eastAsia" w:ascii="宋体" w:hAnsi="宋体" w:eastAsia="宋体" w:cs="宋体"/>
                <w:color w:val="000000"/>
                <w:kern w:val="2"/>
                <w:sz w:val="28"/>
                <w:szCs w:val="28"/>
                <w:highlight w:val="none"/>
                <w:u w:color="000000"/>
                <w:lang w:val="en-US" w:eastAsia="zh-CN" w:bidi="ar"/>
              </w:rPr>
              <w:t>招标文件进行确认。</w:t>
            </w:r>
          </w:p>
          <w:p w14:paraId="5C87B8F9">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7CB6F40C">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 xml:space="preserve">联系人：王以伟 </w:t>
            </w:r>
          </w:p>
          <w:p w14:paraId="36424A43">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联系电话：18900509886</w:t>
            </w:r>
          </w:p>
          <w:p w14:paraId="17561500">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p>
          <w:p w14:paraId="215AE80B">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（单位盖章）</w:t>
            </w:r>
          </w:p>
          <w:p w14:paraId="01BEC2C5">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676A36FA">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2024年9月</w:t>
            </w:r>
          </w:p>
          <w:p w14:paraId="6DC800E0">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2493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0BA7056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7F987E0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0DBCA0D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3251DDF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28508F5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7932327">
            <w:pPr>
              <w:pStyle w:val="7"/>
              <w:widowControl/>
              <w:spacing w:before="0" w:beforeAutospacing="0" w:after="120" w:afterAutospacing="0"/>
              <w:ind w:leftChars="200" w:right="0" w:firstLine="560"/>
              <w:rPr>
                <w:kern w:val="2"/>
                <w:sz w:val="28"/>
                <w:szCs w:val="28"/>
                <w:highlight w:val="none"/>
                <w:lang w:val="en-US"/>
              </w:rPr>
            </w:pPr>
          </w:p>
          <w:p w14:paraId="6F42E13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5AD5D0FB">
            <w:pPr>
              <w:keepNext w:val="0"/>
              <w:keepLines w:val="0"/>
              <w:widowControl/>
              <w:suppressLineNumbers w:val="0"/>
              <w:spacing w:before="0" w:beforeAutospacing="0" w:after="0" w:afterAutospacing="0" w:line="440" w:lineRule="exact"/>
              <w:ind w:left="0" w:right="0" w:firstLine="5740" w:firstLineChars="20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7ED3AA3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B11C52A">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2024年9月</w:t>
            </w:r>
          </w:p>
        </w:tc>
      </w:tr>
    </w:tbl>
    <w:p w14:paraId="320DD53E">
      <w:pPr>
        <w:rPr>
          <w:highlight w:val="none"/>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auto"/>
    <w:pitch w:val="default"/>
    <w:sig w:usb0="00000283" w:usb1="288F0000" w:usb2="0000000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BC1C2">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EFE134">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EFE134">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376BA">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9B451">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7C9B451">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19FAD">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3DE5F5"/>
    <w:multiLevelType w:val="singleLevel"/>
    <w:tmpl w:val="E13DE5F5"/>
    <w:lvl w:ilvl="0" w:tentative="0">
      <w:start w:val="2"/>
      <w:numFmt w:val="decimal"/>
      <w:suff w:val="nothing"/>
      <w:lvlText w:val="%1、"/>
      <w:lvlJc w:val="left"/>
    </w:lvl>
  </w:abstractNum>
  <w:abstractNum w:abstractNumId="1">
    <w:nsid w:val="F2A9B865"/>
    <w:multiLevelType w:val="singleLevel"/>
    <w:tmpl w:val="F2A9B865"/>
    <w:lvl w:ilvl="0" w:tentative="0">
      <w:start w:val="4"/>
      <w:numFmt w:val="decimal"/>
      <w:suff w:val="nothing"/>
      <w:lvlText w:val="%1、"/>
      <w:lvlJc w:val="left"/>
    </w:lvl>
  </w:abstractNum>
  <w:abstractNum w:abstractNumId="2">
    <w:nsid w:val="00000007"/>
    <w:multiLevelType w:val="singleLevel"/>
    <w:tmpl w:val="00000007"/>
    <w:lvl w:ilvl="0" w:tentative="0">
      <w:start w:val="1"/>
      <w:numFmt w:val="decimal"/>
      <w:suff w:val="nothing"/>
      <w:lvlText w:val="（%1）"/>
      <w:lvlJc w:val="left"/>
    </w:lvl>
  </w:abstractNum>
  <w:abstractNum w:abstractNumId="3">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4">
    <w:nsid w:val="0000000C"/>
    <w:multiLevelType w:val="singleLevel"/>
    <w:tmpl w:val="0000000C"/>
    <w:lvl w:ilvl="0" w:tentative="0">
      <w:start w:val="1"/>
      <w:numFmt w:val="decimal"/>
      <w:lvlText w:val="%1."/>
      <w:lvlJc w:val="left"/>
      <w:pPr>
        <w:ind w:left="425" w:hanging="425"/>
      </w:pPr>
      <w:rPr>
        <w:rFonts w:hint="default"/>
      </w:rPr>
    </w:lvl>
  </w:abstractNum>
  <w:abstractNum w:abstractNumId="5">
    <w:nsid w:val="142584F2"/>
    <w:multiLevelType w:val="singleLevel"/>
    <w:tmpl w:val="142584F2"/>
    <w:lvl w:ilvl="0" w:tentative="0">
      <w:start w:val="1"/>
      <w:numFmt w:val="decimal"/>
      <w:suff w:val="nothing"/>
      <w:lvlText w:val="%1）"/>
      <w:lvlJc w:val="left"/>
    </w:lvl>
  </w:abstractNum>
  <w:abstractNum w:abstractNumId="6">
    <w:nsid w:val="181D5CA9"/>
    <w:multiLevelType w:val="singleLevel"/>
    <w:tmpl w:val="181D5CA9"/>
    <w:lvl w:ilvl="0" w:tentative="0">
      <w:start w:val="35"/>
      <w:numFmt w:val="decimal"/>
      <w:lvlText w:val="%1."/>
      <w:lvlJc w:val="left"/>
      <w:pPr>
        <w:tabs>
          <w:tab w:val="left" w:pos="312"/>
        </w:tabs>
      </w:pPr>
    </w:lvl>
  </w:abstractNum>
  <w:abstractNum w:abstractNumId="7">
    <w:nsid w:val="2323379E"/>
    <w:multiLevelType w:val="multilevel"/>
    <w:tmpl w:val="2323379E"/>
    <w:lvl w:ilvl="0" w:tentative="0">
      <w:start w:val="1"/>
      <w:numFmt w:val="chineseCountingThousand"/>
      <w:pStyle w:val="25"/>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6"/>
  </w:num>
  <w:num w:numId="3">
    <w:abstractNumId w:val="0"/>
  </w:num>
  <w:num w:numId="4">
    <w:abstractNumId w:val="5"/>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1D118B5"/>
    <w:rsid w:val="01E872A1"/>
    <w:rsid w:val="02AF5EC1"/>
    <w:rsid w:val="03EB72C0"/>
    <w:rsid w:val="06B76AF5"/>
    <w:rsid w:val="06D54ED0"/>
    <w:rsid w:val="07A279B7"/>
    <w:rsid w:val="07C12328"/>
    <w:rsid w:val="0B625D1F"/>
    <w:rsid w:val="0B8B29D7"/>
    <w:rsid w:val="0B9716C3"/>
    <w:rsid w:val="0CEF01A1"/>
    <w:rsid w:val="0D586601"/>
    <w:rsid w:val="0D8F0D8C"/>
    <w:rsid w:val="0E064672"/>
    <w:rsid w:val="0E264319"/>
    <w:rsid w:val="0EBB3464"/>
    <w:rsid w:val="0FEC3D6A"/>
    <w:rsid w:val="10182671"/>
    <w:rsid w:val="114F3AD5"/>
    <w:rsid w:val="11AE0E26"/>
    <w:rsid w:val="12082018"/>
    <w:rsid w:val="135F768F"/>
    <w:rsid w:val="14334ED5"/>
    <w:rsid w:val="14C00319"/>
    <w:rsid w:val="14CF696D"/>
    <w:rsid w:val="15D46184"/>
    <w:rsid w:val="18D96084"/>
    <w:rsid w:val="18DA6F09"/>
    <w:rsid w:val="1AB3384D"/>
    <w:rsid w:val="1D2A5FD4"/>
    <w:rsid w:val="1DA44462"/>
    <w:rsid w:val="1E474369"/>
    <w:rsid w:val="1E567970"/>
    <w:rsid w:val="1EC473A1"/>
    <w:rsid w:val="1F9647B1"/>
    <w:rsid w:val="1FBE5586"/>
    <w:rsid w:val="202979CC"/>
    <w:rsid w:val="222D5B93"/>
    <w:rsid w:val="22EA440E"/>
    <w:rsid w:val="23503E27"/>
    <w:rsid w:val="23DF40E5"/>
    <w:rsid w:val="28721359"/>
    <w:rsid w:val="287E4991"/>
    <w:rsid w:val="28C620C3"/>
    <w:rsid w:val="29BA55DC"/>
    <w:rsid w:val="2CD13D11"/>
    <w:rsid w:val="2D921DED"/>
    <w:rsid w:val="2FD4269B"/>
    <w:rsid w:val="31CF5BC6"/>
    <w:rsid w:val="3692586C"/>
    <w:rsid w:val="382B3EBA"/>
    <w:rsid w:val="38886482"/>
    <w:rsid w:val="3AEDD2D9"/>
    <w:rsid w:val="3E1108FD"/>
    <w:rsid w:val="3F1964BD"/>
    <w:rsid w:val="3F392F9C"/>
    <w:rsid w:val="40585B1F"/>
    <w:rsid w:val="41C76417"/>
    <w:rsid w:val="42AB7679"/>
    <w:rsid w:val="43EE045E"/>
    <w:rsid w:val="440F4D94"/>
    <w:rsid w:val="4443363F"/>
    <w:rsid w:val="454247AC"/>
    <w:rsid w:val="46DE1424"/>
    <w:rsid w:val="47DC16A5"/>
    <w:rsid w:val="49C27036"/>
    <w:rsid w:val="4B8A2C90"/>
    <w:rsid w:val="4BBE3EC0"/>
    <w:rsid w:val="4BF21D42"/>
    <w:rsid w:val="4C3857CB"/>
    <w:rsid w:val="4C9419DF"/>
    <w:rsid w:val="4F522371"/>
    <w:rsid w:val="50620C14"/>
    <w:rsid w:val="50C36810"/>
    <w:rsid w:val="54C56489"/>
    <w:rsid w:val="54EE5293"/>
    <w:rsid w:val="56797A9A"/>
    <w:rsid w:val="58BC42F8"/>
    <w:rsid w:val="5AB972A9"/>
    <w:rsid w:val="5AC41FE9"/>
    <w:rsid w:val="5AD57D84"/>
    <w:rsid w:val="5C2219D2"/>
    <w:rsid w:val="5C940834"/>
    <w:rsid w:val="5D8F154C"/>
    <w:rsid w:val="5EB57251"/>
    <w:rsid w:val="5F0E0827"/>
    <w:rsid w:val="5F35414B"/>
    <w:rsid w:val="635219C2"/>
    <w:rsid w:val="642277FE"/>
    <w:rsid w:val="6509245E"/>
    <w:rsid w:val="668A652A"/>
    <w:rsid w:val="691E05DB"/>
    <w:rsid w:val="69394AB2"/>
    <w:rsid w:val="69524CC8"/>
    <w:rsid w:val="6C3752E5"/>
    <w:rsid w:val="6CC47100"/>
    <w:rsid w:val="6E0A1F4F"/>
    <w:rsid w:val="6EA934B6"/>
    <w:rsid w:val="6F4C7352"/>
    <w:rsid w:val="72D30C05"/>
    <w:rsid w:val="75616D9B"/>
    <w:rsid w:val="75843174"/>
    <w:rsid w:val="76B7003F"/>
    <w:rsid w:val="77FF70A2"/>
    <w:rsid w:val="78412396"/>
    <w:rsid w:val="794F00D8"/>
    <w:rsid w:val="79924E45"/>
    <w:rsid w:val="7B280AC6"/>
    <w:rsid w:val="7CBF5DBC"/>
    <w:rsid w:val="7CC201FC"/>
    <w:rsid w:val="7EE10A61"/>
    <w:rsid w:val="7F216B07"/>
    <w:rsid w:val="FFBF8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link w:val="37"/>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unhideWhenUsed/>
    <w:qFormat/>
    <w:uiPriority w:val="9"/>
    <w:pPr>
      <w:keepNext/>
      <w:keepLines/>
      <w:spacing w:line="360" w:lineRule="auto"/>
      <w:outlineLvl w:val="2"/>
    </w:pPr>
    <w:rPr>
      <w:rFonts w:ascii="仿宋_GB2312" w:eastAsia="仿宋_GB2312"/>
      <w:b/>
      <w:bCs/>
      <w:sz w:val="32"/>
      <w:szCs w:val="32"/>
    </w:rPr>
  </w:style>
  <w:style w:type="character" w:default="1" w:styleId="27">
    <w:name w:val="Default Paragraph Font"/>
    <w:semiHidden/>
    <w:qFormat/>
    <w:uiPriority w:val="0"/>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qFormat/>
    <w:uiPriority w:val="39"/>
    <w:pPr>
      <w:ind w:left="1260"/>
      <w:jc w:val="left"/>
    </w:pPr>
    <w:rPr>
      <w:sz w:val="18"/>
      <w:szCs w:val="18"/>
    </w:rPr>
  </w:style>
  <w:style w:type="paragraph" w:styleId="6">
    <w:name w:val="Normal Indent"/>
    <w:basedOn w:val="1"/>
    <w:next w:val="7"/>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Body Text First Indent 2"/>
    <w:basedOn w:val="8"/>
    <w:next w:val="10"/>
    <w:link w:val="35"/>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8">
    <w:name w:val="Body Text Indent"/>
    <w:basedOn w:val="1"/>
    <w:next w:val="9"/>
    <w:link w:val="34"/>
    <w:qFormat/>
    <w:uiPriority w:val="0"/>
    <w:pPr>
      <w:spacing w:after="120" w:afterLines="0" w:afterAutospacing="0"/>
      <w:ind w:left="420" w:leftChars="200"/>
    </w:pPr>
  </w:style>
  <w:style w:type="paragraph" w:styleId="9">
    <w:name w:val="envelope return"/>
    <w:basedOn w:val="1"/>
    <w:next w:val="5"/>
    <w:qFormat/>
    <w:uiPriority w:val="0"/>
    <w:pPr>
      <w:snapToGrid w:val="0"/>
    </w:pPr>
    <w:rPr>
      <w:rFonts w:ascii="Arial" w:hAnsi="Arial"/>
    </w:rPr>
  </w:style>
  <w:style w:type="paragraph" w:styleId="10">
    <w:name w:val="Body Text First Indent"/>
    <w:basedOn w:val="11"/>
    <w:unhideWhenUsed/>
    <w:qFormat/>
    <w:uiPriority w:val="99"/>
    <w:pPr>
      <w:ind w:firstLine="420" w:firstLineChars="100"/>
    </w:p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annotation text"/>
    <w:basedOn w:val="1"/>
    <w:qFormat/>
    <w:uiPriority w:val="0"/>
    <w:pPr>
      <w:jc w:val="left"/>
    </w:pPr>
    <w:rPr>
      <w:kern w:val="1"/>
    </w:rPr>
  </w:style>
  <w:style w:type="paragraph" w:styleId="13">
    <w:name w:val="Body Text 3"/>
    <w:basedOn w:val="1"/>
    <w:qFormat/>
    <w:uiPriority w:val="0"/>
    <w:rPr>
      <w:rFonts w:ascii="宋体" w:hAnsi="Calibri" w:eastAsia="宋体" w:cs="Times New Roman"/>
      <w:sz w:val="24"/>
      <w:szCs w:val="20"/>
    </w:rPr>
  </w:style>
  <w:style w:type="paragraph" w:styleId="14">
    <w:name w:val="List Continue"/>
    <w:basedOn w:val="1"/>
    <w:qFormat/>
    <w:uiPriority w:val="0"/>
    <w:pPr>
      <w:spacing w:after="120"/>
      <w:ind w:left="420"/>
    </w:pPr>
  </w:style>
  <w:style w:type="paragraph" w:styleId="15">
    <w:name w:val="index 4"/>
    <w:basedOn w:val="1"/>
    <w:next w:val="1"/>
    <w:qFormat/>
    <w:uiPriority w:val="99"/>
    <w:pPr>
      <w:ind w:left="600" w:leftChars="600"/>
    </w:pPr>
    <w:rPr>
      <w:szCs w:val="24"/>
    </w:rPr>
  </w:style>
  <w:style w:type="paragraph" w:styleId="16">
    <w:name w:val="Plain Text"/>
    <w:basedOn w:val="1"/>
    <w:next w:val="1"/>
    <w:link w:val="39"/>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7">
    <w:name w:val="Date"/>
    <w:basedOn w:val="1"/>
    <w:next w:val="1"/>
    <w:link w:val="36"/>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8">
    <w:name w:val="footer"/>
    <w:basedOn w:val="1"/>
    <w:link w:val="40"/>
    <w:qFormat/>
    <w:uiPriority w:val="0"/>
    <w:pPr>
      <w:tabs>
        <w:tab w:val="center" w:pos="4153"/>
        <w:tab w:val="right" w:pos="8306"/>
      </w:tabs>
      <w:snapToGrid w:val="0"/>
      <w:jc w:val="left"/>
    </w:pPr>
    <w:rPr>
      <w:sz w:val="18"/>
    </w:rPr>
  </w:style>
  <w:style w:type="paragraph" w:styleId="19">
    <w:name w:val="header"/>
    <w:basedOn w:val="1"/>
    <w:link w:val="3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style>
  <w:style w:type="paragraph" w:styleId="21">
    <w:name w:val="Subtitle"/>
    <w:basedOn w:val="1"/>
    <w:next w:val="1"/>
    <w:qFormat/>
    <w:uiPriority w:val="11"/>
    <w:pPr>
      <w:spacing w:before="10" w:beforeLines="10" w:after="10" w:afterLines="10"/>
    </w:pPr>
    <w:rPr>
      <w:bCs/>
      <w:kern w:val="28"/>
      <w:sz w:val="18"/>
      <w:szCs w:val="32"/>
    </w:rPr>
  </w:style>
  <w:style w:type="paragraph" w:styleId="22">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3">
    <w:name w:val="Body Text 2"/>
    <w:basedOn w:val="1"/>
    <w:unhideWhenUsed/>
    <w:qFormat/>
    <w:uiPriority w:val="99"/>
    <w:pPr>
      <w:spacing w:after="120" w:line="480" w:lineRule="auto"/>
    </w:pPr>
  </w:style>
  <w:style w:type="paragraph" w:styleId="24">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5">
    <w:name w:val="Title"/>
    <w:basedOn w:val="1"/>
    <w:next w:val="1"/>
    <w:qFormat/>
    <w:uiPriority w:val="0"/>
    <w:pPr>
      <w:numPr>
        <w:ilvl w:val="0"/>
        <w:numId w:val="1"/>
      </w:numPr>
      <w:spacing w:line="360" w:lineRule="auto"/>
      <w:jc w:val="left"/>
      <w:outlineLvl w:val="0"/>
    </w:pPr>
    <w:rPr>
      <w:rFonts w:ascii="Cambria" w:hAnsi="Cambria"/>
      <w:b/>
      <w:bCs/>
      <w:sz w:val="28"/>
      <w:szCs w:val="32"/>
    </w:rPr>
  </w:style>
  <w:style w:type="character" w:styleId="28">
    <w:name w:val="Hyperlink"/>
    <w:qFormat/>
    <w:uiPriority w:val="99"/>
    <w:rPr>
      <w:color w:val="333333"/>
      <w:u w:val="none"/>
    </w:rPr>
  </w:style>
  <w:style w:type="paragraph" w:customStyle="1" w:styleId="2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30">
    <w:name w:val="正文文字 8"/>
    <w:basedOn w:val="1"/>
    <w:next w:val="1"/>
    <w:qFormat/>
    <w:uiPriority w:val="0"/>
    <w:pPr>
      <w:ind w:left="240"/>
    </w:pPr>
    <w:rPr>
      <w:sz w:val="16"/>
    </w:rPr>
  </w:style>
  <w:style w:type="paragraph" w:customStyle="1" w:styleId="31">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32">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33">
    <w:name w:val="二级标题"/>
    <w:basedOn w:val="1"/>
    <w:next w:val="1"/>
    <w:qFormat/>
    <w:uiPriority w:val="0"/>
    <w:rPr>
      <w:rFonts w:hint="eastAsia" w:eastAsia="楷体"/>
    </w:rPr>
  </w:style>
  <w:style w:type="character" w:customStyle="1" w:styleId="34">
    <w:name w:val="正文文本缩进 Char"/>
    <w:basedOn w:val="27"/>
    <w:link w:val="8"/>
    <w:qFormat/>
    <w:uiPriority w:val="0"/>
    <w:rPr>
      <w:rFonts w:hint="default" w:ascii="Times New Roman" w:hAnsi="Times New Roman" w:eastAsia="宋体" w:cs="Times New Roman"/>
      <w:color w:val="000000"/>
      <w:kern w:val="0"/>
      <w:szCs w:val="21"/>
      <w:u w:color="000000"/>
    </w:rPr>
  </w:style>
  <w:style w:type="character" w:customStyle="1" w:styleId="35">
    <w:name w:val="正文首行缩进 2 Char"/>
    <w:basedOn w:val="34"/>
    <w:link w:val="7"/>
    <w:qFormat/>
    <w:uiPriority w:val="0"/>
    <w:rPr>
      <w:rFonts w:hint="default" w:ascii="Times New Roman" w:hAnsi="Times New Roman" w:eastAsia="宋体" w:cs="Times New Roman"/>
      <w:color w:val="000000"/>
      <w:kern w:val="0"/>
      <w:szCs w:val="21"/>
      <w:u w:color="000000"/>
    </w:rPr>
  </w:style>
  <w:style w:type="character" w:customStyle="1" w:styleId="36">
    <w:name w:val="日期 Char"/>
    <w:basedOn w:val="27"/>
    <w:link w:val="17"/>
    <w:qFormat/>
    <w:uiPriority w:val="0"/>
    <w:rPr>
      <w:rFonts w:ascii="Arial" w:hAnsi="Arial" w:eastAsia="仿宋_GB2312" w:cs="Arial"/>
      <w:color w:val="000000"/>
      <w:sz w:val="32"/>
      <w:szCs w:val="32"/>
      <w:u w:color="000000"/>
    </w:rPr>
  </w:style>
  <w:style w:type="character" w:customStyle="1" w:styleId="37">
    <w:name w:val="标题 2 Char"/>
    <w:basedOn w:val="27"/>
    <w:link w:val="3"/>
    <w:qFormat/>
    <w:uiPriority w:val="0"/>
    <w:rPr>
      <w:rFonts w:hint="default" w:ascii="Times New Roman" w:hAnsi="Times New Roman" w:eastAsia="宋体" w:cs="Times New Roman"/>
      <w:kern w:val="0"/>
      <w:sz w:val="24"/>
      <w:szCs w:val="24"/>
    </w:rPr>
  </w:style>
  <w:style w:type="character" w:customStyle="1" w:styleId="38">
    <w:name w:val="页眉 Char"/>
    <w:basedOn w:val="27"/>
    <w:link w:val="19"/>
    <w:qFormat/>
    <w:uiPriority w:val="0"/>
    <w:rPr>
      <w:rFonts w:hint="default" w:ascii="Times New Roman" w:hAnsi="Times New Roman" w:eastAsia="宋体" w:cs="Times New Roman"/>
      <w:color w:val="000000"/>
      <w:kern w:val="0"/>
      <w:sz w:val="18"/>
      <w:szCs w:val="18"/>
      <w:u w:color="000000"/>
    </w:rPr>
  </w:style>
  <w:style w:type="character" w:customStyle="1" w:styleId="39">
    <w:name w:val="纯文本 Char"/>
    <w:basedOn w:val="27"/>
    <w:link w:val="16"/>
    <w:qFormat/>
    <w:uiPriority w:val="0"/>
    <w:rPr>
      <w:rFonts w:hint="eastAsia" w:ascii="宋体" w:hAnsi="宋体" w:eastAsia="宋体" w:cs="宋体"/>
      <w:szCs w:val="21"/>
    </w:rPr>
  </w:style>
  <w:style w:type="character" w:customStyle="1" w:styleId="40">
    <w:name w:val="页脚 Char"/>
    <w:basedOn w:val="27"/>
    <w:link w:val="18"/>
    <w:qFormat/>
    <w:uiPriority w:val="0"/>
    <w:rPr>
      <w:rFonts w:hint="default" w:ascii="Times New Roman" w:hAnsi="Times New Roman" w:eastAsia="宋体" w:cs="Times New Roman"/>
      <w:color w:val="000000"/>
      <w:kern w:val="0"/>
      <w:sz w:val="18"/>
      <w:szCs w:val="18"/>
      <w:u w:color="000000"/>
    </w:rPr>
  </w:style>
  <w:style w:type="paragraph" w:customStyle="1" w:styleId="41">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2">
    <w:name w:val="List Paragraph"/>
    <w:basedOn w:val="1"/>
    <w:qFormat/>
    <w:uiPriority w:val="0"/>
    <w:pPr>
      <w:widowControl w:val="0"/>
      <w:spacing w:line="240" w:lineRule="auto"/>
      <w:ind w:firstLine="200" w:firstLineChars="200"/>
      <w:textAlignment w:val="auto"/>
    </w:pPr>
    <w:rPr>
      <w:u w:val="none" w:color="000000"/>
    </w:rPr>
  </w:style>
  <w:style w:type="character" w:customStyle="1" w:styleId="43">
    <w:name w:val="NormalCharacter"/>
    <w:semiHidden/>
    <w:qFormat/>
    <w:uiPriority w:val="0"/>
  </w:style>
  <w:style w:type="paragraph" w:customStyle="1" w:styleId="44">
    <w:name w:val="正文1"/>
    <w:basedOn w:val="1"/>
    <w:qFormat/>
    <w:uiPriority w:val="0"/>
    <w:pPr>
      <w:spacing w:line="500" w:lineRule="exact"/>
      <w:jc w:val="center"/>
    </w:pPr>
    <w:rPr>
      <w:b/>
      <w:sz w:val="36"/>
    </w:rPr>
  </w:style>
  <w:style w:type="paragraph" w:customStyle="1" w:styleId="4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6">
    <w:name w:val="样式 样式 仿宋＋首行缩进 + 首行缩进:  2 字符 + 首行缩进:  2 字符"/>
    <w:basedOn w:val="1"/>
    <w:qFormat/>
    <w:uiPriority w:val="0"/>
    <w:pPr>
      <w:adjustRightInd w:val="0"/>
      <w:snapToGrid w:val="0"/>
      <w:spacing w:line="360" w:lineRule="auto"/>
      <w:ind w:firstLine="200" w:firstLineChars="200"/>
      <w:jc w:val="left"/>
    </w:pPr>
    <w:rPr>
      <w:rFonts w:ascii="仿宋_GB2312" w:eastAsia="仿宋_GB2312"/>
      <w:kern w:val="0"/>
      <w:sz w:val="28"/>
      <w:szCs w:val="20"/>
    </w:rPr>
  </w:style>
  <w:style w:type="paragraph" w:customStyle="1" w:styleId="47">
    <w:name w:val="xl25"/>
    <w:basedOn w:val="1"/>
    <w:qFormat/>
    <w:uiPriority w:val="0"/>
    <w:pPr>
      <w:widowControl/>
      <w:spacing w:before="100" w:beforeAutospacing="1" w:after="100" w:afterAutospacing="1"/>
      <w:jc w:val="right"/>
    </w:pPr>
    <w:rPr>
      <w:rFonts w:ascii="Arial Unicode MS" w:hAnsi="Arial Unicode MS" w:cs="宋体"/>
      <w:sz w:val="18"/>
      <w:szCs w:val="18"/>
    </w:rPr>
  </w:style>
  <w:style w:type="paragraph" w:customStyle="1" w:styleId="48">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49">
    <w:name w:val="首行缩进"/>
    <w:basedOn w:val="1"/>
    <w:next w:val="14"/>
    <w:qFormat/>
    <w:uiPriority w:val="0"/>
    <w:pPr>
      <w:spacing w:line="360" w:lineRule="auto"/>
      <w:ind w:firstLine="480" w:firstLineChars="200"/>
    </w:pPr>
    <w:rPr>
      <w:sz w:val="24"/>
      <w:lang w:val="zh-CN"/>
    </w:rPr>
  </w:style>
  <w:style w:type="paragraph" w:customStyle="1" w:styleId="50">
    <w:name w:val="Table Paragraph"/>
    <w:basedOn w:val="1"/>
    <w:unhideWhenUsed/>
    <w:qFormat/>
    <w:uiPriority w:val="1"/>
    <w:pPr>
      <w:jc w:val="center"/>
    </w:pPr>
    <w:rPr>
      <w:rFonts w:hint="eastAsia"/>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23980</Words>
  <Characters>25337</Characters>
  <Lines>0</Lines>
  <Paragraphs>0</Paragraphs>
  <TotalTime>3</TotalTime>
  <ScaleCrop>false</ScaleCrop>
  <LinksUpToDate>false</LinksUpToDate>
  <CharactersWithSpaces>27917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2021-12-21T17:48:00Z</dcterms:created>
  <dc:creator>傻傻一辈子</dc:creator>
  <cp:lastModifiedBy>傻傻一辈子</cp:lastModifiedBy>
  <cp:lastPrinted>2023-11-23T15:05:00Z</cp:lastPrinted>
  <dcterms:modified xsi:type="dcterms:W3CDTF">2024-09-20T01:02:54Z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C4C6A95434B94A3ABC07C832733C5A17</vt:lpwstr>
  </property>
</Properties>
</file>