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b/>
          <w:bCs/>
          <w:sz w:val="48"/>
          <w:highlight w:val="yellow"/>
        </w:rPr>
      </w:pPr>
      <w:r>
        <w:rPr>
          <w:rFonts w:hint="eastAsia" w:eastAsia="黑体"/>
          <w:b/>
          <w:sz w:val="48"/>
          <w:lang w:eastAsia="zh-CN"/>
        </w:rPr>
        <w:t>2024年滁宁城际计量器具检测项目（重新公告）</w:t>
      </w:r>
    </w:p>
    <w:p>
      <w:pPr>
        <w:jc w:val="center"/>
        <w:rPr>
          <w:b/>
          <w:bCs/>
          <w:sz w:val="48"/>
        </w:rPr>
      </w:pPr>
    </w:p>
    <w:p>
      <w:pPr>
        <w:ind w:firstLine="1044"/>
        <w:jc w:val="center"/>
        <w:rPr>
          <w:b/>
          <w:bCs/>
          <w:sz w:val="52"/>
        </w:rPr>
      </w:pPr>
    </w:p>
    <w:p>
      <w:pPr>
        <w:ind w:firstLine="1044"/>
        <w:jc w:val="center"/>
        <w:rPr>
          <w:b/>
          <w:bCs/>
          <w:sz w:val="52"/>
        </w:rPr>
      </w:pPr>
    </w:p>
    <w:p>
      <w:pPr>
        <w:pStyle w:val="9"/>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7</w:t>
      </w:r>
      <w:r>
        <w:rPr>
          <w:rFonts w:hint="eastAsia"/>
          <w:b/>
          <w:sz w:val="30"/>
          <w:szCs w:val="30"/>
        </w:rPr>
        <w:t>月</w:t>
      </w:r>
    </w:p>
    <w:p/>
    <w:p>
      <w:pPr>
        <w:rPr>
          <w:b/>
          <w:sz w:val="32"/>
          <w:szCs w:val="32"/>
        </w:rPr>
      </w:pPr>
      <w:r>
        <w:rPr>
          <w:b/>
          <w:sz w:val="32"/>
          <w:szCs w:val="32"/>
        </w:rPr>
        <w:t xml:space="preserve">                         目   录</w:t>
      </w:r>
    </w:p>
    <w:p>
      <w:pPr>
        <w:pStyle w:val="15"/>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5"/>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5"/>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rPr>
          <w:rFonts w:hint="eastAsia"/>
          <w:lang w:val="en-US" w:eastAsia="zh-CN"/>
        </w:rPr>
        <w:t>6</w:t>
      </w:r>
      <w:r>
        <w:fldChar w:fldCharType="end"/>
      </w:r>
    </w:p>
    <w:p>
      <w:pPr>
        <w:pStyle w:val="15"/>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rPr>
          <w:rFonts w:hint="eastAsia"/>
          <w:lang w:val="en-US" w:eastAsia="zh-CN"/>
        </w:rPr>
        <w:t>7</w:t>
      </w:r>
      <w:r>
        <w:fldChar w:fldCharType="end"/>
      </w:r>
    </w:p>
    <w:p>
      <w:pPr>
        <w:pStyle w:val="15"/>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rPr>
          <w:rFonts w:hint="eastAsia"/>
          <w:lang w:val="en-US" w:eastAsia="zh-CN"/>
        </w:rPr>
        <w:t>8</w:t>
      </w:r>
      <w:r>
        <w:fldChar w:fldCharType="end"/>
      </w:r>
    </w:p>
    <w:p>
      <w:pPr>
        <w:pStyle w:val="15"/>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3</w:t>
      </w:r>
      <w:r>
        <w:fldChar w:fldCharType="end"/>
      </w:r>
      <w:r>
        <w:rPr>
          <w:rFonts w:hint="eastAsia"/>
          <w:lang w:val="en-US" w:eastAsia="zh-CN"/>
        </w:rPr>
        <w:t>4</w:t>
      </w:r>
    </w:p>
    <w:p>
      <w:pPr>
        <w:pStyle w:val="15"/>
        <w:tabs>
          <w:tab w:val="right" w:leader="dot" w:pos="9360"/>
        </w:tabs>
        <w:rPr>
          <w:rFonts w:hint="eastAsia" w:eastAsia="宋体"/>
          <w:lang w:val="en-US" w:eastAsia="zh-CN"/>
        </w:rPr>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rPr>
          <w:rFonts w:hint="eastAsia"/>
          <w:lang w:val="en-US" w:eastAsia="zh-CN"/>
        </w:rPr>
        <w:t>3</w:t>
      </w:r>
      <w:r>
        <w:fldChar w:fldCharType="end"/>
      </w:r>
      <w:r>
        <w:rPr>
          <w:rFonts w:hint="eastAsia"/>
          <w:lang w:val="en-US" w:eastAsia="zh-CN"/>
        </w:rPr>
        <w:t>4</w:t>
      </w:r>
    </w:p>
    <w:p>
      <w:pPr>
        <w:pStyle w:val="15"/>
        <w:tabs>
          <w:tab w:val="right" w:leader="dot" w:pos="9360"/>
        </w:tabs>
        <w:rPr>
          <w:rFonts w:hint="eastAsia" w:eastAsia="宋体"/>
          <w:lang w:val="en-US" w:eastAsia="zh-CN"/>
        </w:rPr>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rPr>
          <w:rFonts w:hint="eastAsia"/>
          <w:lang w:val="en-US" w:eastAsia="zh-CN"/>
        </w:rPr>
        <w:t>3</w:t>
      </w:r>
      <w:r>
        <w:fldChar w:fldCharType="end"/>
      </w:r>
      <w:r>
        <w:rPr>
          <w:rFonts w:hint="eastAsia"/>
          <w:lang w:val="en-US" w:eastAsia="zh-CN"/>
        </w:rPr>
        <w:t>5</w:t>
      </w:r>
    </w:p>
    <w:p>
      <w:pPr>
        <w:pStyle w:val="15"/>
        <w:tabs>
          <w:tab w:val="right" w:leader="dot" w:pos="9360"/>
        </w:tabs>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fldChar w:fldCharType="begin"/>
      </w:r>
      <w:r>
        <w:instrText xml:space="preserve"> PAGEREF _Toc11199 \h </w:instrText>
      </w:r>
      <w:r>
        <w:fldChar w:fldCharType="separate"/>
      </w:r>
      <w:r>
        <w:rPr>
          <w:rFonts w:hint="eastAsia"/>
          <w:lang w:val="en-US" w:eastAsia="zh-CN"/>
        </w:rPr>
        <w:t>36</w:t>
      </w:r>
      <w:r>
        <w:fldChar w:fldCharType="end"/>
      </w:r>
      <w:r>
        <w:fldChar w:fldCharType="end"/>
      </w:r>
    </w:p>
    <w:p>
      <w:pPr>
        <w:pStyle w:val="15"/>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 </w:t>
      </w:r>
      <w:r>
        <w:fldChar w:fldCharType="end"/>
      </w:r>
      <w:r>
        <w:rPr>
          <w:rFonts w:hint="eastAsia"/>
          <w:lang w:val="en-US" w:eastAsia="zh-CN"/>
        </w:rPr>
        <w:t>59</w:t>
      </w:r>
    </w:p>
    <w:p>
      <w:pPr>
        <w:jc w:val="center"/>
        <w:rPr>
          <w:b/>
        </w:rPr>
      </w:pPr>
      <w:r>
        <w:fldChar w:fldCharType="end"/>
      </w:r>
    </w:p>
    <w:p>
      <w:pPr>
        <w:pStyle w:val="18"/>
        <w:rPr>
          <w:rFonts w:ascii="Times New Roman" w:hAnsi="Times New Roman"/>
        </w:rPr>
      </w:pPr>
      <w:r>
        <w:rPr>
          <w:rFonts w:ascii="Times New Roman" w:hAnsi="Times New Roman"/>
        </w:rPr>
        <w:br w:type="page"/>
      </w:r>
      <w:bookmarkStart w:id="0" w:name="_Toc269894197"/>
      <w:bookmarkStart w:id="1" w:name="_Toc22988"/>
      <w:bookmarkStart w:id="2" w:name="_Toc268077787"/>
      <w:bookmarkStart w:id="3" w:name="_Toc261615194"/>
      <w:bookmarkStart w:id="4" w:name="_Toc305939862"/>
      <w:bookmarkStart w:id="5" w:name="_Toc269894230"/>
      <w:bookmarkStart w:id="6" w:name="_Toc12606742"/>
      <w:bookmarkStart w:id="7" w:name="_Toc261614509"/>
      <w:r>
        <w:rPr>
          <w:rFonts w:ascii="Times New Roman" w:hAnsi="Times New Roman"/>
        </w:rPr>
        <w:t>说明</w:t>
      </w:r>
      <w:bookmarkEnd w:id="0"/>
      <w:bookmarkEnd w:id="1"/>
      <w:bookmarkEnd w:id="2"/>
      <w:bookmarkEnd w:id="3"/>
      <w:bookmarkEnd w:id="4"/>
      <w:bookmarkEnd w:id="5"/>
      <w:bookmarkEnd w:id="6"/>
      <w:bookmarkEnd w:id="7"/>
    </w:p>
    <w:p>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3"/>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12606743"/>
      <w:bookmarkStart w:id="10" w:name="_Toc305939864"/>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hint="eastAsia" w:ascii="宋体" w:hAnsi="宋体" w:cs="宋体"/>
          <w:b/>
          <w:sz w:val="36"/>
          <w:lang w:eastAsia="zh-CN"/>
        </w:rPr>
      </w:pPr>
      <w:r>
        <w:rPr>
          <w:rFonts w:hint="eastAsia" w:ascii="宋体" w:hAnsi="宋体" w:cs="宋体"/>
          <w:b/>
          <w:sz w:val="36"/>
          <w:lang w:eastAsia="zh-CN"/>
        </w:rPr>
        <w:t>2024年滁宁城际计量器具检测项目（重新公告）</w:t>
      </w:r>
    </w:p>
    <w:p>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rPr>
        <w:t>竞争性谈判公告</w:t>
      </w:r>
    </w:p>
    <w:p>
      <w:r>
        <w:rPr>
          <w:rFonts w:hint="eastAsia"/>
        </w:rPr>
        <w:t xml:space="preserve">    滁州市轨道交通运营有限公司</w:t>
      </w:r>
      <w:r>
        <w:t>拟就</w:t>
      </w:r>
      <w:r>
        <w:rPr>
          <w:rFonts w:hint="eastAsia"/>
          <w:lang w:eastAsia="zh-CN"/>
        </w:rPr>
        <w:t>2024年滁宁城际计量器具检测项目（重新公告）</w:t>
      </w:r>
      <w:r>
        <w:rPr>
          <w:rFonts w:hint="eastAsia"/>
        </w:rPr>
        <w:t>进行竞争性谈判</w:t>
      </w:r>
      <w:r>
        <w:t>，现</w:t>
      </w:r>
      <w:r>
        <w:rPr>
          <w:rFonts w:hint="eastAsia"/>
        </w:rPr>
        <w:t>将</w:t>
      </w:r>
      <w:r>
        <w:t>有关事项公告如下：</w:t>
      </w:r>
    </w:p>
    <w:p>
      <w:pPr>
        <w:keepLines/>
        <w:spacing w:before="156" w:beforeLines="50" w:after="156" w:afterLines="50"/>
        <w:rPr>
          <w:b/>
        </w:rPr>
      </w:pPr>
      <w:r>
        <w:rPr>
          <w:b/>
        </w:rPr>
        <w:t>1 项目内容</w:t>
      </w:r>
    </w:p>
    <w:p>
      <w:pPr>
        <w:widowControl/>
        <w:ind w:firstLine="480" w:firstLineChars="200"/>
        <w:rPr>
          <w:rFonts w:ascii="宋体" w:hAnsi="宋体"/>
        </w:rPr>
      </w:pPr>
      <w:r>
        <w:rPr>
          <w:rFonts w:hint="eastAsia" w:ascii="宋体" w:hAnsi="宋体"/>
          <w:kern w:val="0"/>
          <w:szCs w:val="21"/>
        </w:rPr>
        <w:t>运营公司依据《中华人民共和国计量法》，保证参与生产、科研、经营管理的计量器具进行定期检测。公司现有1</w:t>
      </w:r>
      <w:r>
        <w:rPr>
          <w:rFonts w:hint="eastAsia" w:ascii="宋体" w:hAnsi="宋体"/>
          <w:kern w:val="0"/>
          <w:szCs w:val="21"/>
          <w:lang w:val="en-US" w:eastAsia="zh-CN"/>
        </w:rPr>
        <w:t>75</w:t>
      </w:r>
      <w:r>
        <w:rPr>
          <w:rFonts w:hint="eastAsia" w:ascii="宋体" w:hAnsi="宋体"/>
          <w:kern w:val="0"/>
          <w:szCs w:val="21"/>
        </w:rPr>
        <w:t>种计量器具需进行计量检测，确保测量数据准确可靠，保障生产工作运行稳定，安全可靠。</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t>自</w:t>
      </w:r>
      <w:r>
        <w:rPr>
          <w:u w:val="single"/>
        </w:rPr>
        <w:t>202</w:t>
      </w:r>
      <w:r>
        <w:rPr>
          <w:rFonts w:hint="eastAsia"/>
          <w:u w:val="single"/>
          <w:lang w:val="en-US" w:eastAsia="zh-CN"/>
        </w:rPr>
        <w:t>4</w:t>
      </w:r>
      <w:r>
        <w:t>年</w:t>
      </w:r>
      <w:r>
        <w:rPr>
          <w:rFonts w:hint="eastAsia"/>
          <w:highlight w:val="none"/>
          <w:u w:val="single"/>
          <w:lang w:val="en-US" w:eastAsia="zh-CN"/>
        </w:rPr>
        <w:t xml:space="preserve"> 7 </w:t>
      </w:r>
      <w:r>
        <w:rPr>
          <w:highlight w:val="none"/>
        </w:rPr>
        <w:t>月</w:t>
      </w:r>
      <w:r>
        <w:rPr>
          <w:rFonts w:hint="eastAsia"/>
          <w:highlight w:val="none"/>
          <w:u w:val="single"/>
          <w:lang w:val="en-US" w:eastAsia="zh-CN"/>
        </w:rPr>
        <w:t xml:space="preserve"> 25 </w:t>
      </w:r>
      <w:r>
        <w:rPr>
          <w:highlight w:val="none"/>
        </w:rPr>
        <w:t>日起至</w:t>
      </w:r>
      <w:r>
        <w:rPr>
          <w:highlight w:val="none"/>
          <w:u w:val="single"/>
        </w:rPr>
        <w:t>202</w:t>
      </w:r>
      <w:r>
        <w:rPr>
          <w:rFonts w:hint="eastAsia"/>
          <w:highlight w:val="none"/>
          <w:u w:val="single"/>
          <w:lang w:val="en-US" w:eastAsia="zh-CN"/>
        </w:rPr>
        <w:t>4</w:t>
      </w:r>
      <w:r>
        <w:rPr>
          <w:highlight w:val="none"/>
        </w:rPr>
        <w:t>年</w:t>
      </w:r>
      <w:r>
        <w:rPr>
          <w:rFonts w:hint="eastAsia"/>
          <w:highlight w:val="none"/>
          <w:u w:val="single"/>
          <w:lang w:val="en-US" w:eastAsia="zh-CN"/>
        </w:rPr>
        <w:t xml:space="preserve"> 7 </w:t>
      </w:r>
      <w:r>
        <w:rPr>
          <w:highlight w:val="none"/>
        </w:rPr>
        <w:t>月</w:t>
      </w:r>
      <w:r>
        <w:rPr>
          <w:rFonts w:hint="eastAsia"/>
          <w:highlight w:val="none"/>
          <w:u w:val="single"/>
          <w:lang w:val="en-US" w:eastAsia="zh-CN"/>
        </w:rPr>
        <w:t xml:space="preserve"> 31 </w:t>
      </w:r>
      <w:r>
        <w:rPr>
          <w:highlight w:val="none"/>
        </w:rPr>
        <w:t>日</w:t>
      </w:r>
      <w:r>
        <w:rPr>
          <w:rFonts w:hint="eastAsia"/>
          <w:u w:val="single"/>
        </w:rPr>
        <w:t>1</w:t>
      </w:r>
      <w:r>
        <w:rPr>
          <w:u w:val="single"/>
        </w:rPr>
        <w:t>7</w:t>
      </w:r>
      <w:r>
        <w:rPr>
          <w:rFonts w:hint="eastAsia"/>
          <w:u w:val="single"/>
        </w:rPr>
        <w:t>：30</w:t>
      </w:r>
      <w:r>
        <w:t>止</w:t>
      </w:r>
      <w:r>
        <w:rPr>
          <w:rFonts w:hint="eastAsia"/>
        </w:rPr>
        <w:t>（北京时间）。符合</w:t>
      </w:r>
      <w:r>
        <w:rPr>
          <w:rFonts w:hint="eastAsia"/>
          <w:lang w:val="en-US" w:eastAsia="zh-CN"/>
        </w:rPr>
        <w:t>申请人</w:t>
      </w:r>
      <w:r>
        <w:rPr>
          <w:rFonts w:hint="eastAsia"/>
        </w:rPr>
        <w:t>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w:t>
      </w:r>
      <w:r>
        <w:rPr>
          <w:rFonts w:hint="eastAsia"/>
          <w:lang w:val="en-US" w:eastAsia="zh-CN"/>
        </w:rPr>
        <w:t>申请人</w:t>
      </w:r>
      <w:r>
        <w:rPr>
          <w:rFonts w:hint="eastAsia"/>
        </w:rPr>
        <w:t>应及时通知采购人，否则由此引起的后果由</w:t>
      </w:r>
      <w:r>
        <w:rPr>
          <w:rFonts w:hint="eastAsia"/>
          <w:lang w:val="en-US" w:eastAsia="zh-CN"/>
        </w:rPr>
        <w:t>申请人</w:t>
      </w:r>
      <w:r>
        <w:rPr>
          <w:rFonts w:hint="eastAsia"/>
        </w:rPr>
        <w:t>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keepLines/>
        <w:adjustRightInd/>
        <w:spacing w:before="156" w:beforeLines="50" w:after="156" w:afterLines="50"/>
        <w:jc w:val="left"/>
        <w:textAlignment w:val="auto"/>
        <w:rPr>
          <w:rFonts w:hint="eastAsia" w:ascii="Times New Roman" w:hAnsi="Times New Roman"/>
          <w:b/>
          <w:bCs w:val="0"/>
        </w:rPr>
      </w:pPr>
      <w:r>
        <w:rPr>
          <w:rFonts w:hint="eastAsia" w:ascii="Times New Roman" w:hAnsi="Times New Roman"/>
          <w:b/>
          <w:bCs w:val="0"/>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谈判申请人必须在</w:t>
      </w:r>
      <w:r>
        <w:rPr>
          <w:rFonts w:hint="eastAsia" w:ascii="宋体" w:hAnsi="宋体"/>
          <w:u w:val="single"/>
        </w:rPr>
        <w:t>202</w:t>
      </w:r>
      <w:r>
        <w:rPr>
          <w:rFonts w:hint="eastAsia" w:ascii="宋体" w:hAnsi="宋体"/>
          <w:u w:val="single"/>
          <w:lang w:val="en-US" w:eastAsia="zh-CN"/>
        </w:rPr>
        <w:t>4</w:t>
      </w:r>
      <w:r>
        <w:rPr>
          <w:rFonts w:hint="eastAsia" w:ascii="宋体" w:hAnsi="宋体"/>
        </w:rPr>
        <w:t>年</w:t>
      </w:r>
      <w:r>
        <w:rPr>
          <w:rFonts w:hint="eastAsia" w:ascii="宋体" w:hAnsi="宋体"/>
          <w:highlight w:val="none"/>
          <w:u w:val="single"/>
          <w:lang w:val="en-US" w:eastAsia="zh-CN"/>
        </w:rPr>
        <w:t>8</w:t>
      </w:r>
      <w:r>
        <w:rPr>
          <w:rFonts w:hint="eastAsia" w:ascii="宋体" w:hAnsi="宋体"/>
          <w:highlight w:val="none"/>
        </w:rPr>
        <w:t>月</w:t>
      </w:r>
      <w:r>
        <w:rPr>
          <w:rFonts w:hint="eastAsia" w:ascii="宋体" w:hAnsi="宋体"/>
          <w:highlight w:val="none"/>
          <w:u w:val="single"/>
          <w:lang w:val="en-US" w:eastAsia="zh-CN"/>
        </w:rPr>
        <w:t xml:space="preserve">7 </w:t>
      </w:r>
      <w:r>
        <w:rPr>
          <w:rFonts w:hint="eastAsia" w:ascii="宋体" w:hAnsi="宋体"/>
          <w:highlight w:val="none"/>
        </w:rPr>
        <w:t>日</w:t>
      </w:r>
      <w:r>
        <w:rPr>
          <w:rFonts w:hint="eastAsia" w:ascii="宋体" w:hAnsi="宋体"/>
          <w:u w:val="single"/>
        </w:rPr>
        <w:t>15</w:t>
      </w:r>
      <w:r>
        <w:rPr>
          <w:rFonts w:hint="eastAsia" w:ascii="宋体" w:hAnsi="宋体"/>
        </w:rPr>
        <w:t>时</w:t>
      </w:r>
      <w:r>
        <w:rPr>
          <w:rFonts w:hint="eastAsia" w:ascii="宋体" w:hAnsi="宋体"/>
          <w:u w:val="single"/>
        </w:rPr>
        <w:t>00</w:t>
      </w:r>
      <w:r>
        <w:rPr>
          <w:rFonts w:hint="eastAsia" w:ascii="宋体" w:hAnsi="宋体"/>
        </w:rPr>
        <w:t>分之前到达滁州市轨道交通运营有限公司五楼51</w:t>
      </w:r>
      <w:r>
        <w:rPr>
          <w:rFonts w:hint="eastAsia" w:ascii="宋体" w:hAnsi="宋体"/>
          <w:lang w:val="en-US" w:eastAsia="zh-CN"/>
        </w:rPr>
        <w:t>4开评标</w:t>
      </w:r>
      <w:r>
        <w:rPr>
          <w:rFonts w:hint="eastAsia" w:ascii="宋体" w:hAnsi="宋体"/>
        </w:rPr>
        <w:t>室（徽州路与扬子路交叉口东南侧），逾期不予接待。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rFonts w:hint="default"/>
          <w:kern w:val="0"/>
          <w:lang w:val="en-US"/>
        </w:rPr>
      </w:pPr>
      <w:r>
        <w:rPr>
          <w:kern w:val="0"/>
        </w:rPr>
        <w:t>联系人：</w:t>
      </w:r>
      <w:r>
        <w:rPr>
          <w:rFonts w:hint="eastAsia"/>
          <w:kern w:val="0"/>
          <w:lang w:val="en-US" w:eastAsia="zh-CN"/>
        </w:rPr>
        <w:t>张工</w:t>
      </w:r>
    </w:p>
    <w:p>
      <w:pPr>
        <w:widowControl/>
        <w:jc w:val="left"/>
        <w:rPr>
          <w:rFonts w:hint="default" w:eastAsia="宋体"/>
          <w:kern w:val="0"/>
          <w:lang w:val="en-US" w:eastAsia="zh-CN"/>
        </w:rPr>
      </w:pPr>
      <w:r>
        <w:rPr>
          <w:kern w:val="0"/>
        </w:rPr>
        <w:t>电话：</w:t>
      </w:r>
      <w:r>
        <w:rPr>
          <w:rFonts w:hint="eastAsia"/>
          <w:kern w:val="0"/>
          <w:sz w:val="24"/>
          <w:szCs w:val="24"/>
        </w:rPr>
        <w:t>0</w:t>
      </w:r>
      <w:r>
        <w:rPr>
          <w:kern w:val="0"/>
          <w:sz w:val="24"/>
          <w:szCs w:val="24"/>
        </w:rPr>
        <w:t>550-3352129</w:t>
      </w:r>
    </w:p>
    <w:p>
      <w:pPr>
        <w:widowControl/>
        <w:jc w:val="left"/>
        <w:rPr>
          <w:b/>
        </w:rPr>
      </w:pPr>
      <w:r>
        <w:t>邮箱：</w:t>
      </w:r>
      <w:r>
        <w:rPr>
          <w:rFonts w:hint="eastAsia"/>
        </w:rPr>
        <w:t>czrtocwzb@163.com</w:t>
      </w:r>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7"/>
        <w:rPr>
          <w:rFonts w:hint="eastAsia" w:ascii="Arial" w:hAnsi="Arial" w:cs="Arial"/>
        </w:rPr>
      </w:pPr>
      <w:r>
        <w:rPr>
          <w:rFonts w:hint="eastAsia"/>
        </w:rPr>
        <w:t>附件：《供应商信息登记表》</w:t>
      </w:r>
    </w:p>
    <w:p>
      <w:pPr>
        <w:jc w:val="right"/>
        <w:rPr>
          <w:rFonts w:ascii="Arial" w:hAnsi="Arial" w:cs="Arial"/>
        </w:rPr>
      </w:pPr>
      <w:r>
        <w:rPr>
          <w:rFonts w:hint="eastAsia" w:ascii="Arial" w:hAnsi="Arial" w:cs="Arial"/>
        </w:rPr>
        <w:t>滁州市轨道交通运营有限公司</w:t>
      </w:r>
    </w:p>
    <w:p>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rPr>
        <w:t>202</w:t>
      </w:r>
      <w:r>
        <w:rPr>
          <w:rFonts w:hint="eastAsia"/>
          <w:lang w:val="en-US" w:eastAsia="zh-CN"/>
        </w:rPr>
        <w:t>4</w:t>
      </w:r>
      <w:r>
        <w:rPr>
          <w:rFonts w:hint="eastAsia"/>
          <w:highlight w:val="none"/>
        </w:rPr>
        <w:t>年</w:t>
      </w:r>
      <w:r>
        <w:rPr>
          <w:rFonts w:hint="eastAsia"/>
          <w:highlight w:val="none"/>
          <w:lang w:val="en-US" w:eastAsia="zh-CN"/>
        </w:rPr>
        <w:t xml:space="preserve">7 </w:t>
      </w:r>
      <w:r>
        <w:rPr>
          <w:rFonts w:hint="eastAsia"/>
          <w:highlight w:val="none"/>
        </w:rPr>
        <w:t>月</w:t>
      </w:r>
      <w:r>
        <w:rPr>
          <w:rFonts w:hint="eastAsia"/>
          <w:highlight w:val="none"/>
          <w:lang w:val="en-US" w:eastAsia="zh-CN"/>
        </w:rPr>
        <w:t xml:space="preserve"> 25 </w:t>
      </w:r>
      <w:r>
        <w:rPr>
          <w:rFonts w:hint="eastAsia"/>
          <w:highlight w:val="none"/>
        </w:rPr>
        <w:t>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8"/>
        <w:jc w:val="right"/>
      </w:pPr>
    </w:p>
    <w:tbl>
      <w:tblPr>
        <w:tblStyle w:val="20"/>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2024年滁宁城际计量器具检测项目（重新公告）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rFonts w:hint="eastAsia"/>
          <w:kern w:val="0"/>
          <w:u w:val="single"/>
          <w:lang w:val="en-US" w:eastAsia="zh-CN"/>
        </w:rPr>
        <w:t>4</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3"/>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3"/>
        <w:numPr>
          <w:ilvl w:val="0"/>
          <w:numId w:val="0"/>
        </w:numPr>
        <w:tabs>
          <w:tab w:val="left" w:pos="426"/>
          <w:tab w:val="clear" w:pos="574"/>
        </w:tabs>
        <w:jc w:val="left"/>
        <w:rPr>
          <w:rFonts w:ascii="Times New Roman" w:hAnsi="Times New Roman"/>
          <w:bCs/>
          <w:color w:val="auto"/>
          <w:sz w:val="24"/>
          <w:szCs w:val="24"/>
        </w:rPr>
      </w:pPr>
      <w:bookmarkStart w:id="12" w:name="_Toc12606744"/>
      <w:bookmarkStart w:id="13" w:name="_Toc26307"/>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4"/>
        </w:numPr>
      </w:pPr>
      <w:r>
        <w:rPr>
          <w:rFonts w:hint="eastAsia"/>
        </w:rPr>
        <w:t>谈判通知</w:t>
      </w:r>
    </w:p>
    <w:p>
      <w:pPr>
        <w:numPr>
          <w:ilvl w:val="0"/>
          <w:numId w:val="4"/>
        </w:numPr>
      </w:pPr>
      <w:r>
        <w:rPr>
          <w:rFonts w:hint="eastAsia"/>
        </w:rPr>
        <w:t>谈判</w:t>
      </w:r>
      <w:r>
        <w:t>文件说明</w:t>
      </w:r>
    </w:p>
    <w:p>
      <w:pPr>
        <w:numPr>
          <w:ilvl w:val="0"/>
          <w:numId w:val="4"/>
        </w:numPr>
      </w:pPr>
      <w:r>
        <w:rPr>
          <w:rFonts w:hint="eastAsia"/>
        </w:rPr>
        <w:t>谈判</w:t>
      </w:r>
      <w:r>
        <w:t>申请</w:t>
      </w:r>
      <w:r>
        <w:rPr>
          <w:rFonts w:hint="eastAsia"/>
        </w:rPr>
        <w:t>文件</w:t>
      </w:r>
      <w:r>
        <w:t>编制</w:t>
      </w:r>
    </w:p>
    <w:p>
      <w:pPr>
        <w:numPr>
          <w:ilvl w:val="0"/>
          <w:numId w:val="4"/>
        </w:numPr>
      </w:pPr>
      <w:r>
        <w:rPr>
          <w:rFonts w:hint="eastAsia"/>
        </w:rPr>
        <w:t>谈判</w:t>
      </w:r>
      <w:r>
        <w:t>申请文件格式</w:t>
      </w:r>
    </w:p>
    <w:p>
      <w:pPr>
        <w:numPr>
          <w:ilvl w:val="0"/>
          <w:numId w:val="4"/>
        </w:numPr>
      </w:pPr>
      <w:r>
        <w:rPr>
          <w:rFonts w:hint="eastAsia"/>
        </w:rPr>
        <w:t>谈判</w:t>
      </w:r>
      <w:r>
        <w:t>申请文件递交</w:t>
      </w:r>
    </w:p>
    <w:p>
      <w:pPr>
        <w:numPr>
          <w:ilvl w:val="0"/>
          <w:numId w:val="4"/>
        </w:numPr>
      </w:pPr>
      <w:r>
        <w:rPr>
          <w:rFonts w:hint="eastAsia"/>
        </w:rPr>
        <w:t>评审</w:t>
      </w:r>
    </w:p>
    <w:p>
      <w:pPr>
        <w:numPr>
          <w:ilvl w:val="0"/>
          <w:numId w:val="4"/>
        </w:numPr>
      </w:pPr>
      <w:r>
        <w:rPr>
          <w:rFonts w:hint="eastAsia"/>
        </w:rPr>
        <w:t>合同授予</w:t>
      </w:r>
    </w:p>
    <w:p>
      <w:pPr>
        <w:numPr>
          <w:ilvl w:val="0"/>
          <w:numId w:val="4"/>
        </w:numPr>
      </w:pPr>
      <w:r>
        <w:rPr>
          <w:rFonts w:hint="eastAsia"/>
        </w:rPr>
        <w:t>合同</w:t>
      </w:r>
      <w:r>
        <w:t>条款</w:t>
      </w:r>
    </w:p>
    <w:p>
      <w:pPr>
        <w:numPr>
          <w:ilvl w:val="0"/>
          <w:numId w:val="4"/>
        </w:numPr>
      </w:pPr>
      <w:r>
        <w:rPr>
          <w:rFonts w:hint="eastAsia"/>
        </w:rPr>
        <w:t>用户</w:t>
      </w:r>
      <w:r>
        <w:t>需求书</w:t>
      </w:r>
    </w:p>
    <w:p>
      <w:r>
        <w:rPr>
          <w:rFonts w:hint="eastAsia"/>
        </w:rPr>
        <w:t>2.2 谈判</w:t>
      </w:r>
      <w:r>
        <w:t>文件澄清</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3"/>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4691"/>
      <w:bookmarkStart w:id="16" w:name="_Toc12606745"/>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u w:val="single"/>
          <w:lang w:val="en-US" w:eastAsia="zh-CN"/>
        </w:rPr>
        <w:t>2800</w:t>
      </w:r>
      <w:r>
        <w:rPr>
          <w:rFonts w:hint="eastAsia"/>
          <w:u w:val="single"/>
        </w:rPr>
        <w:t>00</w:t>
      </w:r>
      <w:r>
        <w:rPr>
          <w:rFonts w:hint="eastAsia"/>
          <w:u w:val="single"/>
          <w:lang w:val="en-US" w:eastAsia="zh-CN"/>
        </w:rPr>
        <w:t>.00</w:t>
      </w:r>
      <w:r>
        <w:rPr>
          <w:rFonts w:hint="eastAsia"/>
          <w:u w:val="single"/>
        </w:rPr>
        <w:t>元</w:t>
      </w:r>
      <w:r>
        <w:rPr>
          <w:rFonts w:hint="eastAsia"/>
          <w:snapToGrid w:val="0"/>
          <w:color w:val="000000"/>
        </w:rPr>
        <w:t>（含增值税）</w:t>
      </w:r>
      <w:r>
        <w:rPr>
          <w:rFonts w:hint="eastAsia"/>
          <w:snapToGrid w:val="0"/>
          <w:color w:val="000000"/>
          <w:lang w:eastAsia="zh-CN"/>
        </w:rPr>
        <w:t>。</w:t>
      </w:r>
    </w:p>
    <w:p>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3"/>
        <w:numPr>
          <w:ilvl w:val="0"/>
          <w:numId w:val="0"/>
        </w:numPr>
        <w:tabs>
          <w:tab w:val="left" w:pos="426"/>
          <w:tab w:val="clear" w:pos="574"/>
        </w:tabs>
        <w:jc w:val="left"/>
        <w:rPr>
          <w:rFonts w:ascii="Times New Roman" w:hAnsi="Times New Roman"/>
          <w:bCs/>
          <w:color w:val="auto"/>
          <w:sz w:val="24"/>
          <w:szCs w:val="24"/>
        </w:rPr>
      </w:pPr>
      <w:bookmarkStart w:id="17" w:name="_Toc256080744"/>
      <w:bookmarkStart w:id="18" w:name="_Toc254769697"/>
      <w:bookmarkStart w:id="19" w:name="_Toc305939868"/>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8"/>
        </w:numPr>
        <w:autoSpaceDE w:val="0"/>
        <w:autoSpaceDN w:val="0"/>
        <w:textAlignment w:val="bottom"/>
      </w:pPr>
      <w:r>
        <w:t>谈判申请人应对所附的表格中所提出之问题或/要求一一作出肯定答复。</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pPr>
        <w:pStyle w:val="4"/>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668567"/>
      <w:bookmarkStart w:id="24" w:name="_Toc12606747"/>
      <w:bookmarkStart w:id="25" w:name="_Toc476840767"/>
      <w:bookmarkStart w:id="26" w:name="_Toc305939869"/>
      <w:bookmarkStart w:id="27" w:name="_Toc476839702"/>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val="en-US" w:eastAsia="zh-CN"/>
        </w:rPr>
        <w:t>2024年滁宁城际计量器具检测项目（重新公告）</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4"/>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9"/>
        </w:numPr>
        <w:autoSpaceDE w:val="0"/>
        <w:autoSpaceDN w:val="0"/>
        <w:ind w:left="750"/>
        <w:textAlignment w:val="bottom"/>
      </w:pPr>
      <w:r>
        <w:t>谈判申请人将承担按照谈判文件的所有条款履行合同的责任和义务。</w:t>
      </w:r>
    </w:p>
    <w:p>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8"/>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pPr>
        <w:widowControl/>
        <w:numPr>
          <w:ilvl w:val="0"/>
          <w:numId w:val="9"/>
        </w:numPr>
        <w:autoSpaceDE w:val="0"/>
        <w:autoSpaceDN w:val="0"/>
        <w:ind w:left="750"/>
        <w:textAlignment w:val="bottom"/>
      </w:pP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216151032"/>
      <w:bookmarkStart w:id="29" w:name="_Toc305939872"/>
    </w:p>
    <w:p>
      <w:pPr>
        <w:pStyle w:val="4"/>
        <w:numPr>
          <w:ilvl w:val="0"/>
          <w:numId w:val="10"/>
        </w:numPr>
        <w:spacing w:line="360" w:lineRule="auto"/>
        <w:jc w:val="center"/>
      </w:pPr>
      <w:bookmarkStart w:id="30" w:name="_Toc534879826"/>
      <w:bookmarkStart w:id="31" w:name="_Toc476840768"/>
      <w:bookmarkStart w:id="32" w:name="_Toc23827"/>
      <w:bookmarkStart w:id="33" w:name="_Toc476668568"/>
      <w:bookmarkStart w:id="34" w:name="_Toc476839703"/>
      <w:r>
        <w:rPr>
          <w:rFonts w:ascii="Times New Roman" w:hAnsi="Times New Roman" w:eastAsia="宋体"/>
          <w:snapToGrid w:val="0"/>
          <w:sz w:val="28"/>
          <w:szCs w:val="28"/>
        </w:rPr>
        <w:t>报价明细表</w:t>
      </w:r>
      <w:bookmarkEnd w:id="30"/>
      <w:bookmarkEnd w:id="31"/>
      <w:bookmarkEnd w:id="32"/>
      <w:bookmarkEnd w:id="33"/>
      <w:bookmarkEnd w:id="34"/>
    </w:p>
    <w:p>
      <w:r>
        <w:rPr>
          <w:rFonts w:hint="eastAsia" w:ascii="Arial" w:hAnsi="Arial" w:cs="Arial"/>
          <w:color w:val="000000"/>
          <w:szCs w:val="21"/>
        </w:rPr>
        <w:t>货币：人民币</w:t>
      </w:r>
      <w:r>
        <w:rPr>
          <w:rFonts w:hint="eastAsia" w:ascii="Arial" w:hAnsi="Arial" w:cs="Arial"/>
          <w:color w:val="000000"/>
          <w:szCs w:val="21"/>
          <w:lang w:val="en-US" w:eastAsia="zh-CN"/>
        </w:rPr>
        <w:t xml:space="preserve"> </w:t>
      </w:r>
      <w:r>
        <w:rPr>
          <w:rFonts w:hint="eastAsia" w:ascii="Arial" w:hAnsi="Arial" w:cs="Arial"/>
          <w:color w:val="000000"/>
          <w:szCs w:val="21"/>
        </w:rPr>
        <w:t>元</w:t>
      </w:r>
    </w:p>
    <w:tbl>
      <w:tblPr>
        <w:tblStyle w:val="20"/>
        <w:tblW w:w="99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5"/>
        <w:gridCol w:w="1502"/>
        <w:gridCol w:w="2370"/>
        <w:gridCol w:w="1185"/>
        <w:gridCol w:w="1125"/>
        <w:gridCol w:w="1230"/>
        <w:gridCol w:w="1170"/>
        <w:gridCol w:w="7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计量器具名称</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规格型号、测量范围</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2024年</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2025年</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预估数量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综合单价</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（不含税）</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合价</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（不含税）</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p>
        </w:tc>
        <w:tc>
          <w:tcPr>
            <w:tcW w:w="93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强制检定工作计量器具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酒精测试仪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Panther-2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w:t>
            </w:r>
          </w:p>
        </w:tc>
        <w:tc>
          <w:tcPr>
            <w:tcW w:w="93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计量标准器具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焊缝钢轨探伤仪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CTS-1010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超声波钢轨探伤仪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GT-20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轨道几何状态检测小车</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GJY-T-EBJ-3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支距尺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HTZJC-2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GJC-HTS2W</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双轨波浪磨耗测量仪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Bi-CAT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电池测试仪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BT3554-51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钢轨焊缝相控阵超声检测仪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CTS-PA22B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轨道智能添乘仪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ZT-D</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钢轨轮廓测量仪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GKY-D-HX-2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辙叉磨耗测量器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ZCY-A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数显式钢轨磨耗测量仪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BMC-01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电子式波形磨耗测量仪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GMC-60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轨底坡测量仪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HT1-S0H5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精密噪音分析仪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HS5628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钢轨直度测量尺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1米</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HTFC-1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预置式扭力扳手</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SATA96423;10-50Nm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裂缝宽度深度综合测试仪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BJLF-1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墙体探测仪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D-TECT 150 SV</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激光测距仪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徕卡D110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轨温计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SRT-A型工务钢轨测温专用</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双轨式超声波探伤仪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RT18-D型</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机械式温湿度计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WS-A1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MS8215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管形测力计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LTZ-10/20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绝缘电阻表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ZC11D-10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拉力计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TK-10000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数字钳形表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T6-1000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数字风速计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PM6252B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SF6微量水分测试仪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KVWS-II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SF6定量检漏仪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KVWG-II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SF6定性检漏仪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XP-1A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全自动变比组别测试仪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KVB-II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智能回路电阻测试仪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KVH-100A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直流电阻快速测试仪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KVZRC-10A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互感器特性综合测试仪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KVHG-P</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氧化锌避雷器检测装置</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KVYZ-III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接地电阻测试仪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KV2571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UT58E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单体蓄电池活化仪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ABE-2612CT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蓄电池智能充放电仪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FGCD-4810CT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蓄电池内阻测试仪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FBR-6000NT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电能质量分析仪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KVPQ-60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无线高压核相仪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TAG5000A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大电流发生器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KVSL-2000A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数字钳形万用表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F302+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数字电桥</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QJ35A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电容电桥</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HTDR-H</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真空度测试仪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KVZK-IV</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微电脑交流电量测试仪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KVYM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远距离红外测温仪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HCW-VAI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直流高压试验器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ZGF-200kV/2mA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线路故障测试仪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SDCA-4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局放超声自动定位系统</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HTJF-9003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继电保护测试装置</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HT-1200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交流耐压试验台</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非标</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高压开关特性测试仪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HTGK-III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绝缘靴手套耐压试验装置</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HTTX-H</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高压成套试验装置</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30kVA/150kV</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变频谐振耐压成套装置</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KVTF-75kVA/75kV</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超声波探伤仪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ZXUD-68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交直流电表万能校验台</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HTJZ-H</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多功能信号发生器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2006A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多通道示波器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数字微欧计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ZY9987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小电流钳形表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交直流钳形表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三相多功能伏安相位表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噪音计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TES-1352S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继电器万能试验台</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特斯拉计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TD8620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毫伏发生器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SS7012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钳形接地电阻测试仪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fluke1630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数字钳形表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 T6-1000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激光测距仪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GLM150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FLUKE-233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数显力矩扳手</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MDS-100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力矩扳手</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QL100N4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HTFC-1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激光测距仪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SW-600A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接触网磨耗测量仪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HDMH</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线索张力测试仪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HDZL-30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DJJ-8接触网激光测量仪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DJJ-8</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扭力扳手</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160-800Nm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预置式扭力扳手</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SATA96423;10-50Nm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FLUKE17B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绝缘电阻表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ZC11D-10;2500MΩ</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绝缘电阻表（指针）</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ZC11D-3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接地电阻测试仪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ZC-8型;1000Ω</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UT191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数显温湿度计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WSB-1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钢卷尺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5m×25㎜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钢直尺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E8064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绝缘电阻表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ZC11D-10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OTDR</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HX6000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光功率计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HX3200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光源</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HX3100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MS815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FLUKE17B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转辙机拉力测试仪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KXZD-42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MF指针型万用表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防雷元件测试仪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KDDQ FC-2G</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蓄电池内阻测试仪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NZY-A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数字接地电阻测试仪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RT2571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FLUKE2042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测量规</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传感器调整板</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机械式温湿度计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WS-A1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钳形电流表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扭力扳手</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SATA（＜500Nm）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电缆探测仪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FLUK2042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双针压力表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2020F 252-33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压力表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4000261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双针压力表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YCS100Ⅱ</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双针压力表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PG21DPB 080/090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直流低电阻计（微欧计）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UT620C</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电导率仪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DDS-11A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DEM21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超声波探伤仪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SC600I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车门压力计（数显推拉力计）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DS2-500N-XD</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露点计（温湿度表）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AZ 8705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智能数字微压计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DP1000-IIIB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千分表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（0～1）mm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数字式绝缘电阻测试仪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DY30-2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59E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示波表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190-202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磁粉探伤仪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CDX-II</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振动仪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HS5936</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杠杆百分表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（0～0.8）mm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数字压力计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DPI 705E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温湿度监测仪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TES 1360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手持式激光测距仪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DB100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转速表（红外转速计）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HT-4200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分体式测振仪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GM63B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风速计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AZ8904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数显千分表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（0～12.7）mm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指针式万用表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MF47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标准圆</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810.00/810.02mm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机车车辆轮对内距尺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GF982S-ZD</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机车车辆轮径测量仪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GF922-L-860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车辆车辆第四种检查器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LLJ-4D</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数显地铁轮缘尺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GF2060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噪音计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DSMD1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照度计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MS6612L</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相位测试仪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FLUKE 9062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0-35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（0.7~0.8）g/m³</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0-70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比重计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（0.9~1.0）g/m³</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车轮轮缘踏面样板</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 LM-31.5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万用表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FLUKE17B</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手持红外测温仪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UT301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开口式点压钳表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Fluke T6-1000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数显游标卡尺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0-150mm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GF2060型数显地铁轮缘尺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GF2060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车门挤压力峰值仪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9V Block</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1X10数显百分表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0-120mm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风速表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8904</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数字压力表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DPI 705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压力测试仪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DPI705E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1"/>
                <w:szCs w:val="21"/>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项目不含增值税报价：人民币（¥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9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项目含增值税报价：人民币（¥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9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增值税税率：</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w:t>
      </w:r>
      <w:r>
        <w:rPr>
          <w:rFonts w:hint="eastAsia" w:ascii="宋体" w:hAnsi="宋体" w:cs="宋体"/>
          <w:sz w:val="21"/>
          <w:szCs w:val="22"/>
          <w:lang w:val="en-US" w:eastAsia="zh-CN"/>
        </w:rPr>
        <w:t>预估数量</w:t>
      </w:r>
      <w:r>
        <w:rPr>
          <w:rFonts w:hint="eastAsia" w:ascii="宋体" w:hAnsi="宋体" w:eastAsia="宋体" w:cs="宋体"/>
          <w:sz w:val="21"/>
          <w:szCs w:val="22"/>
        </w:rPr>
        <w:t>仅供参考，实际</w:t>
      </w:r>
      <w:r>
        <w:rPr>
          <w:rFonts w:hint="eastAsia" w:ascii="宋体" w:hAnsi="宋体" w:cs="宋体"/>
          <w:sz w:val="21"/>
          <w:szCs w:val="22"/>
          <w:lang w:val="en-US" w:eastAsia="zh-CN"/>
        </w:rPr>
        <w:t>检测数量</w:t>
      </w:r>
      <w:r>
        <w:rPr>
          <w:rFonts w:hint="eastAsia" w:ascii="宋体" w:hAnsi="宋体" w:eastAsia="宋体" w:cs="宋体"/>
          <w:sz w:val="21"/>
          <w:szCs w:val="22"/>
        </w:rPr>
        <w:t>以</w:t>
      </w:r>
      <w:r>
        <w:rPr>
          <w:rFonts w:hint="eastAsia" w:ascii="宋体" w:hAnsi="宋体" w:cs="宋体"/>
          <w:sz w:val="21"/>
          <w:szCs w:val="22"/>
          <w:lang w:val="en-US" w:eastAsia="zh-CN"/>
        </w:rPr>
        <w:t>采购人需求</w:t>
      </w:r>
      <w:r>
        <w:rPr>
          <w:rFonts w:hint="eastAsia" w:ascii="宋体" w:hAnsi="宋体" w:eastAsia="宋体" w:cs="宋体"/>
          <w:sz w:val="21"/>
          <w:szCs w:val="22"/>
        </w:rPr>
        <w:t>为准，本项目计价方式为固定</w:t>
      </w:r>
      <w:r>
        <w:rPr>
          <w:rFonts w:hint="eastAsia" w:ascii="宋体" w:hAnsi="宋体" w:cs="宋体"/>
          <w:sz w:val="21"/>
          <w:szCs w:val="22"/>
          <w:lang w:val="en-US" w:eastAsia="zh-CN"/>
        </w:rPr>
        <w:t>单价</w:t>
      </w:r>
      <w:r>
        <w:rPr>
          <w:rFonts w:hint="eastAsia" w:ascii="宋体" w:hAnsi="宋体" w:eastAsia="宋体" w:cs="宋体"/>
          <w:sz w:val="21"/>
          <w:szCs w:val="22"/>
        </w:rPr>
        <w:t>方式。</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668603"/>
      <w:bookmarkStart w:id="36" w:name="_Toc12606749"/>
      <w:bookmarkStart w:id="37" w:name="_Toc476840769"/>
      <w:bookmarkStart w:id="38" w:name="_Toc414873532"/>
      <w:bookmarkStart w:id="39" w:name="_Toc476839738"/>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11"/>
        <w:adjustRightInd w:val="0"/>
        <w:snapToGrid w:val="0"/>
        <w:spacing w:line="360" w:lineRule="auto"/>
        <w:jc w:val="center"/>
        <w:rPr>
          <w:rFonts w:ascii="Times New Roman" w:hAnsi="Times New Roman" w:cs="Times New Roman"/>
          <w:sz w:val="28"/>
          <w:szCs w:val="28"/>
        </w:rPr>
      </w:pPr>
    </w:p>
    <w:p>
      <w:pPr>
        <w:pStyle w:val="11"/>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20"/>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1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5243" w:type="dxa"/>
            <w:vAlign w:val="center"/>
          </w:tcPr>
          <w:p>
            <w:pPr>
              <w:pStyle w:val="11"/>
              <w:adjustRightInd w:val="0"/>
              <w:snapToGrid w:val="0"/>
              <w:spacing w:line="360" w:lineRule="auto"/>
              <w:jc w:val="center"/>
              <w:rPr>
                <w:rFonts w:ascii="Times New Roman" w:hAnsi="Times New Roman" w:cs="Times New Roman"/>
              </w:rPr>
            </w:pPr>
          </w:p>
        </w:tc>
      </w:tr>
    </w:tbl>
    <w:p>
      <w:pPr>
        <w:pStyle w:val="11"/>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4"/>
        <w:numPr>
          <w:ilvl w:val="1"/>
          <w:numId w:val="0"/>
        </w:numPr>
        <w:spacing w:before="0" w:after="0" w:line="360" w:lineRule="auto"/>
        <w:jc w:val="center"/>
        <w:rPr>
          <w:rFonts w:ascii="Times New Roman" w:hAnsi="Times New Roman" w:eastAsia="宋体"/>
          <w:sz w:val="28"/>
          <w:szCs w:val="28"/>
        </w:rPr>
      </w:pPr>
      <w:bookmarkStart w:id="40" w:name="_Toc197595651"/>
      <w:bookmarkStart w:id="41" w:name="_Toc305939873"/>
      <w:r>
        <w:rPr>
          <w:rFonts w:ascii="Times New Roman" w:hAnsi="Times New Roman" w:eastAsia="宋体"/>
          <w:sz w:val="28"/>
          <w:szCs w:val="28"/>
        </w:rPr>
        <w:br w:type="page"/>
      </w:r>
      <w:bookmarkStart w:id="42" w:name="_Toc476839739"/>
      <w:bookmarkStart w:id="43" w:name="_Toc476840770"/>
      <w:bookmarkStart w:id="44" w:name="_Toc12606750"/>
      <w:bookmarkStart w:id="45" w:name="_Toc476668604"/>
      <w:bookmarkStart w:id="46" w:name="_Toc414873533"/>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4"/>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14873534"/>
      <w:bookmarkStart w:id="48" w:name="_Toc476839740"/>
      <w:bookmarkStart w:id="49" w:name="_Toc12606751"/>
      <w:bookmarkStart w:id="50" w:name="_Toc476668605"/>
      <w:bookmarkStart w:id="51" w:name="_Toc476840771"/>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4"/>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76840772"/>
      <w:bookmarkStart w:id="54" w:name="_Toc476839741"/>
      <w:bookmarkStart w:id="55" w:name="_Toc12606752"/>
      <w:bookmarkStart w:id="56" w:name="_Toc476668606"/>
      <w:bookmarkStart w:id="57" w:name="_Toc414873535"/>
      <w:r>
        <w:rPr>
          <w:rFonts w:ascii="Times New Roman" w:hAnsi="Times New Roman" w:eastAsia="宋体"/>
          <w:sz w:val="28"/>
          <w:szCs w:val="28"/>
        </w:rPr>
        <w:t>六、依从性声明</w:t>
      </w:r>
      <w:bookmarkEnd w:id="52"/>
      <w:bookmarkEnd w:id="53"/>
      <w:bookmarkEnd w:id="54"/>
      <w:bookmarkEnd w:id="55"/>
      <w:bookmarkEnd w:id="56"/>
      <w:bookmarkEnd w:id="57"/>
    </w:p>
    <w:p>
      <w:pPr>
        <w:pStyle w:val="7"/>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4"/>
        <w:numPr>
          <w:ilvl w:val="1"/>
          <w:numId w:val="0"/>
        </w:numPr>
        <w:spacing w:before="0" w:after="0" w:line="360" w:lineRule="auto"/>
        <w:jc w:val="center"/>
        <w:rPr>
          <w:rFonts w:ascii="Times New Roman" w:hAnsi="Times New Roman" w:eastAsia="宋体"/>
          <w:sz w:val="28"/>
          <w:szCs w:val="28"/>
        </w:rPr>
      </w:pPr>
      <w:bookmarkStart w:id="61" w:name="_Toc197595656"/>
      <w:bookmarkStart w:id="62" w:name="_Toc12606753"/>
      <w:bookmarkStart w:id="63" w:name="_Toc414873536"/>
      <w:bookmarkStart w:id="64" w:name="_Toc476839742"/>
      <w:bookmarkStart w:id="65" w:name="_Toc305939875"/>
      <w:bookmarkStart w:id="66" w:name="_Toc476840773"/>
      <w:bookmarkStart w:id="67" w:name="_Toc476668607"/>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8"/>
        <w:tabs>
          <w:tab w:val="left" w:pos="3640"/>
        </w:tabs>
        <w:ind w:firstLine="425"/>
        <w:rPr>
          <w:rFonts w:ascii="Arial" w:hAnsi="Arial" w:cs="Arial"/>
        </w:rPr>
      </w:pPr>
    </w:p>
    <w:p>
      <w:pPr>
        <w:pStyle w:val="8"/>
        <w:tabs>
          <w:tab w:val="left" w:pos="3640"/>
        </w:tabs>
        <w:ind w:firstLine="425"/>
        <w:rPr>
          <w:rFonts w:ascii="Arial" w:hAnsi="Arial" w:cs="Arial"/>
        </w:rPr>
      </w:pPr>
      <w:r>
        <w:rPr>
          <w:rFonts w:hint="eastAsia" w:ascii="Arial" w:hAnsi="Arial" w:cs="Arial"/>
        </w:rPr>
        <w:t>被授权人无转委权。</w:t>
      </w:r>
    </w:p>
    <w:p>
      <w:pPr>
        <w:pStyle w:val="8"/>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8"/>
        <w:tabs>
          <w:tab w:val="left" w:pos="3640"/>
        </w:tabs>
        <w:ind w:firstLine="425"/>
        <w:rPr>
          <w:rFonts w:ascii="Arial" w:hAnsi="Arial" w:cs="Arial"/>
        </w:rPr>
      </w:pPr>
    </w:p>
    <w:p>
      <w:pPr>
        <w:pStyle w:val="8"/>
        <w:tabs>
          <w:tab w:val="left" w:pos="3640"/>
        </w:tabs>
        <w:ind w:firstLine="425"/>
        <w:rPr>
          <w:rFonts w:ascii="Arial" w:hAnsi="Arial" w:cs="Arial"/>
        </w:rPr>
      </w:pPr>
    </w:p>
    <w:tbl>
      <w:tblPr>
        <w:tblStyle w:val="20"/>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7"/>
        <w:spacing w:line="360" w:lineRule="auto"/>
      </w:pPr>
    </w:p>
    <w:p>
      <w:r>
        <w:br w:type="page"/>
      </w:r>
    </w:p>
    <w:p>
      <w:pPr>
        <w:pStyle w:val="4"/>
        <w:numPr>
          <w:ilvl w:val="1"/>
          <w:numId w:val="0"/>
        </w:numPr>
        <w:spacing w:before="0" w:after="0" w:line="360" w:lineRule="auto"/>
        <w:jc w:val="center"/>
        <w:rPr>
          <w:rFonts w:ascii="Times New Roman" w:hAnsi="Times New Roman" w:eastAsia="宋体"/>
          <w:sz w:val="28"/>
          <w:szCs w:val="28"/>
        </w:rPr>
      </w:pPr>
      <w:bookmarkStart w:id="68" w:name="_Toc12606754"/>
      <w:bookmarkStart w:id="69" w:name="_Toc476668608"/>
      <w:bookmarkStart w:id="70" w:name="_Toc197595657"/>
      <w:bookmarkStart w:id="71" w:name="_Toc305939876"/>
      <w:bookmarkStart w:id="72" w:name="_Toc476839743"/>
      <w:bookmarkStart w:id="73" w:name="_Toc414873537"/>
      <w:bookmarkStart w:id="74" w:name="_Toc476840774"/>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4"/>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476839744"/>
      <w:bookmarkStart w:id="76" w:name="_Toc197595659"/>
      <w:bookmarkStart w:id="77" w:name="_Toc12606755"/>
      <w:bookmarkStart w:id="78" w:name="_Toc305939877"/>
      <w:bookmarkStart w:id="79" w:name="_Toc476840775"/>
      <w:bookmarkStart w:id="80" w:name="_Toc476668609"/>
      <w:bookmarkStart w:id="81" w:name="_Toc414873538"/>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20"/>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4"/>
        <w:numPr>
          <w:ilvl w:val="1"/>
          <w:numId w:val="0"/>
        </w:numPr>
        <w:spacing w:before="0" w:after="0" w:line="360" w:lineRule="auto"/>
        <w:jc w:val="center"/>
        <w:rPr>
          <w:rFonts w:ascii="Times New Roman" w:hAnsi="Times New Roman" w:eastAsia="宋体"/>
          <w:sz w:val="28"/>
          <w:szCs w:val="28"/>
        </w:rPr>
      </w:pPr>
      <w:bookmarkStart w:id="82" w:name="_Toc12606756"/>
      <w:bookmarkStart w:id="83" w:name="_Toc476668610"/>
      <w:bookmarkStart w:id="84" w:name="_Toc476839745"/>
      <w:bookmarkStart w:id="85" w:name="_Toc414873539"/>
      <w:bookmarkStart w:id="86" w:name="_Toc476840776"/>
      <w:bookmarkStart w:id="87" w:name="_Toc305939878"/>
      <w:bookmarkStart w:id="88" w:name="_Toc197595660"/>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4"/>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305939879"/>
      <w:bookmarkStart w:id="92" w:name="_Toc476668611"/>
      <w:bookmarkStart w:id="93" w:name="_Toc476840777"/>
      <w:bookmarkStart w:id="94" w:name="_Toc414873540"/>
      <w:bookmarkStart w:id="95" w:name="_Toc476839746"/>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12"/>
        <w:spacing w:line="360" w:lineRule="auto"/>
        <w:ind w:left="0" w:leftChars="0"/>
        <w:rPr>
          <w:rFonts w:ascii="Arial" w:hAnsi="Arial"/>
        </w:rPr>
      </w:pPr>
    </w:p>
    <w:p>
      <w:pPr>
        <w:pStyle w:val="12"/>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pPr>
        <w:numPr>
          <w:ilvl w:val="0"/>
          <w:numId w:val="11"/>
        </w:numPr>
        <w:ind w:left="0" w:firstLine="480" w:firstLineChars="200"/>
        <w:rPr>
          <w:rFonts w:ascii="Arial" w:hAnsi="Arial"/>
        </w:rPr>
      </w:pPr>
      <w:r>
        <w:rPr>
          <w:rFonts w:hint="eastAsia" w:ascii="Arial" w:hAnsi="Arial"/>
        </w:rPr>
        <w:t>申请文件内容均是真实的；</w:t>
      </w:r>
    </w:p>
    <w:p>
      <w:pPr>
        <w:numPr>
          <w:ilvl w:val="0"/>
          <w:numId w:val="11"/>
        </w:numPr>
        <w:ind w:left="0" w:firstLine="480" w:firstLineChars="200"/>
        <w:rPr>
          <w:rFonts w:ascii="Arial" w:hAnsi="Arial"/>
        </w:rPr>
      </w:pPr>
      <w:r>
        <w:rPr>
          <w:rFonts w:hint="eastAsia" w:ascii="Arial" w:hAnsi="Arial"/>
        </w:rPr>
        <w:t>申请过程中无串通投标、弄虚作假、行贿等违法行为；</w:t>
      </w:r>
    </w:p>
    <w:p>
      <w:pPr>
        <w:numPr>
          <w:ilvl w:val="0"/>
          <w:numId w:val="11"/>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1"/>
        </w:numPr>
        <w:ind w:left="0" w:firstLine="480" w:firstLineChars="200"/>
        <w:rPr>
          <w:rFonts w:ascii="Arial" w:hAnsi="Arial"/>
        </w:rPr>
      </w:pPr>
      <w:r>
        <w:rPr>
          <w:rFonts w:hint="eastAsia" w:ascii="Arial" w:hAnsi="Arial"/>
        </w:rPr>
        <w:t>积极配合采购人或采购人授权的单位对本公司申请文件的核实审查；</w:t>
      </w:r>
    </w:p>
    <w:p>
      <w:pPr>
        <w:numPr>
          <w:ilvl w:val="0"/>
          <w:numId w:val="11"/>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pPr>
        <w:numPr>
          <w:ilvl w:val="0"/>
          <w:numId w:val="11"/>
        </w:numPr>
        <w:ind w:left="0" w:firstLine="480" w:firstLineChars="200"/>
        <w:rPr>
          <w:rFonts w:ascii="Arial" w:hAnsi="Arial"/>
        </w:rPr>
      </w:pP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12"/>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12"/>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12"/>
        </w:numPr>
        <w:ind w:left="0" w:firstLine="480" w:firstLineChars="200"/>
        <w:rPr>
          <w:rFonts w:ascii="Arial" w:hAnsi="Arial"/>
        </w:rPr>
      </w:pPr>
      <w:r>
        <w:rPr>
          <w:rFonts w:hint="eastAsia" w:ascii="Arial" w:hAnsi="Arial"/>
        </w:rPr>
        <w:t>若本项目的合同已经在履行中，采购人有权解除合同并追究法律责任；</w:t>
      </w:r>
    </w:p>
    <w:p>
      <w:pPr>
        <w:numPr>
          <w:ilvl w:val="0"/>
          <w:numId w:val="12"/>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4"/>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13"/>
        </w:numPr>
        <w:ind w:hanging="698"/>
      </w:pPr>
      <w:r>
        <w:t>项目概况</w:t>
      </w:r>
    </w:p>
    <w:p>
      <w:pPr>
        <w:numPr>
          <w:ilvl w:val="0"/>
          <w:numId w:val="13"/>
        </w:numPr>
        <w:ind w:hanging="698"/>
      </w:pPr>
      <w:r>
        <w:t>标准与技术规范</w:t>
      </w:r>
    </w:p>
    <w:p>
      <w:pPr>
        <w:numPr>
          <w:ilvl w:val="0"/>
          <w:numId w:val="13"/>
        </w:numPr>
        <w:ind w:hanging="698"/>
      </w:pPr>
      <w:r>
        <w:t>项目组织机构</w:t>
      </w:r>
    </w:p>
    <w:p>
      <w:pPr>
        <w:numPr>
          <w:ilvl w:val="0"/>
          <w:numId w:val="13"/>
        </w:numPr>
        <w:ind w:hanging="698"/>
      </w:pPr>
      <w:r>
        <w:t>施工段划分，劳动力、机械设备和材料投入计划</w:t>
      </w:r>
    </w:p>
    <w:p>
      <w:pPr>
        <w:numPr>
          <w:ilvl w:val="0"/>
          <w:numId w:val="13"/>
        </w:numPr>
        <w:ind w:hanging="698"/>
      </w:pPr>
      <w:r>
        <w:t>依据谈判文件和设计图，对本工程的重点、难点、细节部位处理有详细处理方法</w:t>
      </w:r>
    </w:p>
    <w:p>
      <w:pPr>
        <w:numPr>
          <w:ilvl w:val="0"/>
          <w:numId w:val="13"/>
        </w:numPr>
        <w:ind w:hanging="698"/>
      </w:pPr>
      <w:r>
        <w:t>项目实施期间的抢险保障措施</w:t>
      </w:r>
    </w:p>
    <w:p>
      <w:pPr>
        <w:numPr>
          <w:ilvl w:val="0"/>
          <w:numId w:val="13"/>
        </w:numPr>
        <w:ind w:hanging="698"/>
      </w:pPr>
      <w:r>
        <w:t>项目各项质量保证措施</w:t>
      </w:r>
    </w:p>
    <w:p>
      <w:pPr>
        <w:numPr>
          <w:ilvl w:val="0"/>
          <w:numId w:val="13"/>
        </w:numPr>
        <w:ind w:hanging="698"/>
      </w:pPr>
      <w:r>
        <w:t>项目各项安全保证措施</w:t>
      </w:r>
    </w:p>
    <w:p>
      <w:pPr>
        <w:numPr>
          <w:ilvl w:val="0"/>
          <w:numId w:val="13"/>
        </w:numPr>
        <w:ind w:hanging="698"/>
      </w:pP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4"/>
        <w:numPr>
          <w:ilvl w:val="1"/>
          <w:numId w:val="0"/>
        </w:numPr>
        <w:spacing w:before="0" w:after="0" w:line="360" w:lineRule="auto"/>
        <w:jc w:val="center"/>
        <w:rPr>
          <w:rFonts w:ascii="Times New Roman" w:hAnsi="Times New Roman" w:eastAsia="宋体"/>
          <w:sz w:val="28"/>
          <w:szCs w:val="28"/>
        </w:rPr>
      </w:pPr>
      <w:bookmarkStart w:id="97" w:name="_Toc476668612"/>
      <w:bookmarkStart w:id="98" w:name="_Toc12606759"/>
      <w:bookmarkStart w:id="99" w:name="_Toc476840778"/>
      <w:bookmarkStart w:id="100" w:name="_Toc414873541"/>
      <w:bookmarkStart w:id="101" w:name="_Toc305939880"/>
      <w:bookmarkStart w:id="102" w:name="_Toc476839747"/>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4"/>
        <w:numPr>
          <w:ilvl w:val="1"/>
          <w:numId w:val="0"/>
        </w:numPr>
        <w:spacing w:before="0" w:after="0" w:line="360" w:lineRule="auto"/>
        <w:jc w:val="center"/>
        <w:rPr>
          <w:rFonts w:ascii="Times New Roman" w:hAnsi="Times New Roman" w:eastAsia="宋体"/>
          <w:sz w:val="28"/>
          <w:szCs w:val="28"/>
        </w:rPr>
      </w:pPr>
      <w:bookmarkStart w:id="103" w:name="_Toc414873542"/>
      <w:bookmarkStart w:id="104" w:name="_Toc476839748"/>
      <w:bookmarkStart w:id="105" w:name="_Toc305939881"/>
      <w:bookmarkStart w:id="106" w:name="_Toc476840779"/>
      <w:bookmarkStart w:id="107" w:name="_Toc476668613"/>
      <w:bookmarkStart w:id="108" w:name="_Toc12606760"/>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pPr>
        <w:widowControl/>
        <w:numPr>
          <w:ilvl w:val="0"/>
          <w:numId w:val="14"/>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pPr>
        <w:widowControl/>
        <w:numPr>
          <w:ilvl w:val="0"/>
          <w:numId w:val="14"/>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rPr>
        <w:t>202</w:t>
      </w:r>
      <w:r>
        <w:rPr>
          <w:rFonts w:hint="eastAsia"/>
          <w:snapToGrid w:val="0"/>
          <w:color w:val="000000"/>
          <w:highlight w:val="none"/>
          <w:u w:val="single"/>
          <w:lang w:val="en-US" w:eastAsia="zh-CN"/>
        </w:rPr>
        <w:t>4</w:t>
      </w:r>
      <w:r>
        <w:rPr>
          <w:snapToGrid w:val="0"/>
          <w:color w:val="000000"/>
          <w:highlight w:val="none"/>
        </w:rPr>
        <w:t>年</w:t>
      </w:r>
      <w:r>
        <w:rPr>
          <w:rFonts w:hint="eastAsia"/>
          <w:snapToGrid w:val="0"/>
          <w:color w:val="000000"/>
          <w:highlight w:val="none"/>
          <w:u w:val="single"/>
          <w:lang w:val="en-US" w:eastAsia="zh-CN"/>
        </w:rPr>
        <w:t xml:space="preserve"> 8 </w:t>
      </w:r>
      <w:r>
        <w:rPr>
          <w:snapToGrid w:val="0"/>
          <w:color w:val="000000"/>
          <w:highlight w:val="none"/>
        </w:rPr>
        <w:t>月</w:t>
      </w:r>
      <w:r>
        <w:rPr>
          <w:rFonts w:hint="eastAsia"/>
          <w:snapToGrid w:val="0"/>
          <w:color w:val="000000"/>
          <w:highlight w:val="none"/>
          <w:u w:val="single"/>
          <w:lang w:val="en-US" w:eastAsia="zh-CN"/>
        </w:rPr>
        <w:t xml:space="preserve"> 7 </w:t>
      </w:r>
      <w:r>
        <w:rPr>
          <w:snapToGrid w:val="0"/>
          <w:color w:val="000000"/>
          <w:highlight w:val="none"/>
        </w:rPr>
        <w:t>日</w:t>
      </w:r>
      <w:r>
        <w:rPr>
          <w:rFonts w:hint="eastAsia"/>
          <w:snapToGrid w:val="0"/>
          <w:color w:val="000000"/>
          <w:highlight w:val="none"/>
          <w:u w:val="single"/>
          <w:lang w:val="en-US" w:eastAsia="zh-CN"/>
        </w:rPr>
        <w:t>15</w:t>
      </w:r>
      <w:r>
        <w:rPr>
          <w:rFonts w:hint="eastAsia"/>
          <w:snapToGrid w:val="0"/>
          <w:color w:val="000000"/>
          <w:highlight w:val="none"/>
        </w:rPr>
        <w:t>时</w:t>
      </w:r>
      <w:r>
        <w:rPr>
          <w:rFonts w:hint="eastAsia"/>
          <w:snapToGrid w:val="0"/>
          <w:color w:val="000000"/>
          <w:highlight w:val="none"/>
          <w:u w:val="single"/>
          <w:lang w:val="en-US" w:eastAsia="zh-CN"/>
        </w:rPr>
        <w:t>00</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14"/>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3"/>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pPr>
        <w:numPr>
          <w:ilvl w:val="3"/>
          <w:numId w:val="15"/>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pPr>
        <w:numPr>
          <w:ilvl w:val="3"/>
          <w:numId w:val="15"/>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2606783"/>
      <w:bookmarkStart w:id="115" w:name="_Toc16392"/>
      <w:r>
        <w:rPr>
          <w:rFonts w:hint="eastAsia"/>
          <w:b/>
          <w:bCs/>
        </w:rPr>
        <w:t xml:space="preserve">7 </w:t>
      </w:r>
      <w:r>
        <w:rPr>
          <w:rFonts w:hint="eastAsia"/>
          <w:bCs/>
        </w:rPr>
        <w:t xml:space="preserve">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numPr>
          <w:ilvl w:val="0"/>
          <w:numId w:val="0"/>
        </w:numPr>
        <w:adjustRightInd w:val="0"/>
        <w:snapToGrid w:val="0"/>
        <w:ind w:leftChars="0"/>
        <w:jc w:val="left"/>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pPr>
      <w:r>
        <w:rPr>
          <w:rFonts w:ascii="Arial" w:hAnsi="Arial" w:cs="Arial"/>
          <w:color w:val="000000"/>
        </w:rPr>
        <w:br w:type="page"/>
      </w:r>
    </w:p>
    <w:p>
      <w:pPr>
        <w:pStyle w:val="3"/>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381"/>
      <w:bookmarkStart w:id="117" w:name="_Toc376824481"/>
      <w:bookmarkStart w:id="118" w:name="_Toc152571734"/>
      <w:bookmarkStart w:id="119" w:name="_Toc376824508"/>
      <w:r>
        <w:rPr>
          <w:rFonts w:hint="eastAsia" w:ascii="宋体" w:hAnsi="宋体" w:eastAsia="宋体" w:cs="宋体"/>
          <w:b/>
          <w:sz w:val="28"/>
          <w:szCs w:val="28"/>
          <w:lang w:eastAsia="zh-CN"/>
        </w:rPr>
        <w:t>第一条  服务事项</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w:t>
      </w:r>
      <w:r>
        <w:rPr>
          <w:rFonts w:hint="eastAsia" w:ascii="宋体" w:hAnsi="宋体" w:eastAsia="宋体" w:cs="宋体"/>
          <w:sz w:val="24"/>
          <w:szCs w:val="24"/>
          <w:lang w:eastAsia="zh-CN"/>
        </w:rPr>
        <w:t>____年__月__日</w:t>
      </w:r>
      <w:r>
        <w:rPr>
          <w:rFonts w:hint="eastAsia" w:ascii="宋体" w:hAnsi="宋体" w:eastAsia="宋体" w:cs="宋体"/>
          <w:sz w:val="24"/>
          <w:szCs w:val="24"/>
          <w:highlight w:val="none"/>
          <w:lang w:eastAsia="zh-CN"/>
        </w:rPr>
        <w:t>。</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297806527"/>
      <w:bookmarkStart w:id="121" w:name="_Toc297806550"/>
      <w:bookmarkStart w:id="122" w:name="_Toc424651533"/>
      <w:bookmarkStart w:id="123" w:name="_Toc221503541"/>
      <w:bookmarkStart w:id="124" w:name="_Toc298258571"/>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z w:val="24"/>
          <w:szCs w:val="24"/>
          <w:lang w:eastAsia="zh-CN"/>
        </w:rPr>
      </w:pPr>
      <w:bookmarkStart w:id="125" w:name="_Toc297806528"/>
      <w:bookmarkStart w:id="126" w:name="_Toc297806551"/>
      <w:r>
        <w:rPr>
          <w:rFonts w:hint="eastAsia" w:ascii="宋体" w:hAnsi="宋体" w:eastAsia="宋体" w:cs="宋体"/>
          <w:b/>
          <w:sz w:val="24"/>
          <w:szCs w:val="24"/>
          <w:lang w:eastAsia="zh-CN"/>
        </w:rPr>
        <w:t>2.2 乙方承诺及保证</w:t>
      </w:r>
      <w:bookmarkEnd w:id="125"/>
      <w:bookmarkEnd w:id="12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424651534"/>
      <w:bookmarkStart w:id="128" w:name="_Toc297806552"/>
      <w:bookmarkStart w:id="129" w:name="_Toc297806529"/>
      <w:bookmarkStart w:id="130" w:name="_Toc221503542"/>
      <w:bookmarkStart w:id="131" w:name="_Toc298258572"/>
      <w:r>
        <w:rPr>
          <w:rFonts w:hint="eastAsia" w:ascii="宋体" w:hAnsi="宋体" w:cs="宋体"/>
          <w:color w:val="C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bookmarkStart w:id="134" w:name="_Toc297806554"/>
      <w:bookmarkStart w:id="135" w:name="_Toc297806531"/>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221503543"/>
      <w:bookmarkStart w:id="137" w:name="_Toc297806534"/>
      <w:bookmarkStart w:id="138" w:name="_Toc297806557"/>
      <w:bookmarkStart w:id="139" w:name="_Toc424651535"/>
      <w:bookmarkStart w:id="140" w:name="_Toc298258573"/>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4.1</w:t>
      </w:r>
      <w:r>
        <w:rPr>
          <w:rFonts w:hint="eastAsia" w:ascii="宋体" w:hAnsi="宋体" w:eastAsia="宋体" w:cs="宋体"/>
          <w:sz w:val="24"/>
          <w:szCs w:val="24"/>
          <w:lang w:eastAsia="zh-CN"/>
        </w:rPr>
        <w:t xml:space="preserve"> 本项目服务费用总额为人民币（大写）_____元(¥_____元)（不含税），含税价为人民币（大写）_____元(¥_____元)，税率为____%。（以下简称“服务费用”）。 </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pPr>
        <w:spacing w:line="360" w:lineRule="auto"/>
        <w:ind w:firstLine="480" w:firstLineChars="200"/>
        <w:rPr>
          <w:rFonts w:hint="eastAsia" w:ascii="宋体" w:hAnsi="宋体" w:eastAsia="宋体" w:cs="宋体"/>
          <w:sz w:val="24"/>
          <w:szCs w:val="24"/>
          <w:lang w:eastAsia="zh-CN"/>
        </w:rPr>
      </w:pPr>
      <w:bookmarkStart w:id="141" w:name="_Toc297808105"/>
      <w:bookmarkEnd w:id="141"/>
      <w:bookmarkStart w:id="142" w:name="_Toc297808108"/>
      <w:bookmarkEnd w:id="142"/>
      <w:bookmarkStart w:id="143" w:name="_Toc297808107"/>
      <w:bookmarkEnd w:id="143"/>
      <w:r>
        <w:rPr>
          <w:rFonts w:hint="eastAsia" w:ascii="宋体" w:hAnsi="宋体" w:eastAsia="宋体" w:cs="宋体"/>
          <w:sz w:val="24"/>
          <w:szCs w:val="24"/>
          <w:lang w:eastAsia="zh-CN"/>
        </w:rPr>
        <w:t>在本合同服务期限届满之前，乙方每隔三个月向甲方提交一次工作成果，通过甲方验收并以甲方验收签证的实际数量为准,按实结算，单价按本合同确定的价格执行，且甲方收到乙方提供的符合要求的增值税</w:t>
      </w:r>
      <w:r>
        <w:rPr>
          <w:rFonts w:hint="eastAsia" w:ascii="宋体" w:hAnsi="宋体" w:cs="宋体"/>
          <w:sz w:val="24"/>
          <w:szCs w:val="24"/>
          <w:lang w:val="en-US" w:eastAsia="zh-CN"/>
        </w:rPr>
        <w:t>专用</w:t>
      </w:r>
      <w:r>
        <w:rPr>
          <w:rFonts w:hint="eastAsia" w:ascii="宋体" w:hAnsi="宋体" w:eastAsia="宋体" w:cs="宋体"/>
          <w:sz w:val="24"/>
          <w:szCs w:val="24"/>
          <w:lang w:eastAsia="zh-CN"/>
        </w:rPr>
        <w:t>发票之后 30 日之内，甲方向乙方支付该增值税</w:t>
      </w:r>
      <w:r>
        <w:rPr>
          <w:rFonts w:hint="eastAsia" w:ascii="宋体" w:hAnsi="宋体" w:cs="宋体"/>
          <w:sz w:val="24"/>
          <w:szCs w:val="24"/>
          <w:lang w:val="en-US" w:eastAsia="zh-CN"/>
        </w:rPr>
        <w:t>专用</w:t>
      </w:r>
      <w:r>
        <w:rPr>
          <w:rFonts w:hint="eastAsia" w:ascii="宋体" w:hAnsi="宋体" w:eastAsia="宋体" w:cs="宋体"/>
          <w:sz w:val="24"/>
          <w:szCs w:val="24"/>
          <w:lang w:eastAsia="zh-CN"/>
        </w:rPr>
        <w:t>发票金额。</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298258574"/>
      <w:bookmarkStart w:id="145" w:name="_Toc297806558"/>
      <w:bookmarkStart w:id="146" w:name="_Toc424651536"/>
      <w:bookmarkStart w:id="147" w:name="_Toc221503544"/>
      <w:bookmarkStart w:id="148" w:name="_Toc297806535"/>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21503545"/>
      <w:bookmarkStart w:id="151" w:name="_Toc424651537"/>
      <w:bookmarkStart w:id="152" w:name="_Toc297806536"/>
      <w:bookmarkStart w:id="153" w:name="_Toc297806559"/>
      <w:bookmarkStart w:id="154" w:name="_Toc298258576"/>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424651538"/>
      <w:bookmarkStart w:id="157" w:name="_Toc297806537"/>
      <w:bookmarkStart w:id="158" w:name="_Toc221503546"/>
      <w:bookmarkStart w:id="159" w:name="_Toc297806560"/>
      <w:bookmarkStart w:id="160" w:name="_Toc298258577"/>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424651539"/>
      <w:bookmarkStart w:id="162" w:name="_Toc298258578"/>
      <w:bookmarkStart w:id="163" w:name="_Toc221503547"/>
      <w:bookmarkStart w:id="164" w:name="_Toc297806561"/>
      <w:bookmarkStart w:id="165" w:name="_Toc297806538"/>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48874"/>
      <w:bookmarkStart w:id="167" w:name="_Toc424651541"/>
      <w:r>
        <w:rPr>
          <w:rFonts w:hint="eastAsia" w:ascii="宋体" w:hAnsi="宋体" w:eastAsia="宋体" w:cs="宋体"/>
          <w:b/>
          <w:sz w:val="28"/>
          <w:szCs w:val="28"/>
          <w:lang w:eastAsia="zh-CN"/>
        </w:rPr>
        <w:t>第十条  保密</w:t>
      </w:r>
      <w:bookmarkEnd w:id="166"/>
      <w:bookmarkEnd w:id="167"/>
    </w:p>
    <w:p>
      <w:pPr>
        <w:spacing w:line="360" w:lineRule="auto"/>
        <w:rPr>
          <w:rFonts w:hint="eastAsia" w:ascii="宋体" w:hAnsi="宋体" w:eastAsia="宋体" w:cs="宋体"/>
          <w:sz w:val="24"/>
          <w:szCs w:val="24"/>
          <w:lang w:eastAsia="zh-CN"/>
        </w:rPr>
      </w:pPr>
      <w:bookmarkStart w:id="168" w:name="_Toc424651542"/>
      <w:bookmarkStart w:id="169" w:name="_Toc424648875"/>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pPr>
        <w:spacing w:line="360" w:lineRule="auto"/>
        <w:rPr>
          <w:rFonts w:hint="eastAsia" w:ascii="宋体" w:hAnsi="宋体" w:eastAsia="宋体" w:cs="宋体"/>
          <w:sz w:val="24"/>
          <w:szCs w:val="24"/>
          <w:lang w:eastAsia="zh-CN"/>
        </w:rPr>
      </w:pPr>
      <w:bookmarkStart w:id="170" w:name="_Toc424651543"/>
      <w:bookmarkStart w:id="171" w:name="_Toc424648876"/>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7806539"/>
      <w:bookmarkStart w:id="177" w:name="_Toc297806562"/>
      <w:bookmarkStart w:id="178" w:name="_Toc424651540"/>
      <w:bookmarkStart w:id="179" w:name="_Toc298258579"/>
      <w:r>
        <w:rPr>
          <w:rFonts w:hint="eastAsia" w:ascii="宋体" w:hAnsi="宋体" w:eastAsia="宋体" w:cs="宋体"/>
          <w:b/>
          <w:sz w:val="28"/>
          <w:szCs w:val="28"/>
          <w:lang w:eastAsia="zh-CN"/>
        </w:rPr>
        <w:t>第十一条  合同的变更和终止</w:t>
      </w:r>
      <w:bookmarkEnd w:id="176"/>
      <w:bookmarkEnd w:id="177"/>
      <w:bookmarkEnd w:id="178"/>
      <w:bookmarkEnd w:id="179"/>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7806540"/>
      <w:bookmarkStart w:id="181" w:name="_Toc297806563"/>
      <w:bookmarkStart w:id="182" w:name="_Toc298258580"/>
      <w:bookmarkStart w:id="183" w:name="_Toc424651544"/>
      <w:r>
        <w:rPr>
          <w:rFonts w:hint="eastAsia" w:ascii="宋体" w:hAnsi="宋体" w:eastAsia="宋体" w:cs="宋体"/>
          <w:b/>
          <w:sz w:val="28"/>
          <w:szCs w:val="28"/>
          <w:lang w:eastAsia="zh-CN"/>
        </w:rPr>
        <w:t>第十二条  违约责任</w:t>
      </w:r>
      <w:bookmarkEnd w:id="180"/>
      <w:bookmarkEnd w:id="181"/>
      <w:bookmarkEnd w:id="182"/>
      <w:bookmarkEnd w:id="183"/>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2000</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z w:val="28"/>
          <w:lang w:eastAsia="zh-CN"/>
        </w:rPr>
      </w:pP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424651545"/>
      <w:bookmarkStart w:id="185" w:name="_Toc297806564"/>
      <w:bookmarkStart w:id="186" w:name="_Toc298258581"/>
      <w:bookmarkStart w:id="187" w:name="_Toc297806541"/>
      <w:r>
        <w:rPr>
          <w:rFonts w:hint="eastAsia" w:ascii="宋体" w:hAnsi="宋体" w:eastAsia="宋体" w:cs="宋体"/>
          <w:b/>
          <w:sz w:val="28"/>
          <w:szCs w:val="28"/>
          <w:lang w:eastAsia="zh-CN"/>
        </w:rPr>
        <w:t>第十三条  不可抗力</w:t>
      </w:r>
      <w:bookmarkEnd w:id="184"/>
      <w:bookmarkEnd w:id="185"/>
      <w:bookmarkEnd w:id="186"/>
      <w:bookmarkEnd w:id="187"/>
    </w:p>
    <w:p>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7806542"/>
      <w:bookmarkStart w:id="190" w:name="_Toc297806565"/>
      <w:bookmarkStart w:id="191" w:name="_Toc298258582"/>
      <w:bookmarkStart w:id="192" w:name="_Toc424651546"/>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3"/>
      <w:bookmarkEnd w:id="194"/>
      <w:bookmarkStart w:id="195" w:name="_Toc298258585"/>
      <w:bookmarkEnd w:id="195"/>
      <w:bookmarkStart w:id="196" w:name="_Toc298258586"/>
      <w:bookmarkEnd w:id="196"/>
      <w:bookmarkStart w:id="197" w:name="_Toc298258584"/>
      <w:bookmarkEnd w:id="197"/>
      <w:bookmarkStart w:id="198" w:name="_Toc297806546"/>
      <w:bookmarkStart w:id="199" w:name="_Toc297806569"/>
      <w:bookmarkStart w:id="200" w:name="_Toc298258587"/>
      <w:r>
        <w:rPr>
          <w:rFonts w:hint="eastAsia" w:ascii="宋体" w:hAnsi="宋体" w:eastAsia="宋体" w:cs="宋体"/>
          <w:b/>
          <w:sz w:val="28"/>
          <w:szCs w:val="28"/>
          <w:lang w:eastAsia="zh-CN"/>
        </w:rPr>
        <w:t>第十六条  通知</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0550-3352129</w:t>
      </w:r>
    </w:p>
    <w:p>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张晓雨</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 xml:space="preserve">张晓雨 </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color w:val="auto"/>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pPr>
        <w:pStyle w:val="35"/>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p>
      <w:pPr>
        <w:widowControl w:val="0"/>
        <w:adjustRightInd w:val="0"/>
        <w:snapToGrid w:val="0"/>
        <w:spacing w:line="360" w:lineRule="auto"/>
        <w:rPr>
          <w:rFonts w:hint="eastAsia" w:ascii="宋体" w:hAnsi="宋体" w:eastAsia="宋体" w:cs="宋体"/>
          <w:b/>
          <w:bCs/>
          <w:sz w:val="28"/>
          <w:lang w:eastAsia="zh-CN"/>
        </w:rPr>
      </w:pPr>
      <w:bookmarkStart w:id="203" w:name="_Hlk18249775"/>
      <w:r>
        <w:rPr>
          <w:rFonts w:hint="eastAsia" w:ascii="宋体" w:hAnsi="宋体" w:eastAsia="宋体" w:cs="宋体"/>
          <w:b/>
          <w:bCs/>
          <w:sz w:val="28"/>
          <w:lang w:eastAsia="zh-CN"/>
        </w:rPr>
        <w:t>【条款说明：根据具体项目如有附件可列明，本条的附件名称仅作参考，注意与前述条款中涉及的附件相对应，如不需要此条即可删除（包括前面涉及的附件内容），注意调整条款序号。*请注意合同附件内容与合同主文内容不能冲突，如有冲突，建议以合同主文为准。】</w:t>
      </w:r>
      <w:bookmarkEnd w:id="202"/>
      <w:bookmarkEnd w:id="203"/>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bookmarkStart w:id="207" w:name="_GoBack"/>
      <w:bookmarkEnd w:id="207"/>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bookmarkEnd w:id="110"/>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pPr>
    </w:p>
    <w:p>
      <w:pPr>
        <w:jc w:val="center"/>
        <w:rPr>
          <w:rFonts w:ascii="宋体" w:hAnsi="宋体"/>
          <w:b/>
        </w:rPr>
      </w:pPr>
      <w:r>
        <w:rPr>
          <w:rFonts w:hint="eastAsia" w:ascii="宋体" w:hAnsi="宋体"/>
          <w:b/>
        </w:rPr>
        <w:t>（此页无正文）</w:t>
      </w:r>
    </w:p>
    <w:p>
      <w:pPr>
        <w:rPr>
          <w:rFonts w:ascii="宋体" w:hAnsi="宋体"/>
          <w:b/>
        </w:rPr>
      </w:pPr>
    </w:p>
    <w:p>
      <w:pPr>
        <w:ind w:left="14" w:hanging="14" w:hangingChars="6"/>
        <w:rPr>
          <w:rFonts w:ascii="宋体" w:hAnsi="宋体"/>
          <w:b/>
        </w:rPr>
      </w:pPr>
      <w:r>
        <w:rPr>
          <w:rFonts w:hint="eastAsia" w:ascii="宋体" w:hAnsi="宋体"/>
          <w:b/>
        </w:rPr>
        <w:t>甲</w:t>
      </w:r>
      <w:r>
        <w:rPr>
          <w:rFonts w:ascii="宋体" w:hAnsi="宋体"/>
          <w:b/>
        </w:rPr>
        <w:t>方（盖章）：</w:t>
      </w:r>
      <w:r>
        <w:rPr>
          <w:rFonts w:hint="eastAsia" w:ascii="宋体" w:hAnsi="宋体"/>
          <w:b/>
        </w:rPr>
        <w:t>滁州市轨道交通运营有限公司    乙方（盖章）：</w:t>
      </w:r>
    </w:p>
    <w:p>
      <w:pPr>
        <w:autoSpaceDN w:val="0"/>
        <w:ind w:left="14" w:hanging="14" w:hangingChars="6"/>
        <w:rPr>
          <w:rFonts w:ascii="宋体" w:hAnsi="宋体"/>
          <w:b/>
        </w:rPr>
      </w:pPr>
    </w:p>
    <w:p>
      <w:pPr>
        <w:autoSpaceDN w:val="0"/>
        <w:ind w:left="14" w:hanging="14" w:hangingChars="6"/>
        <w:rPr>
          <w:rFonts w:ascii="宋体" w:hAnsi="宋体"/>
          <w:b/>
        </w:rPr>
      </w:pPr>
      <w:r>
        <w:rPr>
          <w:rFonts w:ascii="宋体" w:hAnsi="宋体"/>
          <w:b/>
        </w:rPr>
        <w:t>地址：</w:t>
      </w:r>
      <w:r>
        <w:rPr>
          <w:rFonts w:hint="eastAsia" w:ascii="宋体" w:hAnsi="宋体"/>
          <w:b/>
        </w:rPr>
        <w:t xml:space="preserve">                                      地址：</w:t>
      </w:r>
    </w:p>
    <w:p>
      <w:pPr>
        <w:rPr>
          <w:rFonts w:ascii="宋体" w:hAnsi="宋体"/>
          <w:b/>
        </w:rPr>
      </w:pPr>
    </w:p>
    <w:p>
      <w:pPr>
        <w:rPr>
          <w:rFonts w:ascii="宋体" w:hAnsi="宋体"/>
          <w:b/>
        </w:rPr>
      </w:pPr>
    </w:p>
    <w:p>
      <w:pPr>
        <w:rPr>
          <w:rFonts w:ascii="宋体" w:hAnsi="宋体"/>
          <w:b/>
        </w:rPr>
      </w:pPr>
      <w:r>
        <w:rPr>
          <w:rFonts w:ascii="宋体" w:hAnsi="宋体"/>
          <w:b/>
        </w:rPr>
        <w:t>法人（或授权）代表</w:t>
      </w:r>
      <w:r>
        <w:rPr>
          <w:rFonts w:hint="eastAsia" w:ascii="宋体" w:hAnsi="宋体"/>
          <w:b/>
        </w:rPr>
        <w:t xml:space="preserve">                          </w:t>
      </w:r>
      <w:r>
        <w:rPr>
          <w:rFonts w:ascii="宋体" w:hAnsi="宋体"/>
          <w:b/>
        </w:rPr>
        <w:t>法人（或授权）代表</w:t>
      </w:r>
    </w:p>
    <w:p>
      <w:pPr>
        <w:rPr>
          <w:rFonts w:ascii="宋体" w:hAnsi="宋体"/>
          <w:b/>
        </w:rPr>
      </w:pPr>
      <w:r>
        <w:rPr>
          <w:rFonts w:ascii="宋体" w:hAnsi="宋体"/>
          <w:b/>
        </w:rPr>
        <w:t>（签字）</w:t>
      </w:r>
      <w:r>
        <w:rPr>
          <w:rFonts w:hint="eastAsia" w:ascii="宋体" w:hAnsi="宋体"/>
          <w:b/>
        </w:rPr>
        <w:t xml:space="preserve">：                                  </w:t>
      </w:r>
      <w:r>
        <w:rPr>
          <w:rFonts w:ascii="宋体" w:hAnsi="宋体"/>
          <w:b/>
        </w:rPr>
        <w:t>（签字）</w:t>
      </w:r>
      <w:r>
        <w:rPr>
          <w:rFonts w:hint="eastAsia" w:ascii="宋体" w:hAnsi="宋体"/>
          <w:b/>
        </w:rPr>
        <w:t xml:space="preserve">：           </w:t>
      </w: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r>
        <w:rPr>
          <w:rFonts w:ascii="宋体" w:hAnsi="宋体"/>
          <w:b/>
        </w:rPr>
        <w:t>日期:      年   月   日</w:t>
      </w:r>
      <w:r>
        <w:rPr>
          <w:rFonts w:hint="eastAsia" w:ascii="宋体" w:hAnsi="宋体"/>
          <w:b/>
        </w:rPr>
        <w:t xml:space="preserve">                     </w:t>
      </w:r>
      <w:r>
        <w:rPr>
          <w:rFonts w:ascii="宋体" w:hAnsi="宋体"/>
          <w:b/>
        </w:rPr>
        <w:t>日期:      年   月   日</w:t>
      </w:r>
    </w:p>
    <w:p/>
    <w:p>
      <w:pPr>
        <w:adjustRightInd w:val="0"/>
        <w:snapToGrid w:val="0"/>
        <w:ind w:firstLine="480" w:firstLineChars="200"/>
        <w:jc w:val="left"/>
        <w:rPr>
          <w:bCs/>
        </w:rPr>
      </w:pPr>
    </w:p>
    <w:p>
      <w:pPr>
        <w:adjustRightInd w:val="0"/>
        <w:snapToGrid w:val="0"/>
        <w:ind w:firstLine="480" w:firstLineChars="200"/>
        <w:jc w:val="left"/>
        <w:rPr>
          <w:bCs/>
        </w:rPr>
      </w:pPr>
      <w:r>
        <w:rPr>
          <w:bCs/>
        </w:rPr>
        <w:br w:type="page"/>
      </w:r>
    </w:p>
    <w:p>
      <w:pPr>
        <w:pStyle w:val="3"/>
        <w:numPr>
          <w:ilvl w:val="0"/>
          <w:numId w:val="0"/>
        </w:numPr>
        <w:tabs>
          <w:tab w:val="left" w:pos="426"/>
          <w:tab w:val="clear" w:pos="574"/>
        </w:tabs>
        <w:jc w:val="left"/>
        <w:rPr>
          <w:rFonts w:hint="eastAsia" w:ascii="Times New Roman" w:hAnsi="Times New Roman"/>
          <w:bCs/>
          <w:color w:val="auto"/>
          <w:sz w:val="24"/>
          <w:szCs w:val="24"/>
          <w:lang w:val="en-US"/>
        </w:rPr>
        <w:sectPr>
          <w:pgSz w:w="11906" w:h="16838"/>
          <w:pgMar w:top="1440" w:right="1287" w:bottom="1246" w:left="1259" w:header="851" w:footer="992" w:gutter="0"/>
          <w:pgNumType w:fmt="decimal"/>
          <w:cols w:space="720" w:num="1"/>
          <w:docGrid w:type="linesAndChars" w:linePitch="312" w:charSpace="0"/>
        </w:sectPr>
      </w:pPr>
      <w:bookmarkStart w:id="204" w:name="_Toc534879862"/>
      <w:bookmarkStart w:id="205" w:name="_Toc15601"/>
    </w:p>
    <w:p>
      <w:pPr>
        <w:pStyle w:val="4"/>
        <w:numPr>
          <w:ilvl w:val="1"/>
          <w:numId w:val="0"/>
        </w:numPr>
        <w:tabs>
          <w:tab w:val="left" w:pos="432"/>
        </w:tabs>
        <w:ind w:leftChars="0"/>
      </w:pPr>
    </w:p>
    <w:p/>
    <w:p>
      <w:pPr>
        <w:pStyle w:val="4"/>
        <w:numPr>
          <w:ilvl w:val="1"/>
          <w:numId w:val="0"/>
        </w:numPr>
        <w:tabs>
          <w:tab w:val="left" w:pos="432"/>
        </w:tabs>
        <w:ind w:leftChars="0"/>
      </w:pPr>
    </w:p>
    <w:p/>
    <w:p>
      <w:pPr>
        <w:pStyle w:val="4"/>
        <w:numPr>
          <w:ilvl w:val="1"/>
          <w:numId w:val="0"/>
        </w:numPr>
        <w:tabs>
          <w:tab w:val="left" w:pos="432"/>
        </w:tabs>
        <w:ind w:leftChars="0"/>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pPr>
        <w:rPr>
          <w:rFonts w:hint="eastAsia" w:ascii="Arial" w:hAnsi="Arial" w:eastAsia="黑体" w:cs="Times New Roman"/>
          <w:b/>
          <w:bCs/>
          <w:kern w:val="2"/>
          <w:sz w:val="32"/>
          <w:szCs w:val="32"/>
          <w:lang w:val="en-US" w:eastAsia="zh-CN" w:bidi="ar-SA"/>
        </w:rPr>
      </w:pPr>
    </w:p>
    <w:p>
      <w:pPr>
        <w:adjustRightInd w:val="0"/>
        <w:snapToGrid w:val="0"/>
        <w:ind w:firstLine="480" w:firstLineChars="200"/>
        <w:jc w:val="left"/>
        <w:rPr>
          <w:bCs/>
        </w:rPr>
        <w:sectPr>
          <w:footerReference r:id="rId9" w:type="default"/>
          <w:footerReference r:id="rId10" w:type="even"/>
          <w:pgSz w:w="11906" w:h="16838"/>
          <w:pgMar w:top="1440" w:right="1286" w:bottom="1440" w:left="1260" w:header="851" w:footer="992" w:gutter="0"/>
          <w:pgNumType w:fmt="decimal"/>
          <w:cols w:space="720" w:num="1"/>
          <w:docGrid w:type="lines" w:linePitch="312" w:charSpace="0"/>
        </w:sectPr>
      </w:pPr>
    </w:p>
    <w:bookmarkEnd w:id="204"/>
    <w:bookmarkEnd w:id="205"/>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pStyle w:val="4"/>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pPr>
        <w:pStyle w:val="4"/>
        <w:numPr>
          <w:ilvl w:val="1"/>
          <w:numId w:val="0"/>
        </w:numPr>
        <w:tabs>
          <w:tab w:val="left" w:pos="432"/>
        </w:tabs>
        <w:ind w:leftChars="0"/>
        <w:rPr>
          <w:rFonts w:hint="eastAsia" w:ascii="Arial" w:hAnsi="Arial" w:eastAsia="黑体" w:cs="Times New Roman"/>
          <w:b/>
          <w:bCs/>
          <w:kern w:val="2"/>
          <w:sz w:val="32"/>
          <w:szCs w:val="32"/>
          <w:lang w:val="en-US" w:eastAsia="zh-CN" w:bidi="ar-SA"/>
        </w:rPr>
      </w:pPr>
    </w:p>
    <w:p>
      <w:pPr>
        <w:rPr>
          <w:rFonts w:hint="eastAsia"/>
          <w:lang w:val="en-US" w:eastAsia="zh-CN"/>
        </w:rPr>
      </w:pPr>
    </w:p>
    <w:p>
      <w:pPr>
        <w:rPr>
          <w:rFonts w:hint="eastAsia"/>
          <w:lang w:val="en-US" w:eastAsia="zh-CN"/>
        </w:rPr>
      </w:pPr>
    </w:p>
    <w:p>
      <w:pPr>
        <w:pStyle w:val="4"/>
        <w:numPr>
          <w:ilvl w:val="1"/>
          <w:numId w:val="0"/>
        </w:numPr>
        <w:tabs>
          <w:tab w:val="left" w:pos="432"/>
          <w:tab w:val="clear" w:pos="576"/>
        </w:tabs>
        <w:ind w:leftChars="0"/>
        <w:rPr>
          <w:rFonts w:hint="eastAsia"/>
          <w:lang w:val="en-US" w:eastAsia="zh-CN"/>
        </w:rPr>
      </w:pPr>
    </w:p>
    <w:p>
      <w:pPr>
        <w:rPr>
          <w:rFonts w:hint="eastAsia"/>
          <w:lang w:val="en-US" w:eastAsia="zh-CN"/>
        </w:rPr>
      </w:pPr>
    </w:p>
    <w:p>
      <w:pPr>
        <w:pStyle w:val="4"/>
        <w:numPr>
          <w:ilvl w:val="1"/>
          <w:numId w:val="0"/>
        </w:numPr>
        <w:tabs>
          <w:tab w:val="left" w:pos="432"/>
          <w:tab w:val="clear" w:pos="576"/>
        </w:tabs>
        <w:ind w:leftChars="0"/>
        <w:rPr>
          <w:rFonts w:hint="eastAsia"/>
          <w:lang w:val="en-US" w:eastAsia="zh-CN"/>
        </w:rPr>
      </w:pPr>
    </w:p>
    <w:p>
      <w:pPr>
        <w:pStyle w:val="4"/>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r>
        <w:rPr>
          <w:rFonts w:hint="eastAsia"/>
        </w:rPr>
        <w:t>（法</w:t>
      </w:r>
      <w:r>
        <w:rPr>
          <w:rFonts w:hint="eastAsia"/>
          <w:lang w:val="en-US" w:eastAsia="zh-CN"/>
        </w:rPr>
        <w:t>定代表人</w:t>
      </w:r>
      <w:r>
        <w:rPr>
          <w:rFonts w:hint="eastAsia"/>
        </w:rPr>
        <w:t>授权书原件及法定代表人身份证复印件粘贴）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rFonts w:hint="eastAsia"/>
          <w:b w:val="0"/>
          <w:bCs w:val="0"/>
          <w:sz w:val="21"/>
          <w:szCs w:val="21"/>
          <w:u w:val="single"/>
        </w:rPr>
      </w:pPr>
    </w:p>
    <w:p>
      <w:pPr>
        <w:pStyle w:val="8"/>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4"/>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pStyle w:val="3"/>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一、项目范围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sz w:val="24"/>
          <w:lang w:val="en-US" w:eastAsia="zh-CN"/>
        </w:rPr>
        <w:t>公司</w:t>
      </w:r>
      <w:r>
        <w:rPr>
          <w:rFonts w:hint="eastAsia" w:ascii="宋体" w:hAnsi="宋体"/>
          <w:sz w:val="24"/>
        </w:rPr>
        <w:t>计量器具技术要求较高纳入A类重点管理的项目，包括国家强制检定项目（免收检测费）、公司自检项目的辅助计量器具、强制检定范畴内及重要测量过程的项目（</w:t>
      </w:r>
      <w:r>
        <w:rPr>
          <w:rFonts w:ascii="宋体" w:hAnsi="宋体"/>
          <w:sz w:val="24"/>
        </w:rPr>
        <w:t>用于贸易结算、安全防护、医疗卫生、环境监测的工作计量器具</w:t>
      </w:r>
      <w:r>
        <w:rPr>
          <w:rFonts w:hint="eastAsia" w:ascii="宋体" w:hAnsi="宋体"/>
          <w:sz w:val="24"/>
        </w:rPr>
        <w:t>）。公司</w:t>
      </w:r>
      <w:r>
        <w:rPr>
          <w:rFonts w:hint="eastAsia"/>
          <w:sz w:val="24"/>
        </w:rPr>
        <w:t>技术要求相对较低纳入B、C类一般管理的</w:t>
      </w:r>
      <w:r>
        <w:rPr>
          <w:rFonts w:hint="eastAsia" w:ascii="宋体" w:hAnsi="宋体"/>
          <w:sz w:val="24"/>
        </w:rPr>
        <w:t>计量器具。</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项目内容</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2024年滁宁城际计量器具检测项目（重新公告）（详见计量器具检测项目清单）：免费项目（强制检定工作计量器具）1项；收费项目174项。</w:t>
      </w:r>
    </w:p>
    <w:p>
      <w:pPr>
        <w:keepNext w:val="0"/>
        <w:keepLines w:val="0"/>
        <w:pageBreakBefore w:val="0"/>
        <w:kinsoku/>
        <w:wordWrap/>
        <w:overflowPunct/>
        <w:topLinePunct w:val="0"/>
        <w:autoSpaceDE/>
        <w:autoSpaceDN/>
        <w:bidi w:val="0"/>
        <w:adjustRightInd/>
        <w:spacing w:line="400" w:lineRule="exact"/>
        <w:ind w:firstLine="600" w:firstLineChars="250"/>
        <w:jc w:val="center"/>
        <w:rPr>
          <w:rFonts w:ascii="宋体" w:hAnsi="宋体"/>
          <w:b/>
          <w:sz w:val="24"/>
        </w:rPr>
      </w:pPr>
      <w:r>
        <w:rPr>
          <w:rFonts w:hint="eastAsia" w:ascii="宋体" w:hAnsi="宋体"/>
          <w:b/>
          <w:sz w:val="24"/>
        </w:rPr>
        <w:t>计量器具检测项目清单</w:t>
      </w:r>
    </w:p>
    <w:p>
      <w:pPr>
        <w:keepNext w:val="0"/>
        <w:keepLines w:val="0"/>
        <w:pageBreakBefore w:val="0"/>
        <w:numPr>
          <w:ilvl w:val="0"/>
          <w:numId w:val="17"/>
        </w:numPr>
        <w:kinsoku/>
        <w:wordWrap/>
        <w:overflowPunct/>
        <w:topLinePunct w:val="0"/>
        <w:autoSpaceDE/>
        <w:autoSpaceDN/>
        <w:bidi w:val="0"/>
        <w:adjustRightInd/>
        <w:spacing w:line="400" w:lineRule="exact"/>
        <w:ind w:left="48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强制检定工作计量器具</w:t>
      </w:r>
    </w:p>
    <w:tbl>
      <w:tblPr>
        <w:tblStyle w:val="20"/>
        <w:tblW w:w="91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6"/>
        <w:gridCol w:w="3150"/>
        <w:gridCol w:w="2430"/>
        <w:gridCol w:w="1305"/>
        <w:gridCol w:w="13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exact"/>
          <w:jc w:val="center"/>
        </w:trPr>
        <w:tc>
          <w:tcPr>
            <w:tcW w:w="97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315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color w:val="000000"/>
                <w:kern w:val="0"/>
                <w:sz w:val="21"/>
                <w:szCs w:val="21"/>
              </w:rPr>
              <w:t>计量器具名称</w:t>
            </w:r>
          </w:p>
        </w:tc>
        <w:tc>
          <w:tcPr>
            <w:tcW w:w="2430"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color w:val="000000"/>
                <w:kern w:val="0"/>
                <w:sz w:val="21"/>
                <w:szCs w:val="21"/>
              </w:rPr>
              <w:t>规格型号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测量范围</w:t>
            </w:r>
          </w:p>
        </w:tc>
        <w:tc>
          <w:tcPr>
            <w:tcW w:w="1305"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预估</w:t>
            </w:r>
            <w:r>
              <w:rPr>
                <w:rFonts w:hint="eastAsia" w:ascii="宋体" w:hAnsi="宋体" w:eastAsia="宋体" w:cs="宋体"/>
                <w:i w:val="0"/>
                <w:iCs w:val="0"/>
                <w:color w:val="000000"/>
                <w:kern w:val="0"/>
                <w:sz w:val="22"/>
                <w:szCs w:val="22"/>
                <w:u w:val="none"/>
                <w:lang w:val="en-US" w:eastAsia="zh-CN" w:bidi="ar"/>
              </w:rPr>
              <w:t>数量</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（2024年）</w:t>
            </w:r>
          </w:p>
        </w:tc>
        <w:tc>
          <w:tcPr>
            <w:tcW w:w="1306"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预估</w:t>
            </w:r>
            <w:r>
              <w:rPr>
                <w:rFonts w:hint="eastAsia" w:ascii="宋体" w:hAnsi="宋体" w:eastAsia="宋体" w:cs="宋体"/>
                <w:i w:val="0"/>
                <w:iCs w:val="0"/>
                <w:color w:val="000000"/>
                <w:kern w:val="0"/>
                <w:sz w:val="22"/>
                <w:szCs w:val="22"/>
                <w:u w:val="none"/>
                <w:lang w:val="en-US" w:eastAsia="zh-CN" w:bidi="ar"/>
              </w:rPr>
              <w:t>数量</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exact"/>
          <w:jc w:val="center"/>
        </w:trPr>
        <w:tc>
          <w:tcPr>
            <w:tcW w:w="9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315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2"/>
                <w:sz w:val="21"/>
                <w:szCs w:val="21"/>
                <w:lang w:val="en-US" w:eastAsia="zh-CN" w:bidi="ar"/>
              </w:rPr>
              <w:t>酒精测试仪</w:t>
            </w:r>
          </w:p>
        </w:tc>
        <w:tc>
          <w:tcPr>
            <w:tcW w:w="2430"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Panther-2</w:t>
            </w:r>
          </w:p>
        </w:tc>
        <w:tc>
          <w:tcPr>
            <w:tcW w:w="130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130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exact"/>
          <w:jc w:val="center"/>
        </w:trPr>
        <w:tc>
          <w:tcPr>
            <w:tcW w:w="6556" w:type="dxa"/>
            <w:gridSpan w:val="3"/>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333333"/>
                <w:sz w:val="21"/>
                <w:szCs w:val="21"/>
              </w:rPr>
            </w:pPr>
            <w:r>
              <w:rPr>
                <w:rFonts w:hint="eastAsia" w:ascii="宋体" w:hAnsi="宋体" w:eastAsia="宋体" w:cs="宋体"/>
                <w:sz w:val="21"/>
                <w:szCs w:val="21"/>
              </w:rPr>
              <w:t>合计</w:t>
            </w:r>
          </w:p>
        </w:tc>
        <w:tc>
          <w:tcPr>
            <w:tcW w:w="130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0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4</w:t>
            </w:r>
          </w:p>
        </w:tc>
      </w:tr>
    </w:tbl>
    <w:p>
      <w:pPr>
        <w:keepNext w:val="0"/>
        <w:keepLines w:val="0"/>
        <w:pageBreakBefore w:val="0"/>
        <w:numPr>
          <w:ilvl w:val="0"/>
          <w:numId w:val="18"/>
        </w:numPr>
        <w:kinsoku/>
        <w:wordWrap/>
        <w:overflowPunct/>
        <w:topLinePunct w:val="0"/>
        <w:autoSpaceDE/>
        <w:autoSpaceDN/>
        <w:bidi w:val="0"/>
        <w:adjustRightInd/>
        <w:spacing w:line="4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计量标准器具</w:t>
      </w:r>
    </w:p>
    <w:tbl>
      <w:tblPr>
        <w:tblStyle w:val="20"/>
        <w:tblW w:w="9238" w:type="dxa"/>
        <w:jc w:val="center"/>
        <w:tblLayout w:type="fixed"/>
        <w:tblCellMar>
          <w:top w:w="15" w:type="dxa"/>
          <w:left w:w="15" w:type="dxa"/>
          <w:bottom w:w="15" w:type="dxa"/>
          <w:right w:w="15" w:type="dxa"/>
        </w:tblCellMar>
      </w:tblPr>
      <w:tblGrid>
        <w:gridCol w:w="1015"/>
        <w:gridCol w:w="3138"/>
        <w:gridCol w:w="2445"/>
        <w:gridCol w:w="1320"/>
        <w:gridCol w:w="1320"/>
      </w:tblGrid>
      <w:tr>
        <w:tblPrEx>
          <w:tblCellMar>
            <w:top w:w="15" w:type="dxa"/>
            <w:left w:w="15" w:type="dxa"/>
            <w:bottom w:w="15" w:type="dxa"/>
            <w:right w:w="15" w:type="dxa"/>
          </w:tblCellMar>
        </w:tblPrEx>
        <w:trPr>
          <w:trHeight w:val="840" w:hRule="atLeast"/>
          <w:tblHeader/>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序号</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计量器具名称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规格型号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测量范围</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预估</w:t>
            </w:r>
            <w:r>
              <w:rPr>
                <w:rFonts w:hint="eastAsia" w:ascii="宋体" w:hAnsi="宋体" w:eastAsia="宋体" w:cs="宋体"/>
                <w:color w:val="000000"/>
                <w:kern w:val="0"/>
                <w:sz w:val="21"/>
                <w:szCs w:val="21"/>
              </w:rPr>
              <w:t>数量</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2"/>
                <w:szCs w:val="22"/>
                <w:u w:val="none"/>
                <w:lang w:val="en-US" w:eastAsia="zh-CN" w:bidi="ar"/>
              </w:rPr>
              <w:t>（2024年）</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预估</w:t>
            </w:r>
            <w:r>
              <w:rPr>
                <w:rFonts w:hint="eastAsia" w:ascii="宋体" w:hAnsi="宋体" w:eastAsia="宋体" w:cs="宋体"/>
                <w:color w:val="000000"/>
                <w:kern w:val="0"/>
                <w:sz w:val="21"/>
                <w:szCs w:val="21"/>
              </w:rPr>
              <w:t>数量</w:t>
            </w:r>
          </w:p>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（2025年）</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数显卡尺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（0～200）mm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焊缝钢轨探伤仪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CTS-1010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超声波钢轨探伤仪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GT-20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轨道几何状态检测小车</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GJY-T-EBJ-3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支距尺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HTZJC-2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6</w:t>
            </w:r>
          </w:p>
        </w:tc>
      </w:tr>
      <w:tr>
        <w:tblPrEx>
          <w:tblCellMar>
            <w:top w:w="15" w:type="dxa"/>
            <w:left w:w="15" w:type="dxa"/>
            <w:bottom w:w="15" w:type="dxa"/>
            <w:right w:w="15" w:type="dxa"/>
          </w:tblCellMar>
        </w:tblPrEx>
        <w:trPr>
          <w:trHeight w:val="9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道尺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 xml:space="preserve"> GJC-HTS2W</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双轨波浪磨耗测量仪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Bi-CAT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电池测试仪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BT3554-51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钢轨焊缝相控阵超声检测仪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 xml:space="preserve"> CTS-PA22B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lang w:bidi="ar"/>
              </w:rPr>
              <w:t>轨道智能添乘仪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lang w:bidi="ar"/>
              </w:rPr>
              <w:t>ZT-D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钢轨轮廓测量仪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GKY-D-HX-2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辙叉磨耗测量器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 xml:space="preserve"> ZCY-A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数显式钢轨磨耗测量仪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BMC-01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33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电子式波形磨耗测量仪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GMC-60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轨底坡测量仪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 xml:space="preserve"> HT1-S0H5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lang w:bidi="ar"/>
              </w:rPr>
              <w:t>精密噪音分析仪</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lang w:bidi="ar"/>
              </w:rPr>
              <w:t>HS5628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lang w:bidi="ar"/>
              </w:rPr>
            </w:pPr>
            <w:r>
              <w:rPr>
                <w:rFonts w:hint="eastAsia" w:ascii="宋体" w:hAnsi="宋体" w:eastAsia="宋体" w:cs="宋体"/>
                <w:color w:val="000000"/>
                <w:lang w:bidi="ar"/>
              </w:rPr>
              <w:t>钢轨直度测量尺</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lang w:bidi="ar"/>
              </w:rPr>
            </w:pPr>
            <w:r>
              <w:rPr>
                <w:rFonts w:hint="eastAsia" w:ascii="宋体" w:hAnsi="宋体" w:eastAsia="宋体" w:cs="宋体"/>
                <w:color w:val="000000"/>
                <w:lang w:bidi="ar"/>
              </w:rPr>
              <w:t>1米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31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lang w:bidi="ar"/>
              </w:rPr>
            </w:pPr>
            <w:r>
              <w:rPr>
                <w:rFonts w:hint="eastAsia" w:ascii="宋体" w:hAnsi="宋体" w:eastAsia="宋体" w:cs="宋体"/>
                <w:color w:val="000000"/>
                <w:lang w:bidi="ar"/>
              </w:rPr>
              <w:t>方尺</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lang w:bidi="ar"/>
              </w:rPr>
            </w:pPr>
            <w:r>
              <w:rPr>
                <w:rFonts w:hint="eastAsia" w:ascii="宋体" w:hAnsi="宋体" w:eastAsia="宋体" w:cs="宋体"/>
                <w:color w:val="000000"/>
                <w:lang w:bidi="ar"/>
              </w:rPr>
              <w:t xml:space="preserve">  HTFC-1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预置式扭力扳手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SATA96423;10-50Nm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裂缝宽度深度综合测试仪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BJLF-1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墙体探测仪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D-TECT 150 SV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0-200mm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lang w:bidi="ar"/>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徕卡D110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手持红外测温仪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轨温计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sz w:val="18"/>
                <w:szCs w:val="18"/>
                <w:lang w:bidi="ar"/>
              </w:rPr>
              <w:t>SRT-A型工务钢轨测温专用</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bidi="ar"/>
              </w:rPr>
              <w:t>双轨式超声波探伤仪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1"/>
                <w:szCs w:val="24"/>
                <w:lang w:val="en-US" w:eastAsia="zh-CN" w:bidi="ar"/>
              </w:rPr>
            </w:pPr>
            <w:r>
              <w:rPr>
                <w:rFonts w:hint="default" w:ascii="宋体" w:hAnsi="宋体" w:eastAsia="宋体" w:cs="宋体"/>
                <w:color w:val="000000"/>
                <w:lang w:bidi="ar"/>
              </w:rPr>
              <w:t>RT18-D型</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kern w:val="2"/>
                <w:sz w:val="21"/>
                <w:szCs w:val="24"/>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Times New Roman"/>
                <w:sz w:val="22"/>
                <w:lang w:val="en-US" w:eastAsia="zh-CN"/>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2"/>
                <w:szCs w:val="22"/>
                <w:lang w:val="en-US" w:eastAsia="zh-CN" w:bidi="ar"/>
              </w:rPr>
              <w:t>UT301A+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29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right="0"/>
              <w:jc w:val="center"/>
              <w:rPr>
                <w:rFonts w:hint="eastAsia" w:ascii="宋体" w:hAnsi="宋体" w:eastAsia="宋体" w:cs="宋体"/>
                <w:color w:val="000000"/>
                <w:kern w:val="2"/>
                <w:sz w:val="21"/>
                <w:szCs w:val="21"/>
                <w:lang w:val="en-US" w:eastAsia="zh-CN" w:bidi="ar-SA"/>
              </w:rPr>
            </w:pPr>
            <w:r>
              <w:rPr>
                <w:rFonts w:hint="eastAsia" w:ascii="Times New Roman"/>
                <w:sz w:val="22"/>
                <w:lang w:val="en-US" w:eastAsia="zh-CN"/>
              </w:rPr>
              <w:t>机械式温湿度计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2"/>
                <w:szCs w:val="22"/>
                <w:lang w:val="en-US" w:eastAsia="zh-CN" w:bidi="ar"/>
              </w:rPr>
              <w:t>WS-A1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kern w:val="2"/>
                <w:sz w:val="22"/>
                <w:szCs w:val="24"/>
                <w:lang w:val="en-US" w:eastAsia="zh-CN" w:bidi="ar-SA"/>
              </w:rPr>
            </w:pPr>
            <w:r>
              <w:rPr>
                <w:rFonts w:hint="eastAsia" w:ascii="Times New Roman"/>
                <w:sz w:val="22"/>
                <w:lang w:val="en-US" w:eastAsia="zh-CN"/>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宋体" w:eastAsia="宋体" w:cs="宋体"/>
                <w:kern w:val="2"/>
                <w:sz w:val="22"/>
                <w:szCs w:val="24"/>
                <w:lang w:val="en-US" w:eastAsia="zh-CN" w:bidi="ar-SA"/>
              </w:rPr>
            </w:pPr>
            <w:r>
              <w:rPr>
                <w:rFonts w:hint="eastAsia" w:ascii="宋体" w:hAnsi="宋体" w:eastAsia="宋体" w:cs="宋体"/>
                <w:color w:val="000000"/>
                <w:kern w:val="0"/>
                <w:sz w:val="22"/>
                <w:szCs w:val="22"/>
                <w:lang w:val="en-US" w:eastAsia="zh-CN" w:bidi="ar"/>
              </w:rPr>
              <w:t>MS8215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kern w:val="2"/>
                <w:sz w:val="22"/>
                <w:szCs w:val="24"/>
                <w:lang w:val="en-US" w:eastAsia="zh-CN" w:bidi="ar-SA"/>
              </w:rPr>
            </w:pPr>
            <w:r>
              <w:rPr>
                <w:rFonts w:hint="eastAsia" w:ascii="Times New Roman"/>
                <w:sz w:val="22"/>
                <w:lang w:val="en-US" w:eastAsia="zh-CN"/>
              </w:rPr>
              <w:t>数显</w:t>
            </w:r>
            <w:r>
              <w:rPr>
                <w:rFonts w:hint="eastAsia" w:ascii="宋体" w:hAnsi="宋体" w:eastAsia="宋体" w:cs="宋体"/>
                <w:color w:val="000000"/>
                <w:lang w:bidi="ar"/>
              </w:rPr>
              <w:t>游标</w:t>
            </w:r>
            <w:r>
              <w:rPr>
                <w:rFonts w:hint="eastAsia" w:ascii="Times New Roman"/>
                <w:sz w:val="22"/>
                <w:lang w:val="en-US" w:eastAsia="zh-CN"/>
              </w:rPr>
              <w:t>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kern w:val="2"/>
                <w:sz w:val="22"/>
                <w:szCs w:val="22"/>
                <w:lang w:val="en-US" w:eastAsia="zh-CN" w:bidi="ar-SA"/>
              </w:rPr>
            </w:pPr>
            <w:r>
              <w:rPr>
                <w:rFonts w:hint="eastAsia" w:ascii="宋体" w:hAnsi="宋体" w:eastAsia="宋体"/>
                <w:sz w:val="22"/>
                <w:szCs w:val="24"/>
              </w:rPr>
              <w:t>（</w:t>
            </w:r>
            <w:r>
              <w:rPr>
                <w:rFonts w:hint="eastAsia" w:ascii="ArialMT" w:hAnsi="ArialMT" w:eastAsia="ArialMT"/>
                <w:sz w:val="22"/>
                <w:szCs w:val="24"/>
              </w:rPr>
              <w:t>0</w:t>
            </w:r>
            <w:r>
              <w:rPr>
                <w:rFonts w:hint="eastAsia" w:ascii="宋体" w:hAnsi="宋体" w:eastAsia="宋体"/>
                <w:sz w:val="22"/>
                <w:szCs w:val="24"/>
              </w:rPr>
              <w:t>～</w:t>
            </w:r>
            <w:r>
              <w:rPr>
                <w:rFonts w:hint="eastAsia" w:ascii="ArialMT" w:hAnsi="ArialMT" w:eastAsia="ArialMT"/>
                <w:sz w:val="22"/>
                <w:szCs w:val="24"/>
              </w:rPr>
              <w:t>150</w:t>
            </w:r>
            <w:r>
              <w:rPr>
                <w:rFonts w:hint="eastAsia" w:ascii="宋体" w:hAnsi="宋体" w:eastAsia="宋体"/>
                <w:sz w:val="22"/>
                <w:szCs w:val="24"/>
              </w:rPr>
              <w:t>）</w:t>
            </w:r>
            <w:r>
              <w:rPr>
                <w:rFonts w:hint="eastAsia" w:ascii="ArialMT" w:hAnsi="ArialMT" w:eastAsia="ArialMT"/>
                <w:sz w:val="22"/>
                <w:szCs w:val="24"/>
              </w:rPr>
              <w:t>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kern w:val="2"/>
                <w:sz w:val="22"/>
                <w:szCs w:val="24"/>
                <w:lang w:val="en-US" w:eastAsia="zh-CN" w:bidi="ar-SA"/>
              </w:rPr>
            </w:pPr>
            <w:r>
              <w:rPr>
                <w:rFonts w:hint="eastAsia" w:ascii="Times New Roman"/>
                <w:sz w:val="22"/>
                <w:lang w:val="en-US" w:eastAsia="zh-CN"/>
              </w:rPr>
              <w:t>管形测力计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kern w:val="2"/>
                <w:sz w:val="22"/>
                <w:szCs w:val="22"/>
                <w:lang w:val="en-US" w:eastAsia="zh-CN" w:bidi="ar-SA"/>
              </w:rPr>
            </w:pPr>
            <w:r>
              <w:rPr>
                <w:rFonts w:hint="eastAsia" w:ascii="Times New Roman" w:cs="宋体"/>
                <w:sz w:val="22"/>
                <w:szCs w:val="22"/>
                <w:lang w:val="en-US" w:eastAsia="zh-CN" w:bidi="ar-SA"/>
              </w:rPr>
              <w:t>LTZ-10/20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2"/>
                <w:szCs w:val="22"/>
                <w:lang w:val="en-US" w:eastAsia="zh-CN" w:bidi="ar-SA"/>
              </w:rPr>
            </w:pPr>
            <w:r>
              <w:rPr>
                <w:rFonts w:hint="eastAsia" w:cs="宋体"/>
                <w:sz w:val="22"/>
                <w:szCs w:val="22"/>
                <w:lang w:val="en-US" w:eastAsia="zh-CN" w:bidi="ar-SA"/>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2"/>
                <w:szCs w:val="22"/>
                <w:lang w:val="en-US" w:eastAsia="zh-CN" w:bidi="ar-SA"/>
              </w:rPr>
            </w:pPr>
            <w:r>
              <w:rPr>
                <w:rFonts w:hint="eastAsia" w:cs="宋体"/>
                <w:sz w:val="22"/>
                <w:szCs w:val="22"/>
                <w:lang w:val="en-US" w:eastAsia="zh-CN" w:bidi="ar-SA"/>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sz w:val="22"/>
                <w:lang w:val="en-US" w:eastAsia="zh-CN"/>
              </w:rPr>
            </w:pPr>
            <w:r>
              <w:rPr>
                <w:rFonts w:hint="eastAsia" w:ascii="Times New Roman" w:hAnsi="宋体" w:eastAsia="宋体" w:cs="宋体"/>
                <w:sz w:val="22"/>
                <w:lang w:val="en-US" w:eastAsia="zh-CN"/>
              </w:rPr>
              <w:t>绝缘电阻表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sz w:val="22"/>
                <w:lang w:val="en-US" w:eastAsia="zh-CN"/>
              </w:rPr>
            </w:pPr>
            <w:r>
              <w:rPr>
                <w:rFonts w:hint="eastAsia" w:ascii="Times New Roman" w:hAnsi="宋体" w:eastAsia="宋体" w:cs="宋体"/>
                <w:sz w:val="22"/>
                <w:lang w:val="en-US" w:eastAsia="zh-CN"/>
              </w:rPr>
              <w:t>ZC11D-10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tabs>
                <w:tab w:val="left" w:pos="455"/>
              </w:tabs>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sz w:val="22"/>
                <w:lang w:val="en-US" w:eastAsia="zh-CN"/>
              </w:rPr>
            </w:pPr>
            <w:r>
              <w:rPr>
                <w:rFonts w:hint="eastAsia" w:ascii="Times New Roman" w:hAnsi="宋体" w:eastAsia="宋体" w:cs="宋体"/>
                <w:sz w:val="22"/>
                <w:lang w:val="en-US" w:eastAsia="zh-CN"/>
              </w:rPr>
              <w:t>拉力计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6"/>
              <w:keepNext w:val="0"/>
              <w:keepLines w:val="0"/>
              <w:suppressLineNumbers w:val="0"/>
              <w:spacing w:before="0" w:beforeAutospacing="0" w:after="0" w:afterAutospacing="0"/>
              <w:ind w:left="0" w:leftChars="0" w:right="0" w:rightChars="0"/>
              <w:jc w:val="center"/>
              <w:rPr>
                <w:rFonts w:hint="eastAsia" w:ascii="Times New Roman" w:hAnsi="宋体" w:eastAsia="宋体" w:cs="宋体"/>
                <w:sz w:val="22"/>
                <w:lang w:val="en-US" w:eastAsia="zh-CN"/>
              </w:rPr>
            </w:pPr>
            <w:r>
              <w:rPr>
                <w:rFonts w:hint="eastAsia" w:ascii="Times New Roman" w:hAnsi="宋体" w:eastAsia="宋体" w:cs="宋体"/>
                <w:sz w:val="22"/>
                <w:lang w:val="en-US" w:eastAsia="zh-CN"/>
              </w:rPr>
              <w:t>TK-10000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数字钳形表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T6-1000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UT301A+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数字风速计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snapToGrid w:val="0"/>
                <w:color w:val="000000"/>
                <w:kern w:val="0"/>
                <w:sz w:val="21"/>
                <w:szCs w:val="21"/>
                <w:lang w:val="en-US" w:eastAsia="zh-CN" w:bidi="ar-SA"/>
              </w:rPr>
            </w:pPr>
            <w:r>
              <w:rPr>
                <w:rFonts w:hint="eastAsia" w:ascii="宋体" w:hAnsi="宋体" w:eastAsia="宋体" w:cs="宋体"/>
                <w:i w:val="0"/>
                <w:iCs w:val="0"/>
                <w:snapToGrid w:val="0"/>
                <w:color w:val="000000"/>
                <w:kern w:val="0"/>
                <w:sz w:val="22"/>
                <w:szCs w:val="22"/>
                <w:u w:val="none"/>
                <w:lang w:val="en-US" w:eastAsia="zh-CN" w:bidi="ar"/>
              </w:rPr>
              <w:t>PM6252B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yellow"/>
                <w:lang w:val="en-US" w:eastAsia="zh-CN" w:bidi="ar-SA"/>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SF6微量水分测试仪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yellow"/>
                <w:lang w:val="en-US" w:eastAsia="zh-CN" w:bidi="ar-SA"/>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KVWS-II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eastAsia="宋体" w:asciiTheme="minorHAnsi" w:hAnsiTheme="minorHAnsi" w:cstheme="minorBidi"/>
                <w:kern w:val="2"/>
                <w:sz w:val="21"/>
                <w:szCs w:val="24"/>
                <w:lang w:val="en-US" w:eastAsia="zh-CN" w:bidi="ar-SA"/>
              </w:rPr>
            </w:pPr>
            <w:r>
              <w:rPr>
                <w:rFonts w:hint="default" w:ascii="宋体" w:hAnsi="宋体" w:eastAsia="宋体" w:cs="宋体"/>
                <w:color w:val="000000" w:themeColor="text1"/>
                <w:sz w:val="22"/>
                <w:szCs w:val="22"/>
                <w:lang w:eastAsia="zh-CN" w:bidi="ar"/>
                <w14:textFill>
                  <w14:solidFill>
                    <w14:schemeClr w14:val="tx1"/>
                  </w14:solidFill>
                </w14:textFill>
              </w:rPr>
              <w:t>SF6定量检漏仪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KVWG-II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SF6定性检漏仪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XP-1A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全自动变比组别测试仪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KVB-II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智能回路电阻测试仪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KVH-100A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直流电阻快速测试仪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KVZRC-10A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互感器特性综合测试仪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KVHG-P</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氧化锌避雷器检测装置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KVYZ-III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KV2571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绝缘电阻测试仪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ZC-7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49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red"/>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red"/>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UT58E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单体蓄电池活化仪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ABE-2612CT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蓄电池智能充放电仪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FGCD-4810CT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red"/>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蓄电池内阻测试仪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red"/>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FBR-6000NT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电能质量分析仪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KVPQ-60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无线高压核相仪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TAG5000A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大电流发生器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KVSL-2000A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数字钳形万用表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 xml:space="preserve">F302+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数字电桥</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QJ35A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电容电桥</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HTDR-H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59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真空度测试仪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KVZK-IV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微电脑交流电量测试仪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KVYM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远距离红外测温仪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HCW-VAI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直流高压试验器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ZGF-200kV/2mA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none"/>
                <w:lang w:val="en-US" w:eastAsia="zh-CN" w:bidi="ar"/>
                <w14:textFill>
                  <w14:solidFill>
                    <w14:schemeClr w14:val="tx1"/>
                  </w14:solidFill>
                </w14:textFill>
              </w:rPr>
            </w:pPr>
            <w:r>
              <w:rPr>
                <w:rFonts w:hint="default" w:ascii="宋体" w:hAnsi="宋体" w:eastAsia="宋体" w:cs="宋体"/>
                <w:color w:val="000000" w:themeColor="text1"/>
                <w:sz w:val="22"/>
                <w:szCs w:val="22"/>
                <w:highlight w:val="none"/>
                <w:lang w:eastAsia="zh-CN" w:bidi="ar"/>
                <w14:textFill>
                  <w14:solidFill>
                    <w14:schemeClr w14:val="tx1"/>
                  </w14:solidFill>
                </w14:textFill>
              </w:rPr>
              <w:t>线路故障测试仪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highlight w:val="none"/>
                <w:lang w:val="en-US" w:eastAsia="zh-CN" w:bidi="ar"/>
                <w14:textFill>
                  <w14:solidFill>
                    <w14:schemeClr w14:val="tx1"/>
                  </w14:solidFill>
                </w14:textFill>
              </w:rPr>
            </w:pPr>
            <w:r>
              <w:rPr>
                <w:rFonts w:hint="default" w:ascii="宋体" w:hAnsi="宋体" w:eastAsia="宋体" w:cs="宋体"/>
                <w:color w:val="000000" w:themeColor="text1"/>
                <w:sz w:val="22"/>
                <w:szCs w:val="22"/>
                <w:highlight w:val="none"/>
                <w:lang w:eastAsia="zh-CN" w:bidi="ar"/>
                <w14:textFill>
                  <w14:solidFill>
                    <w14:schemeClr w14:val="tx1"/>
                  </w14:solidFill>
                </w14:textFill>
              </w:rPr>
              <w:t xml:space="preserve">SDCA-4  </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局放超声自动定位系统</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HTJF-9003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继电保护测试装置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HT-1200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交流耐压试验台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非标</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高压开关特性测试仪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HTGK-III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绝缘靴手套耐压试验装置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HTTX-H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69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高压成套试验装置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30kVA/150kV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变频谐振耐压成套装置</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KVTF-75kVA/75kV</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ZXUD-68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交直流电表万能校验台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HTJZ-H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多功能信号发生器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 xml:space="preserve"> 2006A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28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多通道示波器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数字微欧计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 xml:space="preserve"> ZY9987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小电流钳形表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317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交直流钳形表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319</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三相多功能伏安相位表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噪音计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TES-1352S</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继电器万能试验台</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定制</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特斯拉计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TD8620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毫伏发生器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SS7012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钳形接地电阻测试仪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fluke1630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数字钳形表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Fluke T6-1000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GLM150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eastAsia="宋体" w:cs="宋体"/>
                <w:color w:val="000000" w:themeColor="text1"/>
                <w:sz w:val="22"/>
                <w:szCs w:val="22"/>
                <w:lang w:eastAsia="zh-CN" w:bidi="ar"/>
                <w14:textFill>
                  <w14:solidFill>
                    <w14:schemeClr w14:val="tx1"/>
                  </w14:solidFill>
                </w14:textFill>
              </w:rPr>
              <w:t>FLUKE-233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数显力矩扳手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MDS-100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力矩扳手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QL100N4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89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水平尺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HTFC-1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SW-600A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接触网磨耗测量仪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HDMH</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线索张力测试仪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HDZL-30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default" w:ascii="宋体" w:hAnsi="宋体" w:cs="宋体"/>
                <w:color w:val="000000" w:themeColor="text1"/>
                <w:sz w:val="22"/>
                <w:szCs w:val="22"/>
                <w14:textFill>
                  <w14:solidFill>
                    <w14:schemeClr w14:val="tx1"/>
                  </w14:solidFill>
                </w14:textFill>
              </w:rPr>
              <w:t>DJJ-8</w:t>
            </w:r>
            <w:r>
              <w:rPr>
                <w:rFonts w:hint="eastAsia" w:ascii="宋体" w:hAnsi="宋体" w:eastAsia="宋体" w:cs="宋体"/>
                <w:color w:val="000000" w:themeColor="text1"/>
                <w:sz w:val="22"/>
                <w:szCs w:val="22"/>
                <w14:textFill>
                  <w14:solidFill>
                    <w14:schemeClr w14:val="tx1"/>
                  </w14:solidFill>
                </w14:textFill>
              </w:rPr>
              <w:t>接触网激光测量仪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DJJ-8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160-800Nm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预置式扭力扳手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SATA96423;10-50Nm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34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FLUKE17B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0-200mm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37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99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绝缘电阻表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ZC11D-10;2500MΩ</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绝缘电阻表（指针）</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ZC11D-3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ZC-8型;1000Ω</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手持红外测温仪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pStyle w:val="37"/>
              <w:keepNext w:val="0"/>
              <w:keepLines w:val="0"/>
              <w:suppressLineNumbers w:val="0"/>
              <w:spacing w:before="0" w:beforeAutospacing="0" w:after="0" w:afterAutospacing="0"/>
              <w:ind w:left="0" w:right="0"/>
              <w:jc w:val="center"/>
              <w:rPr>
                <w:rFonts w:hint="eastAsia" w:ascii="宋体" w:hAnsi="宋体" w:eastAsia="宋体" w:cs="宋体"/>
                <w:color w:val="000000" w:themeColor="text1"/>
                <w:kern w:val="2"/>
                <w:sz w:val="22"/>
                <w:szCs w:val="22"/>
                <w:lang w:val="en-US" w:eastAsia="zh-CN" w:bidi="ar"/>
                <w14:textFill>
                  <w14:solidFill>
                    <w14:schemeClr w14:val="tx1"/>
                  </w14:solidFill>
                </w14:textFill>
              </w:rPr>
            </w:pPr>
            <w:r>
              <w:rPr>
                <w:rFonts w:hint="eastAsia" w:ascii="宋体" w:hAnsi="宋体" w:eastAsia="宋体" w:cs="宋体"/>
                <w:color w:val="000000" w:themeColor="text1"/>
                <w:sz w:val="22"/>
                <w:szCs w:val="22"/>
                <w:lang w:eastAsia="zh-CN" w:bidi="ar"/>
                <w14:textFill>
                  <w14:solidFill>
                    <w14:schemeClr w14:val="tx1"/>
                  </w14:solidFill>
                </w14:textFill>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leftChars="0" w:right="0" w:right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103</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UT191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数显温湿度计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WSB-1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25</w:t>
            </w:r>
          </w:p>
        </w:tc>
      </w:tr>
      <w:tr>
        <w:tblPrEx>
          <w:tblCellMar>
            <w:top w:w="15" w:type="dxa"/>
            <w:left w:w="15" w:type="dxa"/>
            <w:bottom w:w="15" w:type="dxa"/>
            <w:right w:w="15" w:type="dxa"/>
          </w:tblCellMar>
        </w:tblPrEx>
        <w:trPr>
          <w:trHeight w:val="34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钢卷尺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5m×25㎜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钢直尺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E8064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107</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绝缘电阻表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ZC11D-10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108</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OTDR</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HX6000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109</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光功率计</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HX3200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110</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光源</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HX3100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111</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MS815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6</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112</w:t>
            </w:r>
          </w:p>
        </w:tc>
        <w:tc>
          <w:tcPr>
            <w:tcW w:w="313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FLUKE17B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转辙机拉力测试仪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KXZD-42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8</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MF指针型万用表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防雷元件测试仪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KDDQ FC-2G</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蓄电池内阻测试仪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NZY-A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数字接地电阻测试仪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RT2571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水平尺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40“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电缆测试仪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FLUKE2042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测量规</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eastAsia="zh-CN" w:bidi="ar"/>
              </w:rPr>
              <w:t>传感器调整板</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机械式温湿度计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WS-A1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钳形电流表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Fluke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扭力扳手</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SATA（＜500Nm）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9</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电缆探测仪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FLUK2042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双针压力表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2020F 252-33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16</w:t>
            </w:r>
          </w:p>
        </w:tc>
      </w:tr>
      <w:tr>
        <w:tblPrEx>
          <w:tblCellMar>
            <w:top w:w="15" w:type="dxa"/>
            <w:left w:w="15" w:type="dxa"/>
            <w:bottom w:w="15" w:type="dxa"/>
            <w:right w:w="15" w:type="dxa"/>
          </w:tblCellMar>
        </w:tblPrEx>
        <w:trPr>
          <w:trHeight w:val="437"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04000261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双针压力表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YCS100Ⅱ</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双针压力表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PG21DPB 080/090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直流低电阻计（微欧计）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UT620C</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电导率仪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DDS-11A</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数字万用表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DEM21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超声波探伤仪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SC600I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车门压力计（数显推拉力计）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DS2-500N-XD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露点计（温湿度表）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AZ 8705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智能数字微压计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DP1000-IIIB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千分表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（0～1）mm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数字式绝缘电阻测试仪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DY30-2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59E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示波表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190-202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磁粉探伤仪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CDX-II</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振动仪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HS5936</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杠杆百分表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（0～0.8）mm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数字压力计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DPI 705E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温湿度监测仪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TES 1360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手持式激光测距仪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DB100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转速表（红外转速计）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HT-4200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分体式测振仪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GM63B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风速计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AZ8904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数显千分表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（0～12.7）mm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指针式万用表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MF47</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标准圆</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810.00/810.02mm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机车车辆轮对内距尺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GF982S-ZD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机车车辆轮径测量仪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GF922-L-860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车辆车辆第四种检查器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LLJ-4D</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数显地铁轮缘尺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GF2060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噪音计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DSMD1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照度计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MS6612L</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159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相位测试仪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FLUKE 9062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0-35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（0.7~0.8）g/m³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0-70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比重计</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（0.9~1.0）g/m³</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车轮轮缘踏面样板</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参考 LM-31.5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165</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万用表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FLUKE17B</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166</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手持红外测温仪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UT301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167</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开口式点压钳表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Fluke T6-1000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168</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数显游标卡尺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0-150mm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169</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GF2060型数显地铁轮缘尺</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GF2060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10</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170</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车门挤压力峰值仪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9V Block</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171</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1X10数显百分表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0-120mm</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172</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风速表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8904</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1</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173</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数字压力表</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DPI 705</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2</w:t>
            </w:r>
          </w:p>
        </w:tc>
      </w:tr>
      <w:tr>
        <w:tblPrEx>
          <w:tblCellMar>
            <w:top w:w="15" w:type="dxa"/>
            <w:left w:w="15" w:type="dxa"/>
            <w:bottom w:w="15" w:type="dxa"/>
            <w:right w:w="15" w:type="dxa"/>
          </w:tblCellMar>
        </w:tblPrEx>
        <w:trPr>
          <w:trHeight w:val="0" w:hRule="atLeast"/>
          <w:jc w:val="center"/>
        </w:trPr>
        <w:tc>
          <w:tcPr>
            <w:tcW w:w="10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174</w:t>
            </w:r>
          </w:p>
        </w:tc>
        <w:tc>
          <w:tcPr>
            <w:tcW w:w="3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压力测试仪</w:t>
            </w:r>
          </w:p>
        </w:tc>
        <w:tc>
          <w:tcPr>
            <w:tcW w:w="24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DPI705E</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3</w:t>
            </w:r>
          </w:p>
        </w:tc>
      </w:tr>
      <w:tr>
        <w:tblPrEx>
          <w:tblCellMar>
            <w:top w:w="15" w:type="dxa"/>
            <w:left w:w="15" w:type="dxa"/>
            <w:bottom w:w="15" w:type="dxa"/>
            <w:right w:w="15" w:type="dxa"/>
          </w:tblCellMar>
        </w:tblPrEx>
        <w:trPr>
          <w:trHeight w:val="285" w:hRule="atLeast"/>
          <w:jc w:val="center"/>
        </w:trPr>
        <w:tc>
          <w:tcPr>
            <w:tcW w:w="659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lang w:val="en-US" w:eastAsia="zh-CN" w:bidi="ar"/>
              </w:rPr>
            </w:pPr>
            <w:r>
              <w:rPr>
                <w:rFonts w:hint="eastAsia" w:ascii="宋体" w:hAnsi="宋体" w:eastAsia="宋体" w:cs="宋体"/>
                <w:color w:val="000000"/>
                <w:lang w:val="en-US" w:eastAsia="zh-CN" w:bidi="ar"/>
              </w:rPr>
              <w:t>500</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4"/>
                <w:lang w:val="en-US" w:eastAsia="zh-CN" w:bidi="ar"/>
              </w:rPr>
            </w:pPr>
            <w:r>
              <w:rPr>
                <w:rFonts w:hint="eastAsia" w:ascii="宋体" w:hAnsi="宋体" w:eastAsia="宋体" w:cs="宋体"/>
                <w:color w:val="000000"/>
                <w:lang w:val="en-US" w:eastAsia="zh-CN" w:bidi="ar"/>
              </w:rPr>
              <w:t>500</w:t>
            </w:r>
          </w:p>
        </w:tc>
      </w:tr>
    </w:tbl>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注：</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1、清单中的数量是一个预估数量，具体按实际送检的数量结算；</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本项目为单价合同，结算时单价不变，数量按实际送检的数量结算。综合单价包括计量器具的检定/校准、简单调修、加急、运输、技术服务、质保期保障等发生的所有费用、利润、招标代理费、专家评审费、税金、政策性文件规定及合同包含的所有风险和责任等各项应有费用。除双方同意根据合同规定对合同进行变更或修改外，在合同执行期间合同总综合单价固定不变；</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3、招标人若新增计量器具种类，中标人应提供相应的计量检测服务，其中检定类计量器具不高于市/省法定计量机构价格，校准类计量器具不高于省内市场价。</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服务要求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计量检测人员应具备如下条件，但不限于此：</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（1）具备检测技术等相关专业。</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（2）有计量检测相关经验。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（3）熟悉计量法律、法规、检定规程、校准规范等。</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（4）具有沟通、团结协作、主动工作服务意识等。</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（5）具有计量检定员证或注册计量师资格证。</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服务期限</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default" w:ascii="宋体" w:hAnsi="宋体"/>
          <w:sz w:val="24"/>
          <w:lang w:val="en-US" w:eastAsia="zh-CN"/>
        </w:rPr>
      </w:pPr>
      <w:r>
        <w:rPr>
          <w:rFonts w:hint="eastAsia" w:ascii="宋体" w:hAnsi="宋体"/>
          <w:sz w:val="24"/>
          <w:lang w:val="en-US" w:eastAsia="zh-CN"/>
        </w:rPr>
        <w:t>合同签订之日起两年。</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技术要求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中标人建标和认可的项目至少包含60%检测清单项目，应具备相应的检定和校准资质，对需要依据检定规程的计量器具出具检定证书（市级及以上），出具校准证书的需具有CNAS（中国合格评定国家认可委员会）标识，同时均需提交能证明检定/校准能力资格的证明文件。</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（2）中标人应严格按照授权的范围和项目对招标人的计量器具实施检定、校准等活动，以保证计量检测数据的准确、可靠。</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中标人应根据《中华人民共和国计量法》要求，按照现行的国家、部门或地方计量检定规程、校准规范实施计量检定/校准等工作，并出具检定/校准证书，出具的有关检定/校准证书必须符合相应的规程、规范的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本项目包含强制检定工作计量器具和计量标准器具，强制检定的计量器具必须由当地政府计量行政部门指定的法定计量检定机构（市级及以上）进行检定，检测合格凭证必须为检定证书，中标人应按国家规定给予免费检定，并以中标人身份进行相应强制检定的网上申报，也包括第一次检定不合格经维修后二次送检提供免费检定。</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对需要简单调试修理的计量器具，由中标人征得招标人同意后给予免费调试修理，修理后按照计量检定规程、校准规范再次实施检定/校准工作，并出具检定/校准证书。出具的有关检定/校准证书必须符合相应规程、规范的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（6）中标人对只有校准规范的计量器具实施校准工作并出具校准证书，要求对校准证书上的校准时间间隔给出建议，并给出符合性结论。</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（7）对无检定规程或校准规范的计量器具，中标人需根据招标人提供的技术资料，设备说明书等相关设备资料自行拟定校准或检测方案，双方达成一致后方可开展检测。</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（8）提供的检测服务应达到的技术指标和参数：按国际标准、国家标准、行业标准、检定规程及校准规范以及仪器设备技术参数要求进行检定/校准等检测工作,并达到规定要求。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default" w:ascii="宋体" w:hAnsi="宋体"/>
          <w:sz w:val="24"/>
          <w:lang w:val="en-US" w:eastAsia="zh-CN"/>
        </w:rPr>
      </w:pPr>
      <w:r>
        <w:rPr>
          <w:rFonts w:hint="eastAsia" w:ascii="宋体" w:hAnsi="宋体"/>
          <w:sz w:val="24"/>
          <w:lang w:val="en-US" w:eastAsia="zh-CN"/>
        </w:rPr>
        <w:t>（9）中标人完成计量器具检/校后应同时出具纸质档和电子档检/校证书，其中提供的电子证书需按招标人要求的规则进行排序，以便于招标人检索使用。</w:t>
      </w:r>
    </w:p>
    <w:p>
      <w:pPr>
        <w:keepNext w:val="0"/>
        <w:keepLines w:val="0"/>
        <w:pageBreakBefore w:val="0"/>
        <w:numPr>
          <w:ilvl w:val="0"/>
          <w:numId w:val="16"/>
        </w:numPr>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质量、验收标准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bookmarkStart w:id="206" w:name="_Toc21484"/>
      <w:r>
        <w:rPr>
          <w:rFonts w:hint="eastAsia" w:ascii="宋体" w:hAnsi="宋体"/>
          <w:sz w:val="24"/>
          <w:lang w:val="en-US" w:eastAsia="zh-CN"/>
        </w:rPr>
        <w:t>（1）中标人按照现行的国家、部门或地方计量检定规程、校准规范实施计量检定/校准等工作，并依此作为质量验收的标准，出具的有关检定/校准证书必须符合相应规程、规范的要求，如招标人对有关证书有特殊要求，中标人可酌情处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（2）中标人对招标人已经检测完毕的计量器具应在规定的时间(五个工作日)内送回，并同时提交检测凭证，招标人以检定、校准、检定结果通知书等凭证作为对计量器具的验收标准。检验方法：</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（1）采取目测和简易测量的方法对计量器具的外观进行检验。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GB" w:eastAsia="zh-CN"/>
        </w:rPr>
      </w:pPr>
      <w:r>
        <w:rPr>
          <w:rFonts w:hint="eastAsia" w:ascii="宋体" w:hAnsi="宋体"/>
          <w:sz w:val="24"/>
          <w:lang w:val="en-US" w:eastAsia="zh-CN"/>
        </w:rPr>
        <w:t>（2）采取测量过程的方法对计量器具进行检验。</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（3）计量器具检定/校准质保期为一个月,经检定/校准检测的计量器具，若招标人对中标人检测质量存有疑异，招标人可在收到计量器具后一个月内向中标人提出复检要求，复检免费。</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（4）中标人委托其他单位检定/校准的计量器具若检测质量不符合要求，招标人有权要求再次检测，所发生的费用由中标人承担。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七、交接的方式、地点和时间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（1）计量收发地点为两个，分别是控制中心、相官车辆段（根据实际需求随时调整）。</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（2）中标人应按照需求在检定周期内至少三次到招标人指定地点收取计量器具，满足招标人检测要求。</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（3）招标人提出需检计量器具时中标人须在24小时内安排车或人员上门办理。</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（4）中标人为招标人提供的服务方式，根据招标人要求到现场实施检定/校准，现场不能检定/校准的计量器具，根据招标人要求在规定时间内带回检定/校准。</w:t>
      </w:r>
      <w:r>
        <w:rPr>
          <w:rFonts w:hint="eastAsia" w:ascii="宋体" w:hAnsi="宋体"/>
          <w:sz w:val="24"/>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（5）中标人须在五个工作日内将检定/校准完毕并粘贴好计量标识（合格或不合格）的计量器具和出具的证书(证书包括纸质档及电子档)返回招标人。</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（6）中标人委托其他单位检定/校准的计量器具，需在十个工作日内完成检定/校准并粘贴标识，计量器具和证书一并交还给招标人(证书包括纸质档及电子档)。</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（7）招标人有加急量具的检定/校准、检测等要求，需在12小时内给予响应，送检后的计量器具按招标人指定时间送回，加急费用不另外产生。</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八、包装与运输</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中标人应保证被检计量器具在运输、装卸过程中完好无损，并有减震、防冲击的措施，同时对部分计量器具提供一定的包装，方便储运。在运输、装卸过程中，应采取防潮、防腐蚀等保护措施，以保证在没有任何损伤的情况下安全运抵交接地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九、责任</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（1）招标人应为到现场实施检定/校准的中标人人员提供适宜的条件及配合, 中标人到现场后需要确认现场检定/校准环境条件能否满足相关计量器具检定规程或校准规范要求，若环境条件不能满足，无法开展检定或校准，中标人需将量具带回实验室开展检定或校准。若中标人按约定到达招标人现场时,由于招标人原因造成检定/校准无法按计划实施的,招标人应承担中标人误工费用。</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（2）计量器具的取送、运输和包装由中标人负责；由于不适当的运输和包装而造成计量器具在运输过程中有任何损坏由中标人负责。</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（3）中标人在检测服务过程中，由于保管不当或操作失误造成计量器具丢失或损坏的，需及时赔偿相同型号检测合格的实物。</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（4）中标人从甲方取回计量器具时，须有正式交接手续和凭证。</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（5）因中标人委托其他单位检定/校准甲方计量器具所产生的责任事故，均由中标人负责承担全部责任。</w:t>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（6）因中标人服务质量或主观原因耽误工期给甲方造成经济损失，中标人应按国家有关规定予以赔偿。</w:t>
      </w:r>
      <w:r>
        <w:rPr>
          <w:rFonts w:hint="eastAsia" w:ascii="宋体" w:hAnsi="宋体"/>
          <w:sz w:val="24"/>
          <w:lang w:val="en-US" w:eastAsia="zh-CN"/>
        </w:rPr>
        <w:tab/>
      </w:r>
    </w:p>
    <w:p>
      <w:pPr>
        <w:keepNext w:val="0"/>
        <w:keepLines w:val="0"/>
        <w:pageBreakBefore w:val="0"/>
        <w:widowControl w:val="0"/>
        <w:kinsoku/>
        <w:wordWrap/>
        <w:overflowPunct/>
        <w:topLinePunct w:val="0"/>
        <w:autoSpaceDE/>
        <w:autoSpaceDN/>
        <w:bidi w:val="0"/>
        <w:adjustRightInd/>
        <w:snapToGrid/>
        <w:spacing w:line="400" w:lineRule="exact"/>
        <w:ind w:left="0" w:firstLine="480" w:firstLineChars="200"/>
        <w:textAlignment w:val="auto"/>
        <w:rPr>
          <w:rFonts w:hint="eastAsia" w:ascii="宋体" w:hAnsi="宋体"/>
          <w:sz w:val="24"/>
          <w:lang w:val="en-US" w:eastAsia="zh-CN"/>
        </w:rPr>
      </w:pPr>
      <w:r>
        <w:rPr>
          <w:rFonts w:hint="eastAsia" w:ascii="宋体" w:hAnsi="宋体"/>
          <w:sz w:val="24"/>
          <w:lang w:val="en-US" w:eastAsia="zh-CN"/>
        </w:rPr>
        <w:t>（7）中标人履行本合同应对甲方所提供的技术资料、专利技术、经营信息等承担保密义务，否则追究法律责任。</w:t>
      </w:r>
    </w:p>
    <w:bookmarkEnd w:id="206"/>
    <w:p>
      <w:pPr>
        <w:pStyle w:val="12"/>
        <w:ind w:left="0" w:leftChars="0"/>
        <w:jc w:val="both"/>
        <w:rPr>
          <w:rFonts w:hint="eastAsia" w:ascii="Arial" w:hAnsi="Arial" w:eastAsia="黑体" w:cs="Times New Roman"/>
          <w:b/>
          <w:bCs/>
          <w:kern w:val="2"/>
          <w:sz w:val="32"/>
          <w:szCs w:val="32"/>
          <w:lang w:val="en-US" w:eastAsia="zh-CN" w:bidi="ar-SA"/>
        </w:rPr>
      </w:pPr>
    </w:p>
    <w:sectPr>
      <w:footerReference r:id="rId11"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MT">
    <w:altName w:val="Times New Roman"/>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w:t>
    </w:r>
    <w: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rPr>
                              <w:rStyle w:val="23"/>
                            </w:rPr>
                          </w:pPr>
                          <w:r>
                            <w:fldChar w:fldCharType="begin"/>
                          </w:r>
                          <w:r>
                            <w:rPr>
                              <w:rStyle w:val="23"/>
                            </w:rPr>
                            <w:instrText xml:space="preserve">PAGE  </w:instrText>
                          </w:r>
                          <w:r>
                            <w:fldChar w:fldCharType="separate"/>
                          </w:r>
                          <w:r>
                            <w:rPr>
                              <w:rStyle w:val="23"/>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jc w:val="center"/>
                      <w:rPr>
                        <w:rStyle w:val="23"/>
                      </w:rPr>
                    </w:pPr>
                    <w:r>
                      <w:fldChar w:fldCharType="begin"/>
                    </w:r>
                    <w:r>
                      <w:rPr>
                        <w:rStyle w:val="23"/>
                      </w:rPr>
                      <w:instrText xml:space="preserve">PAGE  </w:instrText>
                    </w:r>
                    <w:r>
                      <w:fldChar w:fldCharType="separate"/>
                    </w:r>
                    <w:r>
                      <w:rPr>
                        <w:rStyle w:val="23"/>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3"/>
      </w:rPr>
    </w:pPr>
    <w:r>
      <w:fldChar w:fldCharType="begin"/>
    </w:r>
    <w:r>
      <w:rPr>
        <w:rStyle w:val="23"/>
      </w:rPr>
      <w:instrText xml:space="preserve">PAGE  </w:instrText>
    </w:r>
    <w:r>
      <w:fldChar w:fldCharType="separate"/>
    </w:r>
    <w:r>
      <w:rPr>
        <w:rStyle w:val="23"/>
      </w:rPr>
      <w:t>1</w:t>
    </w:r>
    <w:r>
      <w:fldChar w:fldCharType="end"/>
    </w:r>
  </w:p>
  <w:p>
    <w:pPr>
      <w:pStyle w:val="1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820DA"/>
    <w:multiLevelType w:val="singleLevel"/>
    <w:tmpl w:val="881820DA"/>
    <w:lvl w:ilvl="0" w:tentative="0">
      <w:start w:val="2"/>
      <w:numFmt w:val="chineseCounting"/>
      <w:suff w:val="nothing"/>
      <w:lvlText w:val="%1、"/>
      <w:lvlJc w:val="left"/>
      <w:rPr>
        <w:rFonts w:hint="eastAsia"/>
      </w:rPr>
    </w:lvl>
  </w:abstractNum>
  <w:abstractNum w:abstractNumId="1">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B3178B66"/>
    <w:multiLevelType w:val="singleLevel"/>
    <w:tmpl w:val="B3178B66"/>
    <w:lvl w:ilvl="0" w:tentative="0">
      <w:start w:val="1"/>
      <w:numFmt w:val="chineseCounting"/>
      <w:suff w:val="nothing"/>
      <w:lvlText w:val="（%1）"/>
      <w:lvlJc w:val="left"/>
      <w:rPr>
        <w:rFonts w:hint="eastAsia"/>
      </w:rPr>
    </w:lvl>
  </w:abstractNum>
  <w:abstractNum w:abstractNumId="3">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4">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4"/>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6">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7">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8B5CEEE"/>
    <w:multiLevelType w:val="singleLevel"/>
    <w:tmpl w:val="18B5CEEE"/>
    <w:lvl w:ilvl="0" w:tentative="0">
      <w:start w:val="2"/>
      <w:numFmt w:val="chineseCounting"/>
      <w:suff w:val="nothing"/>
      <w:lvlText w:val="（%1）"/>
      <w:lvlJc w:val="left"/>
      <w:rPr>
        <w:rFonts w:hint="eastAsia"/>
      </w:rPr>
    </w:lvl>
  </w:abstractNum>
  <w:abstractNum w:abstractNumId="9">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7">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10"/>
  </w:num>
  <w:num w:numId="4">
    <w:abstractNumId w:val="9"/>
  </w:num>
  <w:num w:numId="5">
    <w:abstractNumId w:val="12"/>
  </w:num>
  <w:num w:numId="6">
    <w:abstractNumId w:val="15"/>
  </w:num>
  <w:num w:numId="7">
    <w:abstractNumId w:val="14"/>
  </w:num>
  <w:num w:numId="8">
    <w:abstractNumId w:val="5"/>
  </w:num>
  <w:num w:numId="9">
    <w:abstractNumId w:val="16"/>
  </w:num>
  <w:num w:numId="10">
    <w:abstractNumId w:val="0"/>
  </w:num>
  <w:num w:numId="11">
    <w:abstractNumId w:val="7"/>
  </w:num>
  <w:num w:numId="12">
    <w:abstractNumId w:val="13"/>
  </w:num>
  <w:num w:numId="13">
    <w:abstractNumId w:val="11"/>
  </w:num>
  <w:num w:numId="14">
    <w:abstractNumId w:val="17"/>
  </w:num>
  <w:num w:numId="15">
    <w:abstractNumId w:val="6"/>
  </w:num>
  <w:num w:numId="16">
    <w:abstractNumId w:val="3"/>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124B60"/>
    <w:rsid w:val="00172A27"/>
    <w:rsid w:val="006B329D"/>
    <w:rsid w:val="00BD35D6"/>
    <w:rsid w:val="00D357A5"/>
    <w:rsid w:val="020767FE"/>
    <w:rsid w:val="02186A33"/>
    <w:rsid w:val="0250020C"/>
    <w:rsid w:val="027D2D3A"/>
    <w:rsid w:val="038500F8"/>
    <w:rsid w:val="04A40A52"/>
    <w:rsid w:val="0541795A"/>
    <w:rsid w:val="054D45D9"/>
    <w:rsid w:val="059B00A7"/>
    <w:rsid w:val="05BA26F8"/>
    <w:rsid w:val="05C85019"/>
    <w:rsid w:val="060C11C7"/>
    <w:rsid w:val="068C27CB"/>
    <w:rsid w:val="06B156A8"/>
    <w:rsid w:val="0810290A"/>
    <w:rsid w:val="082D0FA0"/>
    <w:rsid w:val="087B5F6E"/>
    <w:rsid w:val="08955AD0"/>
    <w:rsid w:val="08F5187C"/>
    <w:rsid w:val="09DF42DA"/>
    <w:rsid w:val="0A310581"/>
    <w:rsid w:val="0B043FF8"/>
    <w:rsid w:val="0B327C66"/>
    <w:rsid w:val="0B443082"/>
    <w:rsid w:val="0DFC2E79"/>
    <w:rsid w:val="0E1E1875"/>
    <w:rsid w:val="0E1F2076"/>
    <w:rsid w:val="0E5A401A"/>
    <w:rsid w:val="0E912047"/>
    <w:rsid w:val="0ED1566D"/>
    <w:rsid w:val="0F566DED"/>
    <w:rsid w:val="0F784FB5"/>
    <w:rsid w:val="103E61FE"/>
    <w:rsid w:val="10BB33AB"/>
    <w:rsid w:val="11AF0483"/>
    <w:rsid w:val="12837928"/>
    <w:rsid w:val="128569FE"/>
    <w:rsid w:val="128D521B"/>
    <w:rsid w:val="12C77C04"/>
    <w:rsid w:val="13695A71"/>
    <w:rsid w:val="13713B90"/>
    <w:rsid w:val="146F4D9C"/>
    <w:rsid w:val="14A66BD2"/>
    <w:rsid w:val="14BA73B4"/>
    <w:rsid w:val="152F182D"/>
    <w:rsid w:val="15A35BCA"/>
    <w:rsid w:val="15E11B06"/>
    <w:rsid w:val="15EA028F"/>
    <w:rsid w:val="15EF58A5"/>
    <w:rsid w:val="179E4CE1"/>
    <w:rsid w:val="17A252C5"/>
    <w:rsid w:val="17BC3914"/>
    <w:rsid w:val="183F48C2"/>
    <w:rsid w:val="1871653C"/>
    <w:rsid w:val="18B928C3"/>
    <w:rsid w:val="19E35721"/>
    <w:rsid w:val="1A0A5964"/>
    <w:rsid w:val="1A5A5229"/>
    <w:rsid w:val="1A676352"/>
    <w:rsid w:val="1A7C5269"/>
    <w:rsid w:val="1AFE2553"/>
    <w:rsid w:val="1B1A3761"/>
    <w:rsid w:val="1BE174CD"/>
    <w:rsid w:val="1C9A6C76"/>
    <w:rsid w:val="1CC932F4"/>
    <w:rsid w:val="1D9A3F8E"/>
    <w:rsid w:val="1E1204F0"/>
    <w:rsid w:val="1E8A5EDB"/>
    <w:rsid w:val="1F3A6E2C"/>
    <w:rsid w:val="1FD80B42"/>
    <w:rsid w:val="205D447F"/>
    <w:rsid w:val="205F1A7F"/>
    <w:rsid w:val="205F7B92"/>
    <w:rsid w:val="20F16975"/>
    <w:rsid w:val="226F3FF6"/>
    <w:rsid w:val="22DA3889"/>
    <w:rsid w:val="23137077"/>
    <w:rsid w:val="23F21382"/>
    <w:rsid w:val="249E7189"/>
    <w:rsid w:val="24C25B44"/>
    <w:rsid w:val="25395304"/>
    <w:rsid w:val="25923FE8"/>
    <w:rsid w:val="270311B0"/>
    <w:rsid w:val="27AC35F6"/>
    <w:rsid w:val="28395E4A"/>
    <w:rsid w:val="28BB61E6"/>
    <w:rsid w:val="29152B54"/>
    <w:rsid w:val="2ADE7F6A"/>
    <w:rsid w:val="2B1E18C9"/>
    <w:rsid w:val="2BDB26FC"/>
    <w:rsid w:val="2BED6D0C"/>
    <w:rsid w:val="2C2220D9"/>
    <w:rsid w:val="2C504E98"/>
    <w:rsid w:val="2C994F77"/>
    <w:rsid w:val="2CBA76D5"/>
    <w:rsid w:val="2CE400BD"/>
    <w:rsid w:val="2D256324"/>
    <w:rsid w:val="2DA779AB"/>
    <w:rsid w:val="2DEE2BBA"/>
    <w:rsid w:val="2EB540B0"/>
    <w:rsid w:val="2F0324FC"/>
    <w:rsid w:val="2F1E380E"/>
    <w:rsid w:val="2F2F1127"/>
    <w:rsid w:val="30087837"/>
    <w:rsid w:val="30516882"/>
    <w:rsid w:val="31E76E79"/>
    <w:rsid w:val="321D3A6E"/>
    <w:rsid w:val="325C58EA"/>
    <w:rsid w:val="3293605E"/>
    <w:rsid w:val="32E36017"/>
    <w:rsid w:val="33C01B31"/>
    <w:rsid w:val="33E82F7F"/>
    <w:rsid w:val="34E36123"/>
    <w:rsid w:val="34EF0FC6"/>
    <w:rsid w:val="35586B6B"/>
    <w:rsid w:val="355D32B2"/>
    <w:rsid w:val="35DE52C2"/>
    <w:rsid w:val="361B6516"/>
    <w:rsid w:val="362F2047"/>
    <w:rsid w:val="36853990"/>
    <w:rsid w:val="36BE50F4"/>
    <w:rsid w:val="36CF061C"/>
    <w:rsid w:val="37441A9D"/>
    <w:rsid w:val="37695060"/>
    <w:rsid w:val="37A579C4"/>
    <w:rsid w:val="380A1DF4"/>
    <w:rsid w:val="38855AD1"/>
    <w:rsid w:val="38D26C34"/>
    <w:rsid w:val="38D9375C"/>
    <w:rsid w:val="38F10DBE"/>
    <w:rsid w:val="39C77E93"/>
    <w:rsid w:val="39E210F9"/>
    <w:rsid w:val="3A6868AD"/>
    <w:rsid w:val="3AB122F7"/>
    <w:rsid w:val="3C444045"/>
    <w:rsid w:val="3DA81B6D"/>
    <w:rsid w:val="3DB01C3A"/>
    <w:rsid w:val="3DC620A2"/>
    <w:rsid w:val="3E101213"/>
    <w:rsid w:val="3F5B3E28"/>
    <w:rsid w:val="3F6F51DD"/>
    <w:rsid w:val="40F045EC"/>
    <w:rsid w:val="41432DC5"/>
    <w:rsid w:val="418B6F45"/>
    <w:rsid w:val="419453CF"/>
    <w:rsid w:val="423821FE"/>
    <w:rsid w:val="424D3414"/>
    <w:rsid w:val="427448E1"/>
    <w:rsid w:val="42D818CD"/>
    <w:rsid w:val="42DB28E8"/>
    <w:rsid w:val="42FE51F6"/>
    <w:rsid w:val="436A63E7"/>
    <w:rsid w:val="436C336A"/>
    <w:rsid w:val="44155942"/>
    <w:rsid w:val="448A049B"/>
    <w:rsid w:val="44FF0DB1"/>
    <w:rsid w:val="4508101B"/>
    <w:rsid w:val="45700D85"/>
    <w:rsid w:val="45AD2CBA"/>
    <w:rsid w:val="45FB1817"/>
    <w:rsid w:val="46162856"/>
    <w:rsid w:val="46EE4534"/>
    <w:rsid w:val="4710374A"/>
    <w:rsid w:val="478431A0"/>
    <w:rsid w:val="47C20E3C"/>
    <w:rsid w:val="47FF69AE"/>
    <w:rsid w:val="480007F6"/>
    <w:rsid w:val="4827411A"/>
    <w:rsid w:val="485F2E6E"/>
    <w:rsid w:val="488E4926"/>
    <w:rsid w:val="49B70EBF"/>
    <w:rsid w:val="49FC7DBF"/>
    <w:rsid w:val="4A2B7805"/>
    <w:rsid w:val="4A38723F"/>
    <w:rsid w:val="4A8835F7"/>
    <w:rsid w:val="4B43350C"/>
    <w:rsid w:val="4B5C6B62"/>
    <w:rsid w:val="4B772972"/>
    <w:rsid w:val="4B99502C"/>
    <w:rsid w:val="4BCD2901"/>
    <w:rsid w:val="4D0D050D"/>
    <w:rsid w:val="4D1D096E"/>
    <w:rsid w:val="4D24107E"/>
    <w:rsid w:val="4D44414D"/>
    <w:rsid w:val="4D706845"/>
    <w:rsid w:val="4DAC584E"/>
    <w:rsid w:val="4E094A4F"/>
    <w:rsid w:val="4E944C60"/>
    <w:rsid w:val="4EA50042"/>
    <w:rsid w:val="4F6C592F"/>
    <w:rsid w:val="5003209D"/>
    <w:rsid w:val="50F11EF6"/>
    <w:rsid w:val="514374D8"/>
    <w:rsid w:val="515807A5"/>
    <w:rsid w:val="520E450D"/>
    <w:rsid w:val="52525126"/>
    <w:rsid w:val="52677F6F"/>
    <w:rsid w:val="528F19C6"/>
    <w:rsid w:val="52E16E8A"/>
    <w:rsid w:val="52E35A67"/>
    <w:rsid w:val="52F12BF3"/>
    <w:rsid w:val="53DA3C45"/>
    <w:rsid w:val="541A1764"/>
    <w:rsid w:val="544757F0"/>
    <w:rsid w:val="549C486F"/>
    <w:rsid w:val="54FF729C"/>
    <w:rsid w:val="550143E7"/>
    <w:rsid w:val="550B5E5A"/>
    <w:rsid w:val="55216B22"/>
    <w:rsid w:val="55322ADD"/>
    <w:rsid w:val="55E204FC"/>
    <w:rsid w:val="563C00B7"/>
    <w:rsid w:val="566C201F"/>
    <w:rsid w:val="56926B10"/>
    <w:rsid w:val="57355635"/>
    <w:rsid w:val="57390A76"/>
    <w:rsid w:val="57A45FA7"/>
    <w:rsid w:val="57E83927"/>
    <w:rsid w:val="587F6039"/>
    <w:rsid w:val="589D5FBC"/>
    <w:rsid w:val="58DC16DE"/>
    <w:rsid w:val="59643735"/>
    <w:rsid w:val="598033C8"/>
    <w:rsid w:val="5A3C0CCE"/>
    <w:rsid w:val="5AE91375"/>
    <w:rsid w:val="5B9067AF"/>
    <w:rsid w:val="5CE100C1"/>
    <w:rsid w:val="5CEA48FD"/>
    <w:rsid w:val="5DE03A1E"/>
    <w:rsid w:val="5DEA21A7"/>
    <w:rsid w:val="5E111E29"/>
    <w:rsid w:val="5E5A1453"/>
    <w:rsid w:val="5F69359F"/>
    <w:rsid w:val="5FBE4B89"/>
    <w:rsid w:val="60ED0D5F"/>
    <w:rsid w:val="611A2DA3"/>
    <w:rsid w:val="618262D8"/>
    <w:rsid w:val="61BB1FB0"/>
    <w:rsid w:val="61DD0694"/>
    <w:rsid w:val="62B160E2"/>
    <w:rsid w:val="62DD677E"/>
    <w:rsid w:val="63F43D7F"/>
    <w:rsid w:val="65473DBF"/>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8166E3"/>
    <w:rsid w:val="6FA7439C"/>
    <w:rsid w:val="6FD71CA2"/>
    <w:rsid w:val="6FF43359"/>
    <w:rsid w:val="70794BE8"/>
    <w:rsid w:val="71DA7712"/>
    <w:rsid w:val="720D425E"/>
    <w:rsid w:val="72140B08"/>
    <w:rsid w:val="72987FCC"/>
    <w:rsid w:val="731D6851"/>
    <w:rsid w:val="73572D9E"/>
    <w:rsid w:val="73774700"/>
    <w:rsid w:val="73C430EF"/>
    <w:rsid w:val="743D1BD2"/>
    <w:rsid w:val="74CE23CA"/>
    <w:rsid w:val="75220020"/>
    <w:rsid w:val="75E00131"/>
    <w:rsid w:val="76480EDA"/>
    <w:rsid w:val="765403A3"/>
    <w:rsid w:val="76730661"/>
    <w:rsid w:val="77031B7C"/>
    <w:rsid w:val="786B1CDE"/>
    <w:rsid w:val="79393B8B"/>
    <w:rsid w:val="796B643A"/>
    <w:rsid w:val="7B3F1C7D"/>
    <w:rsid w:val="7B7B3308"/>
    <w:rsid w:val="7BD863FC"/>
    <w:rsid w:val="7C2F7FCD"/>
    <w:rsid w:val="7C3C1FE4"/>
    <w:rsid w:val="7C701FB9"/>
    <w:rsid w:val="7C977546"/>
    <w:rsid w:val="7CC3033B"/>
    <w:rsid w:val="7D2B7036"/>
    <w:rsid w:val="7DE0358A"/>
    <w:rsid w:val="7E9A7CD8"/>
    <w:rsid w:val="7F602A87"/>
    <w:rsid w:val="7FBA3C92"/>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4">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5">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二级标题"/>
    <w:basedOn w:val="1"/>
    <w:next w:val="1"/>
    <w:autoRedefine/>
    <w:qFormat/>
    <w:uiPriority w:val="0"/>
    <w:rPr>
      <w:rFonts w:hint="eastAsia" w:eastAsia="楷体"/>
    </w:rPr>
  </w:style>
  <w:style w:type="paragraph" w:styleId="6">
    <w:name w:val="toc 7"/>
    <w:basedOn w:val="1"/>
    <w:next w:val="1"/>
    <w:autoRedefine/>
    <w:qFormat/>
    <w:uiPriority w:val="39"/>
    <w:pPr>
      <w:ind w:left="2520" w:leftChars="1200"/>
    </w:pPr>
    <w:rPr>
      <w:rFonts w:ascii="Calibri" w:hAnsi="Calibri"/>
      <w:szCs w:val="22"/>
    </w:rPr>
  </w:style>
  <w:style w:type="paragraph" w:styleId="7">
    <w:name w:val="Normal Indent"/>
    <w:basedOn w:val="1"/>
    <w:autoRedefine/>
    <w:qFormat/>
    <w:uiPriority w:val="0"/>
    <w:pPr>
      <w:spacing w:line="240" w:lineRule="auto"/>
      <w:ind w:firstLine="420"/>
    </w:pPr>
    <w:rPr>
      <w:b/>
      <w:szCs w:val="20"/>
    </w:rPr>
  </w:style>
  <w:style w:type="paragraph" w:styleId="8">
    <w:name w:val="Body Text"/>
    <w:basedOn w:val="1"/>
    <w:autoRedefine/>
    <w:qFormat/>
    <w:uiPriority w:val="0"/>
    <w:pPr>
      <w:spacing w:after="120"/>
    </w:pPr>
  </w:style>
  <w:style w:type="paragraph" w:styleId="9">
    <w:name w:val="Body Text Indent"/>
    <w:basedOn w:val="1"/>
    <w:next w:val="10"/>
    <w:autoRedefine/>
    <w:qFormat/>
    <w:uiPriority w:val="0"/>
    <w:pPr>
      <w:ind w:firstLine="1044"/>
      <w:jc w:val="center"/>
    </w:pPr>
    <w:rPr>
      <w:b/>
      <w:bCs/>
      <w:sz w:val="52"/>
    </w:rPr>
  </w:style>
  <w:style w:type="paragraph" w:styleId="10">
    <w:name w:val="envelope return"/>
    <w:basedOn w:val="1"/>
    <w:next w:val="6"/>
    <w:autoRedefine/>
    <w:qFormat/>
    <w:uiPriority w:val="0"/>
    <w:pPr>
      <w:snapToGrid w:val="0"/>
    </w:pPr>
    <w:rPr>
      <w:rFonts w:ascii="Arial" w:hAnsi="Arial"/>
    </w:r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autoRedefine/>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autoRedefine/>
    <w:qFormat/>
    <w:uiPriority w:val="39"/>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7">
    <w:name w:val="Normal (Web)"/>
    <w:basedOn w:val="1"/>
    <w:autoRedefine/>
    <w:unhideWhenUsed/>
    <w:qFormat/>
    <w:uiPriority w:val="0"/>
  </w:style>
  <w:style w:type="paragraph" w:styleId="18">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paragraph" w:styleId="19">
    <w:name w:val="Body Text First Indent 2"/>
    <w:basedOn w:val="9"/>
    <w:next w:val="1"/>
    <w:autoRedefine/>
    <w:qFormat/>
    <w:uiPriority w:val="0"/>
    <w:pPr>
      <w:ind w:firstLine="420" w:firstLineChars="200"/>
    </w:pPr>
  </w:style>
  <w:style w:type="table" w:styleId="21">
    <w:name w:val="Table Grid"/>
    <w:basedOn w:val="20"/>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page number"/>
    <w:basedOn w:val="22"/>
    <w:autoRedefine/>
    <w:qFormat/>
    <w:uiPriority w:val="0"/>
  </w:style>
  <w:style w:type="character" w:styleId="24">
    <w:name w:val="Hyperlink"/>
    <w:autoRedefine/>
    <w:qFormat/>
    <w:uiPriority w:val="99"/>
    <w:rPr>
      <w:color w:val="0000FF"/>
      <w:u w:val="single"/>
    </w:rPr>
  </w:style>
  <w:style w:type="paragraph" w:styleId="25">
    <w:name w:val="List Paragraph"/>
    <w:basedOn w:val="1"/>
    <w:autoRedefine/>
    <w:qFormat/>
    <w:uiPriority w:val="34"/>
    <w:pPr>
      <w:ind w:firstLine="420" w:firstLineChars="200"/>
    </w:pPr>
  </w:style>
  <w:style w:type="character" w:customStyle="1" w:styleId="26">
    <w:name w:val="font11"/>
    <w:basedOn w:val="22"/>
    <w:autoRedefine/>
    <w:qFormat/>
    <w:uiPriority w:val="0"/>
    <w:rPr>
      <w:rFonts w:hint="eastAsia" w:ascii="宋体" w:hAnsi="宋体" w:eastAsia="宋体" w:cs="宋体"/>
      <w:color w:val="000000"/>
      <w:sz w:val="20"/>
      <w:szCs w:val="20"/>
      <w:u w:val="none"/>
    </w:rPr>
  </w:style>
  <w:style w:type="character" w:customStyle="1" w:styleId="27">
    <w:name w:val="font21"/>
    <w:basedOn w:val="22"/>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29">
    <w:name w:val="font31"/>
    <w:basedOn w:val="22"/>
    <w:autoRedefine/>
    <w:qFormat/>
    <w:uiPriority w:val="0"/>
    <w:rPr>
      <w:rFonts w:hint="eastAsia" w:ascii="宋体" w:hAnsi="宋体" w:eastAsia="宋体" w:cs="宋体"/>
      <w:color w:val="000000"/>
      <w:sz w:val="22"/>
      <w:szCs w:val="22"/>
      <w:u w:val="none"/>
    </w:rPr>
  </w:style>
  <w:style w:type="character" w:customStyle="1" w:styleId="30">
    <w:name w:val="font41"/>
    <w:basedOn w:val="22"/>
    <w:autoRedefine/>
    <w:qFormat/>
    <w:uiPriority w:val="0"/>
    <w:rPr>
      <w:rFonts w:hint="eastAsia" w:ascii="宋体" w:hAnsi="宋体" w:eastAsia="宋体" w:cs="宋体"/>
      <w:color w:val="000000"/>
      <w:sz w:val="18"/>
      <w:szCs w:val="18"/>
      <w:u w:val="none"/>
    </w:rPr>
  </w:style>
  <w:style w:type="character" w:customStyle="1" w:styleId="31">
    <w:name w:val="font01"/>
    <w:basedOn w:val="22"/>
    <w:autoRedefine/>
    <w:qFormat/>
    <w:uiPriority w:val="0"/>
    <w:rPr>
      <w:rFonts w:hint="eastAsia" w:ascii="宋体" w:hAnsi="宋体" w:eastAsia="宋体" w:cs="宋体"/>
      <w:color w:val="000000"/>
      <w:sz w:val="22"/>
      <w:szCs w:val="22"/>
      <w:u w:val="none"/>
    </w:rPr>
  </w:style>
  <w:style w:type="character" w:customStyle="1" w:styleId="32">
    <w:name w:val="font71"/>
    <w:basedOn w:val="22"/>
    <w:autoRedefine/>
    <w:qFormat/>
    <w:uiPriority w:val="0"/>
    <w:rPr>
      <w:rFonts w:ascii="ArialMT" w:hAnsi="ArialMT" w:eastAsia="ArialMT" w:cs="ArialMT"/>
      <w:color w:val="000000"/>
      <w:sz w:val="22"/>
      <w:szCs w:val="22"/>
      <w:u w:val="none"/>
    </w:rPr>
  </w:style>
  <w:style w:type="character" w:customStyle="1" w:styleId="33">
    <w:name w:val="font61"/>
    <w:basedOn w:val="22"/>
    <w:autoRedefine/>
    <w:qFormat/>
    <w:uiPriority w:val="0"/>
    <w:rPr>
      <w:rFonts w:hint="default" w:ascii="Times New Roman" w:hAnsi="Times New Roman" w:cs="Times New Roman"/>
      <w:color w:val="000000"/>
      <w:sz w:val="22"/>
      <w:szCs w:val="22"/>
      <w:u w:val="none"/>
    </w:rPr>
  </w:style>
  <w:style w:type="character" w:customStyle="1" w:styleId="34">
    <w:name w:val="font81"/>
    <w:basedOn w:val="22"/>
    <w:autoRedefine/>
    <w:qFormat/>
    <w:uiPriority w:val="0"/>
    <w:rPr>
      <w:rFonts w:hint="eastAsia" w:ascii="宋体" w:hAnsi="宋体" w:eastAsia="宋体" w:cs="宋体"/>
      <w:color w:val="000000"/>
      <w:sz w:val="21"/>
      <w:szCs w:val="21"/>
      <w:u w:val="single"/>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Table Paragraph"/>
    <w:basedOn w:val="1"/>
    <w:autoRedefine/>
    <w:qFormat/>
    <w:uiPriority w:val="1"/>
    <w:rPr>
      <w:rFonts w:ascii="宋体" w:hAnsi="宋体" w:eastAsia="宋体" w:cs="宋体"/>
      <w:lang w:val="en-US" w:eastAsia="zh-CN" w:bidi="ar-SA"/>
    </w:rPr>
  </w:style>
  <w:style w:type="paragraph" w:customStyle="1" w:styleId="37">
    <w:name w:val="Table Text"/>
    <w:basedOn w:val="1"/>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21582</Words>
  <Characters>25038</Characters>
  <Lines>174</Lines>
  <Paragraphs>49</Paragraphs>
  <TotalTime>37</TotalTime>
  <ScaleCrop>false</ScaleCrop>
  <LinksUpToDate>false</LinksUpToDate>
  <CharactersWithSpaces>26685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light-rain</cp:lastModifiedBy>
  <dcterms:modified xsi:type="dcterms:W3CDTF">2024-07-25T00:44:35Z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7453EDCE06CD4DCCB36FD2BC846E5AE1_13</vt:lpwstr>
  </property>
</Properties>
</file>