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b/>
          <w:sz w:val="44"/>
          <w:szCs w:val="44"/>
          <w:highlight w:val="none"/>
          <w:lang w:val="en-US" w:eastAsia="zh-CN"/>
        </w:rPr>
      </w:pPr>
      <w:r>
        <w:rPr>
          <w:rFonts w:hint="eastAsia"/>
          <w:b/>
          <w:sz w:val="44"/>
          <w:szCs w:val="44"/>
          <w:highlight w:val="none"/>
        </w:rPr>
        <w:t>2024年滁宁城铁</w:t>
      </w:r>
      <w:r>
        <w:rPr>
          <w:rFonts w:hint="eastAsia"/>
          <w:b/>
          <w:sz w:val="44"/>
          <w:szCs w:val="44"/>
          <w:highlight w:val="none"/>
          <w:lang w:val="en-US" w:eastAsia="zh-CN"/>
        </w:rPr>
        <w:t>各单位无纺清洁布</w:t>
      </w:r>
    </w:p>
    <w:p>
      <w:pPr>
        <w:snapToGrid w:val="0"/>
        <w:spacing w:line="873" w:lineRule="atLeast"/>
        <w:ind w:right="-340" w:rightChars="-162"/>
        <w:jc w:val="center"/>
        <w:rPr>
          <w:rFonts w:hint="default" w:ascii="Arial Narrow" w:eastAsia="宋体"/>
          <w:b/>
          <w:sz w:val="44"/>
          <w:szCs w:val="44"/>
          <w:highlight w:val="none"/>
          <w:lang w:val="en-US" w:eastAsia="zh-CN"/>
        </w:rPr>
      </w:pPr>
      <w:r>
        <w:rPr>
          <w:rFonts w:hint="eastAsia"/>
          <w:b/>
          <w:sz w:val="44"/>
          <w:szCs w:val="44"/>
          <w:highlight w:val="none"/>
          <w:lang w:val="en-US" w:eastAsia="zh-CN"/>
        </w:rPr>
        <w:t>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5</w:t>
      </w:r>
      <w:r>
        <w:rPr>
          <w:rFonts w:hint="eastAsia" w:eastAsia="仿宋_GB2312"/>
          <w:sz w:val="44"/>
          <w:szCs w:val="44"/>
        </w:rPr>
        <w:t xml:space="preserve">月 </w:t>
      </w:r>
      <w:r>
        <w:rPr>
          <w:rFonts w:hint="eastAsia" w:eastAsia="仿宋_GB2312"/>
          <w:sz w:val="44"/>
          <w:szCs w:val="44"/>
          <w:lang w:val="en-US" w:eastAsia="zh-CN"/>
        </w:rPr>
        <w:t>27</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lang w:val="en-US" w:eastAsia="zh-CN"/>
        </w:rPr>
        <w:t>2024年滁宁城铁各单位无纺清洁布采购项目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3225"/>
        <w:gridCol w:w="4388"/>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60" w:type="dxa"/>
            <w:vAlign w:val="center"/>
          </w:tcPr>
          <w:p>
            <w:pPr>
              <w:jc w:val="center"/>
              <w:rPr>
                <w:rFonts w:ascii="宋体" w:hAnsi="宋体" w:cs="Arial"/>
                <w:sz w:val="24"/>
                <w:szCs w:val="24"/>
              </w:rPr>
            </w:pPr>
            <w:r>
              <w:rPr>
                <w:rFonts w:hint="eastAsia" w:ascii="宋体" w:hAnsi="宋体" w:cs="Arial"/>
                <w:sz w:val="24"/>
                <w:szCs w:val="24"/>
              </w:rPr>
              <w:t>序号</w:t>
            </w:r>
          </w:p>
        </w:tc>
        <w:tc>
          <w:tcPr>
            <w:tcW w:w="3225" w:type="dxa"/>
            <w:vAlign w:val="center"/>
          </w:tcPr>
          <w:p>
            <w:pPr>
              <w:jc w:val="center"/>
              <w:rPr>
                <w:rFonts w:ascii="宋体" w:hAnsi="宋体" w:cs="Arial"/>
                <w:sz w:val="24"/>
                <w:szCs w:val="24"/>
              </w:rPr>
            </w:pPr>
            <w:r>
              <w:rPr>
                <w:rFonts w:hint="eastAsia" w:ascii="宋体" w:hAnsi="宋体" w:cs="Arial"/>
                <w:sz w:val="24"/>
                <w:szCs w:val="24"/>
              </w:rPr>
              <w:t>项目</w:t>
            </w:r>
          </w:p>
        </w:tc>
        <w:tc>
          <w:tcPr>
            <w:tcW w:w="4388"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6"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60" w:type="dxa"/>
            <w:vAlign w:val="center"/>
          </w:tcPr>
          <w:p>
            <w:pPr>
              <w:jc w:val="center"/>
              <w:rPr>
                <w:rFonts w:ascii="宋体" w:hAnsi="宋体" w:cs="Arial"/>
                <w:sz w:val="24"/>
                <w:szCs w:val="24"/>
              </w:rPr>
            </w:pPr>
            <w:r>
              <w:rPr>
                <w:rFonts w:hint="eastAsia" w:ascii="宋体" w:hAnsi="宋体" w:cs="Arial"/>
                <w:sz w:val="24"/>
                <w:szCs w:val="24"/>
              </w:rPr>
              <w:t>1</w:t>
            </w:r>
          </w:p>
        </w:tc>
        <w:tc>
          <w:tcPr>
            <w:tcW w:w="3225" w:type="dxa"/>
            <w:vAlign w:val="center"/>
          </w:tcPr>
          <w:p>
            <w:pPr>
              <w:jc w:val="center"/>
              <w:rPr>
                <w:rFonts w:ascii="宋体" w:hAnsi="宋体" w:cs="Arial"/>
                <w:sz w:val="24"/>
                <w:szCs w:val="24"/>
                <w:highlight w:val="yellow"/>
              </w:rPr>
            </w:pPr>
            <w:r>
              <w:rPr>
                <w:rFonts w:hint="eastAsia" w:ascii="宋体" w:hAnsi="宋体" w:cs="Arial"/>
                <w:sz w:val="24"/>
                <w:szCs w:val="24"/>
                <w:lang w:val="en-US" w:eastAsia="zh-CN"/>
              </w:rPr>
              <w:t>2024年滁宁城铁各单位无纺清洁布采购项目</w:t>
            </w:r>
          </w:p>
        </w:tc>
        <w:tc>
          <w:tcPr>
            <w:tcW w:w="4388"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6"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9859"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hint="eastAsia" w:ascii="宋体" w:hAnsi="宋体" w:eastAsia="宋体" w:cs="Arial"/>
                <w:sz w:val="24"/>
                <w:szCs w:val="24"/>
                <w:lang w:eastAsia="zh-CN"/>
              </w:rPr>
            </w:pPr>
            <w:r>
              <w:rPr>
                <w:rFonts w:hint="eastAsia" w:ascii="宋体" w:hAnsi="宋体" w:cs="Arial"/>
                <w:sz w:val="24"/>
                <w:szCs w:val="24"/>
              </w:rPr>
              <w:t>（3）项目实施地点：安徽省滁州市</w:t>
            </w:r>
            <w:r>
              <w:rPr>
                <w:rFonts w:hint="eastAsia" w:ascii="宋体" w:hAnsi="宋体" w:cs="Arial"/>
                <w:sz w:val="24"/>
                <w:szCs w:val="24"/>
                <w:lang w:eastAsia="zh-CN"/>
              </w:rPr>
              <w:t>。</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rFonts w:hint="eastAsia"/>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keepNext w:val="0"/>
        <w:keepLines w:val="0"/>
        <w:pageBreakBefore w:val="0"/>
        <w:widowControl/>
        <w:suppressLineNumbers w:val="0"/>
        <w:kinsoku/>
        <w:wordWrap/>
        <w:overflowPunct/>
        <w:topLinePunct w:val="0"/>
        <w:autoSpaceDE/>
        <w:autoSpaceDN/>
        <w:bidi w:val="0"/>
        <w:adjustRightInd/>
        <w:snapToGrid/>
        <w:spacing w:line="360" w:lineRule="auto"/>
        <w:ind w:left="600" w:hanging="600" w:hangingChars="250"/>
        <w:jc w:val="left"/>
        <w:textAlignment w:val="auto"/>
        <w:rPr>
          <w:rFonts w:hint="default" w:ascii="Times New Roman" w:cs="Times New Roman"/>
          <w:lang w:val="en-US" w:eastAsia="zh-CN"/>
        </w:rPr>
      </w:pPr>
      <w:r>
        <w:rPr>
          <w:rFonts w:hint="eastAsia" w:ascii="Times New Roman" w:hAnsi="宋体" w:eastAsia="宋体" w:cs="Times New Roman"/>
          <w:kern w:val="0"/>
          <w:sz w:val="24"/>
          <w:szCs w:val="24"/>
          <w:lang w:val="en-US" w:eastAsia="zh-CN" w:bidi="ar-SA"/>
        </w:rPr>
        <w:t>2.1.2</w:t>
      </w:r>
      <w:r>
        <w:rPr>
          <w:rFonts w:hint="eastAsia" w:hAnsi="宋体" w:cs="Times New Roman"/>
          <w:kern w:val="0"/>
          <w:sz w:val="24"/>
          <w:szCs w:val="24"/>
          <w:lang w:val="en-US" w:eastAsia="zh-CN" w:bidi="ar-SA"/>
        </w:rPr>
        <w:t xml:space="preserve"> </w:t>
      </w:r>
      <w:r>
        <w:rPr>
          <w:rFonts w:hint="eastAsia" w:ascii="Times New Roman" w:hAnsi="宋体" w:eastAsia="宋体" w:cs="Times New Roman"/>
          <w:kern w:val="0"/>
          <w:sz w:val="24"/>
          <w:szCs w:val="24"/>
          <w:lang w:val="en-US" w:eastAsia="zh-CN" w:bidi="ar-SA"/>
        </w:rPr>
        <w:t>报价人须为本次采购产品的制造商或授权经销商（须提供制造商出具的授权委托书，且该委托书在有效期内）。</w:t>
      </w:r>
      <w:r>
        <w:rPr>
          <w:rFonts w:hint="eastAsia" w:ascii="宋体" w:hAnsi="宋体" w:eastAsia="宋体" w:cs="宋体"/>
          <w:color w:val="000000"/>
          <w:kern w:val="0"/>
          <w:sz w:val="24"/>
          <w:szCs w:val="24"/>
          <w:lang w:val="en-US" w:eastAsia="zh-CN" w:bidi="ar"/>
        </w:rPr>
        <w:t xml:space="preserve"> </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w:t>
      </w:r>
      <w:r>
        <w:rPr>
          <w:rFonts w:hint="eastAsia" w:ascii="Times New Roman" w:cs="Times New Roman"/>
          <w:lang w:val="en-US" w:eastAsia="zh-CN"/>
        </w:rPr>
        <w:t>2021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27</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31</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贰仟</w:t>
      </w:r>
      <w:r>
        <w:rPr>
          <w:rFonts w:hint="eastAsia" w:ascii="Times New Roman" w:cs="Times New Roman"/>
          <w:b/>
          <w:highlight w:val="none"/>
          <w:u w:val="single"/>
          <w:lang w:val="en-US" w:eastAsia="zh-CN"/>
        </w:rPr>
        <w:t>元整</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rFonts w:hint="default"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杭工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hint="default" w:ascii="Times New Roman" w:hAnsi="Times New Roman" w:eastAsia="宋体" w:cs="Times New Roman"/>
          <w:lang w:val="en-US" w:eastAsia="zh-CN"/>
        </w:rPr>
      </w:pPr>
      <w:r>
        <w:rPr>
          <w:rFonts w:ascii="Times New Roman" w:hAnsi="Times New Roman" w:cs="Times New Roman"/>
        </w:rPr>
        <w:t>邮箱：</w:t>
      </w:r>
      <w:r>
        <w:rPr>
          <w:rFonts w:hint="eastAsia" w:ascii="Times New Roman" w:hAnsi="Times New Roman" w:cs="Times New Roman"/>
          <w:lang w:val="en-US" w:eastAsia="zh-CN"/>
        </w:rPr>
        <w:t>2371447962@qq.com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5</w:t>
      </w:r>
      <w:r>
        <w:rPr>
          <w:rFonts w:hint="eastAsia"/>
          <w:kern w:val="0"/>
          <w:sz w:val="24"/>
          <w:szCs w:val="24"/>
        </w:rPr>
        <w:t xml:space="preserve"> 月</w:t>
      </w:r>
      <w:r>
        <w:rPr>
          <w:rFonts w:hint="eastAsia"/>
          <w:kern w:val="0"/>
          <w:sz w:val="24"/>
          <w:szCs w:val="24"/>
          <w:lang w:val="en-US" w:eastAsia="zh-CN"/>
        </w:rPr>
        <w:t>27</w:t>
      </w:r>
      <w:r>
        <w:rPr>
          <w:rFonts w:hint="eastAsia"/>
          <w:kern w:val="0"/>
          <w:sz w:val="24"/>
          <w:szCs w:val="24"/>
        </w:rPr>
        <w:t xml:space="preserve"> </w:t>
      </w:r>
      <w:bookmarkStart w:id="10" w:name="_GoBack"/>
      <w:bookmarkEnd w:id="10"/>
      <w:r>
        <w:rPr>
          <w:rFonts w:hint="eastAsia"/>
          <w:kern w:val="0"/>
          <w:sz w:val="24"/>
          <w:szCs w:val="24"/>
        </w:rPr>
        <w:t>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cs="Arial"/>
                <w:sz w:val="21"/>
                <w:szCs w:val="21"/>
                <w:lang w:val="en-US" w:eastAsia="zh-CN"/>
              </w:rPr>
              <w:t>2024年滁宁城铁各单位无纺清洁布采购项目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制造商出具的授权委托书（</w:t>
      </w:r>
      <w:r>
        <w:rPr>
          <w:rFonts w:hint="eastAsia" w:ascii="Times New Roman" w:hAnsi="Times New Roman" w:cs="Times New Roman"/>
          <w:b/>
          <w:bCs/>
        </w:rPr>
        <w:t>非制造商报价必须提供，复印件加盖法人公章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lang w:val="en-US" w:eastAsia="zh-CN"/>
        </w:rPr>
        <w:t>SGS检测报告（</w:t>
      </w:r>
      <w:r>
        <w:rPr>
          <w:rFonts w:ascii="Times New Roman" w:hAnsi="Times New Roman" w:cs="Times New Roman"/>
          <w:b/>
          <w:bCs/>
        </w:rPr>
        <w:t>复印件加盖法人公章</w:t>
      </w:r>
      <w:r>
        <w:rPr>
          <w:rFonts w:hint="eastAsia" w:ascii="Times New Roman" w:hAnsi="Times New Roman" w:cs="Times New Roman"/>
          <w:lang w:val="en-US" w:eastAsia="zh-C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kern w:val="0"/>
          <w:sz w:val="24"/>
          <w:szCs w:val="24"/>
          <w:lang w:val="en-US" w:eastAsia="zh-CN"/>
        </w:rPr>
        <w:t>滁宁城铁各单位无纺清洁布的</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0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2184"/>
        <w:gridCol w:w="1488"/>
        <w:gridCol w:w="3575"/>
        <w:gridCol w:w="709"/>
        <w:gridCol w:w="13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序号</w:t>
            </w:r>
          </w:p>
        </w:tc>
        <w:tc>
          <w:tcPr>
            <w:tcW w:w="2184"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物资编码</w:t>
            </w:r>
          </w:p>
        </w:tc>
        <w:tc>
          <w:tcPr>
            <w:tcW w:w="1488"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物资名称</w:t>
            </w:r>
          </w:p>
        </w:tc>
        <w:tc>
          <w:tcPr>
            <w:tcW w:w="3575"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规格型号</w:t>
            </w:r>
          </w:p>
        </w:tc>
        <w:tc>
          <w:tcPr>
            <w:tcW w:w="709"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单位</w:t>
            </w:r>
          </w:p>
        </w:tc>
        <w:tc>
          <w:tcPr>
            <w:tcW w:w="1308"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预估采购数量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17" w:type="dxa"/>
            <w:vAlign w:val="center"/>
          </w:tcPr>
          <w:p>
            <w:pPr>
              <w:widowControl/>
              <w:jc w:val="center"/>
              <w:rPr>
                <w:rFonts w:ascii="宋体" w:hAnsi="宋体" w:cs="宋体"/>
                <w:color w:val="000000"/>
                <w:sz w:val="24"/>
                <w:szCs w:val="24"/>
              </w:rPr>
            </w:pPr>
            <w:r>
              <w:rPr>
                <w:rFonts w:hint="eastAsia"/>
                <w:color w:val="000000"/>
                <w:sz w:val="24"/>
                <w:szCs w:val="24"/>
              </w:rPr>
              <w:t>1</w:t>
            </w:r>
          </w:p>
        </w:tc>
        <w:tc>
          <w:tcPr>
            <w:tcW w:w="218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71020600000001</w:t>
            </w:r>
          </w:p>
        </w:tc>
        <w:tc>
          <w:tcPr>
            <w:tcW w:w="1488" w:type="dxa"/>
            <w:vAlign w:val="center"/>
          </w:tcPr>
          <w:p>
            <w:pPr>
              <w:widowControl/>
              <w:jc w:val="center"/>
              <w:rPr>
                <w:rFonts w:hint="eastAsia" w:ascii="宋体" w:hAnsi="宋体" w:cs="宋体"/>
                <w:color w:val="000000"/>
                <w:sz w:val="24"/>
                <w:szCs w:val="24"/>
              </w:rPr>
            </w:pPr>
            <w:r>
              <w:rPr>
                <w:rFonts w:hint="eastAsia" w:ascii="宋体" w:hAnsi="宋体" w:cs="宋体"/>
                <w:color w:val="000000"/>
                <w:sz w:val="24"/>
                <w:szCs w:val="24"/>
                <w:lang w:val="en-US" w:eastAsia="zh-CN"/>
              </w:rPr>
              <w:t>无纺清洁布</w:t>
            </w:r>
          </w:p>
        </w:tc>
        <w:tc>
          <w:tcPr>
            <w:tcW w:w="3575" w:type="dxa"/>
            <w:vAlign w:val="center"/>
          </w:tcPr>
          <w:p>
            <w:pPr>
              <w:widowControl/>
              <w:jc w:val="center"/>
              <w:rPr>
                <w:rFonts w:hint="eastAsia" w:ascii="宋体" w:hAnsi="宋体" w:cs="宋体"/>
                <w:color w:val="000000"/>
                <w:sz w:val="24"/>
                <w:szCs w:val="24"/>
              </w:rPr>
            </w:pPr>
            <w:r>
              <w:rPr>
                <w:rFonts w:hint="eastAsia" w:ascii="宋体" w:hAnsi="宋体" w:cs="宋体"/>
                <w:color w:val="000000"/>
                <w:sz w:val="24"/>
                <w:szCs w:val="24"/>
                <w:lang w:val="en-US" w:eastAsia="zh-CN"/>
              </w:rPr>
              <w:t>30CM*30CM;白色;500张/卷</w:t>
            </w:r>
          </w:p>
        </w:tc>
        <w:tc>
          <w:tcPr>
            <w:tcW w:w="709" w:type="dxa"/>
            <w:vAlign w:val="center"/>
          </w:tcPr>
          <w:p>
            <w:pPr>
              <w:widowControl/>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卷</w:t>
            </w:r>
          </w:p>
        </w:tc>
        <w:tc>
          <w:tcPr>
            <w:tcW w:w="1308" w:type="dxa"/>
            <w:vAlign w:val="center"/>
          </w:tcPr>
          <w:p>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 xml:space="preserve">689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0081" w:type="dxa"/>
            <w:gridSpan w:val="6"/>
            <w:vAlign w:val="center"/>
          </w:tcPr>
          <w:p>
            <w:pPr>
              <w:rPr>
                <w:rFonts w:ascii="宋体" w:hAnsi="宋体" w:cs="宋体"/>
                <w:color w:val="000000"/>
                <w:sz w:val="24"/>
                <w:szCs w:val="24"/>
                <w:highlight w:val="none"/>
              </w:rPr>
            </w:pPr>
            <w:r>
              <w:rPr>
                <w:rFonts w:hint="eastAsia" w:ascii="宋体" w:hAnsi="宋体" w:cs="宋体"/>
                <w:color w:val="000000"/>
                <w:sz w:val="24"/>
                <w:szCs w:val="24"/>
                <w:highlight w:val="none"/>
              </w:rPr>
              <w:t>备注：</w:t>
            </w:r>
          </w:p>
          <w:p>
            <w:pPr>
              <w:widowControl/>
              <w:jc w:val="left"/>
              <w:rPr>
                <w:rFonts w:ascii="宋体" w:hAnsi="宋体" w:cs="宋体"/>
                <w:sz w:val="24"/>
                <w:szCs w:val="24"/>
                <w:highlight w:val="none"/>
              </w:rPr>
            </w:pPr>
            <w:r>
              <w:rPr>
                <w:rFonts w:hint="eastAsia" w:ascii="宋体" w:hAnsi="宋体" w:cs="宋体"/>
                <w:sz w:val="24"/>
                <w:szCs w:val="24"/>
                <w:highlight w:val="none"/>
              </w:rPr>
              <w:t>（1）此为一年期框架协议，未税单价1年保持不变，实际采购数量根据我方生产需要调整；</w:t>
            </w:r>
          </w:p>
          <w:p>
            <w:pPr>
              <w:widowControl/>
              <w:jc w:val="left"/>
              <w:rPr>
                <w:rFonts w:hint="eastAsia" w:ascii="宋体" w:hAnsi="宋体" w:eastAsia="宋体" w:cs="宋体"/>
                <w:sz w:val="24"/>
                <w:szCs w:val="24"/>
                <w:highlight w:val="yellow"/>
                <w:lang w:eastAsia="zh-CN"/>
              </w:rPr>
            </w:pPr>
            <w:r>
              <w:rPr>
                <w:rFonts w:hint="eastAsia" w:ascii="宋体" w:hAnsi="宋体" w:cs="宋体"/>
                <w:sz w:val="24"/>
                <w:szCs w:val="24"/>
                <w:highlight w:val="none"/>
              </w:rPr>
              <w:t>（2）报价时综合考虑运费，送货地点详见第</w:t>
            </w:r>
            <w:r>
              <w:rPr>
                <w:rFonts w:hint="eastAsia" w:ascii="宋体" w:hAnsi="宋体" w:cs="宋体"/>
                <w:sz w:val="24"/>
                <w:szCs w:val="24"/>
                <w:highlight w:val="none"/>
                <w:lang w:val="en-US" w:eastAsia="zh-CN"/>
              </w:rPr>
              <w:t>6</w:t>
            </w:r>
            <w:r>
              <w:rPr>
                <w:rFonts w:hint="eastAsia" w:ascii="宋体" w:hAnsi="宋体" w:cs="宋体"/>
                <w:sz w:val="24"/>
                <w:szCs w:val="24"/>
                <w:highlight w:val="none"/>
              </w:rPr>
              <w:t>.2条</w:t>
            </w:r>
            <w:r>
              <w:rPr>
                <w:rFonts w:hint="eastAsia" w:ascii="宋体" w:hAnsi="宋体" w:cs="宋体"/>
                <w:sz w:val="24"/>
                <w:szCs w:val="24"/>
                <w:highlight w:val="none"/>
                <w:lang w:eastAsia="zh-CN"/>
              </w:rPr>
              <w:t>。</w:t>
            </w:r>
          </w:p>
        </w:tc>
      </w:tr>
    </w:tbl>
    <w:p>
      <w:pPr>
        <w:pStyle w:val="16"/>
        <w:spacing w:before="0" w:beforeAutospacing="0" w:after="0" w:afterAutospacing="0" w:line="360" w:lineRule="auto"/>
        <w:ind w:left="420" w:hanging="420" w:hangingChars="175"/>
        <w:rPr>
          <w:rFonts w:ascii="Times New Roman" w:hAnsi="Times New Roman" w:cs="Times New Roman"/>
        </w:rPr>
      </w:pPr>
    </w:p>
    <w:p>
      <w:pPr>
        <w:pStyle w:val="16"/>
        <w:spacing w:before="0" w:beforeAutospacing="0" w:after="0" w:afterAutospacing="0" w:line="360" w:lineRule="auto"/>
        <w:ind w:left="0" w:firstLine="0" w:firstLineChars="0"/>
        <w:rPr>
          <w:rFonts w:hint="eastAsia" w:ascii="Times New Roman" w:hAnsi="Times New Roman" w:cs="Times New Roman"/>
          <w:lang w:val="en-US" w:eastAsia="zh-CN"/>
        </w:rPr>
      </w:pPr>
      <w:r>
        <w:rPr>
          <w:rFonts w:hint="eastAsia" w:ascii="Times New Roman" w:hAnsi="Times New Roman" w:cs="Times New Roman"/>
        </w:rPr>
        <w:t>3</w:t>
      </w:r>
      <w:r>
        <w:rPr>
          <w:rFonts w:hint="eastAsia" w:ascii="Times New Roman" w:hAnsi="Times New Roman" w:cs="Times New Roman"/>
          <w:lang w:val="en-US" w:eastAsia="zh-CN"/>
        </w:rPr>
        <w:t xml:space="preserve"> 技术参数</w:t>
      </w:r>
    </w:p>
    <w:tbl>
      <w:tblPr>
        <w:tblStyle w:val="18"/>
        <w:tblW w:w="10150" w:type="dxa"/>
        <w:jc w:val="center"/>
        <w:tblLayout w:type="fixed"/>
        <w:tblCellMar>
          <w:top w:w="0" w:type="dxa"/>
          <w:left w:w="108" w:type="dxa"/>
          <w:bottom w:w="0" w:type="dxa"/>
          <w:right w:w="108" w:type="dxa"/>
        </w:tblCellMar>
      </w:tblPr>
      <w:tblGrid>
        <w:gridCol w:w="2569"/>
        <w:gridCol w:w="1474"/>
        <w:gridCol w:w="3190"/>
        <w:gridCol w:w="1680"/>
        <w:gridCol w:w="1237"/>
      </w:tblGrid>
      <w:tr>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项目</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检验依据</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单位</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标准</w:t>
            </w:r>
          </w:p>
        </w:tc>
      </w:tr>
      <w:tr>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成分分析(粘胶%)</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ISO/TR11827:2012</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≥96</w:t>
            </w:r>
          </w:p>
        </w:tc>
      </w:tr>
      <w:tr>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织物重量（g/㎡）</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ISO3801:1977方法5</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g/㎡</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≥85</w:t>
            </w:r>
          </w:p>
        </w:tc>
      </w:tr>
      <w:tr>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材料厚度（mm）</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ISO9073-2-1995+COR.1 1998</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mm</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≥0.55</w:t>
            </w:r>
          </w:p>
        </w:tc>
      </w:tr>
      <w:tr>
        <w:tblPrEx>
          <w:tblCellMar>
            <w:top w:w="0" w:type="dxa"/>
            <w:left w:w="108" w:type="dxa"/>
            <w:bottom w:w="0" w:type="dxa"/>
            <w:right w:w="108" w:type="dxa"/>
          </w:tblCellMar>
        </w:tblPrEx>
        <w:trPr>
          <w:trHeight w:val="454" w:hRule="atLeast"/>
          <w:jc w:val="center"/>
        </w:trPr>
        <w:tc>
          <w:tcPr>
            <w:tcW w:w="4043"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吸水率（%）</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GB/T21655.1-2008</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ml/㎡</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≥700</w:t>
            </w:r>
          </w:p>
        </w:tc>
      </w:tr>
      <w:tr>
        <w:tblPrEx>
          <w:tblCellMar>
            <w:top w:w="0" w:type="dxa"/>
            <w:left w:w="108" w:type="dxa"/>
            <w:bottom w:w="0" w:type="dxa"/>
            <w:right w:w="108" w:type="dxa"/>
          </w:tblCellMar>
        </w:tblPrEx>
        <w:trPr>
          <w:trHeight w:val="454" w:hRule="atLeast"/>
          <w:jc w:val="center"/>
        </w:trPr>
        <w:tc>
          <w:tcPr>
            <w:tcW w:w="256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断裂强力（N）</w:t>
            </w:r>
          </w:p>
        </w:tc>
        <w:tc>
          <w:tcPr>
            <w:tcW w:w="147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纵向（MD）</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GB/T3923.1-2013</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N/5cm</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≥95</w:t>
            </w:r>
          </w:p>
        </w:tc>
      </w:tr>
      <w:tr>
        <w:tblPrEx>
          <w:tblCellMar>
            <w:top w:w="0" w:type="dxa"/>
            <w:left w:w="108" w:type="dxa"/>
            <w:bottom w:w="0" w:type="dxa"/>
            <w:right w:w="108" w:type="dxa"/>
          </w:tblCellMar>
        </w:tblPrEx>
        <w:trPr>
          <w:trHeight w:val="454" w:hRule="atLeast"/>
          <w:jc w:val="center"/>
        </w:trPr>
        <w:tc>
          <w:tcPr>
            <w:tcW w:w="256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p>
        </w:tc>
        <w:tc>
          <w:tcPr>
            <w:tcW w:w="147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横向（CD）</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GB/T3923.1-2013</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N/5cm</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≥70</w:t>
            </w:r>
          </w:p>
        </w:tc>
      </w:tr>
      <w:tr>
        <w:tblPrEx>
          <w:tblCellMar>
            <w:top w:w="0" w:type="dxa"/>
            <w:left w:w="108" w:type="dxa"/>
            <w:bottom w:w="0" w:type="dxa"/>
            <w:right w:w="108" w:type="dxa"/>
          </w:tblCellMar>
        </w:tblPrEx>
        <w:trPr>
          <w:trHeight w:val="454" w:hRule="atLeast"/>
          <w:jc w:val="center"/>
        </w:trPr>
        <w:tc>
          <w:tcPr>
            <w:tcW w:w="256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断裂伸长率(%)</w:t>
            </w:r>
          </w:p>
        </w:tc>
        <w:tc>
          <w:tcPr>
            <w:tcW w:w="147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纵向（MD）</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GB/T3923.1-2013</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≥25</w:t>
            </w:r>
          </w:p>
        </w:tc>
      </w:tr>
      <w:tr>
        <w:tblPrEx>
          <w:tblCellMar>
            <w:top w:w="0" w:type="dxa"/>
            <w:left w:w="108" w:type="dxa"/>
            <w:bottom w:w="0" w:type="dxa"/>
            <w:right w:w="108" w:type="dxa"/>
          </w:tblCellMar>
        </w:tblPrEx>
        <w:trPr>
          <w:trHeight w:val="454" w:hRule="atLeast"/>
          <w:jc w:val="center"/>
        </w:trPr>
        <w:tc>
          <w:tcPr>
            <w:tcW w:w="256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p>
        </w:tc>
        <w:tc>
          <w:tcPr>
            <w:tcW w:w="1474"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横向（CD）</w:t>
            </w:r>
          </w:p>
        </w:tc>
        <w:tc>
          <w:tcPr>
            <w:tcW w:w="319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GB/T3923.1-2013</w:t>
            </w:r>
          </w:p>
        </w:tc>
        <w:tc>
          <w:tcPr>
            <w:tcW w:w="168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w:t>
            </w:r>
          </w:p>
        </w:tc>
        <w:tc>
          <w:tcPr>
            <w:tcW w:w="123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kern w:val="0"/>
              </w:rPr>
            </w:pPr>
            <w:r>
              <w:rPr>
                <w:rFonts w:hint="eastAsia" w:ascii="宋体" w:hAnsi="宋体" w:cs="宋体"/>
                <w:kern w:val="0"/>
              </w:rPr>
              <w:t>≥35</w:t>
            </w:r>
          </w:p>
        </w:tc>
      </w:tr>
    </w:tbl>
    <w:p>
      <w:pPr>
        <w:pStyle w:val="16"/>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textAlignment w:val="auto"/>
        <w:rPr>
          <w:rFonts w:hint="default" w:ascii="Times New Roman" w:hAnsi="Times New Roman" w:cs="Times New Roman"/>
          <w:sz w:val="22"/>
          <w:szCs w:val="22"/>
          <w:lang w:val="en-US" w:eastAsia="zh-CN"/>
        </w:rPr>
      </w:pPr>
      <w:r>
        <w:rPr>
          <w:rFonts w:hint="default" w:ascii="宋体" w:hAnsi="宋体" w:eastAsia="宋体" w:cs="宋体"/>
          <w:sz w:val="22"/>
          <w:szCs w:val="22"/>
          <w:highlight w:val="none"/>
          <w:lang w:val="en-US" w:eastAsia="zh-CN"/>
        </w:rPr>
        <w:t>*报价人须提供由第三方检测机构 SGS 出具的检测报告，且检测报告中须包含以上不低于相应技术参数标准的所有检测内容</w:t>
      </w:r>
      <w:r>
        <w:rPr>
          <w:rFonts w:hint="eastAsia" w:ascii="宋体" w:hAnsi="宋体" w:cs="宋体"/>
          <w:sz w:val="22"/>
          <w:szCs w:val="22"/>
          <w:highlight w:val="none"/>
          <w:lang w:val="en-US" w:eastAsia="zh-C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lang w:val="en-US" w:eastAsia="zh-CN"/>
        </w:rPr>
        <w:t>4</w:t>
      </w:r>
      <w:r>
        <w:rPr>
          <w:rFonts w:hint="eastAsia" w:ascii="Times New Roman" w:hAnsi="Times New Roman" w:cs="Times New Roman"/>
        </w:rPr>
        <w:t xml:space="preserve">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lang w:val="en-US" w:eastAsia="zh-CN"/>
        </w:rPr>
        <w:t>4</w:t>
      </w:r>
      <w:r>
        <w:rPr>
          <w:rFonts w:hint="eastAsia" w:ascii="Times New Roman" w:hAnsi="Times New Roman" w:cs="Times New Roman"/>
        </w:rPr>
        <w:t>.1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lang w:val="en-US" w:eastAsia="zh-CN"/>
        </w:rPr>
        <w:t>4</w:t>
      </w:r>
      <w:r>
        <w:rPr>
          <w:rFonts w:hint="eastAsia" w:ascii="Times New Roman" w:cs="Times New Roman"/>
        </w:rPr>
        <w:t>.2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lang w:val="en-US" w:eastAsia="zh-CN"/>
        </w:rPr>
        <w:t>5</w:t>
      </w:r>
      <w:r>
        <w:rPr>
          <w:rFonts w:hint="eastAsia" w:ascii="Times New Roman" w:hAnsi="Times New Roman" w:cs="Times New Roman"/>
        </w:rPr>
        <w:t xml:space="preserve"> 质保要求</w:t>
      </w:r>
    </w:p>
    <w:p>
      <w:pPr>
        <w:tabs>
          <w:tab w:val="left" w:pos="360"/>
        </w:tabs>
        <w:snapToGrid w:val="0"/>
        <w:spacing w:line="360" w:lineRule="auto"/>
        <w:ind w:left="425" w:hanging="424" w:hangingChars="177"/>
        <w:rPr>
          <w:sz w:val="24"/>
          <w:szCs w:val="24"/>
        </w:rPr>
      </w:pPr>
      <w:r>
        <w:rPr>
          <w:rFonts w:hint="eastAsia"/>
          <w:sz w:val="24"/>
          <w:szCs w:val="24"/>
          <w:lang w:val="en-US" w:eastAsia="zh-CN"/>
        </w:rPr>
        <w:t>5</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lang w:val="en-US" w:eastAsia="zh-CN"/>
        </w:rPr>
        <w:t>5</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lang w:val="en-US" w:eastAsia="zh-CN"/>
        </w:rPr>
        <w:t>5</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lang w:val="en-US" w:eastAsia="zh-CN"/>
        </w:rPr>
        <w:t>6</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lang w:val="en-US" w:eastAsia="zh-CN"/>
        </w:rPr>
        <w:t>6</w:t>
      </w:r>
      <w:r>
        <w:rPr>
          <w:rFonts w:hint="eastAsia" w:ascii="Times New Roman" w:hAnsi="Times New Roman" w:cs="Times New Roman"/>
        </w:rPr>
        <w:t>.</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制造商出具的授权委托书（</w:t>
      </w:r>
      <w:r>
        <w:rPr>
          <w:rFonts w:hint="eastAsia" w:ascii="Times New Roman" w:hAnsi="Times New Roman" w:cs="Times New Roman"/>
          <w:b/>
          <w:bCs/>
        </w:rPr>
        <w:t>非制造商报价必须提供，复印件加盖法人公章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lang w:val="en-US" w:eastAsia="zh-CN"/>
        </w:rPr>
        <w:t>SGS检测报告（</w:t>
      </w:r>
      <w:r>
        <w:rPr>
          <w:rFonts w:ascii="Times New Roman" w:hAnsi="Times New Roman" w:cs="Times New Roman"/>
          <w:b/>
          <w:bCs/>
        </w:rPr>
        <w:t>复印件加盖法人公章</w:t>
      </w:r>
      <w:r>
        <w:rPr>
          <w:rFonts w:hint="eastAsia" w:ascii="Times New Roman" w:hAnsi="Times New Roman" w:cs="Times New Roman"/>
          <w:lang w:val="en-US" w:eastAsia="zh-C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wordWrap w:val="0"/>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询价单编号：CNCJ-XJ-202404-0008</w:t>
            </w:r>
            <w:r>
              <w:rPr>
                <w:rFonts w:hint="eastAsia"/>
                <w:sz w:val="22"/>
                <w:szCs w:val="22"/>
                <w:highlight w:val="none"/>
                <w:lang w:val="en-US" w:eastAsia="zh-CN"/>
              </w:rPr>
              <w:t xml:space="preserve"> </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highlight w:val="none"/>
                <w:lang w:val="en-US" w:eastAsia="zh-CN" w:bidi="ar"/>
              </w:rPr>
              <w:t>杭</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  月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default" w:eastAsia="宋体"/>
          <w:sz w:val="48"/>
          <w:szCs w:val="48"/>
          <w:highlight w:val="none"/>
          <w:lang w:val="en-US" w:eastAsia="zh-CN"/>
        </w:rPr>
      </w:pPr>
      <w:r>
        <w:rPr>
          <w:rFonts w:hint="eastAsia"/>
          <w:b/>
          <w:sz w:val="48"/>
          <w:szCs w:val="48"/>
          <w:highlight w:val="none"/>
        </w:rPr>
        <w:t>2024年滁宁城铁</w:t>
      </w:r>
      <w:r>
        <w:rPr>
          <w:rFonts w:hint="eastAsia"/>
          <w:b/>
          <w:sz w:val="48"/>
          <w:szCs w:val="48"/>
          <w:highlight w:val="none"/>
          <w:lang w:val="en-US" w:eastAsia="zh-CN"/>
        </w:rPr>
        <w:t>各单位无纺清洁布采购项目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3"/>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0617844"/>
      <w:bookmarkStart w:id="1" w:name="_Toc10620851"/>
      <w:bookmarkStart w:id="2" w:name="_Toc22503"/>
      <w:bookmarkStart w:id="3" w:name="_Toc472325755"/>
      <w:bookmarkStart w:id="4" w:name="_Toc477250300"/>
      <w:bookmarkStart w:id="5" w:name="_Toc471894962"/>
      <w:bookmarkStart w:id="6" w:name="_Toc92804592"/>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6B5CCB"/>
    <w:rsid w:val="068F6E11"/>
    <w:rsid w:val="07153E89"/>
    <w:rsid w:val="07D77390"/>
    <w:rsid w:val="082639B4"/>
    <w:rsid w:val="084E7652"/>
    <w:rsid w:val="08504A1F"/>
    <w:rsid w:val="0860699A"/>
    <w:rsid w:val="08DA2C94"/>
    <w:rsid w:val="093655FA"/>
    <w:rsid w:val="097E3F67"/>
    <w:rsid w:val="09896468"/>
    <w:rsid w:val="09F2400E"/>
    <w:rsid w:val="0A00672A"/>
    <w:rsid w:val="0A490A8C"/>
    <w:rsid w:val="0A8960BD"/>
    <w:rsid w:val="0AD03713"/>
    <w:rsid w:val="0B2F1F4E"/>
    <w:rsid w:val="0B316DB7"/>
    <w:rsid w:val="0BAF665A"/>
    <w:rsid w:val="0BC35C62"/>
    <w:rsid w:val="0BCD7E05"/>
    <w:rsid w:val="0BEF4CA9"/>
    <w:rsid w:val="0D474670"/>
    <w:rsid w:val="0D49488C"/>
    <w:rsid w:val="0DC42919"/>
    <w:rsid w:val="0DFE3C20"/>
    <w:rsid w:val="0E41118E"/>
    <w:rsid w:val="0E6F3E7F"/>
    <w:rsid w:val="0E9B2F86"/>
    <w:rsid w:val="0FB12275"/>
    <w:rsid w:val="106313BA"/>
    <w:rsid w:val="119360D6"/>
    <w:rsid w:val="123A47A4"/>
    <w:rsid w:val="127315B1"/>
    <w:rsid w:val="12A12A75"/>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A23AE5"/>
    <w:rsid w:val="1CC21F65"/>
    <w:rsid w:val="1DBC6559"/>
    <w:rsid w:val="1DD2442A"/>
    <w:rsid w:val="1E9F255E"/>
    <w:rsid w:val="1F3D0BF1"/>
    <w:rsid w:val="1F4A7345"/>
    <w:rsid w:val="1F7D45D0"/>
    <w:rsid w:val="1F831D1F"/>
    <w:rsid w:val="1FF22990"/>
    <w:rsid w:val="207D242B"/>
    <w:rsid w:val="20E44F18"/>
    <w:rsid w:val="20FF5536"/>
    <w:rsid w:val="21124FCE"/>
    <w:rsid w:val="21130FE1"/>
    <w:rsid w:val="211C60E8"/>
    <w:rsid w:val="216141DA"/>
    <w:rsid w:val="21C916A0"/>
    <w:rsid w:val="21EE1107"/>
    <w:rsid w:val="222C308D"/>
    <w:rsid w:val="227A50AE"/>
    <w:rsid w:val="228D0920"/>
    <w:rsid w:val="23353491"/>
    <w:rsid w:val="24AC5BAF"/>
    <w:rsid w:val="24F42ED8"/>
    <w:rsid w:val="25826736"/>
    <w:rsid w:val="266320C3"/>
    <w:rsid w:val="27133AE9"/>
    <w:rsid w:val="275C189F"/>
    <w:rsid w:val="277E1FE6"/>
    <w:rsid w:val="289F580D"/>
    <w:rsid w:val="28A25500"/>
    <w:rsid w:val="28C826B1"/>
    <w:rsid w:val="28CA467C"/>
    <w:rsid w:val="29A273A6"/>
    <w:rsid w:val="2A5921FA"/>
    <w:rsid w:val="2B7F044A"/>
    <w:rsid w:val="2B8B1E9A"/>
    <w:rsid w:val="2BB90BFC"/>
    <w:rsid w:val="2BF76571"/>
    <w:rsid w:val="2C3A1B18"/>
    <w:rsid w:val="2C90798A"/>
    <w:rsid w:val="2CAD4098"/>
    <w:rsid w:val="2CFF6CD5"/>
    <w:rsid w:val="2D1C2FCC"/>
    <w:rsid w:val="2D832FCE"/>
    <w:rsid w:val="2E884FDF"/>
    <w:rsid w:val="2E8E41F0"/>
    <w:rsid w:val="2F1403FE"/>
    <w:rsid w:val="2F3B1E2F"/>
    <w:rsid w:val="2F4F7689"/>
    <w:rsid w:val="2F7610B9"/>
    <w:rsid w:val="2FEF49C8"/>
    <w:rsid w:val="300372B7"/>
    <w:rsid w:val="30660AF7"/>
    <w:rsid w:val="31FB58A6"/>
    <w:rsid w:val="329B0E37"/>
    <w:rsid w:val="32A001FB"/>
    <w:rsid w:val="32B56DE4"/>
    <w:rsid w:val="32F56799"/>
    <w:rsid w:val="335C3FD1"/>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927E77"/>
    <w:rsid w:val="45A02594"/>
    <w:rsid w:val="45B97E8C"/>
    <w:rsid w:val="45F75F2C"/>
    <w:rsid w:val="465A0995"/>
    <w:rsid w:val="469B36C4"/>
    <w:rsid w:val="46A60EB0"/>
    <w:rsid w:val="46F32B98"/>
    <w:rsid w:val="472C6521"/>
    <w:rsid w:val="474422FB"/>
    <w:rsid w:val="48CE566A"/>
    <w:rsid w:val="49971F00"/>
    <w:rsid w:val="49C2425D"/>
    <w:rsid w:val="49FE5ADB"/>
    <w:rsid w:val="4A0140FD"/>
    <w:rsid w:val="4A3B4EF1"/>
    <w:rsid w:val="4A5E7508"/>
    <w:rsid w:val="4A940469"/>
    <w:rsid w:val="4B907D32"/>
    <w:rsid w:val="4B971FC5"/>
    <w:rsid w:val="4D0C050F"/>
    <w:rsid w:val="4D4E6D7A"/>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5FE86BB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016D0"/>
    <w:rsid w:val="70DC0D6F"/>
    <w:rsid w:val="71431EA2"/>
    <w:rsid w:val="714E5325"/>
    <w:rsid w:val="7169556A"/>
    <w:rsid w:val="72351CEA"/>
    <w:rsid w:val="73375A36"/>
    <w:rsid w:val="74185868"/>
    <w:rsid w:val="74793E2D"/>
    <w:rsid w:val="748527D2"/>
    <w:rsid w:val="753541DE"/>
    <w:rsid w:val="75B77529"/>
    <w:rsid w:val="75BC66C7"/>
    <w:rsid w:val="75CD7253"/>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B806FD"/>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qFormat/>
    <w:uiPriority w:val="0"/>
    <w:pPr>
      <w:ind w:left="100" w:leftChars="2500"/>
    </w:pPr>
  </w:style>
  <w:style w:type="paragraph" w:styleId="9">
    <w:name w:val="Body Text Indent 2"/>
    <w:basedOn w:val="1"/>
    <w:link w:val="27"/>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 w:type="character" w:customStyle="1" w:styleId="80">
    <w:name w:val="font21"/>
    <w:basedOn w:val="20"/>
    <w:autoRedefine/>
    <w:qFormat/>
    <w:uiPriority w:val="0"/>
    <w:rPr>
      <w:rFonts w:ascii="宋体" w:hAnsi="宋体" w:eastAsia="宋体" w:cs="宋体"/>
      <w:color w:val="000000"/>
      <w:sz w:val="20"/>
      <w:szCs w:val="20"/>
      <w:u w:val="non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23</Pages>
  <Words>12707</Words>
  <Characters>13631</Characters>
  <Lines>121</Lines>
  <Paragraphs>34</Paragraphs>
  <TotalTime>3</TotalTime>
  <ScaleCrop>false</ScaleCrop>
  <LinksUpToDate>false</LinksUpToDate>
  <CharactersWithSpaces>14352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2024-05-27T01:53:50Z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0C07A7006DF347F08220D6C12EDD7E99_13</vt:lpwstr>
  </property>
</Properties>
</file>