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pPr>
        <w:keepNext w:val="0"/>
        <w:keepLines w:val="0"/>
        <w:widowControl/>
        <w:suppressLineNumbers w:val="0"/>
        <w:spacing w:before="0" w:beforeAutospacing="0" w:after="0" w:afterAutospacing="0" w:line="357" w:lineRule="atLeast"/>
        <w:ind w:left="0" w:right="0"/>
        <w:jc w:val="center"/>
        <w:rPr>
          <w:rFonts w:hint="default" w:ascii="新宋体" w:hAnsi="新宋体" w:eastAsia="新宋体" w:cs="新宋体"/>
          <w:b/>
          <w:bCs w:val="0"/>
          <w:color w:val="000000"/>
          <w:kern w:val="0"/>
          <w:sz w:val="48"/>
          <w:szCs w:val="48"/>
          <w:highlight w:val="none"/>
          <w:u w:color="000000"/>
          <w:lang w:val="en-US" w:eastAsia="zh-CN" w:bidi="ar"/>
        </w:rPr>
      </w:pPr>
      <w:r>
        <w:rPr>
          <w:rFonts w:hint="eastAsia" w:ascii="新宋体" w:hAnsi="新宋体" w:eastAsia="新宋体" w:cs="新宋体"/>
          <w:b/>
          <w:bCs w:val="0"/>
          <w:color w:val="000000"/>
          <w:kern w:val="0"/>
          <w:sz w:val="48"/>
          <w:szCs w:val="48"/>
          <w:highlight w:val="none"/>
          <w:u w:color="000000"/>
          <w:lang w:val="en-US" w:eastAsia="zh-CN" w:bidi="ar"/>
        </w:rPr>
        <w:t>滁州至南京城际铁路（滁州段）龙蟠大道空洞注浆期间涉轨保护监测项目</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pPr>
        <w:pStyle w:val="21"/>
        <w:widowControl/>
        <w:rPr>
          <w:highlight w:val="none"/>
          <w:lang w:val="en-US"/>
        </w:rPr>
      </w:pPr>
      <w:r>
        <w:rPr>
          <w:highlight w:val="none"/>
          <w:lang w:val="en-US"/>
        </w:rPr>
        <w:t xml:space="preserve"> </w:t>
      </w:r>
    </w:p>
    <w:p>
      <w:pPr>
        <w:pStyle w:val="21"/>
        <w:widowControl/>
        <w:rPr>
          <w:highlight w:val="none"/>
          <w:lang w:val="en-US"/>
        </w:rPr>
      </w:pPr>
      <w:r>
        <w:rPr>
          <w:highlight w:val="none"/>
          <w:lang w:val="en-US"/>
        </w:rPr>
        <w:t xml:space="preserve"> </w:t>
      </w:r>
    </w:p>
    <w:p>
      <w:pPr>
        <w:pStyle w:val="21"/>
        <w:widowControl/>
        <w:rPr>
          <w:highlight w:val="none"/>
          <w:lang w:val="en-US"/>
        </w:rPr>
      </w:pPr>
      <w:r>
        <w:rPr>
          <w:highlight w:val="none"/>
          <w:lang w:val="en-US"/>
        </w:rPr>
        <w:t xml:space="preserve"> </w:t>
      </w:r>
    </w:p>
    <w:p>
      <w:pPr>
        <w:pStyle w:val="21"/>
        <w:widowControl/>
        <w:rPr>
          <w:highlight w:val="none"/>
          <w:lang w:val="en-US"/>
        </w:rPr>
      </w:pPr>
      <w:r>
        <w:rPr>
          <w:highlight w:val="none"/>
          <w:lang w:val="en-US"/>
        </w:rPr>
        <w:t xml:space="preserve"> </w:t>
      </w:r>
    </w:p>
    <w:p>
      <w:pPr>
        <w:pStyle w:val="21"/>
        <w:widowControl/>
        <w:rPr>
          <w:rFonts w:eastAsia="宋体"/>
          <w:highlight w:val="none"/>
          <w:lang w:val="en-US"/>
        </w:rPr>
      </w:pPr>
      <w:r>
        <w:rPr>
          <w:highlight w:val="none"/>
          <w:lang w:val="en-US"/>
        </w:rPr>
        <w:t xml:space="preserve"> </w:t>
      </w:r>
    </w:p>
    <w:p>
      <w:pPr>
        <w:adjustRightInd w:val="0"/>
        <w:snapToGrid w:val="0"/>
        <w:ind w:firstLine="321" w:firstLineChars="100"/>
        <w:rPr>
          <w:rFonts w:hint="default" w:ascii="宋体" w:hAnsi="宋体" w:eastAsiaTheme="minorEastAsia"/>
          <w:b/>
          <w:sz w:val="32"/>
          <w:highlight w:val="none"/>
          <w:u w:val="thick"/>
          <w:lang w:val="en-US" w:eastAsia="zh-CN"/>
        </w:rPr>
      </w:pPr>
      <w:r>
        <w:rPr>
          <w:rFonts w:hint="eastAsia" w:ascii="宋体" w:hAnsi="宋体"/>
          <w:b/>
          <w:sz w:val="32"/>
          <w:highlight w:val="none"/>
          <w:lang w:val="en-US" w:eastAsia="zh-CN"/>
        </w:rPr>
        <w:t>招标</w:t>
      </w:r>
      <w:r>
        <w:rPr>
          <w:rFonts w:hint="eastAsia" w:ascii="宋体" w:hAnsi="宋体"/>
          <w:b/>
          <w:sz w:val="32"/>
          <w:highlight w:val="none"/>
        </w:rPr>
        <w:t>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lang w:val="en-US" w:eastAsia="zh-CN"/>
        </w:rPr>
        <w:t xml:space="preserve">  </w:t>
      </w:r>
    </w:p>
    <w:p>
      <w:pPr>
        <w:adjustRightInd w:val="0"/>
        <w:snapToGrid w:val="0"/>
        <w:rPr>
          <w:rFonts w:hint="eastAsia" w:ascii="宋体" w:hAnsi="宋体"/>
          <w:b/>
          <w:sz w:val="32"/>
          <w:highlight w:val="none"/>
          <w:u w:val="thick"/>
        </w:rPr>
      </w:pPr>
    </w:p>
    <w:p>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代理机构:</w:t>
      </w:r>
      <w:r>
        <w:rPr>
          <w:rFonts w:hint="eastAsia" w:ascii="宋体" w:hAnsi="宋体"/>
          <w:b/>
          <w:spacing w:val="20"/>
          <w:sz w:val="32"/>
          <w:highlight w:val="none"/>
          <w:u w:val="thick"/>
        </w:rPr>
        <w:t xml:space="preserve"> </w:t>
      </w:r>
      <w:r>
        <w:rPr>
          <w:rFonts w:hint="eastAsia" w:ascii="宋体" w:hAnsi="宋体"/>
          <w:b/>
          <w:spacing w:val="20"/>
          <w:sz w:val="32"/>
          <w:highlight w:val="none"/>
          <w:u w:val="thick"/>
          <w:lang w:val="en-US" w:eastAsia="zh-CN"/>
        </w:rPr>
        <w:t xml:space="preserve"> </w:t>
      </w:r>
      <w:r>
        <w:rPr>
          <w:rFonts w:hint="eastAsia" w:ascii="宋体" w:hAnsi="宋体"/>
          <w:b/>
          <w:sz w:val="32"/>
          <w:highlight w:val="none"/>
          <w:u w:val="thick"/>
        </w:rPr>
        <w:t xml:space="preserve">滁州市城投工程咨询管理有限公司   </w:t>
      </w:r>
    </w:p>
    <w:p>
      <w:pPr>
        <w:adjustRightInd w:val="0"/>
        <w:snapToGrid w:val="0"/>
        <w:rPr>
          <w:rFonts w:hint="eastAsia" w:ascii="宋体" w:hAnsi="宋体"/>
          <w:spacing w:val="20"/>
          <w:sz w:val="32"/>
          <w:highlight w:val="none"/>
          <w:u w:val="single"/>
        </w:rPr>
      </w:pPr>
    </w:p>
    <w:p>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发布日期: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4</w:t>
      </w:r>
      <w:r>
        <w:rPr>
          <w:rFonts w:hint="eastAsia" w:ascii="宋体" w:hAnsi="宋体"/>
          <w:b/>
          <w:sz w:val="32"/>
          <w:highlight w:val="none"/>
          <w:u w:val="thick"/>
        </w:rPr>
        <w:t>年</w:t>
      </w:r>
      <w:r>
        <w:rPr>
          <w:rFonts w:hint="eastAsia" w:ascii="宋体" w:hAnsi="宋体"/>
          <w:b/>
          <w:sz w:val="32"/>
          <w:highlight w:val="none"/>
          <w:u w:val="thick"/>
          <w:lang w:val="en-US" w:eastAsia="zh-CN"/>
        </w:rPr>
        <w:t>5</w:t>
      </w:r>
      <w:r>
        <w:rPr>
          <w:rFonts w:hint="eastAsia" w:ascii="宋体" w:hAnsi="宋体"/>
          <w:b/>
          <w:sz w:val="32"/>
          <w:highlight w:val="none"/>
          <w:u w:val="thick"/>
        </w:rPr>
        <w:t xml:space="preserve">月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 xml:space="preserve">        </w:t>
      </w:r>
    </w:p>
    <w:p>
      <w:pPr>
        <w:pStyle w:val="25"/>
        <w:widowControl/>
        <w:spacing w:before="0" w:beforeAutospacing="0" w:after="120" w:afterAutospacing="0"/>
        <w:ind w:leftChars="200" w:right="0"/>
        <w:rPr>
          <w:rFonts w:hint="eastAsia" w:eastAsia="宋体"/>
          <w:highlight w:val="none"/>
          <w:lang w:val="en-US" w:eastAsia="zh-CN"/>
        </w:rPr>
      </w:pPr>
      <w:r>
        <w:rPr>
          <w:highlight w:val="none"/>
          <w:lang w:val="en-US"/>
        </w:rPr>
        <w:t xml:space="preserve"> </w:t>
      </w:r>
      <w:r>
        <w:rPr>
          <w:rFonts w:hint="eastAsia"/>
          <w:highlight w:val="none"/>
          <w:lang w:val="en-US" w:eastAsia="zh-CN"/>
        </w:rPr>
        <w:t xml:space="preserve"> </w:t>
      </w:r>
    </w:p>
    <w:p>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pPr>
        <w:jc w:val="center"/>
        <w:rPr>
          <w:rFonts w:hint="eastAsia" w:ascii="宋体" w:hAnsi="宋体" w:eastAsia="宋体" w:cs="宋体"/>
          <w:b/>
          <w:bCs w:val="0"/>
          <w:color w:val="000000"/>
          <w:kern w:val="0"/>
          <w:sz w:val="36"/>
          <w:szCs w:val="36"/>
          <w:highlight w:val="none"/>
          <w:u w:color="000000"/>
          <w:lang w:val="en-US" w:eastAsia="zh-CN" w:bidi="ar"/>
        </w:rPr>
      </w:pPr>
    </w:p>
    <w:p>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bookmarkStart w:id="0" w:name="_Toc23741_WPSOffice_Level1"/>
      <w:bookmarkEnd w:id="0"/>
      <w:bookmarkStart w:id="1" w:name="_Toc29214"/>
      <w:bookmarkEnd w:id="1"/>
      <w:r>
        <w:rPr>
          <w:rFonts w:hint="eastAsia" w:ascii="宋体" w:hAnsi="宋体" w:eastAsia="宋体" w:cs="宋体"/>
          <w:color w:val="000000"/>
          <w:kern w:val="0"/>
          <w:sz w:val="24"/>
          <w:szCs w:val="24"/>
          <w:highlight w:val="none"/>
          <w:u w:color="000000"/>
          <w:lang w:val="en-US" w:eastAsia="zh-CN" w:bidi="ar"/>
        </w:rPr>
        <w:t>第一章  招标公告</w:t>
      </w:r>
      <w:bookmarkStart w:id="2" w:name="OLE_LINK4"/>
      <w:r>
        <w:rPr>
          <w:rFonts w:hint="eastAsia" w:ascii="宋体" w:hAnsi="宋体" w:eastAsia="宋体" w:cs="宋体"/>
          <w:color w:val="000000"/>
          <w:kern w:val="0"/>
          <w:sz w:val="24"/>
          <w:szCs w:val="24"/>
          <w:highlight w:val="none"/>
          <w:u w:color="000000"/>
          <w:lang w:val="en-US" w:eastAsia="zh-CN" w:bidi="ar"/>
        </w:rPr>
        <w:t xml:space="preserve"> …………………………………………………………………</w:t>
      </w:r>
      <w:bookmarkEnd w:id="2"/>
      <w:r>
        <w:rPr>
          <w:rFonts w:hint="eastAsia" w:ascii="宋体" w:hAnsi="宋体" w:eastAsia="宋体" w:cs="宋体"/>
          <w:color w:val="000000"/>
          <w:kern w:val="0"/>
          <w:sz w:val="24"/>
          <w:szCs w:val="24"/>
          <w:highlight w:val="none"/>
          <w:u w:color="000000"/>
          <w:lang w:val="en-US" w:eastAsia="zh-CN" w:bidi="ar"/>
        </w:rPr>
        <w:t>1</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第三章  资格审查办法  …………………………………………………………13</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第四章  评标办法…………………………………………………………………14</w:t>
      </w:r>
    </w:p>
    <w:p>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采购需求和服务要求……………………………………………………20</w:t>
      </w:r>
    </w:p>
    <w:p>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合同条款及格式…………………………………………………………24</w:t>
      </w:r>
    </w:p>
    <w:p>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投标文件格式……………………………………………………………27</w:t>
      </w:r>
    </w:p>
    <w:p>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招标人、招标代理机构对本招标文件的确认…………………………38</w:t>
      </w:r>
    </w:p>
    <w:p>
      <w:pPr>
        <w:rPr>
          <w:rFonts w:hint="eastAsia" w:ascii="宋体" w:hAnsi="宋体" w:eastAsia="宋体" w:cs="宋体"/>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pPr>
        <w:pStyle w:val="21"/>
        <w:keepNext w:val="0"/>
        <w:keepLines w:val="0"/>
        <w:pageBreakBefore w:val="0"/>
        <w:widowControl/>
        <w:kinsoku/>
        <w:overflowPunct/>
        <w:topLinePunct w:val="0"/>
        <w:autoSpaceDN/>
        <w:bidi w:val="0"/>
        <w:adjustRightInd/>
        <w:snapToGrid/>
        <w:spacing w:beforeAutospacing="0" w:afterAutospacing="0" w:line="500" w:lineRule="exact"/>
        <w:jc w:val="center"/>
        <w:textAlignment w:val="auto"/>
        <w:rPr>
          <w:rFonts w:hint="eastAsia" w:ascii="宋体" w:hAnsi="宋体" w:eastAsia="宋体" w:cs="宋体"/>
          <w:b/>
          <w:bCs/>
          <w:highlight w:val="none"/>
          <w:lang w:val="en-US"/>
        </w:rPr>
      </w:pPr>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18980_WPSOffice_Level1"/>
      <w:bookmarkEnd w:id="3"/>
      <w:bookmarkStart w:id="4" w:name="_Toc7358"/>
      <w:bookmarkEnd w:id="4"/>
      <w:r>
        <w:rPr>
          <w:rFonts w:hint="eastAsia" w:ascii="宋体" w:hAnsi="宋体" w:eastAsia="宋体" w:cs="宋体"/>
          <w:b/>
          <w:bCs/>
          <w:highlight w:val="none"/>
          <w:lang w:eastAsia="zh-CN"/>
        </w:rPr>
        <w:t>招标公告</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28359002"/>
      <w:bookmarkEnd w:id="5"/>
      <w:bookmarkStart w:id="6" w:name="_Toc58430305"/>
      <w:bookmarkEnd w:id="6"/>
      <w:bookmarkStart w:id="7" w:name="_Toc35393621"/>
      <w:bookmarkEnd w:id="7"/>
      <w:bookmarkStart w:id="8" w:name="_Toc28359079"/>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滁州至南京城际铁路（滁州段）龙蟠大道空洞注浆期间涉轨保护监测项目的潜在投标人应在滁州市滁宁城际铁路开发建设有限公司网站（http://czctgs.cn/）获取招标文件，并于2024年5月17日15时00分（北京时间）前递交投标文件。</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项目名称：滁州至南京城际铁路（滁州段）龙蟠大道空洞注浆期间涉轨保护监测项目</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right="0" w:firstLine="480" w:firstLineChars="200"/>
        <w:jc w:val="left"/>
        <w:textAlignment w:val="auto"/>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项目预算金额：18万元</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最高限价：壹拾捌万元整（¥：180000.00元），投标总报价不得超过最高限价，否则按无效投标处理。</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采购需求：详见《采购需求和服务要求》</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合同履行期限：自签订合同之日起至完成龙蟠大道空洞注浆期间涉轨保护监测止。</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本项目不接受联合体投标</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投标人的资格要求</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default"/>
          <w:highlight w:val="none"/>
          <w:lang w:val="en-US" w:eastAsia="zh-CN"/>
        </w:rPr>
      </w:pPr>
      <w:r>
        <w:rPr>
          <w:rFonts w:hint="eastAsia" w:ascii="宋体" w:hAnsi="宋体" w:eastAsia="宋体" w:cs="宋体"/>
          <w:color w:val="000000"/>
          <w:kern w:val="0"/>
          <w:sz w:val="24"/>
          <w:szCs w:val="24"/>
          <w:highlight w:val="none"/>
          <w:u w:color="000000"/>
          <w:lang w:val="en-US" w:eastAsia="zh-CN" w:bidi="ar"/>
        </w:rPr>
        <w:t>投标人须具有独立法人资格且具有相应服务能力。</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2024年5月11日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2024年5月17日</w:t>
      </w:r>
    </w:p>
    <w:p>
      <w:pPr>
        <w:keepNext w:val="0"/>
        <w:keepLines w:val="0"/>
        <w:pageBreakBefore w:val="0"/>
        <w:kinsoku/>
        <w:overflowPunct/>
        <w:topLinePunct w:val="0"/>
        <w:autoSpaceDE/>
        <w:autoSpaceDN/>
        <w:bidi w:val="0"/>
        <w:adjustRightInd/>
        <w:snapToGrid/>
        <w:spacing w:line="500" w:lineRule="exact"/>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滁州市滁宁城际铁路开发建设有限公司网站（http://czctgs.cn/）</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rPr>
          <w:rFonts w:hint="eastAsia" w:ascii="宋体" w:hAnsi="宋体" w:eastAsia="宋体" w:cs="宋体"/>
          <w:b/>
          <w:bCs w:val="0"/>
          <w:sz w:val="24"/>
          <w:szCs w:val="24"/>
          <w:highlight w:val="none"/>
          <w:lang w:val="en-US"/>
        </w:rPr>
      </w:pPr>
      <w:bookmarkStart w:id="10" w:name="_Toc35393793"/>
      <w:bookmarkEnd w:id="10"/>
      <w:bookmarkStart w:id="11" w:name="_Toc58430308"/>
      <w:bookmarkEnd w:id="11"/>
      <w:bookmarkStart w:id="12" w:name="_Toc28359005"/>
      <w:bookmarkEnd w:id="12"/>
      <w:bookmarkStart w:id="13" w:name="_Toc28359082"/>
      <w:bookmarkEnd w:id="13"/>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时间：</w:t>
      </w:r>
      <w:r>
        <w:rPr>
          <w:rFonts w:hint="eastAsia" w:ascii="宋体" w:hAnsi="宋体" w:eastAsia="宋体" w:cs="宋体"/>
          <w:bCs/>
          <w:color w:val="000000"/>
          <w:kern w:val="0"/>
          <w:sz w:val="24"/>
          <w:szCs w:val="24"/>
          <w:highlight w:val="none"/>
          <w:u w:val="single" w:color="000000"/>
          <w:lang w:val="en-US" w:eastAsia="zh-CN" w:bidi="ar"/>
        </w:rPr>
        <w:t>2024年5月17日15时00分</w:t>
      </w:r>
      <w:r>
        <w:rPr>
          <w:rFonts w:hint="eastAsia" w:ascii="宋体" w:hAnsi="宋体" w:eastAsia="宋体" w:cs="宋体"/>
          <w:bCs/>
          <w:color w:val="000000"/>
          <w:kern w:val="0"/>
          <w:sz w:val="24"/>
          <w:szCs w:val="24"/>
          <w:highlight w:val="none"/>
          <w:u w:color="000000"/>
          <w:lang w:val="en-US" w:eastAsia="zh-CN" w:bidi="ar"/>
        </w:rPr>
        <w:t>（北京时间）</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地点：滁州市滁宁城际铁路开发建设有限公司七楼会议室 (滁州市徽州路与扬子路交叉口东南侧)</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投标文件递交方式：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82"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500" w:lineRule="exact"/>
        <w:ind w:left="0" w:right="0" w:firstLine="490"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1.招标人信息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名称：滁州市滁宁城际铁路开发建设有限公司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地址：滁州市徽州路与扬子路交叉口东南侧7楼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default"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000000"/>
          <w:kern w:val="0"/>
          <w:sz w:val="24"/>
          <w:szCs w:val="24"/>
          <w:highlight w:val="none"/>
          <w:u w:color="000000"/>
          <w:lang w:val="en-US" w:eastAsia="zh-CN" w:bidi="ar"/>
        </w:rPr>
        <w:t>18949108929</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5"/>
      <w:r>
        <w:rPr>
          <w:rFonts w:hint="eastAsia" w:ascii="宋体" w:hAnsi="宋体" w:eastAsia="宋体" w:cs="宋体"/>
          <w:bCs/>
          <w:color w:val="000000"/>
          <w:kern w:val="0"/>
          <w:sz w:val="24"/>
          <w:szCs w:val="24"/>
          <w:highlight w:val="none"/>
          <w:u w:color="000000"/>
          <w:lang w:val="en-US" w:eastAsia="zh-CN" w:bidi="ar"/>
        </w:rPr>
        <w:t>代理机构信息</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项目联系人：陈俊、周蓓蕾    </w:t>
      </w:r>
    </w:p>
    <w:p>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50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电      话：18949108929、0550-3519519、18005505728</w:t>
      </w:r>
    </w:p>
    <w:p>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color w:val="auto"/>
          <w:sz w:val="28"/>
          <w:szCs w:val="28"/>
          <w:highlight w:val="none"/>
          <w:lang w:val="en-US"/>
        </w:rPr>
      </w:pP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
          <w:bCs/>
          <w:color w:val="auto"/>
          <w:kern w:val="0"/>
          <w:sz w:val="28"/>
          <w:szCs w:val="28"/>
          <w:highlight w:val="none"/>
          <w:u w:color="000000"/>
          <w:lang w:val="en-US" w:eastAsia="zh-CN" w:bidi="ar"/>
        </w:rPr>
        <w:t>第二章 投标人须知</w:t>
      </w:r>
    </w:p>
    <w:p>
      <w:pPr>
        <w:keepNext w:val="0"/>
        <w:keepLines w:val="0"/>
        <w:pageBreakBefore w:val="0"/>
        <w:widowControl w:val="0"/>
        <w:suppressLineNumbers w:val="0"/>
        <w:kinsoku/>
        <w:wordWrap/>
        <w:overflowPunct/>
        <w:topLinePunct w:val="0"/>
        <w:autoSpaceDN/>
        <w:bidi w:val="0"/>
        <w:adjustRightInd/>
        <w:snapToGrid w:val="0"/>
        <w:spacing w:before="0" w:beforeAutospacing="0" w:after="0" w:afterAutospacing="0" w:line="440" w:lineRule="exact"/>
        <w:ind w:left="0" w:right="0"/>
        <w:jc w:val="center"/>
        <w:textAlignment w:val="auto"/>
        <w:outlineLvl w:val="1"/>
        <w:rPr>
          <w:rFonts w:hint="eastAsia" w:ascii="宋体" w:hAnsi="宋体" w:eastAsia="宋体" w:cs="宋体"/>
          <w:b/>
          <w:bCs w:val="0"/>
          <w:sz w:val="24"/>
          <w:szCs w:val="24"/>
          <w:highlight w:val="none"/>
          <w:lang w:val="en-US"/>
        </w:rPr>
      </w:pPr>
      <w:bookmarkStart w:id="16" w:name="_Toc9559"/>
      <w:bookmarkEnd w:id="16"/>
      <w:bookmarkStart w:id="17" w:name="_Toc28003_WPSOffice_Level2"/>
      <w:r>
        <w:rPr>
          <w:rFonts w:hint="eastAsia" w:ascii="宋体" w:hAnsi="宋体" w:eastAsia="宋体" w:cs="宋体"/>
          <w:b/>
          <w:bCs w:val="0"/>
          <w:color w:val="000000"/>
          <w:kern w:val="0"/>
          <w:sz w:val="24"/>
          <w:szCs w:val="24"/>
          <w:highlight w:val="none"/>
          <w:u w:color="000000"/>
          <w:lang w:val="en-US" w:eastAsia="zh-CN" w:bidi="ar"/>
        </w:rPr>
        <w:t xml:space="preserve">    一、投标人须知前附表</w:t>
      </w:r>
      <w:bookmarkEnd w:id="17"/>
    </w:p>
    <w:tbl>
      <w:tblPr>
        <w:tblStyle w:val="26"/>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N/>
              <w:bidi w:val="0"/>
              <w:adjustRightInd/>
              <w:snapToGrid/>
              <w:spacing w:line="32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N/>
              <w:bidi w:val="0"/>
              <w:adjustRightInd/>
              <w:snapToGrid/>
              <w:spacing w:line="320" w:lineRule="exact"/>
              <w:jc w:val="center"/>
              <w:textAlignment w:val="auto"/>
              <w:rPr>
                <w:rFonts w:cs="Times New Roman"/>
                <w:b/>
                <w:bCs w:val="0"/>
                <w:highlight w:val="none"/>
                <w:lang w:val="en-US"/>
              </w:rPr>
            </w:pPr>
            <w:r>
              <w:rPr>
                <w:rFonts w:cs="Times New Roman"/>
                <w:b/>
                <w:bCs w:val="0"/>
                <w:highlight w:val="none"/>
              </w:rPr>
              <w:t>内容</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N/>
              <w:bidi w:val="0"/>
              <w:adjustRightInd/>
              <w:snapToGrid/>
              <w:spacing w:line="320" w:lineRule="exact"/>
              <w:jc w:val="center"/>
              <w:textAlignment w:val="auto"/>
              <w:rPr>
                <w:rFonts w:cs="Times New Roman"/>
                <w:b/>
                <w:bCs w:val="0"/>
                <w:highlight w:val="none"/>
                <w:lang w:val="en-US"/>
              </w:rPr>
            </w:pPr>
            <w:r>
              <w:rPr>
                <w:rFonts w:cs="Times New Roman"/>
                <w:b/>
                <w:bCs w:val="0"/>
                <w:highlight w:val="none"/>
              </w:rPr>
              <w:t>说明与要求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hint="default" w:cs="Times New Roman"/>
                <w:bCs/>
                <w:highlight w:val="none"/>
                <w:lang w:val="en-US" w:eastAsia="zh-CN"/>
              </w:rPr>
            </w:pPr>
            <w:r>
              <w:rPr>
                <w:rFonts w:hint="eastAsia" w:cs="Times New Roman"/>
                <w:bCs/>
                <w:highlight w:val="none"/>
                <w:lang w:eastAsia="zh-CN"/>
              </w:rPr>
              <w:t>滁州至南京城际铁路（滁州段）龙蟠大道空洞注浆期间涉轨保护监测项目</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hint="eastAsia" w:cs="Times New Roman"/>
                <w:highlight w:val="none"/>
                <w:lang w:val="en-US" w:eastAsia="zh-CN"/>
              </w:rPr>
              <w:t>服务</w:t>
            </w:r>
            <w:r>
              <w:rPr>
                <w:rFonts w:cs="Times New Roman"/>
                <w:highlight w:val="none"/>
              </w:rPr>
              <w:t>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hint="eastAsia" w:cs="Times New Roman"/>
                <w:bCs/>
                <w:highlight w:val="none"/>
                <w:lang w:val="en-US" w:eastAsia="zh-CN"/>
              </w:rPr>
            </w:pPr>
            <w:r>
              <w:rPr>
                <w:rFonts w:hint="eastAsia" w:ascii="ˎ̥" w:hAnsi="ˎ̥"/>
                <w:bCs/>
                <w:highlight w:val="none"/>
              </w:rPr>
              <w:t>详见第一章“招标公告”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hint="eastAsia" w:cs="Times New Roman"/>
                <w:highlight w:val="none"/>
                <w:lang w:val="en-US" w:eastAsia="zh-CN"/>
              </w:rPr>
              <w:t>服务</w:t>
            </w:r>
            <w:r>
              <w:rPr>
                <w:rFonts w:cs="Times New Roman"/>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bCs/>
                <w:highlight w:val="none"/>
                <w:lang w:val="en-US"/>
              </w:rPr>
            </w:pPr>
            <w:r>
              <w:rPr>
                <w:rFonts w:hint="eastAsia" w:cs="Times New Roman"/>
                <w:bCs/>
                <w:highlight w:val="none"/>
                <w:lang w:eastAsia="zh-CN"/>
              </w:rPr>
              <w:t>招标人</w:t>
            </w:r>
            <w:r>
              <w:rPr>
                <w:rFonts w:cs="Times New Roman"/>
                <w:bCs/>
                <w:highlight w:val="none"/>
              </w:rPr>
              <w:t>指定地点</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hint="eastAsia" w:cs="Times New Roman"/>
                <w:highlight w:val="none"/>
                <w:lang w:val="en-US" w:eastAsia="zh-CN"/>
              </w:rPr>
              <w:t>招标人</w:t>
            </w:r>
            <w:r>
              <w:rPr>
                <w:rFonts w:cs="Times New Roman"/>
                <w:highlight w:val="none"/>
              </w:rPr>
              <w:t>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宋体"/>
                <w:highlight w:val="none"/>
                <w:lang w:val="en-US"/>
              </w:rPr>
            </w:pPr>
            <w:r>
              <w:rPr>
                <w:rFonts w:hint="eastAsia" w:cs="宋体"/>
                <w:highlight w:val="none"/>
                <w:lang w:val="en-US" w:eastAsia="zh-CN"/>
              </w:rPr>
              <w:t>陈俊 18949108929</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宋体"/>
                <w:highlight w:val="none"/>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w:t>
            </w:r>
            <w:r>
              <w:rPr>
                <w:rFonts w:hint="eastAsia" w:cs="宋体"/>
                <w:highlight w:val="none"/>
                <w:lang w:val="en-US" w:eastAsia="zh-CN"/>
              </w:rPr>
              <w:t>、</w:t>
            </w:r>
            <w:r>
              <w:rPr>
                <w:rFonts w:cs="宋体"/>
                <w:highlight w:val="none"/>
                <w:lang w:val="en-US"/>
              </w:rPr>
              <w:t>18005505728</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hint="eastAsia" w:cs="Times New Roman"/>
                <w:highlight w:val="none"/>
                <w:lang w:val="en-US" w:eastAsia="zh-CN"/>
              </w:rPr>
              <w:t>自筹</w:t>
            </w:r>
            <w:r>
              <w:rPr>
                <w:rFonts w:cs="Times New Roman"/>
                <w:highlight w:val="none"/>
              </w:rPr>
              <w:t>资金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hint="default" w:ascii="宋体" w:hAnsi="宋体" w:eastAsia="宋体" w:cs="宋体"/>
                <w:bCs/>
                <w:color w:val="000000"/>
                <w:szCs w:val="21"/>
                <w:highlight w:val="none"/>
                <w:lang w:val="en-US" w:eastAsia="zh-CN"/>
              </w:rPr>
            </w:pPr>
            <w:r>
              <w:rPr>
                <w:rFonts w:hint="eastAsia" w:cs="宋体"/>
                <w:bCs/>
                <w:color w:val="000000"/>
                <w:szCs w:val="21"/>
                <w:highlight w:val="none"/>
                <w:lang w:val="en-US" w:eastAsia="zh-CN"/>
              </w:rPr>
              <w:t>18万元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87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hint="default" w:hAnsi="宋体" w:cs="宋体"/>
                <w:bCs/>
                <w:color w:val="000000"/>
                <w:szCs w:val="21"/>
                <w:highlight w:val="none"/>
                <w:lang w:val="en-US"/>
              </w:rPr>
            </w:pPr>
            <w:r>
              <w:rPr>
                <w:rFonts w:hint="eastAsia" w:ascii="宋体" w:hAnsi="宋体" w:eastAsia="宋体" w:cs="宋体"/>
                <w:bCs/>
                <w:color w:val="000000"/>
                <w:szCs w:val="21"/>
                <w:highlight w:val="none"/>
                <w:lang w:val="en-US" w:eastAsia="zh-CN"/>
              </w:rPr>
              <w:t>壹拾捌万元整（¥：180000.00元），投标总报价不得超过最高限价，否则按无效投标处理。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hint="eastAsia" w:cs="Times New Roman"/>
                <w:highlight w:val="none"/>
                <w:lang w:val="en-US" w:eastAsia="zh-CN"/>
              </w:rPr>
              <w:t>详见《采购需求和服务要求》</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标</w:t>
            </w:r>
            <w:r>
              <w:rPr>
                <w:rFonts w:hint="eastAsia" w:cs="Times New Roman"/>
                <w:highlight w:val="none"/>
                <w:lang w:val="en-US" w:eastAsia="zh-CN"/>
              </w:rPr>
              <w:t>段</w:t>
            </w:r>
            <w:r>
              <w:rPr>
                <w:rFonts w:cs="Times New Roman"/>
                <w:highlight w:val="none"/>
              </w:rPr>
              <w:t>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cs="宋体"/>
                <w:highlight w:val="none"/>
              </w:rPr>
              <w:t>公开</w:t>
            </w:r>
            <w:r>
              <w:rPr>
                <w:rFonts w:cs="Times New Roman"/>
                <w:highlight w:val="none"/>
              </w:rPr>
              <w:t>招标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cs="Times New Roman"/>
                <w:highlight w:val="none"/>
              </w:rPr>
              <w:t>不召开</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4</w:t>
            </w:r>
            <w:r>
              <w:rPr>
                <w:rFonts w:cs="Times New Roman"/>
                <w:b w:val="0"/>
                <w:bCs w:val="0"/>
                <w:highlight w:val="none"/>
              </w:rPr>
              <w:t>年</w:t>
            </w:r>
            <w:r>
              <w:rPr>
                <w:rFonts w:hint="eastAsia" w:cs="Times New Roman"/>
                <w:b w:val="0"/>
                <w:bCs w:val="0"/>
                <w:highlight w:val="none"/>
                <w:lang w:val="en-US" w:eastAsia="zh-CN"/>
              </w:rPr>
              <w:t>5</w:t>
            </w:r>
            <w:r>
              <w:rPr>
                <w:rFonts w:cs="Times New Roman"/>
                <w:b w:val="0"/>
                <w:bCs w:val="0"/>
                <w:highlight w:val="none"/>
              </w:rPr>
              <w:t>月</w:t>
            </w:r>
            <w:r>
              <w:rPr>
                <w:rFonts w:hint="eastAsia" w:cs="Times New Roman"/>
                <w:b w:val="0"/>
                <w:bCs w:val="0"/>
                <w:highlight w:val="none"/>
                <w:lang w:val="en-US" w:eastAsia="zh-CN"/>
              </w:rPr>
              <w:t>14</w:t>
            </w:r>
            <w:r>
              <w:rPr>
                <w:rFonts w:cs="Times New Roman"/>
                <w:b w:val="0"/>
                <w:bCs w:val="0"/>
                <w:highlight w:val="none"/>
              </w:rPr>
              <w:t>日</w:t>
            </w:r>
            <w:r>
              <w:rPr>
                <w:rFonts w:hAnsi="Times New Roman" w:cs="Times New Roman"/>
                <w:b w:val="0"/>
                <w:bCs w:val="0"/>
                <w:highlight w:val="none"/>
                <w:lang w:val="en-US"/>
              </w:rPr>
              <w:t>1</w:t>
            </w:r>
            <w:r>
              <w:rPr>
                <w:rFonts w:hint="eastAsia" w:hAnsi="Times New Roman" w:cs="Times New Roman"/>
                <w:b w:val="0"/>
                <w:bCs w:val="0"/>
                <w:highlight w:val="none"/>
                <w:lang w:val="en-US" w:eastAsia="zh-CN"/>
              </w:rPr>
              <w:t>2</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hint="eastAsia" w:cs="Times New Roman"/>
                <w:highlight w:val="none"/>
                <w:lang w:eastAsia="zh-CN"/>
              </w:rPr>
              <w:t>招标人</w:t>
            </w:r>
            <w:r>
              <w:rPr>
                <w:rFonts w:cs="Times New Roman"/>
                <w:highlight w:val="none"/>
              </w:rPr>
              <w:t>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2024年5月14日17时后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滁州市滁宁城际铁路开发建设有限公司网站（http://czctgs.cn/）</w:t>
            </w:r>
            <w:r>
              <w:rPr>
                <w:rFonts w:hint="eastAsia" w:ascii="宋体" w:cs="宋体"/>
                <w:szCs w:val="21"/>
                <w:highlight w:val="none"/>
              </w:rPr>
              <w:t>发布。</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招标代理费及专家评审费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代理服务费金额：招标代理费1000元，不含专家评审费（专家评审费用以实际支付为准）。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w:t>
            </w:r>
            <w:r>
              <w:rPr>
                <w:rFonts w:hint="eastAsia" w:cs="Times New Roman"/>
                <w:highlight w:val="none"/>
                <w:u w:val="single"/>
                <w:lang w:val="en-US" w:eastAsia="zh-CN"/>
              </w:rPr>
              <w:t>6</w:t>
            </w:r>
            <w:r>
              <w:rPr>
                <w:rFonts w:cs="Times New Roman"/>
                <w:highlight w:val="none"/>
                <w:u w:val="single"/>
                <w:lang w:val="en-US"/>
              </w:rPr>
              <w:t xml:space="preserve">0 </w:t>
            </w:r>
            <w:r>
              <w:rPr>
                <w:rFonts w:cs="Times New Roman"/>
                <w:highlight w:val="none"/>
              </w:rPr>
              <w:t>日历天（从投标截止之日算起）。在此期限内，凡符合本招标文件要求的投标文件均保持有效。</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cs="宋体"/>
                <w:szCs w:val="21"/>
                <w:highlight w:val="none"/>
              </w:rPr>
              <w:t>签字或盖章要求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cs="宋体" w:eastAsiaTheme="minorEastAsia"/>
                <w:kern w:val="2"/>
                <w:highlight w:val="none"/>
                <w:lang w:val="en-US" w:eastAsia="zh-CN"/>
              </w:rPr>
            </w:pPr>
            <w:r>
              <w:rPr>
                <w:rFonts w:hint="eastAsia" w:ascii="宋体" w:hAnsi="宋体" w:cs="宋体"/>
                <w:szCs w:val="21"/>
                <w:highlight w:val="none"/>
              </w:rPr>
              <w:t>投标文件须按格式文件要求签字或盖章</w:t>
            </w:r>
            <w:r>
              <w:rPr>
                <w:rFonts w:hint="eastAsia" w:ascii="宋体" w:hAnsi="宋体" w:cs="宋体"/>
                <w:szCs w:val="21"/>
                <w:highlight w:val="none"/>
                <w:lang w:eastAsia="zh-CN"/>
              </w:rPr>
              <w:t>。</w:t>
            </w:r>
            <w:r>
              <w:rPr>
                <w:rFonts w:hint="eastAsia" w:ascii="宋体" w:hAnsi="宋体" w:cs="宋体"/>
                <w:szCs w:val="21"/>
                <w:highlight w:val="none"/>
              </w:rPr>
              <w:t>否则经评委会一致认定后，按照无效投标处理。</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color w:val="auto"/>
                <w:sz w:val="21"/>
                <w:szCs w:val="21"/>
                <w:highlight w:val="none"/>
              </w:rPr>
            </w:pPr>
            <w:r>
              <w:rPr>
                <w:rFonts w:hint="eastAsia" w:ascii="宋体" w:hAnsi="宋体" w:cs="宋体"/>
                <w:szCs w:val="21"/>
                <w:highlight w:val="none"/>
              </w:rPr>
              <w:t>投标文件份数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cs="宋体"/>
                <w:szCs w:val="21"/>
                <w:highlight w:val="none"/>
                <w:lang w:eastAsia="zh-CN"/>
              </w:rPr>
            </w:pPr>
            <w:r>
              <w:rPr>
                <w:rFonts w:hint="eastAsia" w:ascii="宋体" w:hAnsi="宋体" w:cs="宋体"/>
                <w:szCs w:val="21"/>
                <w:highlight w:val="none"/>
              </w:rPr>
              <w:t>投标人中标后须递交与网上电子投标文件完全一致的纸质版投标文件，并按要求加盖公章；份数：正本1份，副本2份；中标单位领取中标通知书时，一并递交给招标代理机构</w:t>
            </w:r>
            <w:r>
              <w:rPr>
                <w:rFonts w:hint="eastAsia" w:ascii="宋体" w:hAnsi="宋体" w:cs="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default" w:cs="Times New Roman" w:eastAsiaTheme="minorEastAsia"/>
                <w:highlight w:val="none"/>
                <w:lang w:val="en-US" w:eastAsia="zh-CN"/>
              </w:rPr>
            </w:pPr>
            <w:r>
              <w:rPr>
                <w:rFonts w:hint="eastAsia" w:ascii="宋体"/>
                <w:color w:val="auto"/>
                <w:sz w:val="21"/>
                <w:szCs w:val="21"/>
                <w:highlight w:val="none"/>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cs="宋体"/>
                <w:szCs w:val="21"/>
                <w:highlight w:val="none"/>
              </w:rPr>
            </w:pPr>
            <w:r>
              <w:rPr>
                <w:rFonts w:hint="eastAsia" w:ascii="宋体" w:hAnsi="宋体" w:cs="宋体"/>
                <w:szCs w:val="21"/>
                <w:highlight w:val="none"/>
              </w:rPr>
              <w:t>时  间：202</w:t>
            </w:r>
            <w:r>
              <w:rPr>
                <w:rFonts w:hint="eastAsia" w:ascii="宋体" w:hAnsi="宋体" w:cs="宋体"/>
                <w:szCs w:val="21"/>
                <w:highlight w:val="none"/>
                <w:lang w:val="en-US" w:eastAsia="zh-CN"/>
              </w:rPr>
              <w:t>4</w:t>
            </w:r>
            <w:r>
              <w:rPr>
                <w:rFonts w:hint="eastAsia" w:ascii="宋体" w:hAnsi="宋体" w:cs="宋体"/>
                <w:szCs w:val="21"/>
                <w:highlight w:val="none"/>
              </w:rPr>
              <w:t>年</w:t>
            </w:r>
            <w:r>
              <w:rPr>
                <w:rFonts w:hint="eastAsia" w:ascii="宋体" w:hAnsi="宋体" w:cs="宋体"/>
                <w:szCs w:val="21"/>
                <w:highlight w:val="none"/>
                <w:lang w:val="en-US" w:eastAsia="zh-CN"/>
              </w:rPr>
              <w:t>5</w:t>
            </w:r>
            <w:r>
              <w:rPr>
                <w:rFonts w:hint="eastAsia" w:ascii="宋体" w:hAnsi="宋体" w:cs="宋体"/>
                <w:szCs w:val="21"/>
                <w:highlight w:val="none"/>
              </w:rPr>
              <w:t>月</w:t>
            </w:r>
            <w:r>
              <w:rPr>
                <w:rFonts w:hint="eastAsia" w:ascii="宋体" w:hAnsi="宋体" w:cs="宋体"/>
                <w:szCs w:val="21"/>
                <w:highlight w:val="none"/>
                <w:lang w:val="en-US" w:eastAsia="zh-CN"/>
              </w:rPr>
              <w:t>17</w:t>
            </w:r>
            <w:r>
              <w:rPr>
                <w:rFonts w:hint="eastAsia" w:ascii="宋体" w:hAnsi="宋体" w:cs="宋体"/>
                <w:szCs w:val="21"/>
                <w:highlight w:val="none"/>
              </w:rPr>
              <w:t>日</w:t>
            </w:r>
            <w:r>
              <w:rPr>
                <w:rFonts w:hint="eastAsia" w:ascii="宋体" w:hAnsi="宋体" w:cs="宋体"/>
                <w:szCs w:val="21"/>
                <w:highlight w:val="none"/>
                <w:lang w:val="en-US" w:eastAsia="zh-CN"/>
              </w:rPr>
              <w:t>15</w:t>
            </w:r>
            <w:r>
              <w:rPr>
                <w:rFonts w:hint="eastAsia" w:ascii="宋体" w:hAnsi="宋体" w:cs="宋体"/>
                <w:szCs w:val="21"/>
                <w:highlight w:val="none"/>
              </w:rPr>
              <w:t xml:space="preserve">时00分     </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cs="宋体"/>
                <w:szCs w:val="21"/>
                <w:highlight w:val="none"/>
                <w:lang w:val="en-US"/>
              </w:rPr>
            </w:pPr>
            <w:r>
              <w:rPr>
                <w:rFonts w:hint="eastAsia" w:ascii="宋体" w:hAnsi="宋体"/>
                <w:color w:val="auto"/>
                <w:szCs w:val="21"/>
                <w:highlight w:val="none"/>
              </w:rPr>
              <w:t xml:space="preserve">地  </w:t>
            </w:r>
            <w:r>
              <w:rPr>
                <w:rFonts w:hint="eastAsia" w:ascii="宋体" w:hAnsi="宋体"/>
                <w:color w:val="auto"/>
                <w:szCs w:val="21"/>
                <w:highlight w:val="none"/>
                <w:lang w:eastAsia="zh-CN"/>
              </w:rPr>
              <w:t>点：</w:t>
            </w:r>
            <w:r>
              <w:rPr>
                <w:rFonts w:hint="eastAsia" w:ascii="宋体" w:hAnsi="宋体" w:eastAsia="宋体" w:cs="宋体"/>
                <w:b w:val="0"/>
                <w:bCs w:val="0"/>
                <w:color w:val="auto"/>
                <w:sz w:val="21"/>
                <w:szCs w:val="21"/>
                <w:highlight w:val="none"/>
                <w:lang w:val="en-US" w:eastAsia="zh-CN"/>
              </w:rPr>
              <w:t>滁州市滁宁城际铁路开发建设有限公司七楼会议室 (滁州市徽州路与扬子路交叉口东南侧)</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default" w:cs="Times New Roman"/>
                <w:highlight w:val="none"/>
                <w:lang w:val="en-US"/>
              </w:rPr>
            </w:pPr>
            <w:r>
              <w:rPr>
                <w:rFonts w:hint="eastAsia" w:ascii="宋体"/>
                <w:color w:val="auto"/>
                <w:sz w:val="21"/>
                <w:szCs w:val="21"/>
                <w:highlight w:val="none"/>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default" w:cs="Times New Roman"/>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default" w:cs="Times New Roman"/>
                <w:highlight w:val="none"/>
                <w:lang w:val="en-US"/>
              </w:rPr>
            </w:pPr>
            <w:r>
              <w:rPr>
                <w:rFonts w:hint="eastAsia" w:ascii="宋体" w:hAnsi="宋体" w:cs="宋体"/>
                <w:szCs w:val="21"/>
                <w:highlight w:val="none"/>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pStyle w:val="8"/>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default" w:cs="Times New Roman"/>
                <w:spacing w:val="-4"/>
                <w:highlight w:val="none"/>
                <w:lang w:val="en-US"/>
              </w:rPr>
            </w:pPr>
            <w:r>
              <w:rPr>
                <w:rFonts w:hint="eastAsia" w:hAnsi="宋体" w:cs="宋体"/>
                <w:sz w:val="21"/>
                <w:szCs w:val="21"/>
                <w:highlight w:val="none"/>
              </w:rPr>
              <w:fldChar w:fldCharType="begin"/>
            </w:r>
            <w:r>
              <w:rPr>
                <w:rFonts w:hint="eastAsia" w:hAnsi="宋体" w:cs="宋体"/>
                <w:sz w:val="21"/>
                <w:szCs w:val="21"/>
                <w:highlight w:val="none"/>
              </w:rPr>
              <w:instrText xml:space="preserve"> eq \o\ac(□,√)</w:instrText>
            </w:r>
            <w:r>
              <w:rPr>
                <w:rFonts w:hint="eastAsia" w:hAnsi="宋体" w:cs="宋体"/>
                <w:sz w:val="21"/>
                <w:szCs w:val="21"/>
                <w:highlight w:val="none"/>
              </w:rPr>
              <w:fldChar w:fldCharType="end"/>
            </w:r>
            <w:r>
              <w:rPr>
                <w:rFonts w:hint="eastAsia" w:hAnsi="宋体" w:cs="宋体"/>
                <w:sz w:val="21"/>
                <w:highlight w:val="none"/>
              </w:rPr>
              <w:t>否；</w:t>
            </w:r>
            <w:r>
              <w:rPr>
                <w:rFonts w:hint="eastAsia" w:hAnsi="宋体" w:cs="宋体"/>
                <w:szCs w:val="32"/>
                <w:highlight w:val="none"/>
              </w:rPr>
              <w:t>□</w:t>
            </w:r>
            <w:r>
              <w:rPr>
                <w:rFonts w:hint="eastAsia" w:hAnsi="宋体" w:cs="宋体"/>
                <w:sz w:val="21"/>
                <w:highlight w:val="none"/>
              </w:rPr>
              <w:t>是</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cs="宋体"/>
                <w:szCs w:val="21"/>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kern w:val="2"/>
                <w:highlight w:val="none"/>
                <w:lang w:val="en-US"/>
              </w:rPr>
            </w:pPr>
            <w:r>
              <w:rPr>
                <w:rFonts w:hint="eastAsia" w:ascii="宋体" w:hAnsi="宋体" w:cs="宋体"/>
                <w:szCs w:val="21"/>
                <w:highlight w:val="none"/>
              </w:rPr>
              <w:t>评标委员会构成：</w:t>
            </w:r>
            <w:r>
              <w:rPr>
                <w:rFonts w:hint="eastAsia" w:ascii="宋体" w:hAnsi="宋体" w:cs="宋体"/>
                <w:szCs w:val="21"/>
                <w:highlight w:val="none"/>
                <w:u w:val="single"/>
              </w:rPr>
              <w:t>由</w:t>
            </w:r>
            <w:r>
              <w:rPr>
                <w:rFonts w:hint="eastAsia" w:ascii="宋体" w:hAnsi="宋体" w:cs="宋体"/>
                <w:szCs w:val="21"/>
                <w:highlight w:val="none"/>
                <w:u w:val="single"/>
                <w:lang w:val="en-US" w:eastAsia="zh-CN"/>
              </w:rPr>
              <w:t>招标人</w:t>
            </w:r>
            <w:r>
              <w:rPr>
                <w:rFonts w:hint="eastAsia" w:ascii="宋体" w:hAnsi="宋体" w:cs="宋体"/>
                <w:szCs w:val="21"/>
                <w:highlight w:val="none"/>
                <w:u w:val="single"/>
              </w:rPr>
              <w:t>依法组建。</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cs="宋体"/>
                <w:szCs w:val="21"/>
                <w:highlight w:val="none"/>
              </w:rPr>
              <w:t>是否授权评标委员会推荐中标候选人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pStyle w:val="14"/>
              <w:keepNext w:val="0"/>
              <w:keepLines w:val="0"/>
              <w:pageBreakBefore w:val="0"/>
              <w:widowControl/>
              <w:kinsoku/>
              <w:wordWrap/>
              <w:overflowPunct/>
              <w:topLinePunct w:val="0"/>
              <w:autoSpaceDE w:val="0"/>
              <w:autoSpaceDN/>
              <w:bidi w:val="0"/>
              <w:adjustRightInd/>
              <w:snapToGrid/>
              <w:spacing w:line="32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pStyle w:val="14"/>
              <w:keepNext w:val="0"/>
              <w:keepLines w:val="0"/>
              <w:pageBreakBefore w:val="0"/>
              <w:widowControl/>
              <w:kinsoku/>
              <w:wordWrap/>
              <w:overflowPunct/>
              <w:topLinePunct w:val="0"/>
              <w:autoSpaceDE w:val="0"/>
              <w:autoSpaceDN/>
              <w:bidi w:val="0"/>
              <w:adjustRightInd/>
              <w:snapToGrid/>
              <w:spacing w:line="320" w:lineRule="exact"/>
              <w:ind w:left="0" w:leftChars="0" w:right="0" w:rightChars="0"/>
              <w:textAlignment w:val="auto"/>
              <w:rPr>
                <w:rFonts w:hint="eastAsia" w:ascii="宋体" w:hAnsi="宋体" w:cs="宋体"/>
                <w:szCs w:val="21"/>
                <w:highlight w:val="none"/>
              </w:rPr>
            </w:pPr>
            <w:r>
              <w:rPr>
                <w:rFonts w:hint="eastAsia" w:cs="宋体"/>
                <w:szCs w:val="21"/>
                <w:highlight w:val="none"/>
                <w:lang w:eastAsia="zh-CN"/>
              </w:rPr>
              <w:t>滁州市滁宁城际铁路开发建设有限公司网站（http://czctgs.cn/）</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both"/>
              <w:textAlignment w:val="auto"/>
              <w:rPr>
                <w:rFonts w:hint="eastAsia" w:ascii="宋体" w:hAnsi="宋体" w:cs="宋体"/>
                <w:szCs w:val="21"/>
                <w:highlight w:val="none"/>
              </w:rPr>
            </w:pPr>
            <w:r>
              <w:rPr>
                <w:rFonts w:hint="eastAsia" w:ascii="宋体" w:cs="宋体"/>
                <w:color w:val="auto"/>
                <w:szCs w:val="21"/>
                <w:highlight w:val="none"/>
              </w:rPr>
              <w:t>中标通知书须加盖</w:t>
            </w:r>
            <w:r>
              <w:rPr>
                <w:rFonts w:hint="eastAsia" w:ascii="宋体" w:cs="宋体"/>
                <w:color w:val="auto"/>
                <w:szCs w:val="21"/>
                <w:highlight w:val="none"/>
                <w:lang w:eastAsia="zh-CN"/>
              </w:rPr>
              <w:t>招标人</w:t>
            </w:r>
            <w:r>
              <w:rPr>
                <w:rFonts w:hint="eastAsia" w:ascii="宋体" w:cs="宋体"/>
                <w:color w:val="auto"/>
                <w:szCs w:val="21"/>
                <w:highlight w:val="none"/>
              </w:rPr>
              <w:t>、招标代理公司公章后方可发出</w:t>
            </w:r>
            <w:r>
              <w:rPr>
                <w:rFonts w:hint="eastAsia" w:ascii="宋体" w:cs="宋体"/>
                <w:color w:val="auto"/>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cs="宋体"/>
                <w:szCs w:val="21"/>
                <w:highlight w:val="none"/>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color w:val="000000"/>
                <w:kern w:val="2"/>
                <w:sz w:val="21"/>
                <w:szCs w:val="21"/>
                <w:highlight w:val="none"/>
                <w:u w:color="000000"/>
                <w:lang w:val="en-US" w:eastAsia="zh-CN" w:bidi="ar"/>
              </w:rPr>
            </w:pPr>
            <w:r>
              <w:rPr>
                <w:rFonts w:hint="eastAsia" w:cs="宋体"/>
                <w:szCs w:val="21"/>
                <w:highlight w:val="none"/>
              </w:rPr>
              <w:t>本项目不要求提供履约担保</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5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项目完成且中标人出具有效报告后一次性支付合同价款。</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default"/>
                <w:highlight w:val="none"/>
                <w:lang w:val="en-US" w:eastAsia="zh-CN"/>
              </w:rPr>
            </w:pPr>
            <w:r>
              <w:rPr>
                <w:rFonts w:hint="eastAsia" w:ascii="宋体" w:hAnsi="宋体" w:eastAsia="宋体" w:cs="宋体"/>
                <w:color w:val="000000"/>
                <w:kern w:val="2"/>
                <w:sz w:val="21"/>
                <w:szCs w:val="21"/>
                <w:highlight w:val="none"/>
                <w:u w:color="000000"/>
                <w:lang w:val="en-US" w:eastAsia="zh-CN" w:bidi="ar"/>
              </w:rPr>
              <w:t>注：本项目资金由滁州市市政设施管理中心承担。</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highlight w:val="none"/>
                <w:lang w:val="en-US"/>
              </w:rPr>
            </w:pPr>
            <w:r>
              <w:rPr>
                <w:rFonts w:hint="eastAsia"/>
                <w:highlight w:val="none"/>
                <w:lang w:val="en-US" w:eastAsia="zh-CN"/>
              </w:rPr>
              <w:t>1、本招标文件前后条款若有不一致之处，在澄清答疑时又未作出明确规定时，各投标人的投标文件只要满足其中任一条款，均视为对本招标文件的响应。</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highlight w:val="none"/>
                <w:lang w:val="en-US" w:eastAsia="zh-CN"/>
              </w:rPr>
            </w:pPr>
            <w:r>
              <w:rPr>
                <w:rFonts w:hint="eastAsia"/>
                <w:highlight w:val="none"/>
                <w:lang w:val="en-US" w:eastAsia="zh-CN"/>
              </w:rPr>
              <w:t>2、本项目严禁非法转包，一经发现，招标人依法处理。</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eastAsia"/>
                <w:highlight w:val="none"/>
                <w:lang w:val="en-US" w:eastAsia="zh-CN"/>
              </w:rPr>
            </w:pPr>
            <w:r>
              <w:rPr>
                <w:rFonts w:hint="eastAsia"/>
                <w:highlight w:val="none"/>
                <w:lang w:val="en-US" w:eastAsia="zh-CN"/>
              </w:rPr>
              <w:t>3、评标委员会只依靠投标人递交的投标文件及其按照招标文件要求提供的所有证明材料进行评审，而不依靠任何外来的证明材料。</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20" w:lineRule="exact"/>
              <w:ind w:left="0" w:right="0"/>
              <w:jc w:val="both"/>
              <w:textAlignment w:val="auto"/>
              <w:rPr>
                <w:rFonts w:hint="default" w:eastAsiaTheme="minorEastAsia"/>
                <w:highlight w:val="none"/>
                <w:lang w:val="en-US" w:eastAsia="zh-CN"/>
              </w:rPr>
            </w:pPr>
            <w:r>
              <w:rPr>
                <w:rFonts w:hint="eastAsia"/>
                <w:highlight w:val="none"/>
                <w:lang w:val="en-US" w:eastAsia="zh-CN"/>
              </w:rPr>
              <w:t>4、本项目合同由中标人与滁州市市政设施管理中心、滁州市滁宁城际铁路开发建设有限公司签订三方协议，</w:t>
            </w:r>
            <w:r>
              <w:rPr>
                <w:rFonts w:hint="eastAsia" w:ascii="宋体" w:hAnsi="宋体" w:eastAsia="宋体" w:cs="宋体"/>
                <w:color w:val="000000"/>
                <w:kern w:val="2"/>
                <w:sz w:val="21"/>
                <w:szCs w:val="21"/>
                <w:highlight w:val="none"/>
                <w:u w:color="000000"/>
                <w:lang w:val="en-US" w:eastAsia="zh-CN" w:bidi="ar"/>
              </w:rPr>
              <w:t>项目资金由滁州市市政设施管理中心承担。中标人在合同履行期间须严格遵守城铁地保办和运营公司相关要求。</w:t>
            </w:r>
          </w:p>
        </w:tc>
      </w:tr>
    </w:tbl>
    <w:p>
      <w:pPr>
        <w:rPr>
          <w:rFonts w:hint="eastAsia" w:ascii="宋体" w:hAnsi="宋体" w:eastAsia="宋体" w:cs="宋体"/>
          <w:b/>
          <w:bCs w:val="0"/>
          <w:color w:val="000000"/>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000000"/>
          <w:kern w:val="0"/>
          <w:sz w:val="28"/>
          <w:szCs w:val="28"/>
          <w:highlight w:val="none"/>
          <w:u w:color="000000"/>
          <w:lang w:val="en-US" w:eastAsia="zh-CN" w:bidi="ar"/>
        </w:rPr>
        <w:br w:type="page"/>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0"/>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服务期：见投标人须知前附表。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服务地点：见投标人须知前附表。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2.招标范围：</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ascii="宋体" w:hAnsi="宋体" w:eastAsia="宋体" w:cs="宋体"/>
          <w:color w:val="000000"/>
          <w:kern w:val="0"/>
          <w:sz w:val="24"/>
          <w:szCs w:val="24"/>
          <w:highlight w:val="none"/>
          <w:u w:color="000000"/>
          <w:lang w:val="en-US" w:eastAsia="zh-CN" w:bidi="ar"/>
        </w:rPr>
        <w:t>采购需求和服务要求</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3.标包划分：</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pPr>
        <w:keepNext w:val="0"/>
        <w:keepLines w:val="0"/>
        <w:widowControl/>
        <w:suppressLineNumbers w:val="0"/>
        <w:tabs>
          <w:tab w:val="left" w:pos="5725"/>
        </w:tabs>
        <w:snapToGrid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r>
        <w:rPr>
          <w:rFonts w:hint="eastAsia" w:ascii="宋体" w:hAnsi="宋体" w:eastAsia="宋体" w:cs="宋体"/>
          <w:b/>
          <w:bCs w:val="0"/>
          <w:color w:val="000000"/>
          <w:kern w:val="0"/>
          <w:sz w:val="21"/>
          <w:szCs w:val="21"/>
          <w:highlight w:val="none"/>
          <w:u w:color="000000"/>
          <w:lang w:val="en-US" w:eastAsia="zh-CN" w:bidi="ar"/>
        </w:rPr>
        <w:tab/>
      </w:r>
    </w:p>
    <w:p>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固定总价 。  </w:t>
      </w:r>
    </w:p>
    <w:p>
      <w:pPr>
        <w:keepNext w:val="0"/>
        <w:keepLines w:val="0"/>
        <w:widowControl/>
        <w:suppressLineNumbers w:val="0"/>
        <w:tabs>
          <w:tab w:val="left" w:pos="6235"/>
        </w:tabs>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6.评标办法：</w:t>
      </w:r>
      <w:r>
        <w:rPr>
          <w:rFonts w:hint="eastAsia" w:ascii="黑体" w:hAnsi="宋体" w:eastAsia="黑体" w:cs="宋体"/>
          <w:b/>
          <w:bCs w:val="0"/>
          <w:color w:val="000000"/>
          <w:kern w:val="0"/>
          <w:sz w:val="21"/>
          <w:szCs w:val="21"/>
          <w:highlight w:val="none"/>
          <w:u w:color="000000"/>
          <w:lang w:val="en-US" w:eastAsia="zh-CN" w:bidi="ar"/>
        </w:rPr>
        <w:tab/>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val="en-US" w:eastAsia="zh-CN"/>
        </w:rPr>
        <w:t>综合评估</w:t>
      </w:r>
      <w:r>
        <w:rPr>
          <w:rFonts w:hint="eastAsia" w:ascii="宋体"/>
          <w:szCs w:val="21"/>
          <w:highlight w:val="none"/>
          <w:u w:val="single"/>
          <w:lang w:eastAsia="zh-CN"/>
        </w:rPr>
        <w:t>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7.投标人资格：</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8. 投标费用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9.</w:t>
      </w:r>
      <w:bookmarkStart w:id="21" w:name="_Toc152042315"/>
      <w:bookmarkEnd w:id="21"/>
      <w:bookmarkStart w:id="22" w:name="_Toc144974507"/>
      <w:bookmarkEnd w:id="22"/>
      <w:bookmarkStart w:id="23" w:name="_Toc247513962"/>
      <w:bookmarkEnd w:id="23"/>
      <w:bookmarkStart w:id="24" w:name="_Toc247527563"/>
      <w:bookmarkEnd w:id="24"/>
      <w:bookmarkStart w:id="25" w:name="_Toc152045539"/>
      <w:bookmarkEnd w:id="25"/>
      <w:bookmarkStart w:id="26" w:name="_Toc296602429"/>
      <w:bookmarkEnd w:id="26"/>
      <w:bookmarkStart w:id="27"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7"/>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r>
        <w:rPr>
          <w:rFonts w:hint="default" w:ascii="Times New Roman" w:hAnsi="Times New Roman" w:eastAsia="宋体" w:cs="Times New Roman"/>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11. 联合投标</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pPr>
        <w:keepNext w:val="0"/>
        <w:keepLines w:val="0"/>
        <w:widowControl/>
        <w:suppressLineNumbers w:val="0"/>
        <w:spacing w:before="0" w:beforeAutospacing="0" w:after="0" w:afterAutospacing="0" w:line="440" w:lineRule="exact"/>
        <w:ind w:left="0" w:right="0" w:firstLine="422" w:firstLineChars="200"/>
        <w:jc w:val="both"/>
        <w:rPr>
          <w:rFonts w:hint="eastAsia" w:ascii="黑体" w:hAnsi="宋体" w:eastAsia="黑体" w:cs="宋体"/>
          <w:b/>
          <w:bCs/>
          <w:color w:val="000000"/>
          <w:kern w:val="0"/>
          <w:sz w:val="21"/>
          <w:szCs w:val="21"/>
          <w:highlight w:val="none"/>
          <w:u w:color="000000"/>
          <w:lang w:val="en-US" w:eastAsia="zh-CN" w:bidi="ar"/>
        </w:rPr>
      </w:pPr>
      <w:r>
        <w:rPr>
          <w:rFonts w:hint="eastAsia" w:ascii="黑体" w:hAnsi="宋体" w:eastAsia="黑体" w:cs="宋体"/>
          <w:b/>
          <w:bCs/>
          <w:color w:val="000000"/>
          <w:kern w:val="0"/>
          <w:sz w:val="21"/>
          <w:szCs w:val="21"/>
          <w:highlight w:val="none"/>
          <w:u w:color="000000"/>
          <w:lang w:val="en-US" w:eastAsia="zh-CN" w:bidi="ar"/>
        </w:rPr>
        <w:t>12.招标代理费和专家评审劳务费</w:t>
      </w:r>
    </w:p>
    <w:p>
      <w:pPr>
        <w:spacing w:line="360" w:lineRule="auto"/>
        <w:ind w:firstLine="420" w:firstLineChars="200"/>
        <w:rPr>
          <w:rFonts w:hint="eastAsia" w:ascii="宋体"/>
          <w:szCs w:val="21"/>
          <w:highlight w:val="none"/>
          <w:lang w:eastAsia="zh-CN"/>
        </w:rPr>
      </w:pPr>
      <w:r>
        <w:rPr>
          <w:rFonts w:hint="eastAsia" w:ascii="宋体"/>
          <w:szCs w:val="21"/>
          <w:highlight w:val="none"/>
        </w:rPr>
        <w:t xml:space="preserve">12.1 </w:t>
      </w:r>
      <w:r>
        <w:rPr>
          <w:rFonts w:hint="eastAsia" w:ascii="宋体"/>
          <w:szCs w:val="21"/>
          <w:highlight w:val="none"/>
          <w:lang w:eastAsia="zh-CN"/>
        </w:rPr>
        <w:t>招标代理费：见</w:t>
      </w:r>
      <w:r>
        <w:rPr>
          <w:rFonts w:hint="eastAsia" w:ascii="宋体"/>
          <w:szCs w:val="21"/>
          <w:highlight w:val="none"/>
        </w:rPr>
        <w:t>投标人须知前附表</w:t>
      </w:r>
      <w:r>
        <w:rPr>
          <w:rFonts w:hint="eastAsia" w:ascii="宋体"/>
          <w:szCs w:val="21"/>
          <w:highlight w:val="none"/>
          <w:lang w:eastAsia="zh-CN"/>
        </w:rPr>
        <w:t>。</w:t>
      </w:r>
    </w:p>
    <w:p>
      <w:pPr>
        <w:spacing w:line="360" w:lineRule="auto"/>
        <w:ind w:firstLine="420" w:firstLineChars="200"/>
        <w:rPr>
          <w:rFonts w:hint="eastAsia" w:ascii="宋体"/>
          <w:szCs w:val="21"/>
          <w:highlight w:val="none"/>
          <w:lang w:eastAsia="zh-CN"/>
        </w:rPr>
      </w:pPr>
      <w:r>
        <w:rPr>
          <w:rFonts w:hint="eastAsia" w:ascii="宋体"/>
          <w:szCs w:val="21"/>
          <w:highlight w:val="none"/>
        </w:rPr>
        <w:t>12.</w:t>
      </w:r>
      <w:r>
        <w:rPr>
          <w:rFonts w:hint="eastAsia" w:ascii="宋体"/>
          <w:szCs w:val="21"/>
          <w:highlight w:val="none"/>
          <w:lang w:val="en-US" w:eastAsia="zh-CN"/>
        </w:rPr>
        <w:t>2</w:t>
      </w:r>
      <w:r>
        <w:rPr>
          <w:rFonts w:hint="eastAsia" w:ascii="宋体"/>
          <w:szCs w:val="21"/>
          <w:highlight w:val="none"/>
        </w:rPr>
        <w:t xml:space="preserve"> </w:t>
      </w:r>
      <w:r>
        <w:rPr>
          <w:rFonts w:hint="eastAsia" w:ascii="宋体"/>
          <w:szCs w:val="21"/>
          <w:highlight w:val="none"/>
          <w:lang w:eastAsia="zh-CN"/>
        </w:rPr>
        <w:t>专家评审劳务费：见</w:t>
      </w:r>
      <w:r>
        <w:rPr>
          <w:rFonts w:hint="eastAsia" w:ascii="宋体"/>
          <w:szCs w:val="21"/>
          <w:highlight w:val="none"/>
        </w:rPr>
        <w:t>投标人须知前附表</w:t>
      </w:r>
      <w:r>
        <w:rPr>
          <w:rFonts w:hint="eastAsia" w:ascii="宋体"/>
          <w:szCs w:val="21"/>
          <w:highlight w:val="none"/>
          <w:lang w:eastAsia="zh-CN"/>
        </w:rPr>
        <w:t>。</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13.投标人应注意的事项</w:t>
      </w:r>
    </w:p>
    <w:p>
      <w:pPr>
        <w:spacing w:line="360" w:lineRule="auto"/>
        <w:ind w:firstLine="420" w:firstLineChars="200"/>
        <w:rPr>
          <w:rFonts w:hint="eastAsia" w:ascii="宋体"/>
          <w:szCs w:val="21"/>
          <w:highlight w:val="none"/>
        </w:rPr>
      </w:pPr>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13.2投标人对采购内容中规定的相关要求必须满足。</w:t>
      </w:r>
    </w:p>
    <w:p>
      <w:pPr>
        <w:spacing w:line="360" w:lineRule="auto"/>
        <w:ind w:firstLine="420" w:firstLineChars="200"/>
        <w:rPr>
          <w:rFonts w:hint="eastAsia" w:ascii="宋体"/>
          <w:szCs w:val="21"/>
          <w:highlight w:val="none"/>
        </w:rPr>
      </w:pPr>
      <w:r>
        <w:rPr>
          <w:rFonts w:hint="eastAsia" w:ascii="宋体"/>
          <w:szCs w:val="21"/>
          <w:highlight w:val="none"/>
        </w:rPr>
        <w:t>13.3推荐品牌有助于投标人选择所投产品，仅供参考，并无限制性，可以选择性能不低于推荐品牌的产品，但所投产品的技术参数，要最大限度满足招标文件提供的详细参数。</w:t>
      </w:r>
    </w:p>
    <w:p>
      <w:pPr>
        <w:spacing w:line="360" w:lineRule="auto"/>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单位负责人为同一人或者存在直接控股、管理关系的不同投标人，不得参加同一合同项下的政府采购活动。为采购项目提供整体设计、规范编制或者项目管理、监理、检测等服务的投标人，不得再参加该采购项目的其他采购活动。</w:t>
      </w:r>
    </w:p>
    <w:p>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5</w:t>
      </w:r>
      <w:r>
        <w:rPr>
          <w:rFonts w:hint="eastAsia" w:ascii="宋体"/>
          <w:szCs w:val="21"/>
          <w:highlight w:val="none"/>
        </w:rPr>
        <w:t>投标人被视为充分熟悉本招标项目所在地的与履行合同有关的各种情况，包括但不限于：</w:t>
      </w:r>
    </w:p>
    <w:p>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pPr>
        <w:spacing w:line="400" w:lineRule="exact"/>
        <w:ind w:firstLine="315" w:firstLineChars="150"/>
        <w:rPr>
          <w:rFonts w:hint="eastAsia" w:ascii="宋体"/>
          <w:szCs w:val="21"/>
          <w:highlight w:val="none"/>
        </w:rPr>
      </w:pPr>
      <w:r>
        <w:rPr>
          <w:rFonts w:hint="eastAsia" w:ascii="宋体"/>
          <w:szCs w:val="21"/>
          <w:highlight w:val="none"/>
        </w:rPr>
        <w:t>（3）</w:t>
      </w:r>
      <w:r>
        <w:rPr>
          <w:rFonts w:hint="eastAsia" w:ascii="宋体"/>
          <w:szCs w:val="21"/>
          <w:highlight w:val="none"/>
          <w:lang w:eastAsia="zh-CN"/>
        </w:rPr>
        <w:t>招标人</w:t>
      </w:r>
      <w:r>
        <w:rPr>
          <w:rFonts w:hint="eastAsia" w:ascii="宋体"/>
          <w:szCs w:val="21"/>
          <w:highlight w:val="none"/>
        </w:rPr>
        <w:t>的相关场地情况、基础建设、电力供应情况及相关设计标准。</w:t>
      </w:r>
    </w:p>
    <w:p>
      <w:pPr>
        <w:spacing w:line="400" w:lineRule="exact"/>
        <w:ind w:firstLine="315" w:firstLineChars="150"/>
        <w:rPr>
          <w:rFonts w:hint="eastAsia" w:ascii="宋体"/>
          <w:szCs w:val="21"/>
          <w:highlight w:val="none"/>
        </w:rPr>
      </w:pPr>
      <w:r>
        <w:rPr>
          <w:rFonts w:hint="eastAsia" w:ascii="宋体"/>
          <w:szCs w:val="21"/>
          <w:highlight w:val="none"/>
        </w:rPr>
        <w:t>本招标文件不再对上述情况进行描述。</w:t>
      </w:r>
    </w:p>
    <w:p>
      <w:pPr>
        <w:spacing w:line="400" w:lineRule="exact"/>
        <w:ind w:firstLine="417" w:firstLineChars="199"/>
        <w:jc w:val="left"/>
        <w:rPr>
          <w:rFonts w:hint="default" w:eastAsia="楷体_GB2312"/>
          <w:highlight w:val="none"/>
          <w:lang w:val="en-US" w:eastAsia="zh-CN"/>
        </w:rPr>
      </w:pPr>
      <w:r>
        <w:rPr>
          <w:rFonts w:hint="eastAsia" w:ascii="宋体"/>
          <w:szCs w:val="21"/>
          <w:highlight w:val="none"/>
          <w:lang w:val="en-US" w:eastAsia="zh-CN"/>
        </w:rPr>
        <w:t>13.6</w:t>
      </w:r>
      <w:r>
        <w:rPr>
          <w:rFonts w:hint="eastAsia" w:ascii="宋体"/>
          <w:szCs w:val="21"/>
          <w:highlight w:val="none"/>
        </w:rPr>
        <w:t>中标候选人无正当理由放弃中标候选人资格的，其将被记不良信息记录。</w:t>
      </w:r>
    </w:p>
    <w:p>
      <w:pPr>
        <w:spacing w:line="440" w:lineRule="exact"/>
        <w:ind w:firstLine="527" w:firstLineChars="250"/>
        <w:rPr>
          <w:rFonts w:ascii="宋体"/>
          <w:bCs/>
          <w:szCs w:val="21"/>
          <w:highlight w:val="none"/>
        </w:rPr>
      </w:pPr>
      <w:bookmarkStart w:id="28" w:name="_Toc24655"/>
      <w:bookmarkEnd w:id="28"/>
      <w:bookmarkStart w:id="29" w:name="_Toc10668_WPSOffice_Level3"/>
      <w:bookmarkEnd w:id="29"/>
      <w:r>
        <w:rPr>
          <w:rFonts w:hint="eastAsia" w:ascii="宋体"/>
          <w:b/>
          <w:szCs w:val="21"/>
          <w:highlight w:val="none"/>
        </w:rPr>
        <w:t>14.保密</w:t>
      </w:r>
    </w:p>
    <w:p>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15. 招标文件的编制依据</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参照《中华人民共和国招标投标法》、《中华人民共和国招标投标法实施条例》和《中华人民共和国民法典》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16. 招标文件的组成</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投标人须知</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default"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第三章  资格审查办法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第四章  评标办法</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第五章  采购需求和服务要求</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合同条款及格式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投标文件格式</w:t>
      </w:r>
    </w:p>
    <w:p>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第八章  招标人、招标代理机构对本文件的确认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pPr>
        <w:spacing w:line="440" w:lineRule="exact"/>
        <w:ind w:firstLine="422" w:firstLineChars="200"/>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 xml:space="preserve">17. </w:t>
      </w:r>
      <w:r>
        <w:rPr>
          <w:rFonts w:hint="eastAsia" w:ascii="宋体" w:hAnsi="Times New Roman" w:eastAsia="宋体" w:cs="Times New Roman"/>
          <w:b/>
          <w:bCs/>
          <w:color w:val="auto"/>
          <w:szCs w:val="21"/>
          <w:highlight w:val="none"/>
        </w:rPr>
        <w:t>招标文件的异议</w:t>
      </w:r>
      <w:r>
        <w:rPr>
          <w:rFonts w:hint="eastAsia" w:ascii="宋体" w:hAnsi="Times New Roman" w:eastAsia="宋体" w:cs="Times New Roman"/>
          <w:b/>
          <w:bCs/>
          <w:color w:val="auto"/>
          <w:szCs w:val="21"/>
          <w:highlight w:val="none"/>
          <w:lang w:eastAsia="zh-CN"/>
        </w:rPr>
        <w:t>、</w:t>
      </w:r>
      <w:r>
        <w:rPr>
          <w:rFonts w:hint="eastAsia" w:ascii="宋体" w:hAnsi="Times New Roman" w:eastAsia="宋体" w:cs="Times New Roman"/>
          <w:b/>
          <w:bCs/>
          <w:color w:val="auto"/>
          <w:szCs w:val="21"/>
          <w:highlight w:val="none"/>
          <w:lang w:val="en-US" w:eastAsia="zh-CN"/>
        </w:rPr>
        <w:t>澄清</w:t>
      </w:r>
    </w:p>
    <w:p>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截止时间10日前以投标人须知前附表规定的网上留言或书面形式提出。招标人将在收到异议之日起3日内作出答复；作出答复前，将暂停招标投标活动。</w:t>
      </w:r>
    </w:p>
    <w:p>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pPr>
        <w:keepNext w:val="0"/>
        <w:keepLines w:val="0"/>
        <w:widowControl/>
        <w:suppressLineNumbers w:val="0"/>
        <w:snapToGrid w:val="0"/>
        <w:spacing w:before="0" w:beforeAutospacing="0" w:after="0" w:afterAutospacing="0" w:line="400" w:lineRule="exact"/>
        <w:ind w:left="0" w:right="0" w:firstLine="422" w:firstLineChars="20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18. 招标文件的发出</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bookmarkStart w:id="30" w:name="_Toc1549_WPSOffice_Level3"/>
      <w:bookmarkEnd w:id="30"/>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pPr>
        <w:keepNext w:val="0"/>
        <w:keepLines w:val="0"/>
        <w:widowControl/>
        <w:suppressLineNumbers w:val="0"/>
        <w:spacing w:before="0" w:beforeAutospacing="0" w:after="0" w:afterAutospacing="0" w:line="312" w:lineRule="auto"/>
        <w:ind w:left="0" w:right="0" w:firstLine="527" w:firstLineChars="250"/>
        <w:jc w:val="both"/>
        <w:rPr>
          <w:rFonts w:hint="eastAsia" w:ascii="宋体" w:hAnsi="Calibri" w:eastAsia="宋体" w:cs="宋体"/>
          <w:highlight w:val="none"/>
          <w:lang w:val="en-US"/>
        </w:rPr>
      </w:pPr>
      <w:r>
        <w:rPr>
          <w:rFonts w:hint="eastAsia" w:ascii="黑体" w:hAnsi="宋体" w:eastAsia="黑体" w:cs="宋体"/>
          <w:b/>
          <w:bCs w:val="0"/>
          <w:color w:val="000000"/>
          <w:kern w:val="0"/>
          <w:sz w:val="21"/>
          <w:szCs w:val="21"/>
          <w:highlight w:val="none"/>
          <w:u w:color="000000"/>
          <w:lang w:val="en-US" w:eastAsia="zh-CN" w:bidi="ar"/>
        </w:rPr>
        <w:t>19. 投标的语言及度量衡单位</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19.1投标人的投标文件、以及投标人与招标人就投标的所有往来函电，均须使用简体中文。</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19.2除招标文件中另有规定外，投标文件所使用的度量衡均须采用法定计量单位。</w:t>
      </w:r>
    </w:p>
    <w:p>
      <w:pPr>
        <w:keepNext w:val="0"/>
        <w:keepLines w:val="0"/>
        <w:widowControl/>
        <w:suppressLineNumbers w:val="0"/>
        <w:spacing w:before="0" w:beforeAutospacing="0" w:after="0" w:afterAutospacing="0" w:line="312" w:lineRule="auto"/>
        <w:ind w:left="0" w:right="0" w:firstLine="527" w:firstLineChars="250"/>
        <w:jc w:val="both"/>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20. 投标文件的组成</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20.1投标文件</w:t>
      </w:r>
      <w:r>
        <w:rPr>
          <w:rFonts w:hint="default" w:ascii="宋体" w:hAnsi="宋体" w:eastAsia="宋体" w:cs="宋体"/>
          <w:color w:val="000000"/>
          <w:kern w:val="0"/>
          <w:sz w:val="21"/>
          <w:szCs w:val="21"/>
          <w:highlight w:val="none"/>
          <w:u w:color="000000"/>
          <w:lang w:val="en-US" w:eastAsia="zh-CN" w:bidi="ar"/>
        </w:rPr>
        <w:t>须</w:t>
      </w:r>
      <w:r>
        <w:rPr>
          <w:rFonts w:hint="eastAsia" w:ascii="宋体" w:hAnsi="宋体" w:eastAsia="宋体" w:cs="宋体"/>
          <w:color w:val="000000"/>
          <w:kern w:val="0"/>
          <w:sz w:val="21"/>
          <w:szCs w:val="21"/>
          <w:highlight w:val="none"/>
          <w:u w:color="000000"/>
          <w:lang w:val="en-US" w:eastAsia="zh-CN" w:bidi="ar"/>
        </w:rPr>
        <w:t>签字盖章完毕后扫描成一个连续性的整体PDF格式文件。</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20.2投标文件的编制</w:t>
      </w:r>
    </w:p>
    <w:p>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（1）投标文件应按第六章“投标文件格式文本”进行编写，如有必要，可以增加附页，作为投标文件的组成部分。</w:t>
      </w:r>
    </w:p>
    <w:p>
      <w:pPr>
        <w:keepNext w:val="0"/>
        <w:keepLines w:val="0"/>
        <w:widowControl/>
        <w:suppressLineNumbers w:val="0"/>
        <w:spacing w:before="0" w:beforeAutospacing="0" w:after="0" w:afterAutospacing="0" w:line="312" w:lineRule="auto"/>
        <w:ind w:left="0" w:right="0" w:firstLine="527" w:firstLineChars="250"/>
        <w:jc w:val="both"/>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21.投标报价</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报价文件中的报价全部采用人民币表示。投标人的报价应含有服务、利润、税金、政策性文件规定及合同包含的所有风险、责任、义务等，即为完成招标文件要求的服务（货物）内容所包含的一切应有费用，中标价格今后将不作任何调整，招标人后期不再追加费用，投标供应商自行考虑投标风险。</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21.2投标人只允许有一个方案、一个报价。</w:t>
      </w:r>
    </w:p>
    <w:p>
      <w:pPr>
        <w:spacing w:line="440" w:lineRule="exact"/>
        <w:ind w:firstLine="420" w:firstLineChars="200"/>
        <w:rPr>
          <w:rFonts w:ascii="宋体" w:hAnsi="宋体" w:cs="宋体"/>
          <w:kern w:val="1"/>
          <w:szCs w:val="21"/>
          <w:highlight w:val="none"/>
        </w:rPr>
      </w:pPr>
      <w:r>
        <w:rPr>
          <w:rFonts w:hint="eastAsia" w:ascii="宋体" w:hAnsi="宋体" w:eastAsia="宋体" w:cs="宋体"/>
          <w:color w:val="000000"/>
          <w:kern w:val="0"/>
          <w:sz w:val="21"/>
          <w:szCs w:val="21"/>
          <w:highlight w:val="none"/>
          <w:u w:color="000000"/>
          <w:lang w:val="en-US" w:eastAsia="zh-CN" w:bidi="ar"/>
        </w:rPr>
        <w:t>21.3</w:t>
      </w:r>
      <w:r>
        <w:rPr>
          <w:rFonts w:hint="eastAsia" w:ascii="宋体"/>
          <w:color w:val="000000"/>
          <w:szCs w:val="21"/>
          <w:highlight w:val="none"/>
        </w:rPr>
        <w:t>投标人应按</w:t>
      </w:r>
      <w:r>
        <w:rPr>
          <w:rFonts w:hint="eastAsia" w:ascii="宋体"/>
          <w:szCs w:val="21"/>
          <w:highlight w:val="none"/>
        </w:rPr>
        <w:t>“</w:t>
      </w:r>
      <w:r>
        <w:rPr>
          <w:rFonts w:hint="eastAsia" w:ascii="宋体"/>
          <w:szCs w:val="21"/>
          <w:highlight w:val="none"/>
          <w:lang w:eastAsia="zh-CN"/>
        </w:rPr>
        <w:t>第</w:t>
      </w:r>
      <w:r>
        <w:rPr>
          <w:rFonts w:hint="eastAsia" w:ascii="宋体"/>
          <w:szCs w:val="21"/>
          <w:highlight w:val="none"/>
          <w:lang w:val="en-US" w:eastAsia="zh-CN"/>
        </w:rPr>
        <w:t>五章采购需求和服务要求</w:t>
      </w:r>
      <w:r>
        <w:rPr>
          <w:rFonts w:hint="eastAsia" w:ascii="宋体"/>
          <w:szCs w:val="21"/>
          <w:highlight w:val="none"/>
        </w:rPr>
        <w:t>”所列服务内容进行报价，</w:t>
      </w:r>
      <w:r>
        <w:rPr>
          <w:rFonts w:hint="eastAsia" w:ascii="宋体"/>
          <w:bCs/>
          <w:szCs w:val="21"/>
          <w:highlight w:val="none"/>
          <w:lang w:val="zh-CN"/>
        </w:rPr>
        <w:t>投标报价为完成本次招标项目的全费用价格，其组成包括</w:t>
      </w:r>
      <w:r>
        <w:rPr>
          <w:rFonts w:hint="eastAsia" w:ascii="宋体"/>
          <w:bCs/>
          <w:szCs w:val="21"/>
          <w:highlight w:val="none"/>
          <w:lang w:val="en-US" w:eastAsia="zh-CN"/>
        </w:rPr>
        <w:t>验收产生相关费用及</w:t>
      </w:r>
      <w:r>
        <w:rPr>
          <w:rFonts w:hint="eastAsia" w:ascii="宋体" w:hAnsi="宋体"/>
          <w:color w:val="000000"/>
          <w:szCs w:val="21"/>
          <w:highlight w:val="none"/>
        </w:rPr>
        <w:t>国家对中标单位征收的各种税费等所有一切费用，</w:t>
      </w:r>
      <w:r>
        <w:rPr>
          <w:rFonts w:hint="eastAsia" w:ascii="宋体" w:hAnsi="宋体"/>
          <w:color w:val="000000"/>
          <w:szCs w:val="21"/>
          <w:highlight w:val="none"/>
          <w:lang w:val="en-US" w:eastAsia="zh-CN"/>
        </w:rPr>
        <w:t>投标报价</w:t>
      </w:r>
      <w:r>
        <w:rPr>
          <w:rFonts w:hint="eastAsia" w:ascii="宋体" w:hAnsi="宋体"/>
          <w:color w:val="000000"/>
          <w:szCs w:val="21"/>
          <w:highlight w:val="none"/>
        </w:rPr>
        <w:t>今后将不作任何调整。。</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21.4</w:t>
      </w:r>
      <w:r>
        <w:rPr>
          <w:rFonts w:hint="eastAsia" w:ascii="宋体"/>
          <w:color w:val="000000"/>
          <w:szCs w:val="21"/>
          <w:highlight w:val="none"/>
        </w:rPr>
        <w:t>投标报价的价格是完成项目全部内容交付验收的价格，其总价即为履行合同的固定总价</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20" w:firstLineChars="200"/>
        <w:jc w:val="both"/>
        <w:rPr>
          <w:rFonts w:ascii="宋体" w:hAnsi="宋体" w:cs="宋体"/>
          <w:kern w:val="1"/>
          <w:szCs w:val="21"/>
          <w:highlight w:val="none"/>
        </w:rPr>
      </w:pPr>
      <w:r>
        <w:rPr>
          <w:rFonts w:hint="eastAsia" w:ascii="宋体" w:hAnsi="宋体" w:eastAsia="宋体" w:cs="宋体"/>
          <w:bCs/>
          <w:color w:val="000000"/>
          <w:kern w:val="0"/>
          <w:sz w:val="21"/>
          <w:szCs w:val="21"/>
          <w:highlight w:val="none"/>
          <w:u w:color="000000"/>
          <w:lang w:val="en-US" w:eastAsia="zh-CN" w:bidi="ar"/>
        </w:rPr>
        <w:t>21.5</w:t>
      </w:r>
      <w:r>
        <w:rPr>
          <w:rFonts w:ascii="宋体" w:hAnsi="宋体" w:cs="宋体"/>
          <w:kern w:val="1"/>
          <w:szCs w:val="21"/>
          <w:highlight w:val="none"/>
        </w:rPr>
        <w:t>投标报价应由法定代表人或被授权人签署。</w:t>
      </w:r>
    </w:p>
    <w:p>
      <w:pPr>
        <w:spacing w:line="420" w:lineRule="exact"/>
        <w:ind w:firstLine="420"/>
        <w:rPr>
          <w:rFonts w:ascii="宋体" w:hAnsi="宋体" w:cs="宋体"/>
          <w:kern w:val="1"/>
          <w:szCs w:val="21"/>
          <w:highlight w:val="none"/>
        </w:rPr>
      </w:pPr>
      <w:r>
        <w:rPr>
          <w:rFonts w:hint="eastAsia" w:ascii="宋体" w:hAnsi="宋体" w:eastAsia="宋体" w:cs="宋体"/>
          <w:color w:val="000000"/>
          <w:kern w:val="0"/>
          <w:sz w:val="21"/>
          <w:szCs w:val="21"/>
          <w:highlight w:val="none"/>
          <w:u w:color="000000"/>
          <w:lang w:val="en-US" w:eastAsia="zh-CN" w:bidi="ar"/>
        </w:rPr>
        <w:t>21.6</w:t>
      </w:r>
      <w:r>
        <w:rPr>
          <w:rFonts w:ascii="宋体" w:hAnsi="宋体" w:cs="宋体"/>
          <w:kern w:val="1"/>
          <w:szCs w:val="21"/>
          <w:highlight w:val="none"/>
        </w:rPr>
        <w:t>投标人的报价不得高于本次招标最高限价，</w:t>
      </w:r>
      <w:r>
        <w:rPr>
          <w:rFonts w:ascii="宋体" w:hAnsi="宋体" w:cs="宋体"/>
          <w:b/>
          <w:bCs/>
          <w:kern w:val="1"/>
          <w:szCs w:val="21"/>
          <w:highlight w:val="none"/>
        </w:rPr>
        <w:t>否则将作为无效投标处理</w:t>
      </w:r>
      <w:r>
        <w:rPr>
          <w:rFonts w:ascii="宋体" w:hAnsi="宋体" w:cs="宋体"/>
          <w:kern w:val="1"/>
          <w:szCs w:val="21"/>
          <w:highlight w:val="none"/>
        </w:rPr>
        <w:t>。</w:t>
      </w:r>
    </w:p>
    <w:p>
      <w:pPr>
        <w:keepNext w:val="0"/>
        <w:keepLines w:val="0"/>
        <w:widowControl/>
        <w:suppressLineNumbers w:val="0"/>
        <w:spacing w:before="0" w:beforeAutospacing="0" w:after="0" w:afterAutospacing="0" w:line="440" w:lineRule="exact"/>
        <w:ind w:left="0" w:right="0" w:firstLine="420" w:firstLineChars="200"/>
        <w:jc w:val="both"/>
        <w:rPr>
          <w:rFonts w:ascii="宋体" w:hAnsi="宋体" w:cs="宋体"/>
          <w:kern w:val="1"/>
          <w:szCs w:val="21"/>
          <w:highlight w:val="none"/>
        </w:rPr>
      </w:pPr>
      <w:r>
        <w:rPr>
          <w:rFonts w:hint="eastAsia" w:ascii="宋体" w:hAnsi="宋体" w:cs="宋体"/>
          <w:kern w:val="1"/>
          <w:szCs w:val="21"/>
          <w:highlight w:val="none"/>
          <w:lang w:val="en-US" w:eastAsia="zh-CN"/>
        </w:rPr>
        <w:t>21.7</w:t>
      </w:r>
      <w:r>
        <w:rPr>
          <w:rFonts w:ascii="宋体" w:hAnsi="宋体" w:cs="宋体"/>
          <w:kern w:val="1"/>
          <w:szCs w:val="21"/>
          <w:highlight w:val="none"/>
        </w:rPr>
        <w:t>总投标价中不得包含招标文件要求以外的内容，否则，在评标时不予核减，但在授予合同时，</w:t>
      </w:r>
      <w:r>
        <w:rPr>
          <w:rFonts w:hint="eastAsia" w:ascii="宋体" w:hAnsi="宋体" w:cs="宋体"/>
          <w:kern w:val="1"/>
          <w:szCs w:val="21"/>
          <w:highlight w:val="none"/>
          <w:lang w:eastAsia="zh-CN"/>
        </w:rPr>
        <w:t>招标人</w:t>
      </w:r>
      <w:r>
        <w:rPr>
          <w:rFonts w:ascii="宋体" w:hAnsi="宋体" w:cs="宋体"/>
          <w:kern w:val="1"/>
          <w:szCs w:val="21"/>
          <w:highlight w:val="none"/>
        </w:rPr>
        <w:t>有权将这部分价格从其中标价格中扣除。</w:t>
      </w:r>
    </w:p>
    <w:p>
      <w:pPr>
        <w:keepNext w:val="0"/>
        <w:keepLines w:val="0"/>
        <w:widowControl/>
        <w:suppressLineNumbers w:val="0"/>
        <w:spacing w:before="0" w:beforeAutospacing="0" w:after="0" w:afterAutospacing="0" w:line="440" w:lineRule="exact"/>
        <w:ind w:left="0" w:right="0" w:firstLine="420" w:firstLineChars="200"/>
        <w:jc w:val="both"/>
        <w:rPr>
          <w:rFonts w:hint="default" w:eastAsia="楷体_GB2312"/>
          <w:highlight w:val="none"/>
          <w:lang w:val="en-US" w:eastAsia="zh-CN"/>
        </w:rPr>
      </w:pPr>
      <w:r>
        <w:rPr>
          <w:rFonts w:hint="eastAsia" w:ascii="宋体" w:hAnsi="宋体" w:cs="宋体"/>
          <w:kern w:val="1"/>
          <w:szCs w:val="21"/>
          <w:highlight w:val="none"/>
          <w:lang w:val="en-US" w:eastAsia="zh-CN"/>
        </w:rPr>
        <w:t>21.8</w:t>
      </w:r>
      <w:r>
        <w:rPr>
          <w:rFonts w:ascii="宋体" w:hAnsi="宋体" w:cs="宋体"/>
          <w:kern w:val="1"/>
          <w:szCs w:val="21"/>
          <w:highlight w:val="none"/>
        </w:rPr>
        <w:t>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pPr>
        <w:keepNext w:val="0"/>
        <w:keepLines w:val="0"/>
        <w:widowControl/>
        <w:suppressLineNumbers w:val="0"/>
        <w:spacing w:before="0" w:beforeAutospacing="0" w:after="0" w:afterAutospacing="0" w:line="400" w:lineRule="exact"/>
        <w:ind w:left="0" w:right="0" w:firstLine="422" w:firstLineChars="200"/>
        <w:jc w:val="both"/>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22.投标有效期</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22.1 </w:t>
      </w:r>
      <w:r>
        <w:rPr>
          <w:rFonts w:hint="eastAsia" w:ascii="宋体"/>
          <w:color w:val="000000"/>
          <w:szCs w:val="21"/>
          <w:highlight w:val="none"/>
          <w:lang w:eastAsia="zh-CN"/>
        </w:rPr>
        <w:t>投标有效期见</w:t>
      </w:r>
      <w:r>
        <w:rPr>
          <w:rFonts w:hint="eastAsia" w:ascii="宋体"/>
          <w:color w:val="000000"/>
          <w:szCs w:val="21"/>
          <w:highlight w:val="none"/>
        </w:rPr>
        <w:t>投标人须知前附表</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22.2在投标有效期内，投标人撤销或修改其投标文件的，应承担招标文件和法律规定的责任。</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22.3出现特殊情况需要延长投标有效期的，招标人以书面形式通知所有投标人延长投标有效期。投标人同意延长的，不得要求或被允许修改或撤销其投标文件；投标人拒绝延长的，其投标失效。</w:t>
      </w:r>
    </w:p>
    <w:p>
      <w:pPr>
        <w:keepNext w:val="0"/>
        <w:keepLines w:val="0"/>
        <w:widowControl/>
        <w:numPr>
          <w:ilvl w:val="0"/>
          <w:numId w:val="0"/>
        </w:numPr>
        <w:suppressLineNumbers w:val="0"/>
        <w:spacing w:before="0" w:beforeAutospacing="0" w:after="0" w:afterAutospacing="0" w:line="400" w:lineRule="exact"/>
        <w:ind w:leftChars="200" w:right="0" w:rightChars="0"/>
        <w:jc w:val="both"/>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23.投标保证金</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23.1本项目不要求投标人提交投标保证金。</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1" w:name="_Toc6570_WPSOffice_Level3"/>
      <w:bookmarkEnd w:id="31"/>
      <w:bookmarkStart w:id="32" w:name="_Toc26398"/>
      <w:r>
        <w:rPr>
          <w:rFonts w:hint="eastAsia" w:ascii="宋体" w:hAnsi="宋体" w:eastAsia="宋体" w:cs="宋体"/>
          <w:b/>
          <w:bCs w:val="0"/>
          <w:color w:val="000000"/>
          <w:kern w:val="0"/>
          <w:sz w:val="24"/>
          <w:szCs w:val="24"/>
          <w:highlight w:val="none"/>
          <w:u w:color="000000"/>
          <w:lang w:val="en-US" w:eastAsia="zh-CN" w:bidi="ar"/>
        </w:rPr>
        <w:t>（四）</w:t>
      </w:r>
      <w:bookmarkEnd w:id="32"/>
      <w:r>
        <w:rPr>
          <w:rFonts w:hint="eastAsia" w:ascii="宋体"/>
          <w:b/>
          <w:color w:val="auto"/>
          <w:sz w:val="24"/>
          <w:szCs w:val="24"/>
          <w:highlight w:val="none"/>
        </w:rPr>
        <w:t>投标文件的递交</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highlight w:val="none"/>
          <w:lang w:val="en-US"/>
        </w:rPr>
      </w:pPr>
      <w:bookmarkStart w:id="33" w:name="_Toc30407_WPSOffice_Level3"/>
      <w:bookmarkEnd w:id="33"/>
      <w:r>
        <w:rPr>
          <w:rFonts w:hint="eastAsia" w:ascii="宋体" w:hAnsi="宋体" w:eastAsia="宋体" w:cs="宋体"/>
          <w:b/>
          <w:bCs w:val="0"/>
          <w:color w:val="000000"/>
          <w:kern w:val="0"/>
          <w:sz w:val="21"/>
          <w:szCs w:val="21"/>
          <w:highlight w:val="none"/>
          <w:u w:color="000000"/>
          <w:lang w:val="en-US" w:eastAsia="zh-CN" w:bidi="ar"/>
        </w:rPr>
        <w:t>24.投标文件的份数和签署</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24.1投标文件份数：一份电子文件。投标人中标后须递交与网上电子投标文件完全一致的纸质版投标文件，并按要求加盖公章；份数：正本1份，副本2份；中标单位领取中标通知书时，一并递交给招标代理机构。</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24.2按格式文件要求签字或盖章，否则经评委会一致认定且经过招标人同意后, 按照无效投标处理。</w:t>
      </w:r>
    </w:p>
    <w:p>
      <w:pPr>
        <w:keepNext w:val="0"/>
        <w:keepLines w:val="0"/>
        <w:widowControl/>
        <w:suppressLineNumbers w:val="0"/>
        <w:spacing w:before="0" w:beforeAutospacing="0" w:after="0" w:afterAutospacing="0" w:line="400" w:lineRule="exact"/>
        <w:ind w:left="0" w:right="0" w:firstLine="422"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25.投标文件的提交</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 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p>
    <w:p>
      <w:pPr>
        <w:keepNext w:val="0"/>
        <w:keepLines w:val="0"/>
        <w:widowControl/>
        <w:suppressLineNumbers w:val="0"/>
        <w:spacing w:before="0" w:beforeAutospacing="0" w:after="0" w:afterAutospacing="0" w:line="440" w:lineRule="exact"/>
        <w:ind w:left="0" w:right="0" w:firstLine="422" w:firstLineChars="200"/>
        <w:jc w:val="both"/>
        <w:rPr>
          <w:rFonts w:hint="eastAsia" w:ascii="宋体" w:hAnsi="宋体" w:eastAsia="宋体" w:cs="宋体"/>
          <w:b/>
          <w:bCs w:val="0"/>
          <w:highlight w:val="none"/>
          <w:lang w:val="en-US"/>
        </w:rPr>
      </w:pPr>
      <w:bookmarkStart w:id="34" w:name="_Toc490"/>
      <w:bookmarkEnd w:id="34"/>
      <w:r>
        <w:rPr>
          <w:rFonts w:hint="eastAsia" w:ascii="宋体" w:hAnsi="宋体" w:eastAsia="宋体" w:cs="宋体"/>
          <w:b/>
          <w:bCs w:val="0"/>
          <w:color w:val="000000"/>
          <w:kern w:val="0"/>
          <w:sz w:val="21"/>
          <w:szCs w:val="21"/>
          <w:highlight w:val="none"/>
          <w:u w:color="000000"/>
          <w:lang w:val="en-US" w:eastAsia="zh-CN" w:bidi="ar"/>
        </w:rPr>
        <w:t>26.投标文件的</w:t>
      </w:r>
      <w:r>
        <w:rPr>
          <w:rFonts w:hint="eastAsia" w:ascii="宋体"/>
          <w:b/>
          <w:szCs w:val="21"/>
          <w:highlight w:val="none"/>
        </w:rPr>
        <w:t>修改与撤回</w:t>
      </w:r>
    </w:p>
    <w:p>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26.1在第一章“招标公告”规定的投标截止时间前，投标人可以自行从网上撤回已递交的投标文件，并可修改后重新发送，开标时以投标截止时间前投标人最后送达的投标文件为准。</w:t>
      </w:r>
    </w:p>
    <w:p>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27.</w:t>
      </w:r>
      <w:r>
        <w:rPr>
          <w:rFonts w:hint="eastAsia" w:ascii="黑体" w:hAnsi="宋体" w:eastAsia="黑体" w:cs="宋体"/>
          <w:b/>
          <w:bCs w:val="0"/>
          <w:color w:val="000000"/>
          <w:kern w:val="0"/>
          <w:sz w:val="21"/>
          <w:szCs w:val="21"/>
          <w:highlight w:val="none"/>
          <w:u w:color="000000"/>
          <w:lang w:val="en-US" w:eastAsia="zh-CN" w:bidi="ar"/>
        </w:rPr>
        <w:t>开标</w:t>
      </w:r>
    </w:p>
    <w:p>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27.1 开标的时间和地点</w:t>
      </w:r>
    </w:p>
    <w:p>
      <w:pPr>
        <w:keepNext w:val="0"/>
        <w:keepLines w:val="0"/>
        <w:pageBreakBefore w:val="0"/>
        <w:widowControl/>
        <w:kinsoku/>
        <w:wordWrap/>
        <w:overflowPunct/>
        <w:topLinePunct w:val="0"/>
        <w:autoSpaceDE/>
        <w:autoSpaceDN/>
        <w:bidi w:val="0"/>
        <w:spacing w:line="440" w:lineRule="exact"/>
        <w:ind w:firstLine="420" w:firstLineChars="200"/>
        <w:jc w:val="left"/>
        <w:textAlignment w:val="baseline"/>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27.1.1招标人投标须知前附表规定的提交投标文件的截止时间和地点公开开标</w:t>
      </w:r>
      <w:r>
        <w:rPr>
          <w:rFonts w:hint="eastAsia" w:ascii="宋体" w:cs="宋体"/>
          <w:color w:val="auto"/>
          <w:szCs w:val="21"/>
          <w:highlight w:val="none"/>
        </w:rPr>
        <w:t>。</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27.2 参与开标的监督部门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bookmarkStart w:id="35" w:name="_Toc15542_WPSOffice_Level3"/>
      <w:bookmarkEnd w:id="35"/>
      <w:r>
        <w:rPr>
          <w:rFonts w:hint="eastAsia" w:ascii="宋体" w:hAnsi="宋体" w:eastAsia="宋体" w:cs="宋体"/>
          <w:color w:val="000000"/>
          <w:kern w:val="0"/>
          <w:sz w:val="21"/>
          <w:szCs w:val="21"/>
          <w:highlight w:val="none"/>
          <w:u w:color="000000"/>
          <w:lang w:val="en-US" w:eastAsia="zh-CN" w:bidi="ar"/>
        </w:rPr>
        <w:t>27.2.1招标人可以邀请相关监督部门参加。</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27.3开标程序</w:t>
      </w:r>
    </w:p>
    <w:p>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（2）宣布招标人、代理机构主持人、监督人等有关人员姓名；</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（3）投标人在投标截止时间后，规定时间内完成投标文件解密工作；</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（4）公布投标人投标报价、服务期及其他内容，并记录在案；</w:t>
      </w:r>
    </w:p>
    <w:p>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（5）开标结束。</w:t>
      </w:r>
    </w:p>
    <w:p>
      <w:pPr>
        <w:keepNext w:val="0"/>
        <w:keepLines w:val="0"/>
        <w:widowControl/>
        <w:suppressLineNumbers w:val="0"/>
        <w:autoSpaceDE w:val="0"/>
        <w:autoSpaceDN/>
        <w:spacing w:before="0" w:beforeAutospacing="0" w:after="0" w:afterAutospacing="0" w:line="400" w:lineRule="exact"/>
        <w:ind w:left="0" w:right="0" w:firstLine="422" w:firstLineChars="200"/>
        <w:jc w:val="both"/>
        <w:rPr>
          <w:rFonts w:hint="eastAsia" w:ascii="黑体" w:hAnsi="宋体" w:eastAsia="黑体" w:cs="宋体"/>
          <w:b/>
          <w:bCs w:val="0"/>
          <w:color w:val="000000"/>
          <w:kern w:val="0"/>
          <w:sz w:val="21"/>
          <w:szCs w:val="21"/>
          <w:highlight w:val="none"/>
          <w:u w:color="000000"/>
          <w:lang w:val="en-US" w:eastAsia="zh-CN" w:bidi="ar"/>
        </w:rPr>
      </w:pPr>
      <w:r>
        <w:rPr>
          <w:rFonts w:hint="eastAsia" w:ascii="黑体" w:hAnsi="宋体" w:eastAsia="黑体" w:cs="宋体"/>
          <w:b/>
          <w:bCs w:val="0"/>
          <w:color w:val="000000"/>
          <w:kern w:val="0"/>
          <w:sz w:val="21"/>
          <w:szCs w:val="21"/>
          <w:highlight w:val="none"/>
          <w:u w:color="000000"/>
          <w:lang w:val="en-US" w:eastAsia="zh-CN" w:bidi="ar"/>
        </w:rPr>
        <w:t>28.开标异议</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pPr>
        <w:keepNext w:val="0"/>
        <w:keepLines w:val="0"/>
        <w:widowControl/>
        <w:suppressLineNumbers w:val="0"/>
        <w:spacing w:before="0" w:beforeAutospacing="0" w:after="0" w:afterAutospacing="0" w:line="44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29.评标委员会</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  评标委员会的组成</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cs="宋体"/>
          <w:color w:val="auto"/>
          <w:szCs w:val="21"/>
          <w:highlight w:val="none"/>
          <w:lang w:val="en-US" w:eastAsia="zh-CN"/>
        </w:rPr>
        <w:t xml:space="preserve">29.2  </w:t>
      </w:r>
      <w:r>
        <w:rPr>
          <w:rFonts w:hint="eastAsia" w:ascii="宋体" w:hAnsi="宋体" w:cs="宋体"/>
          <w:color w:val="auto"/>
          <w:szCs w:val="21"/>
          <w:highlight w:val="none"/>
        </w:rPr>
        <w:t>评标委员会成员有下列情形之一的，应当回避：</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29.3 </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29.4招标人授权评标委员会对投标人资格进行审查。</w:t>
      </w:r>
    </w:p>
    <w:p>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30. 评标</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.1评标委员会按照第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章“评标办法”规定的方法、评审因素、标准和程序对投标文件进行评审。第</w:t>
      </w: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章“评标办法”没有规定的方法、评审因素和标准，不作为评标依据。</w:t>
      </w:r>
    </w:p>
    <w:p>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30.3评标原则：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6" w:name="_Toc5272_WPSOffice_Level3"/>
      <w:bookmarkEnd w:id="36"/>
      <w:r>
        <w:rPr>
          <w:rFonts w:hint="eastAsia" w:ascii="宋体" w:hAnsi="宋体" w:eastAsia="宋体" w:cs="宋体"/>
          <w:color w:val="000000"/>
          <w:kern w:val="0"/>
          <w:sz w:val="21"/>
          <w:szCs w:val="21"/>
          <w:highlight w:val="none"/>
          <w:u w:color="000000"/>
          <w:lang w:val="en-US" w:eastAsia="zh-CN" w:bidi="ar"/>
        </w:rPr>
        <w:t>30.3.1遵循公平、公正、科学和择优的原则。</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30.4报价合理性的判断</w:t>
      </w:r>
    </w:p>
    <w:p>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0</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30.6</w:t>
      </w:r>
      <w:r>
        <w:rPr>
          <w:rFonts w:hint="eastAsia" w:ascii="宋体" w:hAnsi="Times New Roman" w:eastAsia="宋体" w:cs="Times New Roman"/>
          <w:color w:val="auto"/>
          <w:szCs w:val="21"/>
          <w:highlight w:val="none"/>
        </w:rPr>
        <w:t>评标报告的签署</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30.6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30.7</w:t>
      </w:r>
      <w:r>
        <w:rPr>
          <w:rFonts w:hint="eastAsia" w:ascii="宋体" w:hAnsi="Times New Roman" w:eastAsia="宋体" w:cs="Times New Roman"/>
          <w:color w:val="auto"/>
          <w:szCs w:val="21"/>
          <w:highlight w:val="none"/>
        </w:rPr>
        <w:t>评标过程的保密</w:t>
      </w:r>
    </w:p>
    <w:p>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30.7.1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Calibri" w:eastAsia="宋体" w:cs="宋体"/>
          <w:b/>
          <w:bCs/>
          <w:highlight w:val="none"/>
          <w:lang w:val="en-US"/>
        </w:rPr>
      </w:pPr>
      <w:r>
        <w:rPr>
          <w:rFonts w:hint="eastAsia" w:ascii="宋体" w:hAnsi="宋体" w:eastAsia="宋体" w:cs="宋体"/>
          <w:b/>
          <w:bCs/>
          <w:color w:val="000000"/>
          <w:kern w:val="0"/>
          <w:sz w:val="21"/>
          <w:szCs w:val="21"/>
          <w:highlight w:val="none"/>
          <w:u w:color="000000"/>
          <w:lang w:val="en-US" w:eastAsia="zh-CN" w:bidi="ar"/>
        </w:rPr>
        <w:t>31.</w:t>
      </w:r>
      <w:r>
        <w:rPr>
          <w:rFonts w:hint="eastAsia" w:ascii="宋体" w:hAnsi="宋体" w:eastAsia="宋体" w:cs="宋体"/>
          <w:b/>
          <w:bCs w:val="0"/>
          <w:color w:val="000000"/>
          <w:kern w:val="0"/>
          <w:sz w:val="21"/>
          <w:szCs w:val="21"/>
          <w:highlight w:val="none"/>
          <w:u w:color="000000"/>
          <w:lang w:val="en-US" w:eastAsia="zh-CN" w:bidi="ar"/>
        </w:rPr>
        <w:t>开评审异常情况处理</w:t>
      </w:r>
    </w:p>
    <w:p>
      <w:pPr>
        <w:keepNext w:val="0"/>
        <w:keepLines w:val="0"/>
        <w:widowControl/>
        <w:suppressLineNumbers w:val="0"/>
        <w:spacing w:before="0" w:beforeAutospacing="0" w:after="0" w:afterAutospacing="0" w:line="420" w:lineRule="exact"/>
        <w:ind w:left="0" w:right="-313" w:rightChars="-149" w:firstLine="420" w:firstLineChars="200"/>
        <w:jc w:val="both"/>
        <w:rPr>
          <w:rFonts w:hint="eastAsia" w:ascii="宋体" w:hAnsi="宋体" w:eastAsia="宋体" w:cs="宋体"/>
          <w:color w:val="000000"/>
          <w:kern w:val="0"/>
          <w:sz w:val="21"/>
          <w:szCs w:val="21"/>
          <w:highlight w:val="none"/>
          <w:u w:color="000000"/>
          <w:lang w:val="en-US" w:eastAsia="zh-CN" w:bidi="ar"/>
        </w:rPr>
      </w:pPr>
      <w:bookmarkStart w:id="37" w:name="_Toc8453_WPSOffice_Level3"/>
      <w:r>
        <w:rPr>
          <w:rFonts w:hint="eastAsia" w:ascii="宋体" w:hAnsi="宋体" w:eastAsia="宋体" w:cs="宋体"/>
          <w:color w:val="000000"/>
          <w:kern w:val="0"/>
          <w:sz w:val="21"/>
          <w:szCs w:val="21"/>
          <w:highlight w:val="none"/>
          <w:u w:color="000000"/>
          <w:lang w:val="en-US" w:eastAsia="zh-CN" w:bidi="ar"/>
        </w:rPr>
        <w:t>31.1若有效投标人不足三家，则采用竞争性谈判方式确定中标候选人，若有效投标人只有一家则项目流标。</w:t>
      </w:r>
    </w:p>
    <w:p>
      <w:pPr>
        <w:keepNext w:val="0"/>
        <w:keepLines w:val="0"/>
        <w:widowControl/>
        <w:suppressLineNumbers w:val="0"/>
        <w:autoSpaceDE w:val="0"/>
        <w:autoSpaceDN/>
        <w:spacing w:before="0" w:beforeAutospacing="0" w:after="0" w:afterAutospacing="0" w:line="440" w:lineRule="exact"/>
        <w:ind w:left="0" w:right="0" w:firstLine="422" w:firstLineChars="20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32.重新招标 </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32.1有下列情形之一的，招标人将重新招标：</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w:t>
      </w:r>
      <w:r>
        <w:rPr>
          <w:rFonts w:hint="eastAsia" w:ascii="宋体" w:hAnsi="Times New Roman" w:eastAsia="宋体" w:cs="Times New Roman"/>
          <w:color w:val="auto"/>
          <w:spacing w:val="0"/>
          <w:sz w:val="21"/>
          <w:szCs w:val="21"/>
          <w:highlight w:val="none"/>
          <w:lang w:val="en-US" w:eastAsia="zh-CN"/>
        </w:rPr>
        <w:t>中标候选人均未与招标人签订合同的</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pacing w:val="0"/>
          <w:sz w:val="21"/>
          <w:szCs w:val="21"/>
          <w:highlight w:val="none"/>
          <w:lang w:val="en-US" w:eastAsia="zh-CN"/>
        </w:rPr>
        <w:t>法律、法规规定的其他情形</w:t>
      </w:r>
      <w:r>
        <w:rPr>
          <w:rFonts w:hint="eastAsia" w:ascii="宋体" w:hAnsi="宋体" w:eastAsia="宋体" w:cs="宋体"/>
          <w:color w:val="000000"/>
          <w:kern w:val="0"/>
          <w:sz w:val="21"/>
          <w:szCs w:val="21"/>
          <w:highlight w:val="none"/>
          <w:u w:color="000000"/>
          <w:lang w:val="en-US" w:eastAsia="zh-CN" w:bidi="ar"/>
        </w:rPr>
        <w:t>。</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（六）合同的授予</w:t>
      </w:r>
      <w:bookmarkEnd w:id="37"/>
    </w:p>
    <w:p>
      <w:pPr>
        <w:keepNext w:val="0"/>
        <w:keepLines w:val="0"/>
        <w:widowControl w:val="0"/>
        <w:suppressLineNumbers w:val="0"/>
        <w:autoSpaceDE w:val="0"/>
        <w:autoSpaceDN/>
        <w:spacing w:before="0" w:beforeAutospacing="0" w:after="0" w:afterAutospacing="0" w:line="400" w:lineRule="exact"/>
        <w:ind w:left="0" w:right="0" w:firstLine="521" w:firstLineChars="247"/>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33.中标公示</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w:t>
      </w:r>
      <w:r>
        <w:rPr>
          <w:rFonts w:hint="eastAsia" w:ascii="宋体" w:hAnsi="Times New Roman" w:eastAsia="宋体" w:cs="Times New Roman"/>
          <w:color w:val="auto"/>
          <w:spacing w:val="0"/>
          <w:sz w:val="21"/>
          <w:szCs w:val="21"/>
          <w:highlight w:val="none"/>
        </w:rPr>
        <w:t>招标人在收到评标报告之日起3日内，按照投标人须知前附表规定的公示媒介和期限依法公示。公示期不得少于3日。</w:t>
      </w:r>
    </w:p>
    <w:p>
      <w:pPr>
        <w:keepNext w:val="0"/>
        <w:keepLines w:val="0"/>
        <w:widowControl w:val="0"/>
        <w:numPr>
          <w:ilvl w:val="0"/>
          <w:numId w:val="0"/>
        </w:numPr>
        <w:suppressLineNumbers w:val="0"/>
        <w:autoSpaceDE w:val="0"/>
        <w:autoSpaceDN/>
        <w:spacing w:before="0" w:beforeAutospacing="0" w:after="0" w:afterAutospacing="0" w:line="400" w:lineRule="exact"/>
        <w:ind w:leftChars="247"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34.评标结果异议</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rPr>
      </w:pPr>
      <w:r>
        <w:rPr>
          <w:rFonts w:hint="eastAsia" w:ascii="宋体" w:hAnsi="Times New Roman" w:eastAsia="宋体" w:cs="Times New Roman"/>
          <w:color w:val="auto"/>
          <w:spacing w:val="0"/>
          <w:sz w:val="21"/>
          <w:szCs w:val="21"/>
          <w:highlight w:val="none"/>
          <w:lang w:val="en-US" w:eastAsia="zh-CN"/>
        </w:rPr>
        <w:t>34.1</w:t>
      </w:r>
      <w:r>
        <w:rPr>
          <w:rFonts w:hint="eastAsia" w:ascii="宋体" w:hAnsi="Times New Roman" w:eastAsia="宋体" w:cs="Times New Roman"/>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pPr>
        <w:keepNext w:val="0"/>
        <w:keepLines w:val="0"/>
        <w:pageBreakBefore w:val="0"/>
        <w:widowControl w:val="0"/>
        <w:numPr>
          <w:ilvl w:val="0"/>
          <w:numId w:val="2"/>
        </w:numPr>
        <w:kinsoku/>
        <w:overflowPunct/>
        <w:topLinePunct w:val="0"/>
        <w:autoSpaceDE/>
        <w:autoSpaceDN/>
        <w:bidi w:val="0"/>
        <w:spacing w:line="420" w:lineRule="exact"/>
        <w:ind w:firstLine="521" w:firstLineChars="247"/>
        <w:jc w:val="left"/>
        <w:textAlignment w:val="auto"/>
        <w:rPr>
          <w:rFonts w:hint="default" w:ascii="宋体" w:hAnsi="Times New Roman" w:eastAsia="宋体" w:cs="Times New Roman"/>
          <w:b/>
          <w:color w:val="auto"/>
          <w:spacing w:val="0"/>
          <w:sz w:val="21"/>
          <w:szCs w:val="21"/>
          <w:highlight w:val="none"/>
          <w:lang w:val="en-US" w:eastAsia="zh-CN"/>
        </w:rPr>
      </w:pPr>
      <w:r>
        <w:rPr>
          <w:rFonts w:hint="eastAsia" w:ascii="宋体" w:hAnsi="Times New Roman" w:eastAsia="宋体" w:cs="Times New Roman"/>
          <w:b/>
          <w:color w:val="auto"/>
          <w:spacing w:val="0"/>
          <w:sz w:val="21"/>
          <w:szCs w:val="21"/>
          <w:highlight w:val="none"/>
        </w:rPr>
        <w:t>定标</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35.1按照投标人须知前附表的规定，招标人或招标人授权的评标委员会依法确定中标人。排名第一的中标候选人放弃中标、因不可抗力不能履行合同，或者被查实存在影响中标结果的违法行为等情形，不符合中标条件的，招标人可以按照评标委员会提出的中标候选人名单排序依次确定其他中标候选人为中标人，也可以重新招标。</w:t>
      </w:r>
    </w:p>
    <w:p>
      <w:pPr>
        <w:keepNext w:val="0"/>
        <w:keepLines w:val="0"/>
        <w:pageBreakBefore w:val="0"/>
        <w:widowControl w:val="0"/>
        <w:numPr>
          <w:ilvl w:val="0"/>
          <w:numId w:val="2"/>
        </w:numPr>
        <w:kinsoku/>
        <w:overflowPunct/>
        <w:topLinePunct w:val="0"/>
        <w:autoSpaceDE/>
        <w:autoSpaceDN/>
        <w:bidi w:val="0"/>
        <w:spacing w:line="420" w:lineRule="exact"/>
        <w:ind w:firstLine="521" w:firstLineChars="247"/>
        <w:jc w:val="left"/>
        <w:textAlignment w:val="auto"/>
        <w:rPr>
          <w:rFonts w:hint="eastAsia" w:ascii="宋体" w:hAnsi="Times New Roman" w:eastAsia="宋体" w:cs="Times New Roman"/>
          <w:b/>
          <w:color w:val="auto"/>
          <w:spacing w:val="0"/>
          <w:sz w:val="21"/>
          <w:szCs w:val="21"/>
          <w:highlight w:val="none"/>
          <w:lang w:val="en-US" w:eastAsia="zh-CN"/>
        </w:rPr>
      </w:pPr>
      <w:r>
        <w:rPr>
          <w:rFonts w:hint="eastAsia" w:ascii="宋体" w:hAnsi="Times New Roman" w:eastAsia="宋体" w:cs="Times New Roman"/>
          <w:b/>
          <w:color w:val="auto"/>
          <w:spacing w:val="0"/>
          <w:sz w:val="21"/>
          <w:szCs w:val="21"/>
          <w:highlight w:val="none"/>
          <w:lang w:val="en-US" w:eastAsia="zh-CN"/>
        </w:rPr>
        <w:t>中标通知</w:t>
      </w:r>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highlight w:val="none"/>
        </w:rPr>
      </w:pPr>
      <w:r>
        <w:rPr>
          <w:rFonts w:hint="eastAsia" w:ascii="宋体" w:hAnsi="Times New Roman" w:eastAsia="宋体" w:cs="Times New Roman"/>
          <w:color w:val="auto"/>
          <w:spacing w:val="0"/>
          <w:sz w:val="21"/>
          <w:szCs w:val="21"/>
          <w:highlight w:val="none"/>
          <w:lang w:val="en-US" w:eastAsia="zh-CN"/>
        </w:rPr>
        <w:t>36.1在本招标文件规定的投标有效期内，招标人向中标人发出中标通知书，同时将中标结果通知未中标的投标人。</w:t>
      </w:r>
    </w:p>
    <w:p>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Times New Roman" w:eastAsia="宋体" w:cs="Times New Roman"/>
          <w:b/>
          <w:color w:val="auto"/>
          <w:spacing w:val="0"/>
          <w:sz w:val="21"/>
          <w:szCs w:val="21"/>
          <w:highlight w:val="none"/>
          <w:lang w:val="en-US" w:eastAsia="zh-CN"/>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bookmarkStart w:id="38" w:name="_Toc7247"/>
      <w:bookmarkEnd w:id="38"/>
      <w:r>
        <w:rPr>
          <w:rFonts w:hint="eastAsia" w:ascii="宋体" w:hAnsi="Times New Roman" w:eastAsia="宋体" w:cs="Times New Roman"/>
          <w:b/>
          <w:color w:val="auto"/>
          <w:spacing w:val="0"/>
          <w:sz w:val="21"/>
          <w:szCs w:val="21"/>
          <w:highlight w:val="none"/>
          <w:lang w:val="en-US" w:eastAsia="zh-CN"/>
        </w:rPr>
        <w:t xml:space="preserve"> 37.</w:t>
      </w:r>
      <w:bookmarkStart w:id="39" w:name="_Toc217446068"/>
      <w:r>
        <w:rPr>
          <w:rFonts w:hint="eastAsia" w:ascii="宋体" w:hAnsi="Times New Roman" w:eastAsia="宋体" w:cs="Times New Roman"/>
          <w:b/>
          <w:color w:val="auto"/>
          <w:spacing w:val="0"/>
          <w:sz w:val="21"/>
          <w:szCs w:val="21"/>
          <w:highlight w:val="none"/>
          <w:lang w:val="en-US" w:eastAsia="zh-CN"/>
        </w:rPr>
        <w:t>履约保证金</w:t>
      </w:r>
      <w:bookmarkEnd w:id="39"/>
    </w:p>
    <w:p>
      <w:pPr>
        <w:keepNext w:val="0"/>
        <w:keepLines w:val="0"/>
        <w:pageBreakBefore w:val="0"/>
        <w:widowControl w:val="0"/>
        <w:kinsoku/>
        <w:overflowPunct/>
        <w:topLinePunct w:val="0"/>
        <w:autoSpaceDE/>
        <w:autoSpaceDN/>
        <w:bidi w:val="0"/>
        <w:spacing w:line="420" w:lineRule="exact"/>
        <w:ind w:firstLine="525" w:firstLineChars="250"/>
        <w:jc w:val="left"/>
        <w:textAlignment w:val="auto"/>
        <w:rPr>
          <w:rFonts w:hint="eastAsia" w:ascii="宋体" w:hAnsi="Times New Roman" w:eastAsia="宋体" w:cs="Times New Roman"/>
          <w:color w:val="auto"/>
          <w:spacing w:val="0"/>
          <w:sz w:val="21"/>
          <w:szCs w:val="21"/>
          <w:highlight w:val="none"/>
          <w:lang w:val="en-US" w:eastAsia="zh-CN"/>
        </w:rPr>
      </w:pPr>
      <w:bookmarkStart w:id="40" w:name="_Toc316_WPSOffice_Level3"/>
      <w:bookmarkEnd w:id="40"/>
      <w:bookmarkStart w:id="41" w:name="_Toc23484"/>
      <w:r>
        <w:rPr>
          <w:rFonts w:hint="eastAsia" w:ascii="宋体" w:hAnsi="Times New Roman" w:eastAsia="宋体" w:cs="Times New Roman"/>
          <w:color w:val="auto"/>
          <w:spacing w:val="0"/>
          <w:sz w:val="21"/>
          <w:szCs w:val="21"/>
          <w:highlight w:val="none"/>
          <w:lang w:val="en-US" w:eastAsia="zh-CN"/>
        </w:rPr>
        <w:t>37.1</w:t>
      </w:r>
      <w:bookmarkEnd w:id="41"/>
      <w:r>
        <w:rPr>
          <w:rFonts w:hint="eastAsia" w:ascii="宋体" w:hAnsi="Times New Roman" w:eastAsia="宋体" w:cs="Times New Roman"/>
          <w:color w:val="auto"/>
          <w:spacing w:val="0"/>
          <w:sz w:val="21"/>
          <w:szCs w:val="21"/>
          <w:highlight w:val="none"/>
          <w:lang w:val="en-US" w:eastAsia="zh-CN"/>
        </w:rPr>
        <w:t>本项目不要求提交履约保证金。</w:t>
      </w:r>
    </w:p>
    <w:p>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38.对招标人的纪律要求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38.1招标人不得泄漏招标投标活动中应当保密的情况和资料，不得与投标人串通损害国家利益，社会公共利益或者他人合法权益。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39.对投标人的纪律要求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39.1投标人不得相互串通投标或者与招标人串通投标，不得向招标人或者评标委员会成员行贿谋取中标，不得以他人名义投标或者以其他方式弄虚作假骗取中标；投标人不得以任何方式干扰、影响评标工作。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40.对评标委员会成员的纪律要求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40.1评标委员会成员不得收受他人的财物或者其他好处，不得向他人透漏对投标文件的评审和比较、中标候选人的推荐情况以及评标有关的其他情况。</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kern w:val="10"/>
          <w:highlight w:val="none"/>
          <w:lang w:val="en-US"/>
        </w:rPr>
      </w:pPr>
      <w:r>
        <w:rPr>
          <w:rFonts w:hint="eastAsia" w:ascii="宋体" w:hAnsi="宋体" w:eastAsia="宋体" w:cs="宋体"/>
          <w:color w:val="000000"/>
          <w:kern w:val="10"/>
          <w:sz w:val="21"/>
          <w:szCs w:val="21"/>
          <w:highlight w:val="none"/>
          <w:u w:color="000000"/>
          <w:lang w:val="en-US" w:eastAsia="zh-CN" w:bidi="ar"/>
        </w:rPr>
        <w:t xml:space="preserve">40.2在评标活动中，评标委员会成员不得擅离职守，影响评标程序正常进行，不得使用第三章“评标办法”没有规定的评审因素和标准进行评标。 </w:t>
      </w:r>
    </w:p>
    <w:p>
      <w:pPr>
        <w:keepNext w:val="0"/>
        <w:keepLines w:val="0"/>
        <w:widowControl w:val="0"/>
        <w:suppressLineNumbers w:val="0"/>
        <w:autoSpaceDE w:val="0"/>
        <w:autoSpaceDN/>
        <w:spacing w:before="0" w:beforeAutospacing="0" w:after="0" w:afterAutospacing="0" w:line="400" w:lineRule="exact"/>
        <w:ind w:left="0" w:right="0" w:firstLine="422"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 xml:space="preserve">41.对与评标活动有关的工作人员的纪律要求 </w:t>
      </w:r>
    </w:p>
    <w:p>
      <w:pPr>
        <w:keepNext w:val="0"/>
        <w:keepLines w:val="0"/>
        <w:widowControl w:val="0"/>
        <w:suppressLineNumbers w:val="0"/>
        <w:autoSpaceDE w:val="0"/>
        <w:autoSpaceDN/>
        <w:adjustRightInd w:val="0"/>
        <w:snapToGrid w:val="0"/>
        <w:spacing w:before="0" w:beforeAutospacing="0" w:after="0" w:afterAutospacing="0" w:line="40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color w:val="000000"/>
          <w:kern w:val="10"/>
          <w:sz w:val="21"/>
          <w:szCs w:val="21"/>
          <w:highlight w:val="none"/>
          <w:u w:color="000000"/>
          <w:lang w:val="en-US" w:eastAsia="zh-CN" w:bidi="ar"/>
        </w:rPr>
        <w:t>41.1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pPr>
        <w:keepNext w:val="0"/>
        <w:keepLines w:val="0"/>
        <w:widowControl/>
        <w:suppressLineNumbers w:val="0"/>
        <w:spacing w:before="0" w:beforeAutospacing="0" w:after="0" w:afterAutospacing="0" w:line="380" w:lineRule="exact"/>
        <w:ind w:left="0" w:right="0" w:firstLine="314" w:firstLineChars="149"/>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42. 投诉</w:t>
      </w:r>
    </w:p>
    <w:p>
      <w:pPr>
        <w:adjustRightInd w:val="0"/>
        <w:snapToGrid w:val="0"/>
        <w:spacing w:line="420" w:lineRule="exact"/>
        <w:ind w:firstLine="315" w:firstLineChars="150"/>
        <w:rPr>
          <w:rFonts w:hint="eastAsia" w:ascii="宋体" w:hAnsi="宋体" w:cs="宋体"/>
          <w:color w:val="000000"/>
          <w:szCs w:val="21"/>
          <w:highlight w:val="none"/>
        </w:rPr>
      </w:pPr>
      <w:r>
        <w:rPr>
          <w:rFonts w:hint="eastAsia" w:ascii="宋体" w:hAnsi="Times New Roman" w:eastAsia="宋体" w:cs="Times New Roman"/>
          <w:kern w:val="10"/>
          <w:szCs w:val="21"/>
          <w:highlight w:val="none"/>
          <w:lang w:val="en-US" w:eastAsia="zh-CN"/>
        </w:rPr>
        <w:t>42.1</w:t>
      </w:r>
      <w:r>
        <w:rPr>
          <w:rFonts w:hint="eastAsia" w:ascii="宋体" w:hAnsi="宋体" w:cs="宋体"/>
          <w:color w:val="000000"/>
          <w:szCs w:val="21"/>
          <w:highlight w:val="none"/>
        </w:rPr>
        <w:t>投标人或者其他利害关系人认为招标投标活动违反法律、法规和规章规定的，有权向相关行政监督部门投诉。投诉应当有明确的请求和必要的证明材料。</w:t>
      </w:r>
    </w:p>
    <w:p>
      <w:pPr>
        <w:adjustRightInd w:val="0"/>
        <w:snapToGrid w:val="0"/>
        <w:spacing w:line="420" w:lineRule="exact"/>
        <w:ind w:firstLine="315" w:firstLineChars="150"/>
        <w:rPr>
          <w:rFonts w:hint="eastAsia" w:ascii="宋体" w:hAnsi="Times New Roman" w:eastAsia="宋体" w:cs="Times New Roman"/>
          <w:kern w:val="10"/>
          <w:szCs w:val="21"/>
          <w:highlight w:val="none"/>
        </w:rPr>
      </w:pPr>
      <w:r>
        <w:rPr>
          <w:rFonts w:hint="eastAsia" w:ascii="宋体" w:hAnsi="Times New Roman" w:eastAsia="宋体" w:cs="Times New Roman"/>
          <w:kern w:val="10"/>
          <w:szCs w:val="21"/>
          <w:highlight w:val="none"/>
          <w:lang w:val="en-US" w:eastAsia="zh-CN"/>
        </w:rPr>
        <w:t>42.2</w:t>
      </w:r>
      <w:r>
        <w:rPr>
          <w:rFonts w:hint="eastAsia" w:ascii="宋体" w:hAnsi="宋体" w:cs="宋体"/>
          <w:color w:val="000000"/>
          <w:szCs w:val="21"/>
          <w:highlight w:val="none"/>
        </w:rPr>
        <w:t>投标人和其他利害关系人对招标文件、开标和评标结果事项投诉的，应当按照投标人须知的规定先向招标人提出异议。</w:t>
      </w:r>
      <w:r>
        <w:rPr>
          <w:rFonts w:hint="eastAsia" w:ascii="宋体" w:hAnsi="Times New Roman" w:eastAsia="宋体" w:cs="Times New Roman"/>
          <w:kern w:val="10"/>
          <w:szCs w:val="21"/>
          <w:highlight w:val="none"/>
        </w:rPr>
        <w:t>异议答复期间不计算在第</w:t>
      </w:r>
      <w:r>
        <w:rPr>
          <w:rFonts w:hint="eastAsia" w:ascii="宋体" w:hAnsi="Times New Roman" w:eastAsia="宋体" w:cs="Times New Roman"/>
          <w:kern w:val="10"/>
          <w:szCs w:val="21"/>
          <w:highlight w:val="none"/>
          <w:lang w:val="en-US" w:eastAsia="zh-CN"/>
        </w:rPr>
        <w:t>34.1</w:t>
      </w:r>
      <w:r>
        <w:rPr>
          <w:rFonts w:hint="eastAsia" w:ascii="宋体" w:hAnsi="Times New Roman" w:eastAsia="宋体" w:cs="Times New Roman"/>
          <w:kern w:val="10"/>
          <w:szCs w:val="21"/>
          <w:highlight w:val="none"/>
        </w:rPr>
        <w:t>项规定的期限内。</w:t>
      </w:r>
    </w:p>
    <w:p>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pPr>
        <w:rPr>
          <w:rFonts w:hint="eastAsia" w:ascii="宋体"/>
          <w:b/>
          <w:color w:val="auto"/>
          <w:sz w:val="32"/>
          <w:szCs w:val="32"/>
          <w:highlight w:val="none"/>
        </w:rPr>
      </w:pPr>
      <w:bookmarkStart w:id="42" w:name="_Toc14651"/>
      <w:bookmarkEnd w:id="42"/>
      <w:r>
        <w:rPr>
          <w:rFonts w:hint="eastAsia" w:ascii="宋体"/>
          <w:b/>
          <w:color w:val="auto"/>
          <w:sz w:val="32"/>
          <w:szCs w:val="32"/>
          <w:highlight w:val="none"/>
        </w:rPr>
        <w:br w:type="page"/>
      </w:r>
    </w:p>
    <w:p>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 xml:space="preserve">章 </w:t>
      </w:r>
      <w:r>
        <w:rPr>
          <w:rFonts w:hint="eastAsia" w:ascii="宋体"/>
          <w:b/>
          <w:color w:val="auto"/>
          <w:sz w:val="32"/>
          <w:szCs w:val="32"/>
          <w:highlight w:val="none"/>
          <w:lang w:val="en-US" w:eastAsia="zh-CN"/>
        </w:rPr>
        <w:t>资格审查</w:t>
      </w:r>
      <w:r>
        <w:rPr>
          <w:rFonts w:hint="eastAsia" w:ascii="宋体"/>
          <w:b/>
          <w:color w:val="auto"/>
          <w:sz w:val="32"/>
          <w:szCs w:val="32"/>
          <w:highlight w:val="none"/>
        </w:rPr>
        <w:t>办法</w:t>
      </w:r>
    </w:p>
    <w:p>
      <w:pPr>
        <w:spacing w:before="156" w:beforeLines="50" w:after="156" w:afterLines="50" w:line="440" w:lineRule="exact"/>
        <w:jc w:val="center"/>
        <w:outlineLvl w:val="1"/>
        <w:rPr>
          <w:rFonts w:hint="eastAsia"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lang w:eastAsia="zh-CN"/>
        </w:rPr>
        <w:t>（</w:t>
      </w:r>
      <w:r>
        <w:rPr>
          <w:rFonts w:hint="eastAsia" w:ascii="宋体" w:hAnsi="Times New Roman" w:eastAsia="宋体" w:cs="Times New Roman"/>
          <w:b/>
          <w:color w:val="000000"/>
          <w:sz w:val="28"/>
          <w:szCs w:val="28"/>
          <w:highlight w:val="none"/>
          <w:lang w:val="en-US" w:eastAsia="zh-CN"/>
        </w:rPr>
        <w:t>一）</w:t>
      </w:r>
      <w:r>
        <w:rPr>
          <w:rFonts w:hint="eastAsia" w:ascii="宋体" w:hAnsi="Times New Roman" w:eastAsia="宋体" w:cs="Times New Roman"/>
          <w:b/>
          <w:color w:val="000000"/>
          <w:sz w:val="28"/>
          <w:szCs w:val="28"/>
          <w:highlight w:val="none"/>
        </w:rPr>
        <w:t>资格审查办法前附表</w:t>
      </w:r>
    </w:p>
    <w:p>
      <w:pPr>
        <w:adjustRightInd w:val="0"/>
        <w:snapToGrid w:val="0"/>
        <w:spacing w:line="560" w:lineRule="exact"/>
        <w:jc w:val="left"/>
        <w:rPr>
          <w:rFonts w:hint="eastAsia"/>
          <w:color w:val="auto"/>
          <w:szCs w:val="21"/>
          <w:highlight w:val="none"/>
        </w:rPr>
      </w:pPr>
      <w:r>
        <w:rPr>
          <w:rFonts w:hint="eastAsia"/>
          <w:color w:val="000000"/>
          <w:highlight w:val="none"/>
          <w:lang w:val="en-US" w:eastAsia="zh-CN"/>
        </w:rPr>
        <w:t>1.</w:t>
      </w:r>
      <w:r>
        <w:rPr>
          <w:rFonts w:hint="eastAsia"/>
          <w:color w:val="000000"/>
          <w:highlight w:val="none"/>
        </w:rPr>
        <w:t>资信证明文件评审</w:t>
      </w:r>
      <w:r>
        <w:rPr>
          <w:rFonts w:hint="eastAsia" w:ascii="宋体"/>
          <w:b/>
          <w:color w:val="auto"/>
          <w:szCs w:val="21"/>
          <w:highlight w:val="none"/>
        </w:rPr>
        <w:t>:</w:t>
      </w:r>
    </w:p>
    <w:tbl>
      <w:tblPr>
        <w:tblStyle w:val="26"/>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982"/>
        <w:gridCol w:w="2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黑体" w:eastAsia="黑体" w:cs="黑体"/>
                <w:b/>
                <w:bCs/>
                <w:color w:val="000000"/>
                <w:szCs w:val="21"/>
                <w:highlight w:val="none"/>
              </w:rPr>
              <w:t>序号</w:t>
            </w:r>
          </w:p>
        </w:tc>
        <w:tc>
          <w:tcPr>
            <w:tcW w:w="5217" w:type="dxa"/>
            <w:gridSpan w:val="2"/>
            <w:noWrap w:val="0"/>
            <w:vAlign w:val="center"/>
          </w:tcPr>
          <w:p>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评审因素</w:t>
            </w:r>
          </w:p>
        </w:tc>
        <w:tc>
          <w:tcPr>
            <w:tcW w:w="2955" w:type="dxa"/>
            <w:noWrap w:val="0"/>
            <w:vAlign w:val="center"/>
          </w:tcPr>
          <w:p>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1</w:t>
            </w:r>
          </w:p>
        </w:tc>
        <w:tc>
          <w:tcPr>
            <w:tcW w:w="1235" w:type="dxa"/>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color w:val="000000"/>
                <w:szCs w:val="21"/>
                <w:highlight w:val="none"/>
              </w:rPr>
              <w:t>重要要求</w:t>
            </w:r>
          </w:p>
        </w:tc>
        <w:tc>
          <w:tcPr>
            <w:tcW w:w="3982" w:type="dxa"/>
            <w:noWrap w:val="0"/>
            <w:vAlign w:val="center"/>
          </w:tcPr>
          <w:p>
            <w:pPr>
              <w:keepNext w:val="0"/>
              <w:keepLines w:val="0"/>
              <w:suppressLineNumbers w:val="0"/>
              <w:spacing w:before="0" w:beforeAutospacing="0" w:after="0" w:afterAutospacing="0" w:line="320" w:lineRule="exact"/>
              <w:ind w:left="0" w:leftChars="0" w:right="0" w:rightChars="0"/>
              <w:jc w:val="left"/>
              <w:rPr>
                <w:rFonts w:hint="eastAsia" w:ascii="宋体" w:hAnsi="宋体"/>
                <w:color w:val="000000"/>
                <w:szCs w:val="21"/>
                <w:highlight w:val="none"/>
              </w:rPr>
            </w:pPr>
            <w:r>
              <w:rPr>
                <w:rFonts w:hint="eastAsia" w:asciiTheme="majorEastAsia" w:hAnsiTheme="majorEastAsia" w:eastAsiaTheme="majorEastAsia" w:cstheme="majorEastAsia"/>
                <w:color w:val="000000"/>
                <w:szCs w:val="21"/>
                <w:highlight w:val="none"/>
              </w:rPr>
              <w:t>（1）法定代表人身份证明和本人有效身份证(或法定代表人授权委托书和委托代理人有效身份证)</w:t>
            </w:r>
          </w:p>
        </w:tc>
        <w:tc>
          <w:tcPr>
            <w:tcW w:w="2955" w:type="dxa"/>
            <w:noWrap w:val="0"/>
            <w:vAlign w:val="center"/>
          </w:tcPr>
          <w:p>
            <w:pPr>
              <w:keepNext w:val="0"/>
              <w:keepLines w:val="0"/>
              <w:suppressLineNumbers w:val="0"/>
              <w:spacing w:before="0" w:beforeAutospacing="0" w:after="0" w:afterAutospacing="0" w:line="320" w:lineRule="exact"/>
              <w:ind w:left="0" w:leftChars="0" w:right="0" w:rightChars="0"/>
              <w:jc w:val="left"/>
              <w:rPr>
                <w:rFonts w:hint="eastAsia" w:ascii="宋体" w:hAnsi="宋体"/>
                <w:color w:val="000000"/>
                <w:szCs w:val="21"/>
                <w:highlight w:val="none"/>
              </w:rPr>
            </w:pPr>
            <w:r>
              <w:rPr>
                <w:rFonts w:hint="eastAsia" w:asciiTheme="majorEastAsia" w:hAnsiTheme="majorEastAsia" w:eastAsiaTheme="majorEastAsia" w:cstheme="majorEastAsia"/>
                <w:color w:val="000000"/>
                <w:szCs w:val="21"/>
                <w:highlight w:val="none"/>
              </w:rPr>
              <w:t>现场查验</w:t>
            </w:r>
            <w:r>
              <w:rPr>
                <w:rFonts w:hint="eastAsia" w:asciiTheme="majorEastAsia" w:hAnsiTheme="majorEastAsia" w:eastAsiaTheme="majorEastAsia" w:cstheme="majorEastAsia"/>
                <w:color w:val="000000"/>
                <w:szCs w:val="21"/>
                <w:highlight w:val="none"/>
                <w:lang w:eastAsia="zh-CN"/>
              </w:rPr>
              <w:t>（</w:t>
            </w:r>
            <w:r>
              <w:rPr>
                <w:rFonts w:hint="eastAsia" w:asciiTheme="majorEastAsia" w:hAnsiTheme="majorEastAsia" w:eastAsiaTheme="majorEastAsia" w:cstheme="majorEastAsia"/>
                <w:color w:val="000000"/>
                <w:szCs w:val="21"/>
                <w:highlight w:val="none"/>
                <w:lang w:val="en-US" w:eastAsia="zh-CN"/>
              </w:rPr>
              <w:t>手持或密封于投标文件中均视为携带</w:t>
            </w:r>
            <w:r>
              <w:rPr>
                <w:rFonts w:hint="eastAsia" w:asciiTheme="majorEastAsia" w:hAnsiTheme="majorEastAsia" w:eastAsiaTheme="majorEastAsia" w:cstheme="majorEastAsia"/>
                <w:color w:val="000000"/>
                <w:szCs w:val="21"/>
                <w:highlight w:val="none"/>
                <w:lang w:eastAsia="zh-CN"/>
              </w:rPr>
              <w:t>）</w:t>
            </w:r>
            <w:r>
              <w:rPr>
                <w:rFonts w:hint="eastAsia" w:asciiTheme="majorEastAsia" w:hAnsiTheme="majorEastAsia" w:eastAsiaTheme="majorEastAsia" w:cstheme="majorEastAsia"/>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2</w:t>
            </w:r>
          </w:p>
        </w:tc>
        <w:tc>
          <w:tcPr>
            <w:tcW w:w="1235" w:type="dxa"/>
            <w:vMerge w:val="restart"/>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hAnsi="宋体"/>
                <w:color w:val="000000"/>
                <w:szCs w:val="21"/>
                <w:highlight w:val="none"/>
              </w:rPr>
              <w:t>投标人应符合的基本资格条件</w:t>
            </w:r>
          </w:p>
        </w:tc>
        <w:tc>
          <w:tcPr>
            <w:tcW w:w="3982"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）具有独立承担民事责任的能力</w:t>
            </w:r>
          </w:p>
        </w:tc>
        <w:tc>
          <w:tcPr>
            <w:tcW w:w="2955" w:type="dxa"/>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b/>
                <w:color w:val="000000"/>
                <w:szCs w:val="21"/>
                <w:highlight w:val="none"/>
              </w:rPr>
              <w:t>评审核验标书中的下列证书、证明材料：</w:t>
            </w:r>
          </w:p>
          <w:p>
            <w:pPr>
              <w:keepNext w:val="0"/>
              <w:keepLines w:val="0"/>
              <w:suppressLineNumbers w:val="0"/>
              <w:spacing w:before="0" w:beforeAutospacing="0" w:after="0" w:afterAutospacing="0" w:line="320" w:lineRule="exact"/>
              <w:ind w:left="0" w:right="0"/>
              <w:rPr>
                <w:rFonts w:hint="eastAsia" w:ascii="宋体" w:eastAsiaTheme="minorEastAsia"/>
                <w:color w:val="000000"/>
                <w:szCs w:val="21"/>
                <w:highlight w:val="none"/>
                <w:lang w:val="en-US" w:eastAsia="zh-CN"/>
              </w:rPr>
            </w:pPr>
            <w:r>
              <w:rPr>
                <w:rFonts w:hint="eastAsia" w:ascii="宋体"/>
                <w:color w:val="000000"/>
                <w:szCs w:val="21"/>
                <w:highlight w:val="none"/>
              </w:rPr>
              <w:t>投标人有效的营业执照、税务登记证、组织机构码证（或“三证合一证书”）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982"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jc w:val="left"/>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3</w:t>
            </w:r>
            <w:r>
              <w:rPr>
                <w:rFonts w:hint="eastAsia" w:ascii="宋体" w:hAnsi="宋体" w:eastAsia="宋体" w:cs="Times New Roman"/>
                <w:color w:val="000000"/>
                <w:szCs w:val="21"/>
                <w:highlight w:val="none"/>
              </w:rPr>
              <w:t>）诚信投标承诺书</w:t>
            </w:r>
          </w:p>
        </w:tc>
        <w:tc>
          <w:tcPr>
            <w:tcW w:w="2955"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jc w:val="left"/>
              <w:textAlignment w:val="auto"/>
              <w:rPr>
                <w:rFonts w:hint="eastAsia" w:ascii="宋体"/>
                <w:b/>
                <w:color w:val="000000"/>
                <w:szCs w:val="21"/>
                <w:highlight w:val="none"/>
              </w:rPr>
            </w:pPr>
            <w:r>
              <w:rPr>
                <w:rFonts w:hint="eastAsia"/>
                <w:color w:val="000000"/>
                <w:highlight w:val="none"/>
              </w:rPr>
              <w:t>格式见附件，检验电子标书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982"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textAlignment w:val="auto"/>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4</w:t>
            </w: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服务承诺书</w:t>
            </w:r>
          </w:p>
        </w:tc>
        <w:tc>
          <w:tcPr>
            <w:tcW w:w="2955"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right="0"/>
              <w:textAlignment w:val="auto"/>
              <w:rPr>
                <w:rFonts w:hint="eastAsia" w:ascii="宋体"/>
                <w:color w:val="000000"/>
                <w:szCs w:val="21"/>
                <w:highlight w:val="none"/>
              </w:rPr>
            </w:pPr>
            <w:r>
              <w:rPr>
                <w:rFonts w:hint="eastAsia"/>
                <w:color w:val="000000"/>
                <w:highlight w:val="none"/>
              </w:rPr>
              <w:t>格式见附件，检验电子标书</w:t>
            </w:r>
          </w:p>
        </w:tc>
      </w:tr>
    </w:tbl>
    <w:p>
      <w:pPr>
        <w:adjustRightInd w:val="0"/>
        <w:snapToGrid w:val="0"/>
        <w:spacing w:line="560" w:lineRule="exact"/>
        <w:jc w:val="left"/>
        <w:rPr>
          <w:rFonts w:hint="eastAsia" w:ascii="Times New Roman" w:hAnsi="Times New Roman" w:eastAsia="宋体" w:cs="Times New Roman"/>
          <w:color w:val="000000"/>
          <w:highlight w:val="none"/>
        </w:rPr>
      </w:pPr>
      <w:bookmarkStart w:id="43" w:name="_Toc15058909"/>
      <w:bookmarkStart w:id="44" w:name="_Toc60061492"/>
      <w:bookmarkStart w:id="45" w:name="_Toc95223395"/>
      <w:bookmarkStart w:id="46" w:name="_Toc506107320"/>
      <w:r>
        <w:rPr>
          <w:rFonts w:hint="eastAsia" w:ascii="Times New Roman" w:hAnsi="Times New Roman" w:eastAsia="宋体" w:cs="Times New Roman"/>
          <w:color w:val="000000"/>
          <w:highlight w:val="none"/>
        </w:rPr>
        <w:t>2.审查办法</w:t>
      </w:r>
      <w:bookmarkEnd w:id="43"/>
      <w:bookmarkEnd w:id="44"/>
      <w:bookmarkEnd w:id="45"/>
      <w:bookmarkEnd w:id="46"/>
    </w:p>
    <w:p>
      <w:pPr>
        <w:adjustRightInd w:val="0"/>
        <w:snapToGrid w:val="0"/>
        <w:spacing w:line="560" w:lineRule="exact"/>
        <w:jc w:val="left"/>
        <w:rPr>
          <w:rFonts w:hint="eastAsia" w:ascii="Times New Roman" w:hAnsi="Times New Roman" w:eastAsia="宋体" w:cs="Times New Roman"/>
          <w:color w:val="000000"/>
          <w:highlight w:val="none"/>
        </w:rPr>
      </w:pPr>
      <w:bookmarkStart w:id="47" w:name="_Toc506107321"/>
      <w:bookmarkStart w:id="48" w:name="_Toc324404868"/>
      <w:bookmarkStart w:id="49" w:name="_Toc60061493"/>
      <w:bookmarkStart w:id="50" w:name="_Toc15058910"/>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pPr>
        <w:adjustRightInd w:val="0"/>
        <w:snapToGrid w:val="0"/>
        <w:spacing w:line="560" w:lineRule="exact"/>
        <w:jc w:val="left"/>
        <w:rPr>
          <w:rFonts w:hint="eastAsia" w:ascii="Times New Roman" w:hAnsi="Times New Roman" w:eastAsia="宋体" w:cs="Times New Roman"/>
          <w:color w:val="000000"/>
          <w:highlight w:val="none"/>
        </w:rPr>
      </w:pPr>
      <w:bookmarkStart w:id="51" w:name="_Toc95223396"/>
      <w:r>
        <w:rPr>
          <w:rFonts w:hint="eastAsia" w:ascii="Times New Roman" w:hAnsi="Times New Roman" w:eastAsia="宋体" w:cs="Times New Roman"/>
          <w:color w:val="000000"/>
          <w:highlight w:val="none"/>
        </w:rPr>
        <w:t>3.资格审查委员会和审查标准</w:t>
      </w:r>
      <w:bookmarkEnd w:id="47"/>
      <w:bookmarkEnd w:id="48"/>
      <w:bookmarkEnd w:id="49"/>
      <w:bookmarkEnd w:id="50"/>
      <w:bookmarkEnd w:id="51"/>
    </w:p>
    <w:p>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pPr>
        <w:adjustRightInd w:val="0"/>
        <w:snapToGrid w:val="0"/>
        <w:spacing w:line="560" w:lineRule="exact"/>
        <w:jc w:val="left"/>
        <w:rPr>
          <w:rFonts w:hint="eastAsia" w:asciiTheme="majorEastAsia" w:hAnsiTheme="majorEastAsia" w:eastAsiaTheme="majorEastAsia" w:cstheme="majorEastAsia"/>
          <w:color w:val="000000"/>
          <w:highlight w:val="none"/>
        </w:rPr>
      </w:pPr>
      <w:r>
        <w:rPr>
          <w:rFonts w:hint="eastAsia" w:asciiTheme="majorEastAsia" w:hAnsiTheme="majorEastAsia" w:eastAsiaTheme="majorEastAsia" w:cstheme="majorEastAsia"/>
          <w:color w:val="000000"/>
          <w:highlight w:val="none"/>
        </w:rPr>
        <w:t>（1）不能按要求提供证明材料或证明材料经审查不合格；</w:t>
      </w:r>
    </w:p>
    <w:p>
      <w:pPr>
        <w:adjustRightInd w:val="0"/>
        <w:snapToGrid w:val="0"/>
        <w:spacing w:line="560" w:lineRule="exact"/>
        <w:jc w:val="left"/>
        <w:rPr>
          <w:rFonts w:hint="eastAsia" w:ascii="Times New Roman" w:hAnsi="Times New Roman" w:cs="Times New Roman" w:eastAsiaTheme="majorEastAsia"/>
          <w:color w:val="000000"/>
          <w:highlight w:val="none"/>
          <w:lang w:eastAsia="zh-CN"/>
        </w:rPr>
      </w:pPr>
      <w:r>
        <w:rPr>
          <w:rFonts w:hint="eastAsia" w:asciiTheme="majorEastAsia" w:hAnsiTheme="majorEastAsia" w:eastAsiaTheme="majorEastAsia" w:cstheme="majorEastAsia"/>
          <w:color w:val="000000"/>
          <w:highlight w:val="none"/>
        </w:rPr>
        <w:t>（2）法律、法规规定的其他情形</w:t>
      </w:r>
      <w:r>
        <w:rPr>
          <w:rFonts w:hint="eastAsia" w:asciiTheme="majorEastAsia" w:hAnsiTheme="majorEastAsia" w:eastAsiaTheme="majorEastAsia" w:cstheme="majorEastAsia"/>
          <w:color w:val="000000"/>
          <w:highlight w:val="none"/>
          <w:lang w:eastAsia="zh-CN"/>
        </w:rPr>
        <w:t>。</w:t>
      </w:r>
    </w:p>
    <w:p>
      <w:pPr>
        <w:adjustRightInd w:val="0"/>
        <w:snapToGrid w:val="0"/>
        <w:spacing w:line="560" w:lineRule="exact"/>
        <w:jc w:val="left"/>
        <w:rPr>
          <w:rFonts w:hint="eastAsia" w:ascii="Times New Roman" w:hAnsi="Times New Roman" w:eastAsia="宋体" w:cs="Times New Roman"/>
          <w:color w:val="000000"/>
          <w:highlight w:val="none"/>
        </w:rPr>
      </w:pPr>
      <w:bookmarkStart w:id="52" w:name="_Toc15058911"/>
      <w:bookmarkStart w:id="53" w:name="_Toc324404869"/>
      <w:bookmarkStart w:id="54" w:name="_Toc60061494"/>
      <w:bookmarkStart w:id="55" w:name="_Toc506107322"/>
      <w:bookmarkStart w:id="56" w:name="_Toc95223397"/>
      <w:r>
        <w:rPr>
          <w:rFonts w:hint="eastAsia" w:ascii="Times New Roman" w:hAnsi="Times New Roman" w:eastAsia="宋体" w:cs="Times New Roman"/>
          <w:color w:val="000000"/>
          <w:highlight w:val="none"/>
        </w:rPr>
        <w:t>4.审查结果</w:t>
      </w:r>
      <w:bookmarkEnd w:id="52"/>
      <w:bookmarkEnd w:id="53"/>
      <w:bookmarkEnd w:id="54"/>
      <w:bookmarkEnd w:id="55"/>
      <w:bookmarkEnd w:id="56"/>
    </w:p>
    <w:p>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pPr>
        <w:rPr>
          <w:rFonts w:hint="eastAsia" w:ascii="宋体" w:hAnsi="宋体" w:eastAsia="宋体" w:cs="宋体"/>
          <w:b/>
          <w:bCs/>
          <w:color w:val="000000"/>
          <w:kern w:val="0"/>
          <w:sz w:val="28"/>
          <w:szCs w:val="28"/>
          <w:highlight w:val="none"/>
          <w:u w:color="000000"/>
          <w:lang w:val="en-US" w:eastAsia="zh-CN" w:bidi="ar"/>
        </w:rPr>
      </w:pPr>
      <w:r>
        <w:rPr>
          <w:rFonts w:hint="eastAsia" w:ascii="宋体" w:hAnsi="宋体" w:eastAsia="宋体" w:cs="宋体"/>
          <w:b/>
          <w:bCs/>
          <w:color w:val="000000"/>
          <w:kern w:val="0"/>
          <w:sz w:val="28"/>
          <w:szCs w:val="28"/>
          <w:highlight w:val="none"/>
          <w:u w:color="000000"/>
          <w:lang w:val="en-US" w:eastAsia="zh-CN" w:bidi="ar"/>
        </w:rPr>
        <w:br w:type="page"/>
      </w:r>
    </w:p>
    <w:p>
      <w:pPr>
        <w:numPr>
          <w:ilvl w:val="0"/>
          <w:numId w:val="3"/>
        </w:numPr>
        <w:adjustRightInd w:val="0"/>
        <w:snapToGrid w:val="0"/>
        <w:spacing w:line="560" w:lineRule="exact"/>
        <w:jc w:val="center"/>
        <w:rPr>
          <w:rFonts w:ascii="宋体" w:hAnsi="宋体" w:eastAsia="宋体" w:cs="宋体"/>
          <w:b/>
          <w:color w:val="000000"/>
          <w:kern w:val="44"/>
          <w:sz w:val="28"/>
          <w:szCs w:val="28"/>
          <w:highlight w:val="none"/>
          <w:u w:color="000000"/>
          <w:lang w:bidi="ar"/>
        </w:rPr>
      </w:pPr>
      <w:r>
        <w:rPr>
          <w:rFonts w:hint="eastAsia" w:ascii="宋体" w:hAnsi="宋体" w:eastAsia="宋体" w:cs="宋体"/>
          <w:b/>
          <w:bCs/>
          <w:color w:val="000000"/>
          <w:kern w:val="0"/>
          <w:sz w:val="28"/>
          <w:szCs w:val="28"/>
          <w:highlight w:val="none"/>
          <w:u w:color="000000"/>
          <w:lang w:bidi="ar"/>
        </w:rPr>
        <w:t xml:space="preserve"> </w:t>
      </w:r>
      <w:r>
        <w:rPr>
          <w:rFonts w:hint="eastAsia" w:ascii="宋体" w:hAnsi="宋体" w:eastAsia="宋体" w:cs="宋体"/>
          <w:b/>
          <w:color w:val="000000"/>
          <w:kern w:val="44"/>
          <w:sz w:val="28"/>
          <w:szCs w:val="28"/>
          <w:highlight w:val="none"/>
          <w:u w:color="000000"/>
          <w:lang w:bidi="ar"/>
        </w:rPr>
        <w:t>评标办法</w:t>
      </w:r>
    </w:p>
    <w:p>
      <w:pPr>
        <w:adjustRightInd w:val="0"/>
        <w:snapToGrid w:val="0"/>
        <w:spacing w:line="420" w:lineRule="exact"/>
        <w:ind w:firstLine="316" w:firstLineChars="150"/>
        <w:rPr>
          <w:rFonts w:ascii="宋体" w:hAnsi="宋体" w:cs="宋体"/>
          <w:b/>
          <w:bCs/>
          <w:color w:val="000000"/>
          <w:szCs w:val="21"/>
          <w:highlight w:val="none"/>
        </w:rPr>
      </w:pPr>
      <w:bookmarkStart w:id="57" w:name="_Toc10907_WPSOffice_Level3"/>
      <w:r>
        <w:rPr>
          <w:rFonts w:hint="eastAsia" w:ascii="宋体" w:hAnsi="宋体" w:cs="宋体"/>
          <w:b/>
          <w:bCs/>
          <w:color w:val="000000"/>
          <w:szCs w:val="21"/>
          <w:highlight w:val="none"/>
        </w:rPr>
        <w:t>1.中标候选人的确定</w:t>
      </w:r>
    </w:p>
    <w:p>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评标委员会对投标人依次进行资信、技术、商务文件审查，对均满足要求的投标人进行各项评审因素打分，合计的总得分按照从高到低进行排序，总得分第一的投标人为第一中标候选人。如总得分相等，以投标报价低的优先，投标报价仍相等，由招标人随机抽取确定排名。</w:t>
      </w:r>
    </w:p>
    <w:p>
      <w:pPr>
        <w:adjustRightInd w:val="0"/>
        <w:snapToGrid w:val="0"/>
        <w:spacing w:line="420" w:lineRule="exact"/>
        <w:ind w:firstLine="316" w:firstLineChars="150"/>
        <w:rPr>
          <w:rFonts w:ascii="宋体" w:hAnsi="宋体" w:cs="宋体"/>
          <w:color w:val="000000"/>
          <w:szCs w:val="21"/>
          <w:highlight w:val="none"/>
        </w:rPr>
      </w:pPr>
      <w:r>
        <w:rPr>
          <w:rFonts w:hint="eastAsia" w:ascii="宋体" w:hAnsi="宋体" w:cs="宋体"/>
          <w:b/>
          <w:bCs/>
          <w:color w:val="000000"/>
          <w:szCs w:val="21"/>
          <w:highlight w:val="none"/>
        </w:rPr>
        <w:t>2.资信标评审（</w:t>
      </w:r>
      <w:r>
        <w:rPr>
          <w:rFonts w:hint="eastAsia" w:ascii="宋体" w:hAnsi="宋体" w:cs="宋体"/>
          <w:b/>
          <w:bCs/>
          <w:color w:val="000000"/>
          <w:szCs w:val="21"/>
          <w:highlight w:val="none"/>
          <w:lang w:val="en-US" w:eastAsia="zh-CN"/>
        </w:rPr>
        <w:t>2</w:t>
      </w:r>
      <w:r>
        <w:rPr>
          <w:rFonts w:hint="eastAsia" w:ascii="宋体" w:hAnsi="宋体" w:cs="宋体"/>
          <w:b/>
          <w:bCs/>
          <w:color w:val="000000"/>
          <w:szCs w:val="21"/>
          <w:highlight w:val="none"/>
        </w:rPr>
        <w:t>0分）</w:t>
      </w:r>
    </w:p>
    <w:tbl>
      <w:tblPr>
        <w:tblStyle w:val="26"/>
        <w:tblW w:w="9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315"/>
        <w:gridCol w:w="739"/>
        <w:gridCol w:w="5615"/>
        <w:gridCol w:w="1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9" w:type="dxa"/>
            <w:vAlign w:val="center"/>
          </w:tcPr>
          <w:p>
            <w:pPr>
              <w:keepNext w:val="0"/>
              <w:keepLines w:val="0"/>
              <w:suppressLineNumbers w:val="0"/>
              <w:spacing w:before="0" w:beforeAutospacing="0" w:after="0" w:afterAutospacing="0" w:line="300" w:lineRule="exact"/>
              <w:ind w:left="0" w:right="0"/>
              <w:jc w:val="center"/>
              <w:rPr>
                <w:rFonts w:hint="default" w:ascii="宋体" w:hAnsi="宋体" w:cs="宋体"/>
                <w:b/>
                <w:bCs/>
                <w:szCs w:val="21"/>
                <w:highlight w:val="none"/>
              </w:rPr>
            </w:pPr>
            <w:r>
              <w:rPr>
                <w:rFonts w:hint="eastAsia" w:ascii="宋体" w:hAnsi="宋体" w:cs="宋体"/>
                <w:b/>
                <w:bCs/>
                <w:szCs w:val="21"/>
                <w:highlight w:val="none"/>
              </w:rPr>
              <w:t>序号</w:t>
            </w:r>
          </w:p>
        </w:tc>
        <w:tc>
          <w:tcPr>
            <w:tcW w:w="1315" w:type="dxa"/>
            <w:vAlign w:val="center"/>
          </w:tcPr>
          <w:p>
            <w:pPr>
              <w:keepNext w:val="0"/>
              <w:keepLines w:val="0"/>
              <w:suppressLineNumbers w:val="0"/>
              <w:spacing w:before="0" w:beforeAutospacing="0" w:after="0" w:afterAutospacing="0" w:line="300" w:lineRule="exact"/>
              <w:ind w:left="0" w:right="0"/>
              <w:jc w:val="center"/>
              <w:rPr>
                <w:rFonts w:hint="default" w:ascii="宋体" w:hAnsi="宋体" w:cs="宋体"/>
                <w:b/>
                <w:bCs/>
                <w:szCs w:val="21"/>
                <w:highlight w:val="none"/>
              </w:rPr>
            </w:pPr>
            <w:r>
              <w:rPr>
                <w:rFonts w:hint="eastAsia" w:ascii="宋体" w:hAnsi="宋体" w:cs="宋体"/>
                <w:b/>
                <w:bCs/>
                <w:szCs w:val="21"/>
                <w:highlight w:val="none"/>
              </w:rPr>
              <w:t>评分因素</w:t>
            </w:r>
          </w:p>
        </w:tc>
        <w:tc>
          <w:tcPr>
            <w:tcW w:w="739" w:type="dxa"/>
            <w:vAlign w:val="center"/>
          </w:tcPr>
          <w:p>
            <w:pPr>
              <w:keepNext w:val="0"/>
              <w:keepLines w:val="0"/>
              <w:suppressLineNumbers w:val="0"/>
              <w:spacing w:before="0" w:beforeAutospacing="0" w:after="0" w:afterAutospacing="0" w:line="300" w:lineRule="exact"/>
              <w:ind w:left="0" w:right="0"/>
              <w:jc w:val="center"/>
              <w:rPr>
                <w:rFonts w:hint="default" w:ascii="宋体" w:hAnsi="宋体" w:cs="宋体"/>
                <w:b/>
                <w:bCs/>
                <w:szCs w:val="21"/>
                <w:highlight w:val="none"/>
              </w:rPr>
            </w:pPr>
            <w:r>
              <w:rPr>
                <w:rFonts w:hint="eastAsia" w:ascii="宋体" w:hAnsi="宋体" w:cs="宋体"/>
                <w:b/>
                <w:bCs/>
                <w:szCs w:val="21"/>
                <w:highlight w:val="none"/>
              </w:rPr>
              <w:t>分值</w:t>
            </w:r>
          </w:p>
        </w:tc>
        <w:tc>
          <w:tcPr>
            <w:tcW w:w="5615" w:type="dxa"/>
            <w:vAlign w:val="center"/>
          </w:tcPr>
          <w:p>
            <w:pPr>
              <w:keepNext w:val="0"/>
              <w:keepLines w:val="0"/>
              <w:suppressLineNumbers w:val="0"/>
              <w:spacing w:before="0" w:beforeAutospacing="0" w:after="0" w:afterAutospacing="0" w:line="300" w:lineRule="exact"/>
              <w:ind w:left="0" w:right="0"/>
              <w:jc w:val="center"/>
              <w:rPr>
                <w:rFonts w:hint="default" w:ascii="宋体" w:hAnsi="宋体" w:cs="宋体"/>
                <w:b/>
                <w:bCs/>
                <w:szCs w:val="21"/>
                <w:highlight w:val="none"/>
              </w:rPr>
            </w:pPr>
            <w:r>
              <w:rPr>
                <w:rFonts w:hint="eastAsia" w:ascii="宋体" w:hAnsi="宋体" w:cs="宋体"/>
                <w:b/>
                <w:bCs/>
                <w:szCs w:val="21"/>
                <w:highlight w:val="none"/>
              </w:rPr>
              <w:t>评审细则</w:t>
            </w:r>
          </w:p>
        </w:tc>
        <w:tc>
          <w:tcPr>
            <w:tcW w:w="1607" w:type="dxa"/>
            <w:vAlign w:val="center"/>
          </w:tcPr>
          <w:p>
            <w:pPr>
              <w:keepNext w:val="0"/>
              <w:keepLines w:val="0"/>
              <w:suppressLineNumbers w:val="0"/>
              <w:spacing w:before="0" w:beforeAutospacing="0" w:after="0" w:afterAutospacing="0" w:line="300" w:lineRule="exact"/>
              <w:ind w:left="0" w:right="0"/>
              <w:jc w:val="center"/>
              <w:rPr>
                <w:rFonts w:hint="default" w:ascii="宋体" w:hAnsi="宋体" w:cs="宋体"/>
                <w:b/>
                <w:bCs/>
                <w:szCs w:val="21"/>
                <w:highlight w:val="none"/>
              </w:rPr>
            </w:pPr>
            <w:r>
              <w:rPr>
                <w:rFonts w:hint="eastAsia" w:ascii="宋体" w:hAnsi="宋体"/>
                <w:b/>
                <w:bCs/>
                <w:szCs w:val="21"/>
                <w:highlight w:val="none"/>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0" w:hRule="atLeast"/>
          <w:jc w:val="center"/>
        </w:trPr>
        <w:tc>
          <w:tcPr>
            <w:tcW w:w="699" w:type="dxa"/>
            <w:vAlign w:val="center"/>
          </w:tcPr>
          <w:p>
            <w:pPr>
              <w:keepNext w:val="0"/>
              <w:keepLines w:val="0"/>
              <w:suppressLineNumbers w:val="0"/>
              <w:spacing w:before="0" w:beforeAutospacing="0" w:after="0" w:afterAutospacing="0" w:line="300" w:lineRule="exact"/>
              <w:ind w:left="0" w:right="0" w:firstLine="28"/>
              <w:jc w:val="center"/>
              <w:rPr>
                <w:rFonts w:hint="default" w:ascii="宋体" w:hAnsi="宋体"/>
                <w:szCs w:val="21"/>
                <w:highlight w:val="none"/>
              </w:rPr>
            </w:pPr>
            <w:r>
              <w:rPr>
                <w:rFonts w:hint="eastAsia" w:ascii="宋体" w:hAnsi="宋体"/>
                <w:szCs w:val="21"/>
                <w:highlight w:val="none"/>
              </w:rPr>
              <w:t>1</w:t>
            </w:r>
          </w:p>
        </w:tc>
        <w:tc>
          <w:tcPr>
            <w:tcW w:w="1315" w:type="dxa"/>
            <w:vAlign w:val="center"/>
          </w:tcPr>
          <w:p>
            <w:pPr>
              <w:keepNext w:val="0"/>
              <w:keepLines w:val="0"/>
              <w:suppressLineNumbers w:val="0"/>
              <w:spacing w:before="0" w:beforeAutospacing="0" w:after="0" w:afterAutospacing="0" w:line="300" w:lineRule="exact"/>
              <w:ind w:left="0" w:right="0"/>
              <w:jc w:val="center"/>
              <w:rPr>
                <w:rFonts w:hint="default" w:ascii="宋体" w:hAnsi="宋体" w:cs="宋体"/>
                <w:szCs w:val="21"/>
                <w:highlight w:val="none"/>
              </w:rPr>
            </w:pPr>
            <w:r>
              <w:rPr>
                <w:rFonts w:hint="eastAsia" w:ascii="宋体" w:hAnsi="宋体" w:cs="宋体"/>
                <w:szCs w:val="21"/>
                <w:highlight w:val="none"/>
              </w:rPr>
              <w:t>投标人业绩</w:t>
            </w:r>
          </w:p>
        </w:tc>
        <w:tc>
          <w:tcPr>
            <w:tcW w:w="739" w:type="dxa"/>
            <w:vAlign w:val="center"/>
          </w:tcPr>
          <w:p>
            <w:pPr>
              <w:keepNext w:val="0"/>
              <w:keepLines w:val="0"/>
              <w:suppressLineNumbers w:val="0"/>
              <w:spacing w:before="0" w:beforeAutospacing="0" w:after="0" w:afterAutospacing="0" w:line="300" w:lineRule="exact"/>
              <w:ind w:left="0" w:right="0"/>
              <w:jc w:val="center"/>
              <w:rPr>
                <w:rFonts w:hint="default" w:ascii="宋体" w:hAnsi="宋体" w:cs="宋体"/>
                <w:szCs w:val="21"/>
                <w:highlight w:val="none"/>
              </w:rPr>
            </w:pPr>
            <w:r>
              <w:rPr>
                <w:rFonts w:hint="eastAsia" w:ascii="宋体" w:hAnsi="宋体" w:cs="宋体"/>
                <w:szCs w:val="21"/>
                <w:highlight w:val="none"/>
                <w:lang w:val="en-US" w:eastAsia="zh-CN"/>
              </w:rPr>
              <w:t>10</w:t>
            </w:r>
            <w:r>
              <w:rPr>
                <w:rFonts w:hint="eastAsia" w:ascii="宋体" w:hAnsi="宋体" w:cs="宋体"/>
                <w:szCs w:val="21"/>
                <w:highlight w:val="none"/>
              </w:rPr>
              <w:t>分</w:t>
            </w:r>
          </w:p>
        </w:tc>
        <w:tc>
          <w:tcPr>
            <w:tcW w:w="5615" w:type="dxa"/>
            <w:vAlign w:val="center"/>
          </w:tcPr>
          <w:p>
            <w:pPr>
              <w:keepNext w:val="0"/>
              <w:keepLines w:val="0"/>
              <w:suppressLineNumbers w:val="0"/>
              <w:spacing w:before="0" w:beforeAutospacing="0" w:after="0" w:afterAutospacing="0"/>
              <w:ind w:left="0" w:right="0"/>
              <w:rPr>
                <w:rFonts w:hint="default" w:ascii="宋体" w:hAnsi="宋体" w:cs="宋体"/>
                <w:szCs w:val="21"/>
                <w:highlight w:val="none"/>
              </w:rPr>
            </w:pPr>
            <w:r>
              <w:rPr>
                <w:rFonts w:hint="eastAsia" w:ascii="宋体" w:hAnsi="宋体" w:cs="宋体"/>
                <w:szCs w:val="21"/>
                <w:highlight w:val="none"/>
              </w:rPr>
              <w:t>自20</w:t>
            </w:r>
            <w:r>
              <w:rPr>
                <w:rFonts w:hint="eastAsia" w:ascii="宋体" w:hAnsi="宋体" w:cs="宋体"/>
                <w:szCs w:val="21"/>
                <w:highlight w:val="none"/>
                <w:lang w:val="en-US" w:eastAsia="zh-CN"/>
              </w:rPr>
              <w:t>20</w:t>
            </w:r>
            <w:r>
              <w:rPr>
                <w:rFonts w:hint="eastAsia" w:ascii="宋体" w:hAnsi="宋体" w:cs="宋体"/>
                <w:szCs w:val="21"/>
                <w:highlight w:val="none"/>
              </w:rPr>
              <w:t>年1月1日至投标截止时间（以合同签订时间为准），投标人每提供一</w:t>
            </w:r>
            <w:r>
              <w:rPr>
                <w:rFonts w:hint="eastAsia" w:ascii="宋体" w:hAnsi="宋体" w:cs="宋体"/>
                <w:szCs w:val="21"/>
                <w:highlight w:val="none"/>
                <w:lang w:val="en-US" w:eastAsia="zh-CN"/>
              </w:rPr>
              <w:t>类似</w:t>
            </w:r>
            <w:r>
              <w:rPr>
                <w:rFonts w:hint="eastAsia" w:ascii="宋体" w:hAnsi="宋体" w:cs="宋体"/>
                <w:szCs w:val="21"/>
                <w:highlight w:val="none"/>
              </w:rPr>
              <w:t>监测项目业绩得5分，</w:t>
            </w:r>
            <w:r>
              <w:rPr>
                <w:rFonts w:hint="eastAsia" w:ascii="宋体" w:hAnsi="宋体" w:cs="宋体"/>
                <w:kern w:val="1"/>
                <w:szCs w:val="21"/>
                <w:highlight w:val="none"/>
              </w:rPr>
              <w:t>其他的不得分，</w:t>
            </w:r>
            <w:r>
              <w:rPr>
                <w:rFonts w:hint="eastAsia" w:ascii="宋体" w:hAnsi="宋体" w:cs="宋体"/>
                <w:szCs w:val="21"/>
                <w:highlight w:val="none"/>
              </w:rPr>
              <w:t>本条满分</w:t>
            </w:r>
            <w:r>
              <w:rPr>
                <w:rFonts w:hint="eastAsia" w:ascii="宋体" w:hAnsi="宋体" w:cs="宋体"/>
                <w:szCs w:val="21"/>
                <w:highlight w:val="none"/>
                <w:lang w:val="en-US" w:eastAsia="zh-CN"/>
              </w:rPr>
              <w:t>10</w:t>
            </w:r>
            <w:r>
              <w:rPr>
                <w:rFonts w:hint="eastAsia" w:ascii="宋体" w:hAnsi="宋体" w:cs="宋体"/>
                <w:szCs w:val="21"/>
                <w:highlight w:val="none"/>
              </w:rPr>
              <w:t>分。</w:t>
            </w:r>
          </w:p>
          <w:p>
            <w:pPr>
              <w:keepNext w:val="0"/>
              <w:keepLines w:val="0"/>
              <w:suppressLineNumbers w:val="0"/>
              <w:spacing w:before="0" w:beforeAutospacing="0" w:after="0" w:afterAutospacing="0" w:line="300" w:lineRule="exact"/>
              <w:ind w:left="0" w:right="0"/>
              <w:rPr>
                <w:rFonts w:hint="default"/>
                <w:highlight w:val="none"/>
              </w:rPr>
            </w:pPr>
            <w:r>
              <w:rPr>
                <w:rFonts w:hint="eastAsia" w:ascii="Times New Roman" w:hAnsi="Times New Roman"/>
                <w:szCs w:val="21"/>
                <w:highlight w:val="none"/>
              </w:rPr>
              <w:t>注</w:t>
            </w:r>
            <w:r>
              <w:rPr>
                <w:rFonts w:hint="eastAsia" w:ascii="Times New Roman" w:hAnsi="Times New Roman"/>
                <w:szCs w:val="21"/>
                <w:highlight w:val="none"/>
                <w:lang w:val="zh-CN"/>
              </w:rPr>
              <w:t>：</w:t>
            </w:r>
            <w:r>
              <w:rPr>
                <w:rFonts w:hint="eastAsia" w:ascii="Times New Roman" w:hAnsi="Times New Roman"/>
                <w:szCs w:val="21"/>
                <w:highlight w:val="none"/>
              </w:rPr>
              <w:t>投标人投标时只须提供2个评审业绩，若投标人提供业绩个数超过2个，则按照排列顺序从首个业绩开始评审至对应数量（2个），超出部分业绩不进行评审。对应数量（2个）内业绩不符合招标文件要求不得分的，不再补充评审超出部分业绩。如：提供</w:t>
            </w:r>
            <w:r>
              <w:rPr>
                <w:rFonts w:hint="eastAsia" w:ascii="Times New Roman" w:hAnsi="Times New Roman"/>
                <w:szCs w:val="21"/>
                <w:highlight w:val="none"/>
                <w:lang w:val="en-US" w:eastAsia="zh-CN"/>
              </w:rPr>
              <w:t>2</w:t>
            </w:r>
            <w:r>
              <w:rPr>
                <w:rFonts w:hint="eastAsia" w:ascii="Times New Roman" w:hAnsi="Times New Roman"/>
                <w:szCs w:val="21"/>
                <w:highlight w:val="none"/>
              </w:rPr>
              <w:t>个业绩即得满分的，按照投标文件排序评审第一、第二项业绩，其余超出部分不再评审”。</w:t>
            </w:r>
          </w:p>
        </w:tc>
        <w:tc>
          <w:tcPr>
            <w:tcW w:w="1607" w:type="dxa"/>
            <w:vAlign w:val="center"/>
          </w:tcPr>
          <w:p>
            <w:pPr>
              <w:keepNext w:val="0"/>
              <w:keepLines w:val="0"/>
              <w:suppressLineNumbers w:val="0"/>
              <w:spacing w:before="0" w:beforeAutospacing="0" w:after="0" w:afterAutospacing="0" w:line="300" w:lineRule="exact"/>
              <w:ind w:left="-40" w:right="0"/>
              <w:jc w:val="center"/>
              <w:rPr>
                <w:rFonts w:hint="default" w:ascii="宋体" w:hAnsi="宋体" w:cs="仿宋_GB2312"/>
                <w:szCs w:val="21"/>
                <w:highlight w:val="none"/>
              </w:rPr>
            </w:pPr>
            <w:r>
              <w:rPr>
                <w:rFonts w:hint="eastAsia" w:ascii="宋体" w:hAnsi="宋体" w:cs="宋体"/>
                <w:szCs w:val="21"/>
                <w:highlight w:val="none"/>
              </w:rPr>
              <w:t>投标文件中须提供业绩合同扫描件，若合同反映不出业绩</w:t>
            </w:r>
            <w:r>
              <w:rPr>
                <w:rFonts w:hint="eastAsia" w:ascii="宋体" w:hAnsi="宋体" w:cs="宋体"/>
                <w:szCs w:val="21"/>
                <w:highlight w:val="none"/>
                <w:lang w:val="en-US" w:eastAsia="zh-CN"/>
              </w:rPr>
              <w:t>类型</w:t>
            </w:r>
            <w:r>
              <w:rPr>
                <w:rFonts w:hint="eastAsia" w:ascii="宋体" w:hAnsi="宋体" w:cs="宋体"/>
                <w:szCs w:val="21"/>
                <w:highlight w:val="none"/>
              </w:rPr>
              <w:t>的还须另外</w:t>
            </w:r>
            <w:r>
              <w:rPr>
                <w:rFonts w:hint="eastAsia" w:ascii="Times New Roman" w:hAnsi="Times New Roman"/>
                <w:szCs w:val="21"/>
                <w:highlight w:val="none"/>
              </w:rPr>
              <w:t>提供支付证明或发票扫描件。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7" w:hRule="atLeast"/>
          <w:jc w:val="center"/>
        </w:trPr>
        <w:tc>
          <w:tcPr>
            <w:tcW w:w="699" w:type="dxa"/>
            <w:vAlign w:val="center"/>
          </w:tcPr>
          <w:p>
            <w:pPr>
              <w:keepNext w:val="0"/>
              <w:keepLines w:val="0"/>
              <w:suppressLineNumbers w:val="0"/>
              <w:spacing w:before="0" w:beforeAutospacing="0" w:after="0" w:afterAutospacing="0" w:line="300" w:lineRule="exact"/>
              <w:ind w:left="0" w:right="0" w:firstLine="28"/>
              <w:jc w:val="center"/>
              <w:rPr>
                <w:rFonts w:hint="default" w:ascii="宋体" w:hAnsi="宋体"/>
                <w:szCs w:val="21"/>
                <w:highlight w:val="none"/>
              </w:rPr>
            </w:pPr>
            <w:r>
              <w:rPr>
                <w:rFonts w:hint="eastAsia" w:ascii="宋体" w:hAnsi="宋体"/>
                <w:szCs w:val="21"/>
                <w:highlight w:val="none"/>
              </w:rPr>
              <w:t>2</w:t>
            </w:r>
          </w:p>
        </w:tc>
        <w:tc>
          <w:tcPr>
            <w:tcW w:w="131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cs="宋体"/>
                <w:szCs w:val="21"/>
                <w:highlight w:val="none"/>
              </w:rPr>
            </w:pPr>
            <w:r>
              <w:rPr>
                <w:rFonts w:hint="eastAsia" w:ascii="宋体" w:hAnsi="宋体" w:cs="宋体"/>
                <w:szCs w:val="21"/>
                <w:highlight w:val="none"/>
                <w:lang w:val="en-US" w:eastAsia="zh-CN"/>
              </w:rPr>
              <w:t>企业实力</w:t>
            </w:r>
          </w:p>
        </w:tc>
        <w:tc>
          <w:tcPr>
            <w:tcW w:w="739" w:type="dxa"/>
            <w:vAlign w:val="center"/>
          </w:tcPr>
          <w:p>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right="0"/>
              <w:jc w:val="center"/>
              <w:textAlignment w:val="auto"/>
              <w:rPr>
                <w:rFonts w:hint="default" w:ascii="宋体" w:hAnsi="宋体" w:cs="宋体"/>
                <w:szCs w:val="21"/>
                <w:highlight w:val="none"/>
              </w:rPr>
            </w:pPr>
            <w:r>
              <w:rPr>
                <w:rFonts w:hint="eastAsia" w:ascii="宋体" w:hAnsi="宋体" w:eastAsia="宋体" w:cs="宋体"/>
                <w:szCs w:val="21"/>
                <w:highlight w:val="none"/>
                <w:lang w:val="en-US" w:eastAsia="zh-CN"/>
              </w:rPr>
              <w:t>10分</w:t>
            </w:r>
          </w:p>
        </w:tc>
        <w:tc>
          <w:tcPr>
            <w:tcW w:w="5615" w:type="dxa"/>
            <w:vAlign w:val="center"/>
          </w:tcPr>
          <w:p>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right="0"/>
              <w:textAlignment w:val="auto"/>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投标人具有以下资质：</w:t>
            </w:r>
          </w:p>
          <w:p>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right="0"/>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①甲级测绘资质（含工程测量）；</w:t>
            </w:r>
          </w:p>
          <w:p>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right="0"/>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②工程勘察综合类甲级资质或工程勘察专业（工程测量）甲级资质。</w:t>
            </w:r>
          </w:p>
          <w:p>
            <w:pPr>
              <w:keepNext w:val="0"/>
              <w:keepLines w:val="0"/>
              <w:pageBreakBefore w:val="0"/>
              <w:suppressLineNumbers w:val="0"/>
              <w:kinsoku/>
              <w:wordWrap/>
              <w:overflowPunct/>
              <w:topLinePunct w:val="0"/>
              <w:autoSpaceDE/>
              <w:autoSpaceDN/>
              <w:bidi w:val="0"/>
              <w:snapToGrid/>
              <w:spacing w:before="0" w:beforeAutospacing="0" w:after="0" w:afterAutospacing="0" w:line="240" w:lineRule="auto"/>
              <w:ind w:left="0" w:right="0"/>
              <w:textAlignment w:val="auto"/>
              <w:rPr>
                <w:rFonts w:hint="default" w:ascii="Times New Roman" w:hAnsi="Times New Roman"/>
                <w:szCs w:val="21"/>
                <w:highlight w:val="none"/>
              </w:rPr>
            </w:pPr>
            <w:r>
              <w:rPr>
                <w:rFonts w:hint="eastAsia" w:ascii="Times New Roman" w:hAnsi="Times New Roman" w:eastAsia="宋体" w:cs="Times New Roman"/>
                <w:szCs w:val="21"/>
                <w:highlight w:val="none"/>
                <w:lang w:val="en-US" w:eastAsia="zh-CN"/>
              </w:rPr>
              <w:t>每提供1个得5分，其他的不得分，本条满分10分。</w:t>
            </w:r>
          </w:p>
        </w:tc>
        <w:tc>
          <w:tcPr>
            <w:tcW w:w="1607" w:type="dxa"/>
            <w:vAlign w:val="center"/>
          </w:tcPr>
          <w:p>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jc w:val="center"/>
              <w:textAlignment w:val="auto"/>
              <w:rPr>
                <w:rFonts w:hint="default" w:ascii="宋体" w:hAnsi="宋体" w:cs="宋体"/>
                <w:szCs w:val="21"/>
                <w:highlight w:val="none"/>
              </w:rPr>
            </w:pPr>
            <w:r>
              <w:rPr>
                <w:rFonts w:hint="eastAsia" w:ascii="Times New Roman" w:hAnsi="Times New Roman" w:eastAsia="宋体" w:cs="Times New Roman"/>
                <w:szCs w:val="21"/>
                <w:highlight w:val="none"/>
                <w:lang w:val="en-US" w:eastAsia="zh-CN"/>
              </w:rPr>
              <w:t>投标文件中提供有效的证书扫描件。</w:t>
            </w:r>
          </w:p>
        </w:tc>
      </w:tr>
    </w:tbl>
    <w:p>
      <w:pPr>
        <w:adjustRightInd w:val="0"/>
        <w:snapToGrid w:val="0"/>
        <w:spacing w:line="420" w:lineRule="exact"/>
        <w:ind w:firstLine="316" w:firstLineChars="150"/>
        <w:rPr>
          <w:rFonts w:ascii="宋体" w:hAnsi="宋体" w:cs="宋体"/>
          <w:b/>
          <w:bCs/>
          <w:color w:val="000000"/>
          <w:szCs w:val="21"/>
          <w:highlight w:val="none"/>
        </w:rPr>
      </w:pPr>
      <w:r>
        <w:rPr>
          <w:rFonts w:hint="eastAsia" w:ascii="宋体" w:hAnsi="宋体" w:cs="宋体"/>
          <w:b/>
          <w:bCs/>
          <w:color w:val="000000"/>
          <w:szCs w:val="21"/>
          <w:highlight w:val="none"/>
        </w:rPr>
        <w:t>3.技术标评审（</w:t>
      </w:r>
      <w:r>
        <w:rPr>
          <w:rFonts w:hint="eastAsia" w:ascii="宋体" w:hAnsi="宋体" w:cs="宋体"/>
          <w:b/>
          <w:bCs/>
          <w:color w:val="000000"/>
          <w:szCs w:val="21"/>
          <w:highlight w:val="none"/>
          <w:lang w:val="en-US" w:eastAsia="zh-CN"/>
        </w:rPr>
        <w:t>5</w:t>
      </w:r>
      <w:r>
        <w:rPr>
          <w:rFonts w:hint="eastAsia" w:ascii="宋体" w:hAnsi="宋体" w:cs="宋体"/>
          <w:b/>
          <w:bCs/>
          <w:color w:val="000000"/>
          <w:szCs w:val="21"/>
          <w:highlight w:val="none"/>
        </w:rPr>
        <w:t>0分）</w:t>
      </w:r>
    </w:p>
    <w:tbl>
      <w:tblPr>
        <w:tblStyle w:val="26"/>
        <w:tblW w:w="99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300"/>
        <w:gridCol w:w="754"/>
        <w:gridCol w:w="5607"/>
        <w:gridCol w:w="15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1" w:type="dxa"/>
            <w:vAlign w:val="center"/>
          </w:tcPr>
          <w:p>
            <w:pPr>
              <w:keepNext w:val="0"/>
              <w:keepLines w:val="0"/>
              <w:suppressLineNumbers w:val="0"/>
              <w:adjustRightInd w:val="0"/>
              <w:snapToGrid w:val="0"/>
              <w:spacing w:before="0" w:beforeAutospacing="0" w:after="0" w:afterAutospacing="0"/>
              <w:ind w:left="0" w:right="0"/>
              <w:jc w:val="center"/>
              <w:rPr>
                <w:rFonts w:hint="default" w:ascii="宋体" w:cs="宋体"/>
                <w:b/>
                <w:bCs/>
                <w:szCs w:val="21"/>
                <w:highlight w:val="none"/>
              </w:rPr>
            </w:pPr>
            <w:r>
              <w:rPr>
                <w:rFonts w:hint="eastAsia" w:ascii="宋体" w:hAnsi="宋体" w:cs="宋体"/>
                <w:b/>
                <w:bCs/>
                <w:szCs w:val="21"/>
                <w:highlight w:val="none"/>
              </w:rPr>
              <w:t>序号</w:t>
            </w:r>
          </w:p>
        </w:tc>
        <w:tc>
          <w:tcPr>
            <w:tcW w:w="1300" w:type="dxa"/>
            <w:vAlign w:val="center"/>
          </w:tcPr>
          <w:p>
            <w:pPr>
              <w:keepNext w:val="0"/>
              <w:keepLines w:val="0"/>
              <w:suppressLineNumbers w:val="0"/>
              <w:adjustRightInd w:val="0"/>
              <w:snapToGrid w:val="0"/>
              <w:spacing w:before="0" w:beforeAutospacing="0" w:after="0" w:afterAutospacing="0"/>
              <w:ind w:left="0" w:right="0"/>
              <w:jc w:val="center"/>
              <w:rPr>
                <w:rFonts w:hint="default" w:ascii="宋体" w:cs="宋体"/>
                <w:b/>
                <w:bCs/>
                <w:sz w:val="28"/>
                <w:highlight w:val="none"/>
              </w:rPr>
            </w:pPr>
            <w:r>
              <w:rPr>
                <w:rFonts w:hint="eastAsia" w:ascii="宋体" w:hAnsi="宋体" w:cs="宋体"/>
                <w:b/>
                <w:bCs/>
                <w:szCs w:val="21"/>
                <w:highlight w:val="none"/>
              </w:rPr>
              <w:t>评分因素</w:t>
            </w:r>
          </w:p>
        </w:tc>
        <w:tc>
          <w:tcPr>
            <w:tcW w:w="754" w:type="dxa"/>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b/>
                <w:bCs/>
                <w:szCs w:val="21"/>
                <w:highlight w:val="none"/>
              </w:rPr>
            </w:pPr>
            <w:r>
              <w:rPr>
                <w:rFonts w:hint="eastAsia" w:ascii="宋体" w:hAnsi="宋体" w:cs="宋体"/>
                <w:b/>
                <w:bCs/>
                <w:szCs w:val="21"/>
                <w:highlight w:val="none"/>
              </w:rPr>
              <w:t>分值</w:t>
            </w:r>
          </w:p>
        </w:tc>
        <w:tc>
          <w:tcPr>
            <w:tcW w:w="5607" w:type="dxa"/>
            <w:vAlign w:val="center"/>
          </w:tcPr>
          <w:p>
            <w:pPr>
              <w:keepNext w:val="0"/>
              <w:keepLines w:val="0"/>
              <w:suppressLineNumbers w:val="0"/>
              <w:adjustRightInd w:val="0"/>
              <w:snapToGrid w:val="0"/>
              <w:spacing w:before="0" w:beforeAutospacing="0" w:after="0" w:afterAutospacing="0"/>
              <w:ind w:left="0" w:right="0"/>
              <w:jc w:val="center"/>
              <w:rPr>
                <w:rFonts w:hint="default" w:ascii="宋体" w:cs="宋体"/>
                <w:b/>
                <w:bCs/>
                <w:sz w:val="28"/>
                <w:highlight w:val="none"/>
              </w:rPr>
            </w:pPr>
            <w:r>
              <w:rPr>
                <w:rFonts w:hint="eastAsia" w:ascii="宋体" w:cs="宋体"/>
                <w:b/>
                <w:bCs/>
                <w:szCs w:val="21"/>
                <w:highlight w:val="none"/>
              </w:rPr>
              <w:t>评审细则</w:t>
            </w:r>
          </w:p>
        </w:tc>
        <w:tc>
          <w:tcPr>
            <w:tcW w:w="1591" w:type="dxa"/>
            <w:vAlign w:val="center"/>
          </w:tcPr>
          <w:p>
            <w:pPr>
              <w:keepNext w:val="0"/>
              <w:keepLines w:val="0"/>
              <w:suppressLineNumbers w:val="0"/>
              <w:adjustRightInd w:val="0"/>
              <w:snapToGrid w:val="0"/>
              <w:spacing w:before="0" w:beforeAutospacing="0" w:after="0" w:afterAutospacing="0"/>
              <w:ind w:left="0" w:right="0"/>
              <w:jc w:val="center"/>
              <w:rPr>
                <w:rFonts w:hint="default" w:ascii="宋体" w:cs="宋体"/>
                <w:b/>
                <w:bCs/>
                <w:szCs w:val="21"/>
                <w:highlight w:val="none"/>
              </w:rPr>
            </w:pPr>
            <w:r>
              <w:rPr>
                <w:rFonts w:hint="eastAsia" w:ascii="宋体" w:cs="宋体"/>
                <w:b/>
                <w:bCs/>
                <w:szCs w:val="21"/>
                <w:highlight w:val="none"/>
              </w:rPr>
              <w:t>须提供的证明材料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691" w:type="dxa"/>
            <w:vAlign w:val="center"/>
          </w:tcPr>
          <w:p>
            <w:pPr>
              <w:keepNext w:val="0"/>
              <w:keepLines w:val="0"/>
              <w:suppressLineNumbers w:val="0"/>
              <w:spacing w:before="0" w:beforeAutospacing="0" w:after="0" w:afterAutospacing="0" w:line="440" w:lineRule="exact"/>
              <w:ind w:left="0" w:right="0"/>
              <w:jc w:val="center"/>
              <w:rPr>
                <w:rFonts w:hint="eastAsia" w:ascii="宋体" w:hAnsi="宋体" w:cs="宋体" w:eastAsiaTheme="minorEastAsia"/>
                <w:szCs w:val="21"/>
                <w:highlight w:val="none"/>
                <w:lang w:val="en-US" w:eastAsia="zh-CN"/>
              </w:rPr>
            </w:pPr>
            <w:r>
              <w:rPr>
                <w:rFonts w:hint="eastAsia" w:ascii="宋体" w:hAnsi="宋体" w:cs="宋体"/>
                <w:szCs w:val="21"/>
                <w:highlight w:val="none"/>
                <w:lang w:val="en-US" w:eastAsia="zh-CN"/>
              </w:rPr>
              <w:t>1</w:t>
            </w:r>
          </w:p>
        </w:tc>
        <w:tc>
          <w:tcPr>
            <w:tcW w:w="1300" w:type="dxa"/>
            <w:vAlign w:val="center"/>
          </w:tcPr>
          <w:p>
            <w:pPr>
              <w:keepNext w:val="0"/>
              <w:keepLines w:val="0"/>
              <w:suppressLineNumbers w:val="0"/>
              <w:adjustRightInd w:val="0"/>
              <w:snapToGrid w:val="0"/>
              <w:spacing w:before="0" w:beforeAutospacing="0" w:after="0" w:afterAutospacing="0"/>
              <w:ind w:left="0" w:right="0"/>
              <w:jc w:val="center"/>
              <w:rPr>
                <w:rFonts w:hint="default" w:cs="宋体"/>
                <w:bCs/>
                <w:szCs w:val="21"/>
                <w:highlight w:val="none"/>
              </w:rPr>
            </w:pPr>
            <w:r>
              <w:rPr>
                <w:rFonts w:hint="eastAsia" w:ascii="宋体" w:hAnsi="宋体" w:cs="宋体"/>
                <w:szCs w:val="21"/>
                <w:highlight w:val="none"/>
              </w:rPr>
              <w:t>总体理解</w:t>
            </w:r>
          </w:p>
        </w:tc>
        <w:tc>
          <w:tcPr>
            <w:tcW w:w="754" w:type="dxa"/>
            <w:vAlign w:val="center"/>
          </w:tcPr>
          <w:p>
            <w:pPr>
              <w:keepNext w:val="0"/>
              <w:keepLines w:val="0"/>
              <w:suppressLineNumbers w:val="0"/>
              <w:spacing w:before="0" w:beforeAutospacing="0" w:after="0" w:afterAutospacing="0"/>
              <w:ind w:left="0" w:right="0"/>
              <w:jc w:val="center"/>
              <w:rPr>
                <w:rFonts w:hint="default" w:ascii="宋体" w:hAnsi="宋体"/>
                <w:highlight w:val="none"/>
              </w:rPr>
            </w:pPr>
            <w:r>
              <w:rPr>
                <w:rFonts w:hint="eastAsia" w:ascii="宋体" w:hAnsi="宋体" w:cs="宋体"/>
                <w:color w:val="000000"/>
                <w:szCs w:val="21"/>
                <w:highlight w:val="none"/>
                <w:lang w:val="en-US" w:eastAsia="zh-CN"/>
              </w:rPr>
              <w:t>15</w:t>
            </w:r>
            <w:r>
              <w:rPr>
                <w:rFonts w:hint="eastAsia" w:ascii="宋体" w:hAnsi="宋体" w:cs="宋体"/>
                <w:color w:val="000000"/>
                <w:szCs w:val="21"/>
                <w:highlight w:val="none"/>
              </w:rPr>
              <w:t>分</w:t>
            </w:r>
          </w:p>
        </w:tc>
        <w:tc>
          <w:tcPr>
            <w:tcW w:w="5607" w:type="dxa"/>
            <w:vAlign w:val="center"/>
          </w:tcPr>
          <w:p>
            <w:pPr>
              <w:keepNext w:val="0"/>
              <w:keepLines w:val="0"/>
              <w:suppressLineNumbers w:val="0"/>
              <w:spacing w:before="0" w:beforeAutospacing="0" w:after="0" w:afterAutospacing="0" w:line="360" w:lineRule="exact"/>
              <w:ind w:left="0" w:right="0"/>
              <w:jc w:val="left"/>
              <w:rPr>
                <w:rFonts w:hint="default"/>
                <w:highlight w:val="none"/>
              </w:rPr>
            </w:pPr>
            <w:r>
              <w:rPr>
                <w:rFonts w:hint="eastAsia" w:ascii="宋体" w:hAnsi="宋体" w:cs="宋体"/>
                <w:kern w:val="0"/>
                <w:szCs w:val="21"/>
                <w:highlight w:val="none"/>
                <w:lang w:val="en-US" w:eastAsia="zh-CN"/>
              </w:rPr>
              <w:t>对本项目监测工作的总体认识，理清工作重难点。优秀的得10分＜F≤15分，良好的得5分＜F≤10分，一般的得0分＜F≤5分，不合格或未提供的不得分。</w:t>
            </w:r>
          </w:p>
        </w:tc>
        <w:tc>
          <w:tcPr>
            <w:tcW w:w="1591" w:type="dxa"/>
            <w:vAlign w:val="center"/>
          </w:tcPr>
          <w:p>
            <w:pPr>
              <w:keepNext w:val="0"/>
              <w:keepLines w:val="0"/>
              <w:suppressLineNumbers w:val="0"/>
              <w:spacing w:before="0" w:beforeAutospacing="0" w:after="0" w:afterAutospacing="0"/>
              <w:ind w:left="0" w:right="0"/>
              <w:jc w:val="center"/>
              <w:rPr>
                <w:rFonts w:hint="default" w:ascii="宋体" w:hAnsi="宋体" w:cs="宋体"/>
                <w:szCs w:val="21"/>
                <w:highlight w:val="none"/>
              </w:rPr>
            </w:pPr>
            <w:r>
              <w:rPr>
                <w:rFonts w:hint="eastAsia"/>
                <w:highlight w:val="none"/>
                <w:lang w:val="zh-TW"/>
              </w:rPr>
              <w:t>技术标中须能充分有效反映出本评分项内容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691" w:type="dxa"/>
            <w:vAlign w:val="center"/>
          </w:tcPr>
          <w:p>
            <w:pPr>
              <w:keepNext w:val="0"/>
              <w:keepLines w:val="0"/>
              <w:suppressLineNumbers w:val="0"/>
              <w:spacing w:before="0" w:beforeAutospacing="0" w:after="0" w:afterAutospacing="0" w:line="440" w:lineRule="exact"/>
              <w:ind w:left="0" w:right="0"/>
              <w:jc w:val="center"/>
              <w:rPr>
                <w:rFonts w:hint="eastAsia" w:ascii="宋体" w:hAnsi="宋体" w:cs="宋体" w:eastAsiaTheme="minorEastAsia"/>
                <w:szCs w:val="21"/>
                <w:highlight w:val="none"/>
                <w:lang w:val="en-US" w:eastAsia="zh-CN"/>
              </w:rPr>
            </w:pPr>
            <w:r>
              <w:rPr>
                <w:rFonts w:hint="eastAsia" w:ascii="宋体" w:hAnsi="宋体" w:cs="宋体"/>
                <w:szCs w:val="21"/>
                <w:highlight w:val="none"/>
                <w:lang w:val="en-US" w:eastAsia="zh-CN"/>
              </w:rPr>
              <w:t>2</w:t>
            </w:r>
          </w:p>
        </w:tc>
        <w:tc>
          <w:tcPr>
            <w:tcW w:w="1300" w:type="dxa"/>
            <w:vAlign w:val="center"/>
          </w:tcPr>
          <w:p>
            <w:pPr>
              <w:keepNext w:val="0"/>
              <w:keepLines w:val="0"/>
              <w:suppressLineNumbers w:val="0"/>
              <w:adjustRightInd w:val="0"/>
              <w:snapToGrid w:val="0"/>
              <w:spacing w:before="0" w:beforeAutospacing="0" w:after="0" w:afterAutospacing="0"/>
              <w:ind w:left="0" w:right="0"/>
              <w:jc w:val="center"/>
              <w:rPr>
                <w:rFonts w:hint="default" w:cs="宋体"/>
                <w:bCs/>
                <w:szCs w:val="21"/>
                <w:highlight w:val="none"/>
              </w:rPr>
            </w:pPr>
            <w:r>
              <w:rPr>
                <w:rFonts w:hint="eastAsia" w:ascii="宋体" w:hAnsi="宋体" w:cs="宋体"/>
                <w:kern w:val="0"/>
                <w:szCs w:val="21"/>
                <w:highlight w:val="none"/>
              </w:rPr>
              <w:t>分析报告编制</w:t>
            </w:r>
          </w:p>
        </w:tc>
        <w:tc>
          <w:tcPr>
            <w:tcW w:w="754" w:type="dxa"/>
            <w:vAlign w:val="center"/>
          </w:tcPr>
          <w:p>
            <w:pPr>
              <w:keepNext w:val="0"/>
              <w:keepLines w:val="0"/>
              <w:suppressLineNumbers w:val="0"/>
              <w:spacing w:before="0" w:beforeAutospacing="0" w:after="0" w:afterAutospacing="0"/>
              <w:ind w:left="0" w:right="0"/>
              <w:jc w:val="center"/>
              <w:rPr>
                <w:rFonts w:hint="default" w:ascii="宋体" w:hAnsi="宋体"/>
                <w:color w:val="000000"/>
                <w:szCs w:val="21"/>
                <w:highlight w:val="none"/>
              </w:rPr>
            </w:pPr>
            <w:r>
              <w:rPr>
                <w:rFonts w:hint="eastAsia" w:ascii="宋体" w:hAnsi="宋体" w:cs="宋体"/>
                <w:color w:val="000000"/>
                <w:szCs w:val="21"/>
                <w:highlight w:val="none"/>
                <w:lang w:val="en-US" w:eastAsia="zh-CN"/>
              </w:rPr>
              <w:t>20</w:t>
            </w:r>
            <w:r>
              <w:rPr>
                <w:rFonts w:hint="eastAsia" w:ascii="宋体" w:hAnsi="宋体" w:cs="宋体"/>
                <w:color w:val="000000"/>
                <w:szCs w:val="21"/>
                <w:highlight w:val="none"/>
              </w:rPr>
              <w:t>分</w:t>
            </w:r>
          </w:p>
        </w:tc>
        <w:tc>
          <w:tcPr>
            <w:tcW w:w="5607" w:type="dxa"/>
            <w:vAlign w:val="center"/>
          </w:tcPr>
          <w:p>
            <w:pPr>
              <w:keepNext w:val="0"/>
              <w:keepLines w:val="0"/>
              <w:widowControl/>
              <w:suppressLineNumbers w:val="0"/>
              <w:spacing w:before="0" w:beforeAutospacing="0" w:after="0" w:afterAutospacing="0"/>
              <w:ind w:left="0" w:right="0"/>
              <w:jc w:val="left"/>
              <w:textAlignment w:val="center"/>
              <w:rPr>
                <w:rFonts w:hint="default"/>
                <w:highlight w:val="none"/>
              </w:rPr>
            </w:pPr>
            <w:r>
              <w:rPr>
                <w:rFonts w:hint="eastAsia" w:ascii="宋体" w:hAnsi="宋体" w:cs="宋体"/>
                <w:kern w:val="0"/>
                <w:szCs w:val="21"/>
                <w:highlight w:val="none"/>
              </w:rPr>
              <w:t>分析报告：结合规范及行业标准，根据对结构监测总结报告等分析报告框架及内容，分析报告科学全面、编制详细、内容准确、结论清晰，并附有总结报告样稿。</w:t>
            </w:r>
            <w:r>
              <w:rPr>
                <w:rFonts w:hint="eastAsia" w:ascii="宋体" w:hAnsi="宋体" w:cs="宋体"/>
                <w:kern w:val="0"/>
                <w:szCs w:val="21"/>
                <w:highlight w:val="none"/>
                <w:lang w:val="en-US" w:eastAsia="zh-CN"/>
              </w:rPr>
              <w:t>优秀的得15分＜F≤20分，良好的得10分＜F≤15分，一般的得5分＜F≤10分，不合格或未提供的不得分。</w:t>
            </w:r>
          </w:p>
        </w:tc>
        <w:tc>
          <w:tcPr>
            <w:tcW w:w="1591" w:type="dxa"/>
            <w:vAlign w:val="center"/>
          </w:tcPr>
          <w:p>
            <w:pPr>
              <w:keepNext w:val="0"/>
              <w:keepLines w:val="0"/>
              <w:suppressLineNumbers w:val="0"/>
              <w:spacing w:before="0" w:beforeAutospacing="0" w:after="0" w:afterAutospacing="0"/>
              <w:ind w:left="0" w:right="0"/>
              <w:jc w:val="center"/>
              <w:rPr>
                <w:rFonts w:hint="default" w:ascii="宋体" w:hAnsi="宋体" w:cs="宋体"/>
                <w:szCs w:val="21"/>
                <w:highlight w:val="none"/>
              </w:rPr>
            </w:pPr>
            <w:r>
              <w:rPr>
                <w:rFonts w:hint="eastAsia"/>
                <w:highlight w:val="none"/>
                <w:lang w:val="zh-TW"/>
              </w:rPr>
              <w:t>技术标中须能充分有效反映出本评分项内容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691" w:type="dxa"/>
            <w:vAlign w:val="center"/>
          </w:tcPr>
          <w:p>
            <w:pPr>
              <w:keepNext w:val="0"/>
              <w:keepLines w:val="0"/>
              <w:suppressLineNumbers w:val="0"/>
              <w:spacing w:before="0" w:beforeAutospacing="0" w:after="0" w:afterAutospacing="0" w:line="440" w:lineRule="exact"/>
              <w:ind w:left="0" w:right="0"/>
              <w:jc w:val="center"/>
              <w:rPr>
                <w:rFonts w:hint="eastAsia" w:ascii="宋体" w:hAnsi="宋体" w:cs="宋体" w:eastAsiaTheme="minorEastAsia"/>
                <w:szCs w:val="21"/>
                <w:highlight w:val="none"/>
                <w:lang w:val="en-US" w:eastAsia="zh-CN"/>
              </w:rPr>
            </w:pPr>
            <w:r>
              <w:rPr>
                <w:rFonts w:hint="eastAsia" w:ascii="宋体" w:hAnsi="宋体" w:cs="宋体"/>
                <w:szCs w:val="21"/>
                <w:highlight w:val="none"/>
                <w:lang w:val="en-US" w:eastAsia="zh-CN"/>
              </w:rPr>
              <w:t>3</w:t>
            </w:r>
          </w:p>
        </w:tc>
        <w:tc>
          <w:tcPr>
            <w:tcW w:w="1300" w:type="dxa"/>
            <w:vAlign w:val="center"/>
          </w:tcPr>
          <w:p>
            <w:pPr>
              <w:keepNext w:val="0"/>
              <w:keepLines w:val="0"/>
              <w:suppressLineNumbers w:val="0"/>
              <w:adjustRightInd w:val="0"/>
              <w:snapToGrid w:val="0"/>
              <w:spacing w:before="0" w:beforeAutospacing="0" w:after="0" w:afterAutospacing="0"/>
              <w:ind w:left="0" w:right="0"/>
              <w:jc w:val="center"/>
              <w:rPr>
                <w:rFonts w:hint="default" w:cs="宋体"/>
                <w:bCs/>
                <w:szCs w:val="21"/>
                <w:highlight w:val="none"/>
              </w:rPr>
            </w:pPr>
            <w:r>
              <w:rPr>
                <w:rFonts w:hint="eastAsia" w:ascii="宋体" w:hAnsi="宋体" w:cs="宋体"/>
                <w:kern w:val="0"/>
                <w:szCs w:val="21"/>
                <w:highlight w:val="none"/>
              </w:rPr>
              <w:t>作业组织方案计划合理</w:t>
            </w:r>
          </w:p>
        </w:tc>
        <w:tc>
          <w:tcPr>
            <w:tcW w:w="754" w:type="dxa"/>
            <w:vAlign w:val="center"/>
          </w:tcPr>
          <w:p>
            <w:pPr>
              <w:keepNext w:val="0"/>
              <w:keepLines w:val="0"/>
              <w:suppressLineNumbers w:val="0"/>
              <w:spacing w:before="0" w:beforeAutospacing="0" w:after="0" w:afterAutospacing="0"/>
              <w:ind w:left="0" w:right="0"/>
              <w:jc w:val="center"/>
              <w:rPr>
                <w:rFonts w:hint="default" w:ascii="宋体" w:hAnsi="宋体"/>
                <w:color w:val="000000"/>
                <w:szCs w:val="21"/>
                <w:highlight w:val="none"/>
              </w:rPr>
            </w:pPr>
            <w:r>
              <w:rPr>
                <w:rFonts w:hint="eastAsia" w:ascii="宋体" w:hAnsi="宋体" w:cs="宋体"/>
                <w:color w:val="000000"/>
                <w:szCs w:val="21"/>
                <w:highlight w:val="none"/>
                <w:lang w:val="en-US" w:eastAsia="zh-CN"/>
              </w:rPr>
              <w:t>15</w:t>
            </w:r>
            <w:r>
              <w:rPr>
                <w:rFonts w:hint="eastAsia" w:ascii="宋体" w:hAnsi="宋体" w:cs="宋体"/>
                <w:color w:val="000000"/>
                <w:szCs w:val="21"/>
                <w:highlight w:val="none"/>
              </w:rPr>
              <w:t>分</w:t>
            </w:r>
          </w:p>
        </w:tc>
        <w:tc>
          <w:tcPr>
            <w:tcW w:w="5607" w:type="dxa"/>
            <w:vAlign w:val="center"/>
          </w:tcPr>
          <w:p>
            <w:pPr>
              <w:keepNext w:val="0"/>
              <w:keepLines w:val="0"/>
              <w:widowControl/>
              <w:suppressLineNumbers w:val="0"/>
              <w:spacing w:before="0" w:beforeAutospacing="0" w:after="0" w:afterAutospacing="0"/>
              <w:ind w:left="0" w:right="0"/>
              <w:jc w:val="left"/>
              <w:textAlignment w:val="center"/>
              <w:rPr>
                <w:rFonts w:hint="default"/>
                <w:highlight w:val="none"/>
              </w:rPr>
            </w:pPr>
            <w:r>
              <w:rPr>
                <w:rFonts w:hint="eastAsia" w:ascii="宋体" w:hAnsi="宋体" w:cs="宋体"/>
                <w:kern w:val="0"/>
                <w:szCs w:val="21"/>
                <w:highlight w:val="none"/>
              </w:rPr>
              <w:t>合理分小组作业，各小组有具体负责人与小组的作业计划，进度计划合理，各工序安排得当，时间安排合理，满足工期要求，满足现场管理与规范要求。</w:t>
            </w:r>
            <w:r>
              <w:rPr>
                <w:rFonts w:hint="eastAsia" w:ascii="宋体" w:hAnsi="宋体" w:cs="宋体"/>
                <w:kern w:val="0"/>
                <w:szCs w:val="21"/>
                <w:highlight w:val="none"/>
                <w:lang w:val="en-US" w:eastAsia="zh-CN"/>
              </w:rPr>
              <w:t>优秀的得10分＜F≤15分，良好的得5分＜F≤10分，一般的得0分＜F≤5分，不合格或未提供的不得分。</w:t>
            </w:r>
          </w:p>
        </w:tc>
        <w:tc>
          <w:tcPr>
            <w:tcW w:w="1591" w:type="dxa"/>
            <w:vAlign w:val="center"/>
          </w:tcPr>
          <w:p>
            <w:pPr>
              <w:keepNext w:val="0"/>
              <w:keepLines w:val="0"/>
              <w:suppressLineNumbers w:val="0"/>
              <w:spacing w:before="0" w:beforeAutospacing="0" w:after="0" w:afterAutospacing="0"/>
              <w:ind w:left="0" w:right="0"/>
              <w:jc w:val="center"/>
              <w:rPr>
                <w:rFonts w:hint="default" w:ascii="宋体" w:hAnsi="宋体" w:cs="宋体"/>
                <w:szCs w:val="21"/>
                <w:highlight w:val="none"/>
              </w:rPr>
            </w:pPr>
            <w:r>
              <w:rPr>
                <w:rFonts w:hint="eastAsia"/>
                <w:highlight w:val="none"/>
                <w:lang w:val="zh-TW"/>
              </w:rPr>
              <w:t>技术标中须能充分有效反映出本评分项内容</w:t>
            </w:r>
          </w:p>
        </w:tc>
      </w:tr>
    </w:tbl>
    <w:p>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注：各投标人技术标总得分为各评委评分的平均值为最终得分。取两位小数，小数点后第三位四舍五入。</w:t>
      </w:r>
    </w:p>
    <w:p>
      <w:pPr>
        <w:adjustRightInd w:val="0"/>
        <w:snapToGrid w:val="0"/>
        <w:spacing w:line="420" w:lineRule="exact"/>
        <w:ind w:firstLine="316" w:firstLineChars="150"/>
        <w:rPr>
          <w:rFonts w:ascii="宋体" w:hAnsi="宋体" w:cs="宋体"/>
          <w:color w:val="000000"/>
          <w:szCs w:val="21"/>
          <w:highlight w:val="none"/>
        </w:rPr>
      </w:pPr>
      <w:r>
        <w:rPr>
          <w:rFonts w:hint="eastAsia" w:ascii="宋体" w:hAnsi="宋体" w:cs="宋体"/>
          <w:b/>
          <w:bCs/>
          <w:color w:val="000000"/>
          <w:szCs w:val="21"/>
          <w:highlight w:val="none"/>
        </w:rPr>
        <w:t>4.商务标评审（</w:t>
      </w:r>
      <w:r>
        <w:rPr>
          <w:rFonts w:hint="eastAsia" w:ascii="宋体" w:hAnsi="宋体" w:cs="宋体"/>
          <w:b/>
          <w:bCs/>
          <w:color w:val="000000"/>
          <w:szCs w:val="21"/>
          <w:highlight w:val="none"/>
          <w:lang w:val="en-US" w:eastAsia="zh-CN"/>
        </w:rPr>
        <w:t>3</w:t>
      </w:r>
      <w:r>
        <w:rPr>
          <w:rFonts w:hint="eastAsia" w:ascii="宋体" w:hAnsi="宋体" w:cs="宋体"/>
          <w:b/>
          <w:bCs/>
          <w:color w:val="000000"/>
          <w:szCs w:val="21"/>
          <w:highlight w:val="none"/>
        </w:rPr>
        <w:t>0分）</w:t>
      </w:r>
    </w:p>
    <w:tbl>
      <w:tblPr>
        <w:tblStyle w:val="26"/>
        <w:tblW w:w="9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065"/>
        <w:gridCol w:w="810"/>
        <w:gridCol w:w="7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60" w:type="dxa"/>
            <w:vAlign w:val="center"/>
          </w:tcPr>
          <w:p>
            <w:pPr>
              <w:keepNext w:val="0"/>
              <w:keepLines w:val="0"/>
              <w:suppressLineNumbers w:val="0"/>
              <w:spacing w:before="0" w:beforeAutospacing="0" w:after="0" w:afterAutospacing="0"/>
              <w:ind w:left="0" w:right="0"/>
              <w:jc w:val="center"/>
              <w:rPr>
                <w:rFonts w:hint="default" w:ascii="宋体" w:hAnsi="宋体" w:cs="宋体"/>
                <w:szCs w:val="21"/>
                <w:highlight w:val="none"/>
              </w:rPr>
            </w:pPr>
            <w:r>
              <w:rPr>
                <w:rFonts w:hint="eastAsia" w:ascii="宋体" w:hAnsi="宋体" w:cs="宋体"/>
                <w:szCs w:val="21"/>
                <w:highlight w:val="none"/>
              </w:rPr>
              <w:t>序号</w:t>
            </w:r>
          </w:p>
        </w:tc>
        <w:tc>
          <w:tcPr>
            <w:tcW w:w="1065" w:type="dxa"/>
            <w:vAlign w:val="center"/>
          </w:tcPr>
          <w:p>
            <w:pPr>
              <w:keepNext w:val="0"/>
              <w:keepLines w:val="0"/>
              <w:suppressLineNumbers w:val="0"/>
              <w:spacing w:before="0" w:beforeAutospacing="0" w:after="0" w:afterAutospacing="0"/>
              <w:ind w:left="0" w:right="0"/>
              <w:jc w:val="center"/>
              <w:rPr>
                <w:rFonts w:hint="default" w:ascii="宋体" w:hAnsi="宋体" w:cs="宋体"/>
                <w:szCs w:val="21"/>
                <w:highlight w:val="none"/>
              </w:rPr>
            </w:pPr>
            <w:r>
              <w:rPr>
                <w:rFonts w:hint="eastAsia" w:ascii="宋体" w:hAnsi="宋体" w:cs="宋体"/>
                <w:szCs w:val="21"/>
                <w:highlight w:val="none"/>
              </w:rPr>
              <w:t>评分因素</w:t>
            </w:r>
          </w:p>
        </w:tc>
        <w:tc>
          <w:tcPr>
            <w:tcW w:w="810" w:type="dxa"/>
            <w:vAlign w:val="center"/>
          </w:tcPr>
          <w:p>
            <w:pPr>
              <w:keepNext w:val="0"/>
              <w:keepLines w:val="0"/>
              <w:suppressLineNumbers w:val="0"/>
              <w:spacing w:before="0" w:beforeAutospacing="0" w:after="0" w:afterAutospacing="0"/>
              <w:ind w:left="0" w:right="0"/>
              <w:jc w:val="center"/>
              <w:rPr>
                <w:rFonts w:hint="default" w:ascii="宋体" w:hAnsi="宋体" w:cs="宋体"/>
                <w:szCs w:val="21"/>
                <w:highlight w:val="none"/>
              </w:rPr>
            </w:pPr>
            <w:r>
              <w:rPr>
                <w:rFonts w:hint="eastAsia" w:ascii="宋体" w:hAnsi="宋体" w:cs="宋体"/>
                <w:szCs w:val="21"/>
                <w:highlight w:val="none"/>
              </w:rPr>
              <w:t>分值</w:t>
            </w:r>
          </w:p>
        </w:tc>
        <w:tc>
          <w:tcPr>
            <w:tcW w:w="7181" w:type="dxa"/>
            <w:vAlign w:val="center"/>
          </w:tcPr>
          <w:p>
            <w:pPr>
              <w:keepNext w:val="0"/>
              <w:keepLines w:val="0"/>
              <w:suppressLineNumbers w:val="0"/>
              <w:spacing w:before="0" w:beforeAutospacing="0" w:after="0" w:afterAutospacing="0"/>
              <w:ind w:left="0" w:right="0"/>
              <w:jc w:val="center"/>
              <w:rPr>
                <w:rFonts w:hint="default" w:ascii="宋体" w:hAnsi="宋体" w:cs="宋体"/>
                <w:szCs w:val="21"/>
                <w:highlight w:val="none"/>
              </w:rPr>
            </w:pPr>
            <w:r>
              <w:rPr>
                <w:rFonts w:hint="eastAsia" w:ascii="宋体" w:hAnsi="宋体" w:cs="宋体"/>
                <w:szCs w:val="21"/>
                <w:highlight w:val="none"/>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jc w:val="center"/>
        </w:trPr>
        <w:tc>
          <w:tcPr>
            <w:tcW w:w="660" w:type="dxa"/>
            <w:vAlign w:val="center"/>
          </w:tcPr>
          <w:p>
            <w:pPr>
              <w:keepNext w:val="0"/>
              <w:keepLines w:val="0"/>
              <w:suppressLineNumbers w:val="0"/>
              <w:spacing w:before="0" w:beforeAutospacing="0" w:after="0" w:afterAutospacing="0"/>
              <w:ind w:left="0" w:right="0"/>
              <w:jc w:val="center"/>
              <w:rPr>
                <w:rFonts w:hint="default" w:ascii="宋体" w:hAnsi="宋体" w:cs="宋体"/>
                <w:szCs w:val="21"/>
                <w:highlight w:val="none"/>
              </w:rPr>
            </w:pPr>
            <w:r>
              <w:rPr>
                <w:rFonts w:hint="eastAsia" w:ascii="宋体" w:hAnsi="宋体" w:cs="宋体"/>
                <w:szCs w:val="21"/>
                <w:highlight w:val="none"/>
              </w:rPr>
              <w:t>1</w:t>
            </w:r>
          </w:p>
        </w:tc>
        <w:tc>
          <w:tcPr>
            <w:tcW w:w="1065" w:type="dxa"/>
            <w:vAlign w:val="center"/>
          </w:tcPr>
          <w:p>
            <w:pPr>
              <w:keepNext w:val="0"/>
              <w:keepLines w:val="0"/>
              <w:suppressLineNumbers w:val="0"/>
              <w:spacing w:before="0" w:beforeAutospacing="0" w:after="0" w:afterAutospacing="0"/>
              <w:ind w:left="0" w:right="0"/>
              <w:jc w:val="center"/>
              <w:rPr>
                <w:rFonts w:hint="default" w:ascii="宋体" w:hAnsi="宋体" w:cs="宋体"/>
                <w:szCs w:val="21"/>
                <w:highlight w:val="none"/>
              </w:rPr>
            </w:pPr>
            <w:r>
              <w:rPr>
                <w:rFonts w:hint="eastAsia" w:ascii="宋体" w:hAnsi="宋体" w:cs="宋体"/>
                <w:szCs w:val="21"/>
                <w:highlight w:val="none"/>
              </w:rPr>
              <w:t>投标报价</w:t>
            </w:r>
          </w:p>
        </w:tc>
        <w:tc>
          <w:tcPr>
            <w:tcW w:w="810" w:type="dxa"/>
            <w:vAlign w:val="center"/>
          </w:tcPr>
          <w:p>
            <w:pPr>
              <w:keepNext w:val="0"/>
              <w:keepLines w:val="0"/>
              <w:suppressLineNumbers w:val="0"/>
              <w:spacing w:before="0" w:beforeAutospacing="0" w:after="0" w:afterAutospacing="0"/>
              <w:ind w:left="0" w:right="0"/>
              <w:jc w:val="center"/>
              <w:rPr>
                <w:rFonts w:hint="default" w:ascii="宋体" w:hAnsi="宋体" w:cs="宋体"/>
                <w:szCs w:val="21"/>
                <w:highlight w:val="none"/>
              </w:rPr>
            </w:pPr>
            <w:r>
              <w:rPr>
                <w:rFonts w:hint="eastAsia" w:ascii="宋体" w:hAnsi="宋体" w:cs="宋体"/>
                <w:szCs w:val="21"/>
                <w:highlight w:val="none"/>
                <w:lang w:val="en-US" w:eastAsia="zh-CN"/>
              </w:rPr>
              <w:t>3</w:t>
            </w:r>
            <w:r>
              <w:rPr>
                <w:rFonts w:hint="eastAsia" w:ascii="宋体" w:hAnsi="宋体" w:cs="宋体"/>
                <w:szCs w:val="21"/>
                <w:highlight w:val="none"/>
              </w:rPr>
              <w:t>0分</w:t>
            </w:r>
          </w:p>
        </w:tc>
        <w:tc>
          <w:tcPr>
            <w:tcW w:w="7181" w:type="dxa"/>
            <w:vAlign w:val="center"/>
          </w:tcPr>
          <w:p>
            <w:pPr>
              <w:pStyle w:val="25"/>
              <w:spacing w:after="0"/>
              <w:ind w:left="0" w:leftChars="0" w:firstLine="0" w:firstLineChars="0"/>
              <w:jc w:val="left"/>
              <w:rPr>
                <w:rFonts w:ascii="宋体" w:hAnsi="宋体" w:cs="宋体"/>
                <w:highlight w:val="none"/>
              </w:rPr>
            </w:pPr>
            <w:r>
              <w:rPr>
                <w:rFonts w:hint="eastAsia" w:ascii="宋体" w:hAnsi="宋体" w:cs="宋体"/>
                <w:highlight w:val="none"/>
              </w:rPr>
              <w:t>1.评标基准价=所有通过商务标详细评审的有效投标人的最低报价；其得分为满分；</w:t>
            </w:r>
          </w:p>
          <w:p>
            <w:pPr>
              <w:pStyle w:val="25"/>
              <w:spacing w:after="0"/>
              <w:ind w:left="0" w:leftChars="0" w:firstLine="0" w:firstLineChars="0"/>
              <w:jc w:val="left"/>
              <w:rPr>
                <w:rFonts w:ascii="宋体" w:hAnsi="宋体" w:cs="宋体"/>
                <w:highlight w:val="none"/>
              </w:rPr>
            </w:pPr>
            <w:r>
              <w:rPr>
                <w:rFonts w:hint="eastAsia" w:ascii="宋体" w:hAnsi="宋体" w:cs="宋体"/>
                <w:highlight w:val="none"/>
              </w:rPr>
              <w:t>2.其它报价得分=评标基准价/投标报价*</w:t>
            </w:r>
            <w:r>
              <w:rPr>
                <w:rFonts w:hint="eastAsia" w:ascii="宋体" w:hAnsi="宋体" w:cs="宋体"/>
                <w:highlight w:val="none"/>
                <w:lang w:val="en-US" w:eastAsia="zh-CN"/>
              </w:rPr>
              <w:t>3</w:t>
            </w:r>
            <w:r>
              <w:rPr>
                <w:rFonts w:hint="eastAsia" w:ascii="宋体" w:hAnsi="宋体" w:cs="宋体"/>
                <w:highlight w:val="none"/>
              </w:rPr>
              <w:t>0分，小数点后保留二位小数，第三位四舍五入；</w:t>
            </w:r>
          </w:p>
          <w:p>
            <w:pPr>
              <w:pStyle w:val="25"/>
              <w:spacing w:after="0"/>
              <w:ind w:left="0" w:leftChars="0" w:firstLine="0" w:firstLineChars="0"/>
              <w:jc w:val="left"/>
              <w:rPr>
                <w:rFonts w:ascii="宋体" w:hAnsi="宋体" w:cs="宋体"/>
                <w:highlight w:val="none"/>
              </w:rPr>
            </w:pPr>
            <w:r>
              <w:rPr>
                <w:rFonts w:hint="eastAsia" w:ascii="宋体" w:hAnsi="宋体" w:cs="宋体"/>
                <w:highlight w:val="none"/>
              </w:rPr>
              <w:t>3.本项分值由评标委员会负责组织计算。</w:t>
            </w:r>
          </w:p>
        </w:tc>
      </w:tr>
    </w:tbl>
    <w:p>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商务标评审表注：</w:t>
      </w:r>
    </w:p>
    <w:p>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1.本表所称投标报价是指按招标文件规定修正后的投标总报价（多算投标报价、多报费用不扣减）。</w:t>
      </w:r>
    </w:p>
    <w:p>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2.评标办法中的评标基准价计算出来后，除数字计算错误外，其他情况均不再调整。</w:t>
      </w:r>
    </w:p>
    <w:p>
      <w:pPr>
        <w:adjustRightInd w:val="0"/>
        <w:snapToGrid w:val="0"/>
        <w:spacing w:line="420" w:lineRule="exact"/>
        <w:ind w:firstLine="316" w:firstLineChars="150"/>
        <w:rPr>
          <w:rFonts w:ascii="宋体" w:hAnsi="宋体" w:cs="宋体"/>
          <w:b/>
          <w:bCs/>
          <w:color w:val="000000"/>
          <w:szCs w:val="21"/>
          <w:highlight w:val="none"/>
        </w:rPr>
      </w:pPr>
      <w:r>
        <w:rPr>
          <w:rFonts w:hint="eastAsia" w:ascii="宋体" w:hAnsi="宋体" w:cs="宋体"/>
          <w:b/>
          <w:bCs/>
          <w:color w:val="000000"/>
          <w:szCs w:val="21"/>
          <w:highlight w:val="none"/>
        </w:rPr>
        <w:t>5.</w:t>
      </w:r>
      <w:bookmarkEnd w:id="57"/>
      <w:r>
        <w:rPr>
          <w:rFonts w:hint="eastAsia" w:ascii="宋体" w:hAnsi="宋体" w:cs="宋体"/>
          <w:b/>
          <w:bCs/>
          <w:color w:val="000000"/>
          <w:szCs w:val="21"/>
          <w:highlight w:val="none"/>
        </w:rPr>
        <w:t>评标办法</w:t>
      </w:r>
    </w:p>
    <w:p>
      <w:pPr>
        <w:adjustRightInd w:val="0"/>
        <w:snapToGrid w:val="0"/>
        <w:spacing w:line="420" w:lineRule="exact"/>
        <w:ind w:firstLine="315" w:firstLineChars="150"/>
        <w:rPr>
          <w:rFonts w:ascii="宋体" w:hAnsi="宋体" w:cs="宋体"/>
          <w:color w:val="000000"/>
          <w:szCs w:val="21"/>
          <w:highlight w:val="none"/>
        </w:rPr>
      </w:pPr>
      <w:r>
        <w:rPr>
          <w:rFonts w:hint="eastAsia" w:ascii="宋体" w:hAnsi="宋体" w:cs="宋体"/>
          <w:color w:val="000000"/>
          <w:szCs w:val="21"/>
          <w:highlight w:val="none"/>
        </w:rPr>
        <w:t>本次评标采用综合评估法。评标委员会对满足招标文件实质性要求的投标文件，按照本章规定的评分标准进行打分，并按总得分由高到低顺序推荐中标候选人应当不超过3名，并标明排序，但投标报价低于其成本的除外。如总得分相等，以投标报价低的优先，投标报价仍相等由招标人随机抽取确定排名。</w:t>
      </w:r>
    </w:p>
    <w:p>
      <w:pPr>
        <w:adjustRightInd w:val="0"/>
        <w:snapToGrid w:val="0"/>
        <w:spacing w:line="420" w:lineRule="exact"/>
        <w:ind w:firstLine="316" w:firstLineChars="150"/>
        <w:rPr>
          <w:rFonts w:ascii="宋体" w:hAnsi="宋体" w:cs="宋体"/>
          <w:b/>
          <w:bCs/>
          <w:color w:val="000000"/>
          <w:szCs w:val="21"/>
          <w:highlight w:val="none"/>
        </w:rPr>
      </w:pPr>
      <w:bookmarkStart w:id="58" w:name="_Toc58430318"/>
      <w:bookmarkStart w:id="59" w:name="_Toc449028878"/>
      <w:bookmarkStart w:id="60" w:name="_Toc267320058"/>
      <w:bookmarkStart w:id="61" w:name="_Toc362983802"/>
      <w:bookmarkStart w:id="62" w:name="_Toc363135205"/>
      <w:r>
        <w:rPr>
          <w:rFonts w:hint="eastAsia" w:ascii="宋体" w:hAnsi="宋体" w:cs="宋体"/>
          <w:b/>
          <w:bCs/>
          <w:color w:val="000000"/>
          <w:szCs w:val="21"/>
          <w:highlight w:val="none"/>
        </w:rPr>
        <w:t>6.评标委员会的职责</w:t>
      </w:r>
    </w:p>
    <w:p>
      <w:pPr>
        <w:spacing w:line="440" w:lineRule="exact"/>
        <w:ind w:firstLine="315" w:firstLineChars="150"/>
        <w:jc w:val="left"/>
        <w:rPr>
          <w:rFonts w:ascii="宋体" w:hAnsi="宋体" w:eastAsia="宋体" w:cs="宋体"/>
          <w:color w:val="000000"/>
          <w:highlight w:val="none"/>
        </w:rPr>
      </w:pPr>
      <w:r>
        <w:rPr>
          <w:rFonts w:hint="eastAsia" w:ascii="宋体" w:hAnsi="宋体" w:eastAsia="宋体" w:cs="宋体"/>
          <w:color w:val="000000"/>
          <w:highlight w:val="none"/>
        </w:rPr>
        <w:t>6.1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pPr>
        <w:spacing w:line="440" w:lineRule="exact"/>
        <w:ind w:firstLine="315" w:firstLineChars="150"/>
        <w:jc w:val="left"/>
        <w:rPr>
          <w:rFonts w:ascii="Times New Roman" w:hAnsi="Times New Roman" w:eastAsia="宋体" w:cs="Times New Roman"/>
          <w:color w:val="000000"/>
          <w:highlight w:val="none"/>
        </w:rPr>
      </w:pPr>
      <w:r>
        <w:rPr>
          <w:rFonts w:hint="eastAsia" w:ascii="宋体" w:hAnsi="宋体" w:eastAsia="宋体" w:cs="宋体"/>
          <w:color w:val="000000"/>
          <w:highlight w:val="none"/>
        </w:rPr>
        <w:t>6.2评标委员会应加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pPr>
        <w:adjustRightInd w:val="0"/>
        <w:snapToGrid w:val="0"/>
        <w:spacing w:line="420" w:lineRule="exact"/>
        <w:ind w:firstLine="316" w:firstLineChars="150"/>
        <w:rPr>
          <w:rFonts w:ascii="宋体" w:hAnsi="宋体" w:cs="宋体"/>
          <w:b/>
          <w:bCs/>
          <w:color w:val="000000"/>
          <w:szCs w:val="21"/>
          <w:highlight w:val="none"/>
        </w:rPr>
      </w:pPr>
      <w:r>
        <w:rPr>
          <w:rFonts w:hint="eastAsia" w:ascii="宋体" w:hAnsi="宋体" w:cs="宋体"/>
          <w:b/>
          <w:bCs/>
          <w:color w:val="000000"/>
          <w:szCs w:val="21"/>
          <w:highlight w:val="none"/>
        </w:rPr>
        <w:t>7.评标程序</w:t>
      </w:r>
    </w:p>
    <w:p>
      <w:pPr>
        <w:spacing w:line="440" w:lineRule="exact"/>
        <w:ind w:firstLine="315" w:firstLineChars="150"/>
        <w:jc w:val="left"/>
        <w:rPr>
          <w:rFonts w:ascii="宋体" w:hAnsi="宋体" w:eastAsia="宋体" w:cs="宋体"/>
          <w:color w:val="000000"/>
          <w:highlight w:val="none"/>
        </w:rPr>
      </w:pPr>
      <w:bookmarkStart w:id="63" w:name="_Toc95223402"/>
      <w:r>
        <w:rPr>
          <w:rFonts w:hint="eastAsia" w:ascii="宋体" w:hAnsi="宋体"/>
          <w:color w:val="000000"/>
          <w:szCs w:val="21"/>
          <w:highlight w:val="none"/>
        </w:rPr>
        <w:t>评标先做准备工作，再进行资格、技术标评审，然后进行商务标评审。</w:t>
      </w:r>
      <w:bookmarkEnd w:id="63"/>
    </w:p>
    <w:p>
      <w:pPr>
        <w:spacing w:line="440" w:lineRule="exact"/>
        <w:ind w:firstLine="315" w:firstLineChars="150"/>
        <w:jc w:val="left"/>
        <w:rPr>
          <w:rFonts w:ascii="宋体" w:hAnsi="宋体" w:cs="宋体"/>
          <w:color w:val="000000"/>
          <w:highlight w:val="none"/>
        </w:rPr>
      </w:pPr>
      <w:bookmarkStart w:id="64" w:name="_Toc15058917"/>
      <w:bookmarkStart w:id="65" w:name="_Toc60061500"/>
      <w:r>
        <w:rPr>
          <w:rFonts w:hint="eastAsia" w:ascii="宋体" w:hAnsi="宋体" w:cs="宋体"/>
          <w:color w:val="000000"/>
          <w:highlight w:val="none"/>
        </w:rPr>
        <w:t>7.1评标准备工作</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评标委员会熟悉评标工作情况：</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（1）阅读由招标人或者其委</w:t>
      </w:r>
      <w:bookmarkStart w:id="66" w:name="_Toc60061499"/>
      <w:bookmarkStart w:id="67" w:name="_Toc15058916"/>
      <w:r>
        <w:rPr>
          <w:rFonts w:hint="eastAsia" w:ascii="宋体" w:hAnsi="宋体" w:cs="宋体"/>
          <w:color w:val="000000"/>
          <w:highlight w:val="none"/>
        </w:rPr>
        <w:t>托的代理机构编</w:t>
      </w:r>
      <w:bookmarkEnd w:id="66"/>
      <w:bookmarkEnd w:id="67"/>
      <w:r>
        <w:rPr>
          <w:rFonts w:hint="eastAsia" w:ascii="宋体" w:hAnsi="宋体" w:cs="宋体"/>
          <w:color w:val="000000"/>
          <w:highlight w:val="none"/>
        </w:rPr>
        <w:t>制的招标项目情况材料。</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（2）阅读、研究招标文件和相关评标资料，获取评标所需要的重要信息和数据，至少应了解和熟悉以下内容：招标项目的范围和性质，招标文件规定的主要技术要求、标准和商务条款。</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（3）熟悉招标文件规定的评标标准和评标方法及在评标过程中需要考虑的相关因素。</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（4）核对评标工作用表。</w:t>
      </w:r>
    </w:p>
    <w:bookmarkEnd w:id="64"/>
    <w:bookmarkEnd w:id="65"/>
    <w:p>
      <w:pPr>
        <w:spacing w:line="440" w:lineRule="exact"/>
        <w:ind w:firstLine="315" w:firstLineChars="150"/>
        <w:jc w:val="left"/>
        <w:rPr>
          <w:rFonts w:ascii="宋体" w:hAnsi="宋体" w:cs="宋体"/>
          <w:color w:val="000000"/>
          <w:highlight w:val="none"/>
        </w:rPr>
      </w:pPr>
      <w:bookmarkStart w:id="68" w:name="_Toc95223405"/>
      <w:r>
        <w:rPr>
          <w:rFonts w:hint="eastAsia" w:ascii="宋体" w:hAnsi="宋体" w:cs="宋体"/>
          <w:color w:val="000000"/>
          <w:highlight w:val="none"/>
        </w:rPr>
        <w:t>7.2推荐中标候选人</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资信评审、技术标评审、商务标评审后，推荐中标候选人，并标明排序。</w:t>
      </w:r>
    </w:p>
    <w:p>
      <w:pPr>
        <w:adjustRightInd w:val="0"/>
        <w:snapToGrid w:val="0"/>
        <w:spacing w:line="420" w:lineRule="exact"/>
        <w:ind w:firstLine="316" w:firstLineChars="150"/>
        <w:rPr>
          <w:rFonts w:ascii="宋体" w:hAnsi="宋体" w:cs="宋体"/>
          <w:b/>
          <w:bCs/>
          <w:color w:val="000000"/>
          <w:szCs w:val="21"/>
          <w:highlight w:val="none"/>
        </w:rPr>
      </w:pPr>
      <w:r>
        <w:rPr>
          <w:rFonts w:hint="eastAsia" w:ascii="宋体" w:hAnsi="宋体" w:cs="宋体"/>
          <w:b/>
          <w:bCs/>
          <w:color w:val="000000"/>
          <w:szCs w:val="21"/>
          <w:highlight w:val="none"/>
        </w:rPr>
        <w:t>8.评审内容</w:t>
      </w:r>
      <w:bookmarkEnd w:id="68"/>
    </w:p>
    <w:bookmarkEnd w:id="58"/>
    <w:bookmarkEnd w:id="59"/>
    <w:bookmarkEnd w:id="60"/>
    <w:bookmarkEnd w:id="61"/>
    <w:p>
      <w:pPr>
        <w:spacing w:line="440" w:lineRule="exact"/>
        <w:ind w:firstLine="315" w:firstLineChars="150"/>
        <w:jc w:val="left"/>
        <w:rPr>
          <w:rFonts w:ascii="宋体" w:hAnsi="宋体" w:cs="宋体"/>
          <w:color w:val="000000"/>
          <w:highlight w:val="none"/>
        </w:rPr>
      </w:pPr>
      <w:bookmarkStart w:id="69" w:name="_Hlk61815781"/>
      <w:r>
        <w:rPr>
          <w:rFonts w:hint="eastAsia" w:ascii="宋体" w:hAnsi="宋体" w:cs="宋体"/>
          <w:color w:val="000000"/>
          <w:highlight w:val="none"/>
        </w:rPr>
        <w:t>8.1详细评审标准：见资信标、技术标和商务标评审表。</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8.2评标委员会审查投标文件，看其是否有计算或表达上的错误，投标报价有错误的，评标委员会按以下原则对投标报价进行修正。</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（1）投标文件中的大写金额与小写金额不一致的，以大写金额为准。</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（2）总价金额与依据单价计算出的结果不一致的，以单价金额为准修正总价，但单价金额小数点有明显错误的除外。</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按上述修正错误的原则及方法调整或修正投标文件的投标报价，调整或修正的价格经投标人书面确认后具有约束力。中标价原则上以调整或修正后的价格为准，调整或修正后的价格与投标报价相比，价格低的为中标价。投标人不接受的，其投标将被拒绝。</w:t>
      </w:r>
    </w:p>
    <w:p>
      <w:pPr>
        <w:adjustRightInd w:val="0"/>
        <w:snapToGrid w:val="0"/>
        <w:spacing w:line="420" w:lineRule="exact"/>
        <w:ind w:firstLine="316" w:firstLineChars="150"/>
        <w:rPr>
          <w:rFonts w:ascii="宋体" w:hAnsi="宋体" w:cs="宋体"/>
          <w:b/>
          <w:bCs/>
          <w:color w:val="000000"/>
          <w:szCs w:val="21"/>
          <w:highlight w:val="none"/>
        </w:rPr>
      </w:pPr>
      <w:r>
        <w:rPr>
          <w:rFonts w:hint="eastAsia" w:ascii="宋体" w:hAnsi="宋体" w:cs="宋体"/>
          <w:b/>
          <w:bCs/>
          <w:color w:val="000000"/>
          <w:szCs w:val="21"/>
          <w:highlight w:val="none"/>
        </w:rPr>
        <w:t>9.无效投标条款</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9.1投标人存在下列情形的招标人将拒收投标文件：</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 未在投标截止时间前通过电子邮箱递交有效电子投标文件的，投标将被拒绝。</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9.2其他无效投标情况：</w:t>
      </w:r>
    </w:p>
    <w:p>
      <w:pPr>
        <w:spacing w:line="440" w:lineRule="exact"/>
        <w:ind w:firstLine="315" w:firstLineChars="150"/>
        <w:jc w:val="left"/>
        <w:rPr>
          <w:rFonts w:ascii="宋体" w:hAnsi="宋体" w:cs="宋体"/>
          <w:color w:val="000000"/>
          <w:highlight w:val="none"/>
        </w:rPr>
      </w:pP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（2）调整或修正投标文件的投标报价，调整或修正的价格经投标人书面确认后具有约束力。投标人不接受修正价格的，其投标将被拒绝。</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（3）投标人有串通投标、视为串通投标、弄虚作假、行贿等违法行为。</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（4）投标文件没有对招标文件的实质性要求和条件作出响应。</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（5）未按规定的格式填写导致实质性内容不全以及实质上不响应，或者关键字迹模糊、无法辨认。</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（6）同一投标人提交两个以上不同的投标文件或者投标报价，但招标文件规定提交备选投标的除外。</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（7）投标文件中存在招标人不能接受的其他实质性条件。</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（8）投标人拒不按照要求对投标文件进行澄清、说明、补正的，或评标委员会根据招标文件的规定对招标文件的计算错误进行修正后，投标人不接受修正的投标报价的。</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（9）投标人单方面出现其他投标人材料。</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（10）法律、法规规定的其他情形。</w:t>
      </w:r>
    </w:p>
    <w:bookmarkEnd w:id="62"/>
    <w:bookmarkEnd w:id="69"/>
    <w:p>
      <w:pPr>
        <w:adjustRightInd w:val="0"/>
        <w:snapToGrid w:val="0"/>
        <w:spacing w:line="420" w:lineRule="exact"/>
        <w:ind w:firstLine="316" w:firstLineChars="150"/>
        <w:rPr>
          <w:rFonts w:ascii="宋体" w:hAnsi="宋体" w:cs="宋体"/>
          <w:b/>
          <w:bCs/>
          <w:color w:val="000000"/>
          <w:szCs w:val="21"/>
          <w:highlight w:val="none"/>
        </w:rPr>
      </w:pPr>
      <w:bookmarkStart w:id="70" w:name="_Toc95223439"/>
      <w:r>
        <w:rPr>
          <w:rFonts w:hint="eastAsia" w:ascii="宋体" w:hAnsi="宋体" w:cs="宋体"/>
          <w:b/>
          <w:bCs/>
          <w:color w:val="000000"/>
          <w:szCs w:val="21"/>
          <w:highlight w:val="none"/>
        </w:rPr>
        <w:t>10.投标文件的澄清和补正</w:t>
      </w:r>
      <w:bookmarkEnd w:id="70"/>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10.2澄清、说明和补正不得改变投标文件的实质性内容（算术性错误修正的除外）。投标人的书面澄清、说明和补正属于投标文件的组成部分。</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10.3评标委员会对投标人提交的澄清、说明和补正有疑问的，可以要求投标人进一步澄清、说明或补正、直至满足评标委员会的要求。</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按照投标文件规定进行澄清、补正后的投标报价经投标人的法定代表人或其委托代理人确认后即为该投标人的最终投标报价。投标人一旦中标，此报价即为中标价。</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10.4评委会修正错误的原则：</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10.4.1如果数字表示的金额和用文字表示的金额不一致时，以文字表示的金额为准；当投标数量与招标数量不一致时，以招标数量为准；当分项报价清单、投标函的投标报价与开标一览表不一致时，以开标一览表为准。</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10.4.2如果单价与数量的乘积和总价不一致，以单价为准，修正总价及开标一览表；当单价小数点有明显的错位时，评委会将以总价为准，并修正其单价。</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 xml:space="preserve"> 10.5评委会将按上述修正错误的方法调整投标文件中的投标报价，调整后的价格应对投标人具有约束力。无论投标人是接受或是拒绝调整后的价格，都应当由投标人在系统中确认。投标人拒绝对投标文件出现的错漏按上述原则进行修正、澄清、说明，评标委员会应当否决其投标。</w:t>
      </w:r>
    </w:p>
    <w:p>
      <w:pPr>
        <w:adjustRightInd w:val="0"/>
        <w:snapToGrid w:val="0"/>
        <w:spacing w:line="420" w:lineRule="exact"/>
        <w:ind w:firstLine="316" w:firstLineChars="150"/>
        <w:rPr>
          <w:rFonts w:ascii="宋体" w:hAnsi="宋体" w:cs="宋体"/>
          <w:b/>
          <w:bCs/>
          <w:color w:val="000000"/>
          <w:szCs w:val="21"/>
          <w:highlight w:val="none"/>
        </w:rPr>
      </w:pPr>
      <w:bookmarkStart w:id="71" w:name="_Toc95223441"/>
      <w:r>
        <w:rPr>
          <w:rFonts w:hint="eastAsia" w:ascii="宋体" w:hAnsi="宋体" w:cs="宋体"/>
          <w:b/>
          <w:bCs/>
          <w:color w:val="000000"/>
          <w:szCs w:val="21"/>
          <w:highlight w:val="none"/>
        </w:rPr>
        <w:t>11.评审结果</w:t>
      </w:r>
      <w:bookmarkEnd w:id="71"/>
    </w:p>
    <w:p>
      <w:pPr>
        <w:spacing w:line="440" w:lineRule="exact"/>
        <w:ind w:firstLine="315" w:firstLineChars="150"/>
        <w:jc w:val="left"/>
        <w:rPr>
          <w:rFonts w:ascii="宋体" w:hAnsi="宋体" w:cs="宋体"/>
          <w:color w:val="000000"/>
          <w:highlight w:val="none"/>
        </w:rPr>
      </w:pPr>
      <w:bookmarkStart w:id="72" w:name="_Toc95223442"/>
      <w:r>
        <w:rPr>
          <w:rFonts w:hint="eastAsia" w:ascii="宋体" w:hAnsi="宋体" w:cs="宋体"/>
          <w:color w:val="000000"/>
          <w:highlight w:val="none"/>
        </w:rPr>
        <w:t>11.1评标委员会按照总得分由高到低顺序推荐中标候选人。</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11.2评标委员会完成评标后，应当向招标人提交书面评标报告。评标报告应当如实记载以下内容：</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（1）基本情况和数据表。</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（2）评标委员会成员名单。</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（3）开标记录。</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（4）符合要求的投标人一览表。</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（5）否决投标情况说明。</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（6）评标标准、评标方法或者评标因素。</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（7）评标情况一览表。</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（8）经评审的投标人排序。</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（9）推荐的中标候选人名单与签订合同前要处理的事宜。</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（10）澄清、说明、补正事项纪要。</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11.3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pPr>
        <w:spacing w:line="440" w:lineRule="exact"/>
        <w:ind w:firstLine="315" w:firstLineChars="150"/>
        <w:jc w:val="left"/>
        <w:rPr>
          <w:rFonts w:ascii="宋体" w:hAnsi="宋体" w:cs="宋体"/>
          <w:color w:val="000000"/>
          <w:highlight w:val="none"/>
        </w:rPr>
      </w:pPr>
      <w:r>
        <w:rPr>
          <w:rFonts w:hint="eastAsia" w:ascii="宋体" w:hAnsi="宋体" w:cs="宋体"/>
          <w:color w:val="000000"/>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bookmarkEnd w:id="72"/>
    <w:p>
      <w:pPr>
        <w:snapToGrid w:val="0"/>
        <w:spacing w:line="440" w:lineRule="exact"/>
        <w:ind w:firstLine="422" w:firstLineChars="200"/>
        <w:rPr>
          <w:rFonts w:ascii="宋体"/>
          <w:b/>
          <w:bCs/>
          <w:szCs w:val="21"/>
          <w:highlight w:val="none"/>
        </w:rPr>
      </w:pPr>
      <w:r>
        <w:rPr>
          <w:rFonts w:hint="eastAsia" w:ascii="宋体"/>
          <w:b/>
          <w:bCs/>
          <w:szCs w:val="21"/>
          <w:highlight w:val="none"/>
        </w:rPr>
        <w:t>12.其他</w:t>
      </w:r>
    </w:p>
    <w:p>
      <w:pPr>
        <w:snapToGrid w:val="0"/>
        <w:spacing w:line="440" w:lineRule="exact"/>
        <w:ind w:firstLine="420" w:firstLineChars="200"/>
        <w:rPr>
          <w:rFonts w:ascii="宋体"/>
          <w:szCs w:val="21"/>
          <w:highlight w:val="none"/>
        </w:rPr>
      </w:pPr>
      <w:r>
        <w:rPr>
          <w:rFonts w:hint="eastAsia" w:ascii="宋体"/>
          <w:szCs w:val="21"/>
          <w:highlight w:val="none"/>
        </w:rPr>
        <w:t>投标人提供的与投标文件有关的各类证书、证明、文件、资料等的真实性、合法性由投标人负全责。</w:t>
      </w:r>
    </w:p>
    <w:p>
      <w:pPr>
        <w:keepNext w:val="0"/>
        <w:keepLines w:val="0"/>
        <w:pageBreakBefore w:val="0"/>
        <w:widowControl w:val="0"/>
        <w:tabs>
          <w:tab w:val="left" w:pos="8820"/>
        </w:tabs>
        <w:kinsoku/>
        <w:wordWrap/>
        <w:overflowPunct/>
        <w:topLinePunct w:val="0"/>
        <w:autoSpaceDE/>
        <w:autoSpaceDN/>
        <w:bidi w:val="0"/>
        <w:adjustRightInd/>
        <w:snapToGrid w:val="0"/>
        <w:spacing w:line="500" w:lineRule="exact"/>
        <w:jc w:val="center"/>
        <w:textAlignment w:val="auto"/>
        <w:rPr>
          <w:rFonts w:hint="eastAsia" w:eastAsiaTheme="minorEastAsia"/>
          <w:highlight w:val="none"/>
          <w:lang w:val="en-US"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w:t>
      </w:r>
      <w:r>
        <w:rPr>
          <w:rFonts w:hint="eastAsia" w:ascii="宋体" w:cs="宋体"/>
          <w:b/>
          <w:bCs/>
          <w:color w:val="auto"/>
          <w:sz w:val="28"/>
          <w:szCs w:val="28"/>
          <w:highlight w:val="none"/>
          <w:lang w:val="en-US" w:eastAsia="zh-CN"/>
        </w:rPr>
        <w:t>五</w:t>
      </w:r>
      <w:r>
        <w:rPr>
          <w:rFonts w:hint="eastAsia" w:ascii="宋体" w:cs="宋体"/>
          <w:b/>
          <w:bCs/>
          <w:color w:val="auto"/>
          <w:sz w:val="28"/>
          <w:szCs w:val="28"/>
          <w:highlight w:val="none"/>
        </w:rPr>
        <w:t>章  采购需求</w:t>
      </w:r>
      <w:r>
        <w:rPr>
          <w:rFonts w:hint="eastAsia" w:ascii="宋体" w:cs="宋体"/>
          <w:b/>
          <w:bCs/>
          <w:color w:val="auto"/>
          <w:sz w:val="28"/>
          <w:szCs w:val="28"/>
          <w:highlight w:val="none"/>
          <w:lang w:val="en-US" w:eastAsia="zh-CN"/>
        </w:rPr>
        <w:t>和服务要求</w:t>
      </w:r>
    </w:p>
    <w:p>
      <w:pPr>
        <w:spacing w:before="156" w:beforeLines="50" w:line="360" w:lineRule="auto"/>
        <w:rPr>
          <w:rFonts w:hint="eastAsia" w:ascii="宋体" w:hAnsi="宋体" w:eastAsia="宋体" w:cs="宋体"/>
          <w:b/>
          <w:sz w:val="21"/>
          <w:szCs w:val="21"/>
          <w:lang w:eastAsia="zh-CN"/>
        </w:rPr>
      </w:pPr>
      <w:r>
        <w:rPr>
          <w:rFonts w:hint="eastAsia" w:ascii="宋体" w:hAnsi="宋体" w:eastAsia="宋体" w:cs="宋体"/>
          <w:b/>
          <w:sz w:val="21"/>
          <w:szCs w:val="21"/>
        </w:rPr>
        <w:t>一、</w:t>
      </w:r>
      <w:r>
        <w:rPr>
          <w:rFonts w:hint="eastAsia" w:ascii="宋体" w:hAnsi="宋体" w:eastAsia="宋体" w:cs="宋体"/>
          <w:b/>
          <w:sz w:val="21"/>
          <w:szCs w:val="21"/>
          <w:lang w:val="en-US" w:eastAsia="zh-CN"/>
        </w:rPr>
        <w:t>工程概况</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道路塌陷是一种严重的公路灾害，严重影响行车安全与道路使用寿命。近期塌陷检测结果显示，部分区域存在明显的脱空现象，为防止事态恶化，急需对塌陷部位进行修复治理。 </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对滁宁城际铁路沿线道路和市管道路进行了空洞检测，其中位于龙蟠大道与丰乐大道路口西侧机动车道发现4处病害，空洞2处(LPDD-Y44、LPDD-Y41)、脱空2处(LPDD-Y49、LPDD-Y46)。此4处病害位于地铁隧道顶部上方7米的地下空间，靠近琅琊山地铁站。由于此路段下方有地铁通过，为保证地铁运行安全，项目部决定针对龙蟠大道两处脱空进行监测并修复的施工方案，沉降监测于注浆修复完成后2个月内结束。</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color w:val="auto"/>
          <w:sz w:val="21"/>
          <w:szCs w:val="21"/>
          <w:highlight w:val="none"/>
          <w:lang w:val="en-US" w:eastAsia="zh-CN"/>
        </w:rPr>
        <w:t>本项目招标范围：龙蟠大道空洞注浆项目涉滁宁城际铁路S4号线花博园站-琅琊山站区间地铁保护监测及道路地面监测。包括但不限于本项目基准点的埋设、各类监测点的布设、项目施工过程中对既有轨道交通设施影响范围内结构水平位移、竖向位移等全部监测内容；具体要求详见安评文件要求及现行规范要求。</w:t>
      </w:r>
    </w:p>
    <w:p>
      <w:pPr>
        <w:numPr>
          <w:ilvl w:val="0"/>
          <w:numId w:val="4"/>
        </w:numPr>
        <w:spacing w:line="360" w:lineRule="auto"/>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服务目标</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通过轨道交通安全保护区内监测可动态收集轨道交通结构变形信息，掌握结构变形情况，分析变形趋势，预测潜在的风险，并把监测信息及时反馈给相关各方，以便有关单位尽快采取处理措施，保障轨道交通结构及运营安全。</w:t>
      </w:r>
    </w:p>
    <w:p>
      <w:pPr>
        <w:spacing w:line="360" w:lineRule="auto"/>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三、监测依据</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（1）《城市轨道交通结构安全保护技术规范》CJJ/T202-2013；</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（2）《城市轨道交通工程监测技术规范》GB50911-2013；</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（3）《建筑基坑工程监测技术标准》GB50497-2019；</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（4）《城市轨道交通工程测量规范》GB/T50308-2017</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（5）安徽省《城市轨道交通结构安全保护技术规程》（DB34T 4389-2023）；</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（6）《工程测量标准》GB50026-2020；</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（7）《国家一、二等水准测量规范》GB/T12897-2006；</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（8）《建筑变形测量规范》JGJ8-2016；</w:t>
      </w:r>
    </w:p>
    <w:p>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（9）本工程勘察设计文件及注浆施工方案。</w:t>
      </w:r>
    </w:p>
    <w:p>
      <w:pPr>
        <w:spacing w:line="360" w:lineRule="auto"/>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四、服务内容</w:t>
      </w:r>
    </w:p>
    <w:p>
      <w:pPr>
        <w:spacing w:line="360" w:lineRule="auto"/>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（1）监测范围</w:t>
      </w:r>
    </w:p>
    <w:p>
      <w:pPr>
        <w:spacing w:line="360" w:lineRule="auto"/>
        <w:ind w:firstLine="420" w:firstLineChars="200"/>
        <w:rPr>
          <w:rFonts w:hint="eastAsia" w:ascii="宋体" w:hAnsi="宋体" w:eastAsia="宋体" w:cs="宋体"/>
          <w:bCs/>
          <w:sz w:val="21"/>
          <w:szCs w:val="21"/>
        </w:rPr>
      </w:pPr>
      <w:r>
        <w:rPr>
          <w:rFonts w:hint="eastAsia" w:ascii="宋体" w:hAnsi="宋体" w:eastAsia="宋体" w:cs="宋体"/>
          <w:color w:val="auto"/>
          <w:sz w:val="21"/>
          <w:szCs w:val="21"/>
          <w:highlight w:val="none"/>
          <w:lang w:val="en-US" w:eastAsia="zh-CN"/>
        </w:rPr>
        <w:t>本项目监测范围为滁宁城际S4号线花博园站-琅琊山站区间隧道结构,上下行线监测范围长度各约为100米，龙蟠大道路面长度大约为100米。</w:t>
      </w:r>
    </w:p>
    <w:p>
      <w:pPr>
        <w:spacing w:line="360" w:lineRule="auto"/>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（2）监测内容</w:t>
      </w:r>
    </w:p>
    <w:p>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1.所有监测点的埋设，由监测方负责，埋设位置及数量应满足设计及经专家评审的监测方案,方案也需经过滁州市轨道交通运营有限公司审核通过。</w:t>
      </w:r>
    </w:p>
    <w:p>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2.监测内容至少包括但不限于：本项目基准点的埋设、各类监测点的布设、项目施工过程中对既有轨道交通设施影响范围内结构水平位移、竖向位移等全部监测内容；具体要求详见安评文件要求及现行规范要求。</w:t>
      </w:r>
    </w:p>
    <w:p>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由于本项目风险较高，注浆期间,隧道区间监测应综合考虑采用自动化动态实时监测手段以保证监测频率满足要求,监测点起算高程需采用滁州市轨道交通运营有限公司现有的结构监测数据作为起算,以保证数据连续性。</w:t>
      </w:r>
    </w:p>
    <w:p>
      <w:pPr>
        <w:spacing w:line="360" w:lineRule="auto"/>
        <w:ind w:firstLine="422" w:firstLineChars="200"/>
        <w:jc w:val="center"/>
        <w:rPr>
          <w:rFonts w:hint="eastAsia" w:ascii="宋体" w:hAnsi="宋体" w:eastAsia="宋体" w:cs="宋体"/>
          <w:b/>
          <w:bCs/>
          <w:sz w:val="21"/>
          <w:szCs w:val="21"/>
        </w:rPr>
      </w:pPr>
      <w:r>
        <w:rPr>
          <w:rFonts w:hint="eastAsia" w:ascii="宋体" w:hAnsi="宋体" w:eastAsia="宋体" w:cs="宋体"/>
          <w:b/>
          <w:bCs/>
          <w:sz w:val="21"/>
          <w:szCs w:val="21"/>
        </w:rPr>
        <w:t>监测点布置和监测仪器要求表</w:t>
      </w:r>
    </w:p>
    <w:tbl>
      <w:tblPr>
        <w:tblStyle w:val="26"/>
        <w:tblW w:w="8665" w:type="dxa"/>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855"/>
        <w:gridCol w:w="1860"/>
        <w:gridCol w:w="2205"/>
        <w:gridCol w:w="2097"/>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48"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r>
              <w:rPr>
                <w:rFonts w:hint="eastAsia" w:ascii="宋体" w:hAnsi="宋体" w:eastAsia="宋体" w:cs="宋体"/>
                <w:b/>
                <w:sz w:val="21"/>
                <w:szCs w:val="21"/>
              </w:rPr>
              <w:t>序号</w:t>
            </w:r>
          </w:p>
        </w:tc>
        <w:tc>
          <w:tcPr>
            <w:tcW w:w="1855"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r>
              <w:rPr>
                <w:rFonts w:hint="eastAsia" w:ascii="宋体" w:hAnsi="宋体" w:eastAsia="宋体" w:cs="宋体"/>
                <w:b/>
                <w:sz w:val="21"/>
                <w:szCs w:val="21"/>
              </w:rPr>
              <w:t>量测项目</w:t>
            </w:r>
          </w:p>
        </w:tc>
        <w:tc>
          <w:tcPr>
            <w:tcW w:w="1860"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r>
              <w:rPr>
                <w:rFonts w:hint="eastAsia" w:ascii="宋体" w:hAnsi="宋体" w:eastAsia="宋体" w:cs="宋体"/>
                <w:b/>
                <w:sz w:val="21"/>
                <w:szCs w:val="21"/>
              </w:rPr>
              <w:t>位置或监测对象</w:t>
            </w:r>
          </w:p>
        </w:tc>
        <w:tc>
          <w:tcPr>
            <w:tcW w:w="2205"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r>
              <w:rPr>
                <w:rFonts w:hint="eastAsia" w:ascii="宋体" w:hAnsi="宋体" w:eastAsia="宋体" w:cs="宋体"/>
                <w:b/>
                <w:sz w:val="21"/>
                <w:szCs w:val="21"/>
              </w:rPr>
              <w:t xml:space="preserve">测点布置 </w:t>
            </w:r>
          </w:p>
        </w:tc>
        <w:tc>
          <w:tcPr>
            <w:tcW w:w="2097"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r>
              <w:rPr>
                <w:rFonts w:hint="eastAsia" w:ascii="宋体" w:hAnsi="宋体" w:eastAsia="宋体" w:cs="宋体"/>
                <w:b/>
                <w:sz w:val="21"/>
                <w:szCs w:val="21"/>
                <w:lang w:eastAsia="zh-CN"/>
              </w:rPr>
              <w:t>监测</w:t>
            </w:r>
            <w:r>
              <w:rPr>
                <w:rFonts w:hint="eastAsia" w:ascii="宋体" w:hAnsi="宋体" w:eastAsia="宋体" w:cs="宋体"/>
                <w:b/>
                <w:sz w:val="21"/>
                <w:szCs w:val="21"/>
                <w:lang w:val="en-US" w:eastAsia="zh-CN"/>
              </w:rPr>
              <w:t>仪器</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648"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p>
        </w:tc>
        <w:tc>
          <w:tcPr>
            <w:tcW w:w="1855"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bidi="ar"/>
              </w:rPr>
            </w:pPr>
            <w:r>
              <w:rPr>
                <w:rFonts w:hint="eastAsia" w:ascii="宋体" w:hAnsi="宋体" w:eastAsia="宋体" w:cs="宋体"/>
                <w:color w:val="000000"/>
                <w:sz w:val="21"/>
                <w:szCs w:val="21"/>
                <w:lang w:eastAsia="zh-CN" w:bidi="ar"/>
              </w:rPr>
              <w:t>自动化</w:t>
            </w:r>
            <w:r>
              <w:rPr>
                <w:rFonts w:hint="eastAsia" w:ascii="宋体" w:hAnsi="宋体" w:eastAsia="宋体" w:cs="宋体"/>
                <w:color w:val="000000"/>
                <w:sz w:val="21"/>
                <w:szCs w:val="21"/>
                <w:lang w:bidi="ar"/>
              </w:rPr>
              <w:t>结构</w:t>
            </w:r>
          </w:p>
          <w:p>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eastAsia="zh-CN" w:bidi="ar"/>
              </w:rPr>
            </w:pPr>
            <w:r>
              <w:rPr>
                <w:rFonts w:hint="eastAsia" w:ascii="宋体" w:hAnsi="宋体" w:eastAsia="宋体" w:cs="宋体"/>
                <w:color w:val="000000"/>
                <w:sz w:val="21"/>
                <w:szCs w:val="21"/>
                <w:lang w:eastAsia="zh-CN" w:bidi="ar"/>
              </w:rPr>
              <w:t>垂直位移</w:t>
            </w:r>
          </w:p>
        </w:tc>
        <w:tc>
          <w:tcPr>
            <w:tcW w:w="1860"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color w:val="000000"/>
                <w:sz w:val="21"/>
                <w:szCs w:val="21"/>
                <w:lang w:bidi="ar"/>
              </w:rPr>
              <w:t>区间隧道</w:t>
            </w:r>
          </w:p>
        </w:tc>
        <w:tc>
          <w:tcPr>
            <w:tcW w:w="2205"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color w:val="000000"/>
                <w:sz w:val="21"/>
                <w:szCs w:val="21"/>
                <w:lang w:eastAsia="zh-CN" w:bidi="ar"/>
              </w:rPr>
              <w:t>按</w:t>
            </w:r>
            <w:r>
              <w:rPr>
                <w:rFonts w:hint="eastAsia" w:ascii="宋体" w:hAnsi="宋体" w:eastAsia="宋体" w:cs="宋体"/>
                <w:color w:val="000000"/>
                <w:sz w:val="21"/>
                <w:szCs w:val="21"/>
                <w:lang w:bidi="ar"/>
              </w:rPr>
              <w:t xml:space="preserve">每 </w:t>
            </w:r>
            <w:r>
              <w:rPr>
                <w:rFonts w:hint="eastAsia" w:ascii="宋体" w:hAnsi="宋体" w:eastAsia="宋体" w:cs="宋体"/>
                <w:color w:val="000000"/>
                <w:sz w:val="21"/>
                <w:szCs w:val="21"/>
                <w:lang w:val="en-US" w:eastAsia="zh-CN" w:bidi="ar"/>
              </w:rPr>
              <w:t>9m</w:t>
            </w:r>
            <w:r>
              <w:rPr>
                <w:rFonts w:hint="eastAsia" w:ascii="宋体" w:hAnsi="宋体" w:eastAsia="宋体" w:cs="宋体"/>
                <w:color w:val="000000"/>
                <w:sz w:val="21"/>
                <w:szCs w:val="21"/>
                <w:lang w:bidi="ar"/>
              </w:rPr>
              <w:t>一个断面</w:t>
            </w:r>
          </w:p>
        </w:tc>
        <w:tc>
          <w:tcPr>
            <w:tcW w:w="2097"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0.5″</w:t>
            </w:r>
            <w:r>
              <w:rPr>
                <w:rFonts w:hint="eastAsia" w:ascii="宋体" w:hAnsi="宋体" w:eastAsia="宋体" w:cs="宋体"/>
                <w:sz w:val="21"/>
                <w:szCs w:val="21"/>
              </w:rPr>
              <w:t>全站仪</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648"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2</w:t>
            </w:r>
          </w:p>
        </w:tc>
        <w:tc>
          <w:tcPr>
            <w:tcW w:w="1855"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eastAsia="zh-CN" w:bidi="ar"/>
              </w:rPr>
            </w:pPr>
            <w:r>
              <w:rPr>
                <w:rFonts w:hint="eastAsia" w:ascii="宋体" w:hAnsi="宋体" w:eastAsia="宋体" w:cs="宋体"/>
                <w:color w:val="000000"/>
                <w:sz w:val="21"/>
                <w:szCs w:val="21"/>
                <w:lang w:eastAsia="zh-CN" w:bidi="ar"/>
              </w:rPr>
              <w:t>自动化结构</w:t>
            </w:r>
          </w:p>
          <w:p>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eastAsia="zh-CN" w:bidi="ar"/>
              </w:rPr>
            </w:pPr>
            <w:r>
              <w:rPr>
                <w:rFonts w:hint="eastAsia" w:ascii="宋体" w:hAnsi="宋体" w:eastAsia="宋体" w:cs="宋体"/>
                <w:color w:val="000000"/>
                <w:sz w:val="21"/>
                <w:szCs w:val="21"/>
                <w:lang w:eastAsia="zh-CN" w:bidi="ar"/>
              </w:rPr>
              <w:t>水平位移</w:t>
            </w:r>
          </w:p>
        </w:tc>
        <w:tc>
          <w:tcPr>
            <w:tcW w:w="1860"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color w:val="000000"/>
                <w:sz w:val="21"/>
                <w:szCs w:val="21"/>
                <w:lang w:bidi="ar"/>
              </w:rPr>
              <w:t>区间隧道</w:t>
            </w:r>
          </w:p>
        </w:tc>
        <w:tc>
          <w:tcPr>
            <w:tcW w:w="2205"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color w:val="000000"/>
                <w:sz w:val="21"/>
                <w:szCs w:val="21"/>
                <w:lang w:eastAsia="zh-CN" w:bidi="ar"/>
              </w:rPr>
              <w:t>按</w:t>
            </w:r>
            <w:r>
              <w:rPr>
                <w:rFonts w:hint="eastAsia" w:ascii="宋体" w:hAnsi="宋体" w:eastAsia="宋体" w:cs="宋体"/>
                <w:color w:val="000000"/>
                <w:sz w:val="21"/>
                <w:szCs w:val="21"/>
                <w:lang w:bidi="ar"/>
              </w:rPr>
              <w:t xml:space="preserve">每 </w:t>
            </w:r>
            <w:r>
              <w:rPr>
                <w:rFonts w:hint="eastAsia" w:ascii="宋体" w:hAnsi="宋体" w:eastAsia="宋体" w:cs="宋体"/>
                <w:color w:val="000000"/>
                <w:sz w:val="21"/>
                <w:szCs w:val="21"/>
                <w:lang w:val="en-US" w:eastAsia="zh-CN" w:bidi="ar"/>
              </w:rPr>
              <w:t>9m</w:t>
            </w:r>
            <w:r>
              <w:rPr>
                <w:rFonts w:hint="eastAsia" w:ascii="宋体" w:hAnsi="宋体" w:eastAsia="宋体" w:cs="宋体"/>
                <w:color w:val="000000"/>
                <w:sz w:val="21"/>
                <w:szCs w:val="21"/>
                <w:lang w:bidi="ar"/>
              </w:rPr>
              <w:t>一个断面</w:t>
            </w:r>
          </w:p>
        </w:tc>
        <w:tc>
          <w:tcPr>
            <w:tcW w:w="2097"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0.5″</w:t>
            </w:r>
            <w:r>
              <w:rPr>
                <w:rFonts w:hint="eastAsia" w:ascii="宋体" w:hAnsi="宋体" w:eastAsia="宋体" w:cs="宋体"/>
                <w:sz w:val="21"/>
                <w:szCs w:val="21"/>
              </w:rPr>
              <w:t>全站仪</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648"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3</w:t>
            </w:r>
          </w:p>
        </w:tc>
        <w:tc>
          <w:tcPr>
            <w:tcW w:w="1855"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eastAsia="zh-CN" w:bidi="ar"/>
              </w:rPr>
            </w:pPr>
            <w:r>
              <w:rPr>
                <w:rFonts w:hint="eastAsia" w:ascii="宋体" w:hAnsi="宋体" w:eastAsia="宋体" w:cs="宋体"/>
                <w:color w:val="000000"/>
                <w:sz w:val="21"/>
                <w:szCs w:val="21"/>
                <w:lang w:eastAsia="zh-CN" w:bidi="ar"/>
              </w:rPr>
              <w:t>自动化结构</w:t>
            </w:r>
          </w:p>
          <w:p>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bidi="ar"/>
              </w:rPr>
            </w:pPr>
            <w:r>
              <w:rPr>
                <w:rFonts w:hint="eastAsia" w:ascii="宋体" w:hAnsi="宋体" w:eastAsia="宋体" w:cs="宋体"/>
                <w:color w:val="000000"/>
                <w:sz w:val="21"/>
                <w:szCs w:val="21"/>
                <w:lang w:eastAsia="zh-CN" w:bidi="ar"/>
              </w:rPr>
              <w:t>水平收敛</w:t>
            </w:r>
          </w:p>
        </w:tc>
        <w:tc>
          <w:tcPr>
            <w:tcW w:w="1860"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color w:val="000000"/>
                <w:sz w:val="21"/>
                <w:szCs w:val="21"/>
                <w:lang w:bidi="ar"/>
              </w:rPr>
              <w:t>区间隧道</w:t>
            </w:r>
          </w:p>
        </w:tc>
        <w:tc>
          <w:tcPr>
            <w:tcW w:w="2205"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color w:val="000000"/>
                <w:sz w:val="21"/>
                <w:szCs w:val="21"/>
                <w:lang w:eastAsia="zh-CN" w:bidi="ar"/>
              </w:rPr>
              <w:t>按</w:t>
            </w:r>
            <w:r>
              <w:rPr>
                <w:rFonts w:hint="eastAsia" w:ascii="宋体" w:hAnsi="宋体" w:eastAsia="宋体" w:cs="宋体"/>
                <w:color w:val="000000"/>
                <w:sz w:val="21"/>
                <w:szCs w:val="21"/>
                <w:lang w:bidi="ar"/>
              </w:rPr>
              <w:t xml:space="preserve">每 </w:t>
            </w:r>
            <w:r>
              <w:rPr>
                <w:rFonts w:hint="eastAsia" w:ascii="宋体" w:hAnsi="宋体" w:eastAsia="宋体" w:cs="宋体"/>
                <w:color w:val="000000"/>
                <w:sz w:val="21"/>
                <w:szCs w:val="21"/>
                <w:lang w:val="en-US" w:eastAsia="zh-CN" w:bidi="ar"/>
              </w:rPr>
              <w:t>9m</w:t>
            </w:r>
            <w:r>
              <w:rPr>
                <w:rFonts w:hint="eastAsia" w:ascii="宋体" w:hAnsi="宋体" w:eastAsia="宋体" w:cs="宋体"/>
                <w:color w:val="000000"/>
                <w:sz w:val="21"/>
                <w:szCs w:val="21"/>
                <w:lang w:bidi="ar"/>
              </w:rPr>
              <w:t>一个断面</w:t>
            </w:r>
          </w:p>
        </w:tc>
        <w:tc>
          <w:tcPr>
            <w:tcW w:w="2097"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0.5″</w:t>
            </w:r>
            <w:r>
              <w:rPr>
                <w:rFonts w:hint="eastAsia" w:ascii="宋体" w:hAnsi="宋体" w:eastAsia="宋体" w:cs="宋体"/>
                <w:sz w:val="21"/>
                <w:szCs w:val="21"/>
              </w:rPr>
              <w:t>全站仪</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648"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855"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eastAsia="zh-CN" w:bidi="ar"/>
              </w:rPr>
            </w:pPr>
            <w:r>
              <w:rPr>
                <w:rFonts w:hint="eastAsia" w:ascii="宋体" w:hAnsi="宋体" w:eastAsia="宋体" w:cs="宋体"/>
                <w:color w:val="000000"/>
                <w:sz w:val="21"/>
                <w:szCs w:val="21"/>
                <w:lang w:eastAsia="zh-CN" w:bidi="ar"/>
              </w:rPr>
              <w:t>人工垂直位移</w:t>
            </w:r>
          </w:p>
          <w:p>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eastAsia="zh-CN" w:bidi="ar"/>
              </w:rPr>
            </w:pPr>
            <w:r>
              <w:rPr>
                <w:rFonts w:hint="eastAsia" w:ascii="宋体" w:hAnsi="宋体" w:eastAsia="宋体" w:cs="宋体"/>
                <w:color w:val="000000"/>
                <w:sz w:val="21"/>
                <w:szCs w:val="21"/>
                <w:lang w:eastAsia="zh-CN" w:bidi="ar"/>
              </w:rPr>
              <w:t>（人工校核）</w:t>
            </w:r>
          </w:p>
        </w:tc>
        <w:tc>
          <w:tcPr>
            <w:tcW w:w="1860"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bidi="ar"/>
              </w:rPr>
            </w:pPr>
            <w:r>
              <w:rPr>
                <w:rFonts w:hint="eastAsia" w:ascii="宋体" w:hAnsi="宋体" w:eastAsia="宋体" w:cs="宋体"/>
                <w:color w:val="000000"/>
                <w:sz w:val="21"/>
                <w:szCs w:val="21"/>
                <w:lang w:bidi="ar"/>
              </w:rPr>
              <w:t>区间隧道</w:t>
            </w:r>
          </w:p>
        </w:tc>
        <w:tc>
          <w:tcPr>
            <w:tcW w:w="2205"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eastAsia="zh-CN" w:bidi="ar"/>
              </w:rPr>
            </w:pPr>
            <w:r>
              <w:rPr>
                <w:rFonts w:hint="eastAsia" w:ascii="宋体" w:hAnsi="宋体" w:eastAsia="宋体" w:cs="宋体"/>
                <w:color w:val="000000"/>
                <w:sz w:val="21"/>
                <w:szCs w:val="21"/>
                <w:lang w:eastAsia="zh-CN" w:bidi="ar"/>
              </w:rPr>
              <w:t>按</w:t>
            </w:r>
            <w:r>
              <w:rPr>
                <w:rFonts w:hint="eastAsia" w:ascii="宋体" w:hAnsi="宋体" w:eastAsia="宋体" w:cs="宋体"/>
                <w:color w:val="000000"/>
                <w:sz w:val="21"/>
                <w:szCs w:val="21"/>
                <w:lang w:bidi="ar"/>
              </w:rPr>
              <w:t xml:space="preserve">每 </w:t>
            </w:r>
            <w:r>
              <w:rPr>
                <w:rFonts w:hint="eastAsia" w:ascii="宋体" w:hAnsi="宋体" w:eastAsia="宋体" w:cs="宋体"/>
                <w:color w:val="000000"/>
                <w:sz w:val="21"/>
                <w:szCs w:val="21"/>
                <w:lang w:val="en-US" w:eastAsia="zh-CN" w:bidi="ar"/>
              </w:rPr>
              <w:t>9m</w:t>
            </w:r>
            <w:r>
              <w:rPr>
                <w:rFonts w:hint="eastAsia" w:ascii="宋体" w:hAnsi="宋体" w:eastAsia="宋体" w:cs="宋体"/>
                <w:color w:val="000000"/>
                <w:sz w:val="21"/>
                <w:szCs w:val="21"/>
                <w:lang w:bidi="ar"/>
              </w:rPr>
              <w:t>一个断面</w:t>
            </w:r>
          </w:p>
        </w:tc>
        <w:tc>
          <w:tcPr>
            <w:tcW w:w="2097"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水准仪</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48"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5</w:t>
            </w:r>
          </w:p>
        </w:tc>
        <w:tc>
          <w:tcPr>
            <w:tcW w:w="1855"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color w:val="000000"/>
                <w:sz w:val="21"/>
                <w:szCs w:val="21"/>
                <w:lang w:bidi="ar"/>
              </w:rPr>
              <w:t>轨道监测</w:t>
            </w:r>
          </w:p>
        </w:tc>
        <w:tc>
          <w:tcPr>
            <w:tcW w:w="6162" w:type="dxa"/>
            <w:gridSpan w:val="3"/>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自动化</w:t>
            </w:r>
            <w:r>
              <w:rPr>
                <w:rFonts w:hint="eastAsia" w:ascii="宋体" w:hAnsi="宋体" w:eastAsia="宋体" w:cs="宋体"/>
                <w:sz w:val="21"/>
                <w:szCs w:val="21"/>
                <w:lang w:eastAsia="zh-CN"/>
              </w:rPr>
              <w:t>实时</w:t>
            </w:r>
            <w:r>
              <w:rPr>
                <w:rFonts w:hint="eastAsia" w:ascii="宋体" w:hAnsi="宋体" w:eastAsia="宋体" w:cs="宋体"/>
                <w:sz w:val="21"/>
                <w:szCs w:val="21"/>
              </w:rPr>
              <w:t>监测系统</w:t>
            </w:r>
          </w:p>
        </w:tc>
      </w:tr>
    </w:tbl>
    <w:p>
      <w:pPr>
        <w:autoSpaceDE w:val="0"/>
        <w:autoSpaceDN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rPr>
        <w:t>注：监测点布设和监测方法应满足评估报告和相应规范要求。</w:t>
      </w:r>
    </w:p>
    <w:p>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4.在日常监测的同时应进行人工现场巡查，巡查内容包括轨道交通结构裂缝、渗漏水情况、道床与管片关系情况、临近轨道交通结构侧的外部作业施工情况及之间环境的情况等，具体巡视内容按相关规范执行。</w:t>
      </w:r>
    </w:p>
    <w:p>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5.完成招标人要求的与本项目相关的其他监测工作。</w:t>
      </w:r>
    </w:p>
    <w:p>
      <w:pPr>
        <w:spacing w:line="360" w:lineRule="auto"/>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 xml:space="preserve">（3）监测等级 </w:t>
      </w:r>
    </w:p>
    <w:p>
      <w:pPr>
        <w:spacing w:line="360" w:lineRule="auto"/>
        <w:ind w:firstLine="420" w:firstLineChars="200"/>
        <w:rPr>
          <w:rFonts w:hint="eastAsia" w:ascii="宋体" w:hAnsi="宋体" w:eastAsia="宋体" w:cs="宋体"/>
          <w:bCs/>
          <w:sz w:val="21"/>
          <w:szCs w:val="21"/>
        </w:rPr>
      </w:pPr>
      <w:bookmarkStart w:id="73" w:name="_Toc534364878"/>
      <w:r>
        <w:rPr>
          <w:rFonts w:hint="eastAsia" w:ascii="宋体" w:hAnsi="宋体" w:eastAsia="宋体" w:cs="宋体"/>
          <w:bCs/>
          <w:sz w:val="21"/>
          <w:szCs w:val="21"/>
        </w:rPr>
        <w:t>本项目接近程度为“接近”，工程影响区判定为“强烈影响区（A）”，外部作业工程影响区综合判定为“特级”。</w:t>
      </w:r>
    </w:p>
    <w:p>
      <w:pPr>
        <w:spacing w:line="36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城市轨道交通结构的水平位移、竖向位移测量应符合现行测量规范二等的要求，其他监测项目应符合国家现行标准，并应满足本项目保护区评估文件的要求。</w:t>
      </w:r>
    </w:p>
    <w:p>
      <w:pPr>
        <w:spacing w:line="360" w:lineRule="auto"/>
        <w:ind w:firstLine="422" w:firstLineChars="200"/>
        <w:jc w:val="center"/>
        <w:rPr>
          <w:rFonts w:hint="eastAsia" w:ascii="宋体" w:hAnsi="宋体" w:eastAsia="宋体" w:cs="宋体"/>
          <w:b/>
          <w:bCs/>
          <w:sz w:val="21"/>
          <w:szCs w:val="21"/>
        </w:rPr>
      </w:pPr>
      <w:r>
        <w:rPr>
          <w:rFonts w:hint="eastAsia" w:ascii="宋体" w:hAnsi="宋体" w:eastAsia="宋体" w:cs="宋体"/>
          <w:b/>
          <w:bCs/>
          <w:sz w:val="21"/>
          <w:szCs w:val="21"/>
        </w:rPr>
        <w:t>监测预警值参考表</w:t>
      </w:r>
    </w:p>
    <w:tbl>
      <w:tblPr>
        <w:tblStyle w:val="26"/>
        <w:tblW w:w="83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22"/>
        <w:gridCol w:w="2806"/>
        <w:gridCol w:w="24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3122"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r>
              <w:rPr>
                <w:rFonts w:hint="eastAsia" w:ascii="宋体" w:hAnsi="宋体" w:eastAsia="宋体" w:cs="宋体"/>
                <w:b/>
                <w:sz w:val="21"/>
                <w:szCs w:val="21"/>
              </w:rPr>
              <w:t>安全监测项目</w:t>
            </w:r>
          </w:p>
        </w:tc>
        <w:tc>
          <w:tcPr>
            <w:tcW w:w="2806"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r>
              <w:rPr>
                <w:rFonts w:hint="eastAsia" w:ascii="宋体" w:hAnsi="宋体" w:eastAsia="宋体" w:cs="宋体"/>
                <w:b/>
                <w:sz w:val="21"/>
                <w:szCs w:val="21"/>
              </w:rPr>
              <w:t>控制值</w:t>
            </w:r>
          </w:p>
        </w:tc>
        <w:tc>
          <w:tcPr>
            <w:tcW w:w="2450"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r>
              <w:rPr>
                <w:rFonts w:hint="eastAsia" w:ascii="宋体" w:hAnsi="宋体" w:eastAsia="宋体" w:cs="宋体"/>
                <w:b/>
                <w:sz w:val="21"/>
                <w:szCs w:val="21"/>
              </w:rPr>
              <w:t>变化速率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jc w:val="center"/>
        </w:trPr>
        <w:tc>
          <w:tcPr>
            <w:tcW w:w="3122"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结构竖向位移</w:t>
            </w:r>
          </w:p>
        </w:tc>
        <w:tc>
          <w:tcPr>
            <w:tcW w:w="2806"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10mm</w:t>
            </w:r>
          </w:p>
        </w:tc>
        <w:tc>
          <w:tcPr>
            <w:tcW w:w="2450"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0.5mm/d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jc w:val="center"/>
        </w:trPr>
        <w:tc>
          <w:tcPr>
            <w:tcW w:w="3122"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结构水平位移</w:t>
            </w:r>
          </w:p>
        </w:tc>
        <w:tc>
          <w:tcPr>
            <w:tcW w:w="2806"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10</w:t>
            </w:r>
            <w:r>
              <w:rPr>
                <w:rFonts w:hint="eastAsia" w:ascii="宋体" w:hAnsi="宋体" w:eastAsia="宋体" w:cs="宋体"/>
                <w:sz w:val="21"/>
                <w:szCs w:val="21"/>
              </w:rPr>
              <w:t>mm</w:t>
            </w:r>
          </w:p>
        </w:tc>
        <w:tc>
          <w:tcPr>
            <w:tcW w:w="2450"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0.5mm/d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jc w:val="center"/>
        </w:trPr>
        <w:tc>
          <w:tcPr>
            <w:tcW w:w="3122"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区间径向收敛</w:t>
            </w:r>
          </w:p>
        </w:tc>
        <w:tc>
          <w:tcPr>
            <w:tcW w:w="2806"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10mm</w:t>
            </w:r>
          </w:p>
        </w:tc>
        <w:tc>
          <w:tcPr>
            <w:tcW w:w="2450"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0.5mm/d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jc w:val="center"/>
        </w:trPr>
        <w:tc>
          <w:tcPr>
            <w:tcW w:w="3122"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 xml:space="preserve">主体结构裂缝宽度 </w:t>
            </w:r>
          </w:p>
        </w:tc>
        <w:tc>
          <w:tcPr>
            <w:tcW w:w="2806"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迎水面 0.2mm，背水面 0.3mm</w:t>
            </w:r>
          </w:p>
        </w:tc>
        <w:tc>
          <w:tcPr>
            <w:tcW w:w="2450"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0.05mm/d</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atLeast"/>
          <w:jc w:val="center"/>
        </w:trPr>
        <w:tc>
          <w:tcPr>
            <w:tcW w:w="3122"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 xml:space="preserve">区间结构裂缝宽度 </w:t>
            </w:r>
          </w:p>
        </w:tc>
        <w:tc>
          <w:tcPr>
            <w:tcW w:w="2806"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&lt;0.2mm</w:t>
            </w:r>
          </w:p>
        </w:tc>
        <w:tc>
          <w:tcPr>
            <w:tcW w:w="2450" w:type="dxa"/>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0.05mm/d</w:t>
            </w:r>
          </w:p>
        </w:tc>
      </w:tr>
    </w:tbl>
    <w:p>
      <w:pPr>
        <w:spacing w:line="360" w:lineRule="auto"/>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（4）监测周期与频率的确定</w:t>
      </w:r>
      <w:bookmarkEnd w:id="73"/>
    </w:p>
    <w:p>
      <w:pPr>
        <w:spacing w:line="36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监测周期主要根据外部工程的建设工期以及监测数据的稳定性确定；监测频率主要根据外部作业施工进度计划及外部作业影响等级确定。监测频率详见下表。</w:t>
      </w:r>
    </w:p>
    <w:p>
      <w:pPr>
        <w:spacing w:line="360" w:lineRule="auto"/>
        <w:ind w:firstLine="422" w:firstLineChars="200"/>
        <w:jc w:val="center"/>
        <w:rPr>
          <w:rFonts w:hint="eastAsia" w:ascii="宋体" w:hAnsi="宋体" w:eastAsia="宋体" w:cs="宋体"/>
          <w:b/>
          <w:bCs/>
          <w:sz w:val="21"/>
          <w:szCs w:val="21"/>
        </w:rPr>
      </w:pPr>
      <w:r>
        <w:rPr>
          <w:rFonts w:hint="eastAsia" w:ascii="宋体" w:hAnsi="宋体" w:eastAsia="宋体" w:cs="宋体"/>
          <w:b/>
          <w:bCs/>
          <w:sz w:val="21"/>
          <w:szCs w:val="21"/>
        </w:rPr>
        <w:t>监测频率表</w:t>
      </w:r>
    </w:p>
    <w:tbl>
      <w:tblPr>
        <w:tblStyle w:val="26"/>
        <w:tblW w:w="838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8"/>
        <w:gridCol w:w="820"/>
        <w:gridCol w:w="1065"/>
        <w:gridCol w:w="990"/>
        <w:gridCol w:w="720"/>
        <w:gridCol w:w="1320"/>
        <w:gridCol w:w="1320"/>
        <w:gridCol w:w="13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76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8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部位</w:t>
            </w:r>
          </w:p>
        </w:tc>
        <w:tc>
          <w:tcPr>
            <w:tcW w:w="106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测项</w:t>
            </w:r>
          </w:p>
        </w:tc>
        <w:tc>
          <w:tcPr>
            <w:tcW w:w="99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4740" w:type="dxa"/>
            <w:gridSpan w:val="4"/>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观测次数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8" w:hRule="atLeast"/>
        </w:trPr>
        <w:tc>
          <w:tcPr>
            <w:tcW w:w="7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8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06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9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72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施工阶段</w:t>
            </w:r>
          </w:p>
        </w:tc>
        <w:tc>
          <w:tcPr>
            <w:tcW w:w="132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初始值</w:t>
            </w:r>
          </w:p>
        </w:tc>
        <w:tc>
          <w:tcPr>
            <w:tcW w:w="132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注浆期间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（1次/1天）</w:t>
            </w:r>
          </w:p>
        </w:tc>
        <w:tc>
          <w:tcPr>
            <w:tcW w:w="13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跟踪期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（1次/10天）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7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8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06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9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72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32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32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38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7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8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06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99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72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工期</w:t>
            </w:r>
          </w:p>
        </w:tc>
        <w:tc>
          <w:tcPr>
            <w:tcW w:w="132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32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12天</w:t>
            </w:r>
          </w:p>
        </w:tc>
        <w:tc>
          <w:tcPr>
            <w:tcW w:w="13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768"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2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监测</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基准网</w:t>
            </w:r>
          </w:p>
        </w:tc>
        <w:tc>
          <w:tcPr>
            <w:tcW w:w="106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垂直位移基准网</w:t>
            </w:r>
          </w:p>
        </w:tc>
        <w:tc>
          <w:tcPr>
            <w:tcW w:w="99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公里</w:t>
            </w:r>
          </w:p>
        </w:tc>
        <w:tc>
          <w:tcPr>
            <w:tcW w:w="72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w:t>
            </w:r>
          </w:p>
        </w:tc>
        <w:tc>
          <w:tcPr>
            <w:tcW w:w="132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32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38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768"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2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06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水平位移基准网</w:t>
            </w:r>
          </w:p>
        </w:tc>
        <w:tc>
          <w:tcPr>
            <w:tcW w:w="99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点次</w:t>
            </w:r>
          </w:p>
        </w:tc>
        <w:tc>
          <w:tcPr>
            <w:tcW w:w="72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w:t>
            </w:r>
          </w:p>
        </w:tc>
        <w:tc>
          <w:tcPr>
            <w:tcW w:w="132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32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38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768"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82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花~琅区间</w:t>
            </w:r>
          </w:p>
        </w:tc>
        <w:tc>
          <w:tcPr>
            <w:tcW w:w="106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竖向位移</w:t>
            </w:r>
          </w:p>
        </w:tc>
        <w:tc>
          <w:tcPr>
            <w:tcW w:w="99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点次</w:t>
            </w:r>
          </w:p>
        </w:tc>
        <w:tc>
          <w:tcPr>
            <w:tcW w:w="72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w:t>
            </w:r>
          </w:p>
        </w:tc>
        <w:tc>
          <w:tcPr>
            <w:tcW w:w="132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32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38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768"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82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06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水平位移</w:t>
            </w:r>
          </w:p>
        </w:tc>
        <w:tc>
          <w:tcPr>
            <w:tcW w:w="99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点次</w:t>
            </w:r>
          </w:p>
        </w:tc>
        <w:tc>
          <w:tcPr>
            <w:tcW w:w="72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w:t>
            </w:r>
          </w:p>
        </w:tc>
        <w:tc>
          <w:tcPr>
            <w:tcW w:w="132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32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38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 w:hRule="atLeast"/>
        </w:trPr>
        <w:tc>
          <w:tcPr>
            <w:tcW w:w="768"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820" w:type="dxa"/>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rPr>
                <w:rFonts w:hint="eastAsia" w:ascii="宋体" w:hAnsi="宋体" w:eastAsia="宋体" w:cs="宋体"/>
                <w:i w:val="0"/>
                <w:iCs w:val="0"/>
                <w:color w:val="000000"/>
                <w:sz w:val="21"/>
                <w:szCs w:val="21"/>
                <w:u w:val="none"/>
              </w:rPr>
            </w:pPr>
          </w:p>
        </w:tc>
        <w:tc>
          <w:tcPr>
            <w:tcW w:w="106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水平收敛</w:t>
            </w:r>
          </w:p>
        </w:tc>
        <w:tc>
          <w:tcPr>
            <w:tcW w:w="99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点次</w:t>
            </w:r>
          </w:p>
        </w:tc>
        <w:tc>
          <w:tcPr>
            <w:tcW w:w="72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w:t>
            </w:r>
          </w:p>
        </w:tc>
        <w:tc>
          <w:tcPr>
            <w:tcW w:w="132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32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38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768"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5"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渗漏裂缝监测及现场巡视</w:t>
            </w:r>
          </w:p>
        </w:tc>
        <w:tc>
          <w:tcPr>
            <w:tcW w:w="99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组日</w:t>
            </w:r>
          </w:p>
        </w:tc>
        <w:tc>
          <w:tcPr>
            <w:tcW w:w="72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w:t>
            </w:r>
          </w:p>
        </w:tc>
        <w:tc>
          <w:tcPr>
            <w:tcW w:w="132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32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38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6" w:hRule="atLeast"/>
        </w:trPr>
        <w:tc>
          <w:tcPr>
            <w:tcW w:w="8383"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监测范围：监测范围上下行线各约100m，按照规范9m一个监测断面，上下行线共布设20个监测断面。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8383"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注浆施工期：12天；4个空洞，每个空洞注浆3天；跟踪期3个月。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6" w:hRule="atLeast"/>
        </w:trPr>
        <w:tc>
          <w:tcPr>
            <w:tcW w:w="8383"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布点原则：依据《安徽省地标城市轨道交通结构安全保护技术规程》DB34T 4389-2023要求执行，监测点按9m布设一个监测断面。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 w:hRule="atLeast"/>
        </w:trPr>
        <w:tc>
          <w:tcPr>
            <w:tcW w:w="8383"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人工垂直位移校核频率为7天1次。</w:t>
            </w:r>
          </w:p>
        </w:tc>
      </w:tr>
    </w:tbl>
    <w:p>
      <w:pPr>
        <w:spacing w:line="36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 xml:space="preserve">注：监测数据达到黄色预警值后应加密监测。 </w:t>
      </w:r>
    </w:p>
    <w:p>
      <w:pPr>
        <w:spacing w:line="360" w:lineRule="auto"/>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（5）监测成果及信息反馈</w:t>
      </w:r>
    </w:p>
    <w:p>
      <w:pPr>
        <w:spacing w:line="36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lang w:val="en-US" w:eastAsia="zh-CN"/>
        </w:rPr>
        <w:t>1.</w:t>
      </w:r>
      <w:r>
        <w:rPr>
          <w:rFonts w:hint="eastAsia" w:ascii="宋体" w:hAnsi="宋体" w:eastAsia="宋体" w:cs="宋体"/>
          <w:bCs/>
          <w:sz w:val="21"/>
          <w:szCs w:val="21"/>
        </w:rPr>
        <w:t>轨道交通安全保护监测成果资料应完整、清晰、签字齐全，监测成果应包括现场监测资料、计算分析资料、图表、曲线和文字报告等。</w:t>
      </w:r>
    </w:p>
    <w:p>
      <w:pPr>
        <w:spacing w:line="36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lang w:val="en-US" w:eastAsia="zh-CN"/>
        </w:rPr>
        <w:t>2.</w:t>
      </w:r>
      <w:r>
        <w:rPr>
          <w:rFonts w:hint="eastAsia" w:ascii="宋体" w:hAnsi="宋体" w:eastAsia="宋体" w:cs="宋体"/>
          <w:bCs/>
          <w:sz w:val="21"/>
          <w:szCs w:val="21"/>
        </w:rPr>
        <w:t>自动化监测系统应稳定可靠，成果应能实现自动处理、自动预警，并具有远程控制和访问等功能。</w:t>
      </w:r>
    </w:p>
    <w:p>
      <w:pPr>
        <w:spacing w:line="36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lang w:val="en-US" w:eastAsia="zh-CN"/>
        </w:rPr>
        <w:t>3.</w:t>
      </w:r>
      <w:r>
        <w:rPr>
          <w:rFonts w:hint="eastAsia" w:ascii="宋体" w:hAnsi="宋体" w:eastAsia="宋体" w:cs="宋体"/>
          <w:bCs/>
          <w:sz w:val="21"/>
          <w:szCs w:val="21"/>
        </w:rPr>
        <w:t>监测成果报告可分为日报、预警快报和总结报告。监测报告应采用文字、表格、图形和照片等形式，表达直观、明确。相关报表格式应符合</w:t>
      </w:r>
      <w:r>
        <w:rPr>
          <w:rFonts w:hint="eastAsia" w:ascii="宋体" w:hAnsi="宋体" w:eastAsia="宋体" w:cs="宋体"/>
          <w:bCs/>
          <w:sz w:val="21"/>
          <w:szCs w:val="21"/>
          <w:lang w:eastAsia="zh-CN"/>
        </w:rPr>
        <w:t>地铁运营公司</w:t>
      </w:r>
      <w:r>
        <w:rPr>
          <w:rFonts w:hint="eastAsia" w:ascii="宋体" w:hAnsi="宋体" w:eastAsia="宋体" w:cs="宋体"/>
          <w:bCs/>
          <w:sz w:val="21"/>
          <w:szCs w:val="21"/>
        </w:rPr>
        <w:t>要求。</w:t>
      </w:r>
    </w:p>
    <w:p>
      <w:pPr>
        <w:spacing w:line="36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lang w:val="en-US" w:eastAsia="zh-CN"/>
        </w:rPr>
        <w:t>4.</w:t>
      </w:r>
      <w:r>
        <w:rPr>
          <w:rFonts w:hint="eastAsia" w:ascii="宋体" w:hAnsi="宋体" w:eastAsia="宋体" w:cs="宋体"/>
          <w:bCs/>
          <w:sz w:val="21"/>
          <w:szCs w:val="21"/>
        </w:rPr>
        <w:t>监测日报、预警快报和总结报告应按规定的格式和内容，及时向</w:t>
      </w:r>
      <w:r>
        <w:rPr>
          <w:rFonts w:hint="eastAsia" w:ascii="宋体" w:hAnsi="宋体" w:eastAsia="宋体" w:cs="宋体"/>
          <w:bCs/>
          <w:sz w:val="21"/>
          <w:szCs w:val="21"/>
          <w:lang w:eastAsia="zh-CN"/>
        </w:rPr>
        <w:t>甲方</w:t>
      </w:r>
      <w:r>
        <w:rPr>
          <w:rFonts w:hint="eastAsia" w:ascii="宋体" w:hAnsi="宋体" w:eastAsia="宋体" w:cs="宋体"/>
          <w:bCs/>
          <w:sz w:val="21"/>
          <w:szCs w:val="21"/>
        </w:rPr>
        <w:t>单位</w:t>
      </w:r>
      <w:r>
        <w:rPr>
          <w:rFonts w:hint="eastAsia" w:ascii="宋体" w:hAnsi="宋体" w:eastAsia="宋体" w:cs="宋体"/>
          <w:bCs/>
          <w:sz w:val="21"/>
          <w:szCs w:val="21"/>
          <w:lang w:eastAsia="zh-CN"/>
        </w:rPr>
        <w:t>、城铁公司和运营公司</w:t>
      </w:r>
      <w:r>
        <w:rPr>
          <w:rFonts w:hint="eastAsia" w:ascii="宋体" w:hAnsi="宋体" w:eastAsia="宋体" w:cs="宋体"/>
          <w:bCs/>
          <w:sz w:val="21"/>
          <w:szCs w:val="21"/>
        </w:rPr>
        <w:t>报送。</w:t>
      </w:r>
    </w:p>
    <w:p>
      <w:pPr>
        <w:spacing w:line="360" w:lineRule="auto"/>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五、服务要求</w:t>
      </w:r>
    </w:p>
    <w:p>
      <w:pPr>
        <w:spacing w:line="36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lang w:val="en-US" w:eastAsia="zh-CN"/>
        </w:rPr>
        <w:t>1.</w:t>
      </w:r>
      <w:r>
        <w:rPr>
          <w:rFonts w:hint="eastAsia" w:ascii="宋体" w:hAnsi="宋体" w:eastAsia="宋体" w:cs="宋体"/>
          <w:bCs/>
          <w:sz w:val="21"/>
          <w:szCs w:val="21"/>
        </w:rPr>
        <w:t>中标人必须按照招标人要求完成本项目的监测服务，如依据项目实际需求必须增加布点数及观测次数，中标人必须无条件服从，监测服务费不调整，即本监测工作实行总价包干。</w:t>
      </w:r>
    </w:p>
    <w:p>
      <w:pPr>
        <w:spacing w:line="36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lang w:val="en-US" w:eastAsia="zh-CN"/>
        </w:rPr>
        <w:t>2.</w:t>
      </w:r>
      <w:r>
        <w:rPr>
          <w:rFonts w:hint="eastAsia" w:ascii="宋体" w:hAnsi="宋体" w:eastAsia="宋体" w:cs="宋体"/>
          <w:bCs/>
          <w:sz w:val="21"/>
          <w:szCs w:val="21"/>
        </w:rPr>
        <w:t>监测方案需经专家评审</w:t>
      </w:r>
      <w:r>
        <w:rPr>
          <w:rFonts w:hint="eastAsia" w:ascii="宋体" w:hAnsi="宋体" w:eastAsia="宋体" w:cs="宋体"/>
          <w:bCs/>
          <w:sz w:val="21"/>
          <w:szCs w:val="21"/>
          <w:lang w:eastAsia="zh-CN"/>
        </w:rPr>
        <w:t>且</w:t>
      </w:r>
      <w:r>
        <w:rPr>
          <w:rFonts w:hint="eastAsia" w:ascii="宋体" w:hAnsi="宋体" w:eastAsia="宋体" w:cs="宋体"/>
          <w:bCs/>
          <w:sz w:val="21"/>
          <w:szCs w:val="21"/>
          <w:lang w:val="en-US" w:eastAsia="zh-CN"/>
        </w:rPr>
        <w:t>经过滁州市轨道交通运营有限公司审核通过</w:t>
      </w:r>
      <w:r>
        <w:rPr>
          <w:rFonts w:hint="eastAsia" w:ascii="宋体" w:hAnsi="宋体" w:eastAsia="宋体" w:cs="宋体"/>
          <w:bCs/>
          <w:sz w:val="21"/>
          <w:szCs w:val="21"/>
        </w:rPr>
        <w:t>，并得到批准后方可实施。</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3.中标人在监测进场之前，需与滁州市轨道交通运营有限公司签订安全协议，并办理安全保证金。</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4.中标人在监测进场之前，需提前与滁州市轨道交通运营有限公司报备作业人员，安排作业人员进行轨行区施工负责人培训，取得施工负责人证后，方可下隧道作业。</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5.监测人员配备要求：满足服务期项目实际工作需要，机构完整，应由项目管理人员、现场负责人、主要观测人员、辅助人员组成。</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5.1项目负责人1名，要求测量（绘）专业本科及以上学历，具备中级工程师及以上，具备城市轨道交通结构监测负责人业绩，中标后需提供学历、职称等原件及复印件。</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5.2技术负责人1名，要求测量（绘）专业本科及以上学历，具备高级工程师及以上，具备城市轨道交通结构监测技术负责人业绩，中标后需提供学历、职称等原件及复印件。</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5.3现场负责人（现场带队作业）不低于2名，要求测量（绘）专业本科及以上学历或具有助理工程师。中标后需提供学历、职称等原件及复印件。</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5.4主要观测人员不低于2名，可由现场负责人兼任，要求测量（绘）及相关专业中专及以上学历或测量高级工。中标后需提供学历、测量工证等原件及复印件。</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5.5队伍应确保稳定，技术素质及技术人员搭配应满足生产需要及要求，因人员技术水平低，责任心差不符合招标单位条件招标单位有权拒绝使用。</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5.6中标单位人员按照招标单位方要求安排进场，开展工作并进行考核。</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5.7中标单位必须将所有人员的具体名单、人员履历表、技术职称、有效原始证件复印件、管理作业人员配置表等报招标单位。</w:t>
      </w:r>
    </w:p>
    <w:p>
      <w:pPr>
        <w:spacing w:line="360" w:lineRule="auto"/>
        <w:ind w:firstLine="420" w:firstLineChars="200"/>
        <w:rPr>
          <w:rFonts w:hint="eastAsia" w:ascii="宋体" w:hAnsi="宋体" w:eastAsia="宋体" w:cs="宋体"/>
          <w:b/>
          <w:bCs/>
          <w:sz w:val="21"/>
          <w:szCs w:val="21"/>
        </w:rPr>
      </w:pPr>
      <w:r>
        <w:rPr>
          <w:rFonts w:hint="eastAsia" w:ascii="宋体" w:hAnsi="宋体" w:eastAsia="宋体" w:cs="宋体"/>
          <w:bCs/>
          <w:sz w:val="21"/>
          <w:szCs w:val="21"/>
          <w:lang w:val="en-US" w:eastAsia="zh-CN"/>
        </w:rPr>
        <w:t>6.监测仪器设备配备要求：</w:t>
      </w:r>
      <w:r>
        <w:rPr>
          <w:rFonts w:hint="eastAsia" w:ascii="宋体" w:hAnsi="宋体" w:eastAsia="宋体" w:cs="宋体"/>
          <w:sz w:val="21"/>
          <w:szCs w:val="21"/>
        </w:rPr>
        <w:t>投入项目的设备质量、数量应满足项目生产的实际需要。作业设备应符合检定要求，提供检定证书原件及复印件。作业使用的平差软件、数据处理及成图软件应符合行业要求。</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6.1水准仪要求（±0.3mm/km精度）且有中标单位采购发票或仪器检定证书，配备2台及以上。需提供采购发票或检定证书等原件及复印件。</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6.2全站仪要求（±0.5″,±（0.6+1ppm））以上精度要求）且有中标单位采购发票或仪器检定证书，配备2台及以上。需提供采购发票或检定证书等原件及复印件。</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6.3监测项目所需其他设备</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本项目采用包工包料，包括主材及消耗性材料等，所有材料均应为合格产品。</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7.现场工作要求</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7.1监测管理要求</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（1）须遵守所有的测量制度及相关管理规定。</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（2）请、销点制度：进入车站作业必须先到车站请点，经确认作业令后方可进行作业，作业完后工器具材料和人员必须出清，并到车站进行销点。</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3）跟踪及抽检制度：测量项目实施过程中，甲方人员有权对乙方人员测量质量进行过程跟踪或抽检，发现不符合要求的地方及时提出、整改；当测量按计划完成有困难时，乙方应及时调整人力、物力或采取相应措施，并向甲方报告，否则按不完成项目考核。</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（4）报表资料提交：乙方因根据甲方管理规定按时提交相应的监测资料。</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5）交接桩制度：合同期内，乙方应确保监测点位的安全、完整、稳定和可靠，如有损坏及时完善；合同结束后，乙方应对所测设监测点位及有关成果与甲方进行交接，所交接点位坚实可靠，经双方认可后，办理相关手续。如点位缺失严重或存在其他不符现象，视情节处以扣除部分或全部质保金。</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（6）乙方应按照规范要求及质保措施，确保监测成果的真实性及可靠性，不允许有弄虚作假、擅自修改成果数据的行为。</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7.2安全管理要求</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（1）乙方必须有明确的该项目的安全目标、安全指标并进行安全管理。</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（2）乙方必须提供该项目的安全控制组织架构及主要岗位职责。</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（3）安全控制管理制度</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1）在作业过程中，首先牢固树立“安全第一、预防为主”的思想。</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2）全面执行乙方发布的安全管理制度：</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3）全面执行甲方发布的安全管理制度。</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（4）安全组织、技术措施</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1）遵照现行国家及有关部门的安全法规、规范、规定对本项目进行安全管理、健康管理、环境管理，确保安全施工（测量），杜绝一切人身伤亡事故。要有完整的安全管理组织体制，有专兼职安全干部，安全员负责设备维修和日常的安全、防火工作等。</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2）实行“三级”安全管理，坚持“管施工（测量）的同时必须抓安全”，“行政负责人是第一安全责任人”的原则，开展好正常的安全活动。乙方对本合同工作范围内的安全、消防等负责，对本单位进场人员治安保卫工作负责。</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3）强化各级安全监察网络，一级抓一级，层层落实安全生产责任制，抓好安全基础工作，重点放在预防上，有针对性的开展好作业前的安全预想预防工作，在布置工作的同时也要布置安全，认真做好内部的各种安全管理台帐。</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4）制定或执行甲方制定的安全管理制度、安全操作规程及安全奖惩办法等规章制度，强化安全管理。</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5）推行安全风险制，执行《“安全风险抵押金”制度》，从维保负责人到施工（测量）人员，逐级签订安全风险责任合同。</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6）专、兼职安全员固定在作业现场，掌握安全动态，加强安全监督管理，抓好安全措施的落实，及时向维保负责人提供安全信息，协助抓好整个项目的安全工作。</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7）施工（测量）班长、安全员都有责任搞好本单位的施工（测量）安全。凡发现有违反安全操作规程者，有权令其停止工作。</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8）加强对职工的安全教育，定期组织安全学习，施工（测量）中严格执行安全措施和安全规程，狠抓安全措施的落实，防患于未然。</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9）在危险作业区域和交叉作业区域，增加临时性安全监察岗，加强预控和监督。</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10）各级领导和业务部门定期深入作业现场，进行安全大检查，查思想、查管理、查落实，查隐患，对安全上的薄弱环节决不放过。</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11）坚持文明施工（测量），保证施工（测量）机械、设备完好和清洁，安全操作规程齐全，持证上岗，施工（测量）现场的安全管理、安全设施、安全工器具要符合规定。</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12）搞好季节施工（测量），针对节假日的职工安全意识松散心理，做好预防措施，合理安排作业，保证作业安全。</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13）作业现场设置安全标志，安全员上岗监督，作业人员一律戴安全帽，闲杂人员不得进入作业现场；登高时必须佩好安全带及安全绳后才能进行高空作业，严禁高空落物。</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14）施工（测量）中严格按照安规办事，施工（测量）现场坚持特殊工种100%持有效证件上岗作业的准则；所有作业人员进入甲方场地必须执行甲方有关安全、消防和治安管理制度。所有作业人员均要有操作证及经过安全培训，并向甲方提供详细的操作技术等级证书和操作证的复印件供甲方备案。</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15）各分项作业都制定明确的安全保证措施，贯彻执行于作业的全过程。</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16）加强对机具设备的维护管理，操作前检查；操作人员必须经考试合格，才能上岗，其它人员不能顶岗操作。</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17）加强所有作业人员在地铁隧道中行走的安全教育，防止行车伤害，杜绝交通事故发生。</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18）作业用临时电源箱，下班后应将闸刀拉开上锁，所有机电设备都应设接地接零等保护装置，严禁乱拉、乱接电源线。</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19）夏季施工（测量）应做好防暑降温工作。</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20）工作负责人必须要办理许可手续后方可带领工作人员进入工作现场。</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21）在危险区域动火必须到甲方安保部办理动火证。并派专人监护，方可实施。</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22）对设备缺陷的处理工作，必须在工作前将缺陷发生的原因、处理的方法以及处理工作时对现场条件的要求、工作中的安全注意事项等核查清楚。</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23）对大型作业等较为复杂的施工（测量）作业项目，有关人员必须在施工（测量）前深入到现场，对大型施工（测量）机械的行走路线和工作位置以及对施工（测量）构成障碍的物体等核查清楚，以确定可行的施工（测量）方案和作业中的不安全因素，制定可靠的安全防范措施。</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24）保证作业区内的清洁卫生。</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25）乙方必须严格遵守甲方所在地的“社会治安管理条例”。</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7.3文明作业管理要求</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（1）作业过程中，严格按照“规范化管理、标准化作业”规定要求，实施文明作业管理。</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（2）作业过程中，乙方应合理地保持作业现场中不出现不必要的障碍，处置好作业设备及多余材料，保持现场整洁和道路畅通。</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3）保护作业区域内各种管线、输电及通信线路、控制开关、生产通道、测量标点等，不得随意破坏、操作、占用。如与其他作业平面发生矛盾，应事先通报甲方，在得到甲方同意后方可按要求执行。如发现未经请示同意而擅自行事，将视其具体情况给予罚款处理。</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（4）必须负责作业现场日常卫生清理工作，保证公共环境整洁。</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（5）作业现场讲文明、讲礼貌，遇事商量解决，严禁打架、斗殴。</w:t>
      </w:r>
    </w:p>
    <w:p>
      <w:pPr>
        <w:spacing w:line="360" w:lineRule="auto"/>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六、监测作业方法</w:t>
      </w:r>
    </w:p>
    <w:p>
      <w:pPr>
        <w:spacing w:line="500" w:lineRule="exact"/>
        <w:outlineLvl w:val="2"/>
        <w:rPr>
          <w:rFonts w:hint="eastAsia" w:ascii="宋体" w:hAnsi="宋体" w:eastAsia="宋体" w:cs="宋体"/>
          <w:b/>
          <w:bCs/>
          <w:sz w:val="21"/>
          <w:szCs w:val="21"/>
        </w:rPr>
      </w:pPr>
      <w:r>
        <w:rPr>
          <w:rFonts w:hint="eastAsia" w:ascii="宋体" w:hAnsi="宋体" w:eastAsia="宋体" w:cs="宋体"/>
          <w:b/>
          <w:bCs/>
          <w:sz w:val="21"/>
          <w:szCs w:val="21"/>
          <w:lang w:val="en-US" w:eastAsia="zh-CN"/>
        </w:rPr>
        <w:t>6.1</w:t>
      </w:r>
      <w:r>
        <w:rPr>
          <w:rFonts w:hint="eastAsia" w:ascii="宋体" w:hAnsi="宋体" w:eastAsia="宋体" w:cs="宋体"/>
          <w:b/>
          <w:bCs/>
          <w:sz w:val="21"/>
          <w:szCs w:val="21"/>
        </w:rPr>
        <w:t>垂直位移</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（1）基准网</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根据有关监测技术标准，垂直位移监测基准网按监测等级为二级的技术要求进行，并布设成闭合水准路线。</w:t>
      </w:r>
    </w:p>
    <w:p>
      <w:pPr>
        <w:spacing w:beforeLines="50"/>
        <w:jc w:val="center"/>
        <w:rPr>
          <w:rFonts w:hint="eastAsia" w:ascii="宋体" w:hAnsi="宋体" w:eastAsia="宋体" w:cs="宋体"/>
          <w:bCs/>
          <w:sz w:val="21"/>
          <w:szCs w:val="21"/>
        </w:rPr>
      </w:pPr>
      <w:r>
        <w:rPr>
          <w:rFonts w:hint="eastAsia" w:ascii="宋体" w:hAnsi="宋体" w:eastAsia="宋体" w:cs="宋体"/>
          <w:bCs/>
          <w:sz w:val="21"/>
          <w:szCs w:val="21"/>
        </w:rPr>
        <w:t>表</w:t>
      </w:r>
      <w:r>
        <w:rPr>
          <w:rFonts w:hint="eastAsia" w:ascii="宋体" w:hAnsi="宋体" w:eastAsia="宋体" w:cs="宋体"/>
          <w:bCs/>
          <w:sz w:val="21"/>
          <w:szCs w:val="21"/>
          <w:lang w:val="en-US" w:eastAsia="zh-CN"/>
        </w:rPr>
        <w:t>6</w:t>
      </w:r>
      <w:r>
        <w:rPr>
          <w:rFonts w:hint="eastAsia" w:ascii="宋体" w:hAnsi="宋体" w:eastAsia="宋体" w:cs="宋体"/>
          <w:bCs/>
          <w:sz w:val="21"/>
          <w:szCs w:val="21"/>
        </w:rPr>
        <w:t>-1  垂直位移监测基准网的主要技术要求</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4"/>
        <w:gridCol w:w="1705"/>
        <w:gridCol w:w="1704"/>
        <w:gridCol w:w="1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7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等级</w:t>
            </w:r>
          </w:p>
        </w:tc>
        <w:tc>
          <w:tcPr>
            <w:tcW w:w="170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相邻基准点高差中误差（mm）</w:t>
            </w:r>
          </w:p>
        </w:tc>
        <w:tc>
          <w:tcPr>
            <w:tcW w:w="17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每站高差中误差（mm）</w:t>
            </w:r>
          </w:p>
        </w:tc>
        <w:tc>
          <w:tcPr>
            <w:tcW w:w="170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往返较差或环线闭合差（mm）</w:t>
            </w:r>
          </w:p>
        </w:tc>
        <w:tc>
          <w:tcPr>
            <w:tcW w:w="170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检测已测高差之较差（mm）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7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二级</w:t>
            </w:r>
          </w:p>
        </w:tc>
        <w:tc>
          <w:tcPr>
            <w:tcW w:w="170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±0.5</w:t>
            </w:r>
          </w:p>
        </w:tc>
        <w:tc>
          <w:tcPr>
            <w:tcW w:w="17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±0.15</w:t>
            </w:r>
          </w:p>
        </w:tc>
        <w:tc>
          <w:tcPr>
            <w:tcW w:w="170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±0.3</w:t>
            </w:r>
            <w:r>
              <w:rPr>
                <w:rFonts w:hint="eastAsia" w:ascii="宋体" w:hAnsi="宋体" w:eastAsia="宋体" w:cs="宋体"/>
                <w:sz w:val="21"/>
                <w:szCs w:val="21"/>
              </w:rPr>
              <w:object>
                <v:shape id="_x0000_i1025" o:spt="75" type="#_x0000_t75" style="height:17.65pt;width:19pt;" o:ole="t" filled="f" o:preferrelative="t" stroked="f" coordsize="21600,21600">
                  <v:path/>
                  <v:fill on="f" focussize="0,0"/>
                  <v:stroke on="f" joinstyle="miter"/>
                  <v:imagedata r:id="rId8" o:title=""/>
                  <o:lock v:ext="edit" aspectratio="t"/>
                  <w10:wrap type="none"/>
                  <w10:anchorlock/>
                </v:shape>
                <o:OLEObject Type="Embed" ProgID="Equation.DSMT4" ShapeID="_x0000_i1025" DrawAspect="Content" ObjectID="_1468075725" r:id="rId7">
                  <o:LockedField>false</o:LockedField>
                </o:OLEObject>
              </w:object>
            </w:r>
          </w:p>
        </w:tc>
        <w:tc>
          <w:tcPr>
            <w:tcW w:w="170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±0.4</w:t>
            </w:r>
            <w:r>
              <w:rPr>
                <w:rFonts w:hint="eastAsia" w:ascii="宋体" w:hAnsi="宋体" w:eastAsia="宋体" w:cs="宋体"/>
                <w:sz w:val="21"/>
                <w:szCs w:val="21"/>
              </w:rPr>
              <w:object>
                <v:shape id="_x0000_i1026" o:spt="75" type="#_x0000_t75" style="height:17.65pt;width:19pt;" o:ole="t" filled="f" o:preferrelative="t" stroked="f" coordsize="21600,21600">
                  <v:path/>
                  <v:fill on="f" focussize="0,0"/>
                  <v:stroke on="f" joinstyle="miter"/>
                  <v:imagedata r:id="rId8" o:title=""/>
                  <o:lock v:ext="edit" aspectratio="t"/>
                  <w10:wrap type="none"/>
                  <w10:anchorlock/>
                </v:shape>
                <o:OLEObject Type="Embed" ProgID="Equation.DSMT4" ShapeID="_x0000_i1026" DrawAspect="Content" ObjectID="_1468075726" r:id="rId9">
                  <o:LockedField>false</o:LockedField>
                </o:OLEObject>
              </w:object>
            </w:r>
          </w:p>
        </w:tc>
      </w:tr>
    </w:tbl>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（2）监测网</w:t>
      </w:r>
    </w:p>
    <w:p>
      <w:pPr>
        <w:spacing w:line="360" w:lineRule="auto"/>
        <w:ind w:firstLine="420" w:firstLineChars="200"/>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垂直位移变形监测点也按监测等级为二级的技术要求进行观测，并布设成附合或闭合水准路线。垂直位移监测相关技术指标见下表。</w:t>
      </w:r>
    </w:p>
    <w:p>
      <w:pPr>
        <w:spacing w:beforeLines="50"/>
        <w:jc w:val="center"/>
        <w:rPr>
          <w:rFonts w:hint="eastAsia" w:ascii="宋体" w:hAnsi="宋体" w:eastAsia="宋体" w:cs="宋体"/>
          <w:bCs/>
          <w:sz w:val="21"/>
          <w:szCs w:val="21"/>
        </w:rPr>
      </w:pPr>
      <w:r>
        <w:rPr>
          <w:rFonts w:hint="eastAsia" w:ascii="宋体" w:hAnsi="宋体" w:eastAsia="宋体" w:cs="宋体"/>
          <w:bCs/>
          <w:sz w:val="21"/>
          <w:szCs w:val="21"/>
        </w:rPr>
        <w:t>表</w:t>
      </w:r>
      <w:r>
        <w:rPr>
          <w:rFonts w:hint="eastAsia" w:ascii="宋体" w:hAnsi="宋体" w:eastAsia="宋体" w:cs="宋体"/>
          <w:bCs/>
          <w:sz w:val="21"/>
          <w:szCs w:val="21"/>
          <w:lang w:val="en-US" w:eastAsia="zh-CN"/>
        </w:rPr>
        <w:t>6</w:t>
      </w:r>
      <w:r>
        <w:rPr>
          <w:rFonts w:hint="eastAsia" w:ascii="宋体" w:hAnsi="宋体" w:eastAsia="宋体" w:cs="宋体"/>
          <w:bCs/>
          <w:sz w:val="21"/>
          <w:szCs w:val="21"/>
        </w:rPr>
        <w:t>-2  垂直位移监测精度要求</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2795"/>
        <w:gridCol w:w="3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73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r>
              <w:rPr>
                <w:rFonts w:hint="eastAsia" w:ascii="宋体" w:hAnsi="宋体" w:eastAsia="宋体" w:cs="宋体"/>
                <w:bCs/>
                <w:sz w:val="21"/>
                <w:szCs w:val="21"/>
              </w:rPr>
              <w:t>等级</w:t>
            </w:r>
          </w:p>
        </w:tc>
        <w:tc>
          <w:tcPr>
            <w:tcW w:w="279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r>
              <w:rPr>
                <w:rFonts w:hint="eastAsia" w:ascii="宋体" w:hAnsi="宋体" w:eastAsia="宋体" w:cs="宋体"/>
                <w:bCs/>
                <w:sz w:val="21"/>
                <w:szCs w:val="21"/>
              </w:rPr>
              <w:t>变形观测点的高程中误差（mm）</w:t>
            </w:r>
          </w:p>
        </w:tc>
        <w:tc>
          <w:tcPr>
            <w:tcW w:w="399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r>
              <w:rPr>
                <w:rFonts w:hint="eastAsia" w:ascii="宋体" w:hAnsi="宋体" w:eastAsia="宋体" w:cs="宋体"/>
                <w:bCs/>
                <w:sz w:val="21"/>
                <w:szCs w:val="21"/>
              </w:rPr>
              <w:t>相邻变形观测点的高差中误差（mm）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73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r>
              <w:rPr>
                <w:rFonts w:hint="eastAsia" w:ascii="宋体" w:hAnsi="宋体" w:eastAsia="宋体" w:cs="宋体"/>
                <w:sz w:val="21"/>
                <w:szCs w:val="21"/>
              </w:rPr>
              <w:t>二级</w:t>
            </w:r>
          </w:p>
        </w:tc>
        <w:tc>
          <w:tcPr>
            <w:tcW w:w="279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r>
              <w:rPr>
                <w:rFonts w:hint="eastAsia" w:ascii="宋体" w:hAnsi="宋体" w:eastAsia="宋体" w:cs="宋体"/>
                <w:bCs/>
                <w:sz w:val="21"/>
                <w:szCs w:val="21"/>
              </w:rPr>
              <w:t>±0.5</w:t>
            </w:r>
          </w:p>
        </w:tc>
        <w:tc>
          <w:tcPr>
            <w:tcW w:w="399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r>
              <w:rPr>
                <w:rFonts w:hint="eastAsia" w:ascii="宋体" w:hAnsi="宋体" w:eastAsia="宋体" w:cs="宋体"/>
                <w:bCs/>
                <w:sz w:val="21"/>
                <w:szCs w:val="21"/>
              </w:rPr>
              <w:t>±0.3</w:t>
            </w:r>
          </w:p>
        </w:tc>
      </w:tr>
    </w:tbl>
    <w:p>
      <w:pPr>
        <w:spacing w:beforeLines="50"/>
        <w:jc w:val="center"/>
        <w:rPr>
          <w:rFonts w:hint="eastAsia" w:ascii="宋体" w:hAnsi="宋体" w:eastAsia="宋体" w:cs="宋体"/>
          <w:b/>
          <w:sz w:val="21"/>
          <w:szCs w:val="21"/>
        </w:rPr>
      </w:pPr>
      <w:r>
        <w:rPr>
          <w:rFonts w:hint="eastAsia" w:ascii="宋体" w:hAnsi="宋体" w:eastAsia="宋体" w:cs="宋体"/>
          <w:bCs/>
          <w:sz w:val="21"/>
          <w:szCs w:val="21"/>
        </w:rPr>
        <w:t>表</w:t>
      </w:r>
      <w:r>
        <w:rPr>
          <w:rFonts w:hint="eastAsia" w:ascii="宋体" w:hAnsi="宋体" w:eastAsia="宋体" w:cs="宋体"/>
          <w:bCs/>
          <w:sz w:val="21"/>
          <w:szCs w:val="21"/>
          <w:lang w:val="en-US" w:eastAsia="zh-CN"/>
        </w:rPr>
        <w:t>6</w:t>
      </w:r>
      <w:r>
        <w:rPr>
          <w:rFonts w:hint="eastAsia" w:ascii="宋体" w:hAnsi="宋体" w:eastAsia="宋体" w:cs="宋体"/>
          <w:bCs/>
          <w:sz w:val="21"/>
          <w:szCs w:val="21"/>
        </w:rPr>
        <w:t>-3  垂直位移监测网的主要技术要求</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5"/>
        <w:gridCol w:w="1704"/>
        <w:gridCol w:w="1705"/>
        <w:gridCol w:w="1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70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等级</w:t>
            </w:r>
          </w:p>
        </w:tc>
        <w:tc>
          <w:tcPr>
            <w:tcW w:w="17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变形观测点的高程中误差（mm）</w:t>
            </w:r>
          </w:p>
        </w:tc>
        <w:tc>
          <w:tcPr>
            <w:tcW w:w="170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每站高差中误差（mm）</w:t>
            </w:r>
          </w:p>
        </w:tc>
        <w:tc>
          <w:tcPr>
            <w:tcW w:w="17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往返较差、附合或环线闭合差（mm）</w:t>
            </w:r>
          </w:p>
        </w:tc>
        <w:tc>
          <w:tcPr>
            <w:tcW w:w="170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检测已测高差之较差（mm）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70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二级</w:t>
            </w:r>
          </w:p>
        </w:tc>
        <w:tc>
          <w:tcPr>
            <w:tcW w:w="17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±0.5</w:t>
            </w:r>
          </w:p>
        </w:tc>
        <w:tc>
          <w:tcPr>
            <w:tcW w:w="170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±0.15</w:t>
            </w:r>
          </w:p>
        </w:tc>
        <w:tc>
          <w:tcPr>
            <w:tcW w:w="17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±0.3</w:t>
            </w:r>
            <w:r>
              <w:rPr>
                <w:rFonts w:hint="eastAsia" w:ascii="宋体" w:hAnsi="宋体" w:eastAsia="宋体" w:cs="宋体"/>
                <w:sz w:val="21"/>
                <w:szCs w:val="21"/>
              </w:rPr>
              <w:object>
                <v:shape id="_x0000_i1027" o:spt="75" type="#_x0000_t75" style="height:17.65pt;width:19pt;" o:ole="t" filled="f" o:preferrelative="t" stroked="f" coordsize="21600,21600">
                  <v:path/>
                  <v:fill on="f" focussize="0,0"/>
                  <v:stroke on="f" joinstyle="miter"/>
                  <v:imagedata r:id="rId8" o:title=""/>
                  <o:lock v:ext="edit" aspectratio="t"/>
                  <w10:wrap type="none"/>
                  <w10:anchorlock/>
                </v:shape>
                <o:OLEObject Type="Embed" ProgID="Equation.DSMT4" ShapeID="_x0000_i1027" DrawAspect="Content" ObjectID="_1468075727" r:id="rId10">
                  <o:LockedField>false</o:LockedField>
                </o:OLEObject>
              </w:object>
            </w:r>
          </w:p>
        </w:tc>
        <w:tc>
          <w:tcPr>
            <w:tcW w:w="170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±0.4</w:t>
            </w:r>
            <w:r>
              <w:rPr>
                <w:rFonts w:hint="eastAsia" w:ascii="宋体" w:hAnsi="宋体" w:eastAsia="宋体" w:cs="宋体"/>
                <w:sz w:val="21"/>
                <w:szCs w:val="21"/>
              </w:rPr>
              <w:object>
                <v:shape id="_x0000_i1028" o:spt="75" type="#_x0000_t75" style="height:17.65pt;width:19pt;" o:ole="t" filled="f" o:preferrelative="t" stroked="f" coordsize="21600,21600">
                  <v:path/>
                  <v:fill on="f" focussize="0,0"/>
                  <v:stroke on="f" joinstyle="miter"/>
                  <v:imagedata r:id="rId8" o:title=""/>
                  <o:lock v:ext="edit" aspectratio="t"/>
                  <w10:wrap type="none"/>
                  <w10:anchorlock/>
                </v:shape>
                <o:OLEObject Type="Embed" ProgID="Equation.DSMT4" ShapeID="_x0000_i1028" DrawAspect="Content" ObjectID="_1468075728" r:id="rId11">
                  <o:LockedField>false</o:LockedField>
                </o:OLEObject>
              </w:object>
            </w:r>
          </w:p>
        </w:tc>
      </w:tr>
    </w:tbl>
    <w:p>
      <w:pPr>
        <w:spacing w:line="360" w:lineRule="auto"/>
        <w:rPr>
          <w:rFonts w:hint="eastAsia" w:ascii="宋体" w:hAnsi="宋体" w:eastAsia="宋体" w:cs="宋体"/>
          <w:sz w:val="21"/>
          <w:szCs w:val="21"/>
        </w:rPr>
      </w:pPr>
      <w:r>
        <w:rPr>
          <w:rFonts w:hint="eastAsia" w:ascii="宋体" w:hAnsi="宋体" w:eastAsia="宋体" w:cs="宋体"/>
          <w:sz w:val="21"/>
          <w:szCs w:val="21"/>
        </w:rPr>
        <w:t>注：n为测站数。</w:t>
      </w:r>
    </w:p>
    <w:p>
      <w:pPr>
        <w:spacing w:beforeLines="50"/>
        <w:jc w:val="center"/>
        <w:rPr>
          <w:rFonts w:hint="eastAsia" w:ascii="宋体" w:hAnsi="宋体" w:eastAsia="宋体" w:cs="宋体"/>
          <w:bCs/>
          <w:sz w:val="21"/>
          <w:szCs w:val="21"/>
        </w:rPr>
      </w:pPr>
      <w:r>
        <w:rPr>
          <w:rFonts w:hint="eastAsia" w:ascii="宋体" w:hAnsi="宋体" w:eastAsia="宋体" w:cs="宋体"/>
          <w:bCs/>
          <w:sz w:val="21"/>
          <w:szCs w:val="21"/>
        </w:rPr>
        <w:t>表</w:t>
      </w:r>
      <w:r>
        <w:rPr>
          <w:rFonts w:hint="eastAsia" w:ascii="宋体" w:hAnsi="宋体" w:eastAsia="宋体" w:cs="宋体"/>
          <w:bCs/>
          <w:sz w:val="21"/>
          <w:szCs w:val="21"/>
          <w:lang w:val="en-US" w:eastAsia="zh-CN"/>
        </w:rPr>
        <w:t>6</w:t>
      </w:r>
      <w:r>
        <w:rPr>
          <w:rFonts w:hint="eastAsia" w:ascii="宋体" w:hAnsi="宋体" w:eastAsia="宋体" w:cs="宋体"/>
          <w:bCs/>
          <w:sz w:val="21"/>
          <w:szCs w:val="21"/>
        </w:rPr>
        <w:t>-4  水准观测主要技术要求</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4"/>
        <w:gridCol w:w="957"/>
        <w:gridCol w:w="587"/>
        <w:gridCol w:w="927"/>
        <w:gridCol w:w="1264"/>
        <w:gridCol w:w="1644"/>
        <w:gridCol w:w="1296"/>
        <w:gridCol w:w="14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等级</w:t>
            </w:r>
          </w:p>
        </w:tc>
        <w:tc>
          <w:tcPr>
            <w:tcW w:w="9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仪器</w:t>
            </w:r>
          </w:p>
        </w:tc>
        <w:tc>
          <w:tcPr>
            <w:tcW w:w="5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水准尺</w:t>
            </w:r>
          </w:p>
        </w:tc>
        <w:tc>
          <w:tcPr>
            <w:tcW w:w="92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视线</w:t>
            </w:r>
          </w:p>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长度（m）</w:t>
            </w:r>
          </w:p>
        </w:tc>
        <w:tc>
          <w:tcPr>
            <w:tcW w:w="126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前后视</w:t>
            </w:r>
          </w:p>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距差（m）</w:t>
            </w:r>
          </w:p>
        </w:tc>
        <w:tc>
          <w:tcPr>
            <w:tcW w:w="164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前后视距差</w:t>
            </w:r>
          </w:p>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累计差（m）</w:t>
            </w:r>
          </w:p>
        </w:tc>
        <w:tc>
          <w:tcPr>
            <w:tcW w:w="129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视线离地面</w:t>
            </w:r>
          </w:p>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最低高度（m）</w:t>
            </w:r>
          </w:p>
        </w:tc>
        <w:tc>
          <w:tcPr>
            <w:tcW w:w="144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两次读数所测</w:t>
            </w:r>
          </w:p>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高差较差（mm）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二级</w:t>
            </w:r>
          </w:p>
        </w:tc>
        <w:tc>
          <w:tcPr>
            <w:tcW w:w="95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数字水准仪</w:t>
            </w:r>
          </w:p>
        </w:tc>
        <w:tc>
          <w:tcPr>
            <w:tcW w:w="58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铟瓦</w:t>
            </w:r>
          </w:p>
        </w:tc>
        <w:tc>
          <w:tcPr>
            <w:tcW w:w="92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≤30</w:t>
            </w:r>
          </w:p>
        </w:tc>
        <w:tc>
          <w:tcPr>
            <w:tcW w:w="126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≤0.5</w:t>
            </w:r>
          </w:p>
        </w:tc>
        <w:tc>
          <w:tcPr>
            <w:tcW w:w="164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≤1.5</w:t>
            </w:r>
          </w:p>
        </w:tc>
        <w:tc>
          <w:tcPr>
            <w:tcW w:w="129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≥0.3</w:t>
            </w:r>
          </w:p>
        </w:tc>
        <w:tc>
          <w:tcPr>
            <w:tcW w:w="1443"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sz w:val="21"/>
                <w:szCs w:val="21"/>
              </w:rPr>
            </w:pPr>
            <w:r>
              <w:rPr>
                <w:rFonts w:hint="eastAsia" w:ascii="宋体" w:hAnsi="宋体" w:eastAsia="宋体" w:cs="宋体"/>
                <w:sz w:val="21"/>
                <w:szCs w:val="21"/>
              </w:rPr>
              <w:t>≤0.4</w:t>
            </w:r>
          </w:p>
        </w:tc>
      </w:tr>
    </w:tbl>
    <w:p>
      <w:pPr>
        <w:spacing w:line="500" w:lineRule="exact"/>
        <w:outlineLvl w:val="2"/>
        <w:rPr>
          <w:rFonts w:hint="eastAsia" w:ascii="宋体" w:hAnsi="宋体" w:eastAsia="宋体" w:cs="宋体"/>
          <w:b/>
          <w:bCs/>
          <w:sz w:val="21"/>
          <w:szCs w:val="21"/>
        </w:rPr>
      </w:pPr>
      <w:r>
        <w:rPr>
          <w:rFonts w:hint="eastAsia" w:ascii="宋体" w:hAnsi="宋体" w:eastAsia="宋体" w:cs="宋体"/>
          <w:b/>
          <w:bCs/>
          <w:sz w:val="21"/>
          <w:szCs w:val="21"/>
          <w:lang w:val="en-US" w:eastAsia="zh-CN"/>
        </w:rPr>
        <w:t>6.2</w:t>
      </w:r>
      <w:r>
        <w:rPr>
          <w:rFonts w:hint="eastAsia" w:ascii="宋体" w:hAnsi="宋体" w:eastAsia="宋体" w:cs="宋体"/>
          <w:b/>
          <w:bCs/>
          <w:sz w:val="21"/>
          <w:szCs w:val="21"/>
        </w:rPr>
        <w:t>水平位移</w:t>
      </w:r>
    </w:p>
    <w:p>
      <w:pPr>
        <w:pStyle w:val="69"/>
        <w:rPr>
          <w:rFonts w:hint="eastAsia" w:ascii="宋体" w:hAnsi="宋体" w:eastAsia="宋体" w:cs="宋体"/>
          <w:sz w:val="21"/>
          <w:szCs w:val="21"/>
        </w:rPr>
      </w:pPr>
      <w:r>
        <w:rPr>
          <w:rFonts w:hint="eastAsia" w:ascii="宋体" w:hAnsi="宋体" w:eastAsia="宋体" w:cs="宋体"/>
          <w:sz w:val="21"/>
          <w:szCs w:val="21"/>
        </w:rPr>
        <w:t>（1）基准网</w:t>
      </w:r>
    </w:p>
    <w:p>
      <w:pPr>
        <w:pStyle w:val="69"/>
        <w:rPr>
          <w:rFonts w:hint="eastAsia" w:ascii="宋体" w:hAnsi="宋体" w:eastAsia="宋体" w:cs="宋体"/>
          <w:sz w:val="21"/>
          <w:szCs w:val="21"/>
        </w:rPr>
      </w:pPr>
      <w:r>
        <w:rPr>
          <w:rFonts w:hint="eastAsia" w:ascii="宋体" w:hAnsi="宋体" w:eastAsia="宋体" w:cs="宋体"/>
          <w:sz w:val="21"/>
          <w:szCs w:val="21"/>
        </w:rPr>
        <w:t>根据有关监测技术标准，水平位移监测基准网按监测等级为二级的技术要求进行。相关技术指标见表。</w:t>
      </w:r>
    </w:p>
    <w:p>
      <w:pPr>
        <w:spacing w:beforeLines="50"/>
        <w:jc w:val="center"/>
        <w:rPr>
          <w:rFonts w:hint="eastAsia" w:ascii="宋体" w:hAnsi="宋体" w:eastAsia="宋体" w:cs="宋体"/>
          <w:bCs/>
          <w:sz w:val="21"/>
          <w:szCs w:val="21"/>
        </w:rPr>
      </w:pPr>
      <w:r>
        <w:rPr>
          <w:rFonts w:hint="eastAsia" w:ascii="宋体" w:hAnsi="宋体" w:eastAsia="宋体" w:cs="宋体"/>
          <w:bCs/>
          <w:sz w:val="21"/>
          <w:szCs w:val="21"/>
        </w:rPr>
        <w:t>表</w:t>
      </w:r>
      <w:r>
        <w:rPr>
          <w:rFonts w:hint="eastAsia" w:ascii="宋体" w:hAnsi="宋体" w:eastAsia="宋体" w:cs="宋体"/>
          <w:bCs/>
          <w:sz w:val="21"/>
          <w:szCs w:val="21"/>
          <w:lang w:val="en-US" w:eastAsia="zh-CN"/>
        </w:rPr>
        <w:t>6</w:t>
      </w:r>
      <w:r>
        <w:rPr>
          <w:rFonts w:hint="eastAsia" w:ascii="宋体" w:hAnsi="宋体" w:eastAsia="宋体" w:cs="宋体"/>
          <w:bCs/>
          <w:sz w:val="21"/>
          <w:szCs w:val="21"/>
        </w:rPr>
        <w:t>-5  水平位移监测基准网的主要技术要求</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556"/>
        <w:gridCol w:w="978"/>
        <w:gridCol w:w="978"/>
        <w:gridCol w:w="1367"/>
        <w:gridCol w:w="1133"/>
        <w:gridCol w:w="860"/>
        <w:gridCol w:w="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5" w:type="dxa"/>
            <w:vMerge w:val="restart"/>
            <w:vAlign w:val="center"/>
          </w:tcPr>
          <w:p>
            <w:pPr>
              <w:keepNext w:val="0"/>
              <w:keepLines w:val="0"/>
              <w:suppressLineNumbers w:val="0"/>
              <w:pBdr>
                <w:top w:val="none" w:color="auto" w:sz="0" w:space="1"/>
                <w:left w:val="none" w:color="auto" w:sz="0" w:space="4"/>
                <w:right w:val="none" w:color="auto" w:sz="0" w:space="4"/>
              </w:pBdr>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r>
              <w:rPr>
                <w:rFonts w:hint="eastAsia" w:ascii="宋体" w:hAnsi="宋体" w:eastAsia="宋体" w:cs="宋体"/>
                <w:bCs/>
                <w:sz w:val="21"/>
                <w:szCs w:val="21"/>
              </w:rPr>
              <w:t>等级</w:t>
            </w:r>
          </w:p>
        </w:tc>
        <w:tc>
          <w:tcPr>
            <w:tcW w:w="1556" w:type="dxa"/>
            <w:vMerge w:val="restart"/>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r>
              <w:rPr>
                <w:rFonts w:hint="eastAsia" w:ascii="宋体" w:hAnsi="宋体" w:eastAsia="宋体" w:cs="宋体"/>
                <w:bCs/>
                <w:sz w:val="21"/>
                <w:szCs w:val="21"/>
              </w:rPr>
              <w:t>相邻基准点点位</w:t>
            </w:r>
          </w:p>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r>
              <w:rPr>
                <w:rFonts w:hint="eastAsia" w:ascii="宋体" w:hAnsi="宋体" w:eastAsia="宋体" w:cs="宋体"/>
                <w:bCs/>
                <w:sz w:val="21"/>
                <w:szCs w:val="21"/>
              </w:rPr>
              <w:t>中误差（mm）</w:t>
            </w:r>
          </w:p>
        </w:tc>
        <w:tc>
          <w:tcPr>
            <w:tcW w:w="978" w:type="dxa"/>
            <w:vMerge w:val="restart"/>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r>
              <w:rPr>
                <w:rFonts w:hint="eastAsia" w:ascii="宋体" w:hAnsi="宋体" w:eastAsia="宋体" w:cs="宋体"/>
                <w:bCs/>
                <w:sz w:val="21"/>
                <w:szCs w:val="21"/>
              </w:rPr>
              <w:t>平均边</w:t>
            </w:r>
          </w:p>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r>
              <w:rPr>
                <w:rFonts w:hint="eastAsia" w:ascii="宋体" w:hAnsi="宋体" w:eastAsia="宋体" w:cs="宋体"/>
                <w:bCs/>
                <w:sz w:val="21"/>
                <w:szCs w:val="21"/>
              </w:rPr>
              <w:t>长（m）</w:t>
            </w:r>
          </w:p>
        </w:tc>
        <w:tc>
          <w:tcPr>
            <w:tcW w:w="978" w:type="dxa"/>
            <w:vMerge w:val="restart"/>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r>
              <w:rPr>
                <w:rFonts w:hint="eastAsia" w:ascii="宋体" w:hAnsi="宋体" w:eastAsia="宋体" w:cs="宋体"/>
                <w:bCs/>
                <w:sz w:val="21"/>
                <w:szCs w:val="21"/>
              </w:rPr>
              <w:t>测角</w:t>
            </w:r>
          </w:p>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r>
              <w:rPr>
                <w:rFonts w:hint="eastAsia" w:ascii="宋体" w:hAnsi="宋体" w:eastAsia="宋体" w:cs="宋体"/>
                <w:bCs/>
                <w:sz w:val="21"/>
                <w:szCs w:val="21"/>
              </w:rPr>
              <w:t>中误差（″）</w:t>
            </w:r>
          </w:p>
        </w:tc>
        <w:tc>
          <w:tcPr>
            <w:tcW w:w="1367" w:type="dxa"/>
            <w:vMerge w:val="restart"/>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r>
              <w:rPr>
                <w:rFonts w:hint="eastAsia" w:ascii="宋体" w:hAnsi="宋体" w:eastAsia="宋体" w:cs="宋体"/>
                <w:bCs/>
                <w:sz w:val="21"/>
                <w:szCs w:val="21"/>
              </w:rPr>
              <w:t>最弱边相</w:t>
            </w:r>
          </w:p>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r>
              <w:rPr>
                <w:rFonts w:hint="eastAsia" w:ascii="宋体" w:hAnsi="宋体" w:eastAsia="宋体" w:cs="宋体"/>
                <w:bCs/>
                <w:sz w:val="21"/>
                <w:szCs w:val="21"/>
              </w:rPr>
              <w:t>对中误差</w:t>
            </w:r>
          </w:p>
        </w:tc>
        <w:tc>
          <w:tcPr>
            <w:tcW w:w="1133" w:type="dxa"/>
            <w:vMerge w:val="restart"/>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r>
              <w:rPr>
                <w:rFonts w:hint="eastAsia" w:ascii="宋体" w:hAnsi="宋体" w:eastAsia="宋体" w:cs="宋体"/>
                <w:bCs/>
                <w:sz w:val="21"/>
                <w:szCs w:val="21"/>
              </w:rPr>
              <w:t>水平角观测</w:t>
            </w:r>
          </w:p>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r>
              <w:rPr>
                <w:rFonts w:hint="eastAsia" w:ascii="宋体" w:hAnsi="宋体" w:eastAsia="宋体" w:cs="宋体"/>
                <w:bCs/>
                <w:sz w:val="21"/>
                <w:szCs w:val="21"/>
              </w:rPr>
              <w:t>测回数（1″级仪器）</w:t>
            </w:r>
          </w:p>
        </w:tc>
        <w:tc>
          <w:tcPr>
            <w:tcW w:w="1655" w:type="dxa"/>
            <w:gridSpan w:val="2"/>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r>
              <w:rPr>
                <w:rFonts w:hint="eastAsia" w:ascii="宋体" w:hAnsi="宋体" w:eastAsia="宋体" w:cs="宋体"/>
                <w:bCs/>
                <w:sz w:val="21"/>
                <w:szCs w:val="21"/>
              </w:rPr>
              <w:t>距离观测测回数（1mm级仪器）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5" w:type="dxa"/>
            <w:vMerge w:val="continue"/>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p>
        </w:tc>
        <w:tc>
          <w:tcPr>
            <w:tcW w:w="1556" w:type="dxa"/>
            <w:vMerge w:val="continue"/>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p>
        </w:tc>
        <w:tc>
          <w:tcPr>
            <w:tcW w:w="978" w:type="dxa"/>
            <w:vMerge w:val="continue"/>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p>
        </w:tc>
        <w:tc>
          <w:tcPr>
            <w:tcW w:w="978" w:type="dxa"/>
            <w:vMerge w:val="continue"/>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p>
        </w:tc>
        <w:tc>
          <w:tcPr>
            <w:tcW w:w="1367" w:type="dxa"/>
            <w:vMerge w:val="continue"/>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p>
        </w:tc>
        <w:tc>
          <w:tcPr>
            <w:tcW w:w="1133" w:type="dxa"/>
            <w:vMerge w:val="continue"/>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p>
        </w:tc>
        <w:tc>
          <w:tcPr>
            <w:tcW w:w="860" w:type="dxa"/>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r>
              <w:rPr>
                <w:rFonts w:hint="eastAsia" w:ascii="宋体" w:hAnsi="宋体" w:eastAsia="宋体" w:cs="宋体"/>
                <w:bCs/>
                <w:sz w:val="21"/>
                <w:szCs w:val="21"/>
              </w:rPr>
              <w:t>往测</w:t>
            </w:r>
          </w:p>
        </w:tc>
        <w:tc>
          <w:tcPr>
            <w:tcW w:w="795" w:type="dxa"/>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r>
              <w:rPr>
                <w:rFonts w:hint="eastAsia" w:ascii="宋体" w:hAnsi="宋体" w:eastAsia="宋体" w:cs="宋体"/>
                <w:bCs/>
                <w:sz w:val="21"/>
                <w:szCs w:val="21"/>
              </w:rPr>
              <w:t>返测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5" w:type="dxa"/>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r>
              <w:rPr>
                <w:rFonts w:hint="eastAsia" w:ascii="宋体" w:hAnsi="宋体" w:eastAsia="宋体" w:cs="宋体"/>
                <w:sz w:val="21"/>
                <w:szCs w:val="21"/>
              </w:rPr>
              <w:t>二级</w:t>
            </w:r>
          </w:p>
        </w:tc>
        <w:tc>
          <w:tcPr>
            <w:tcW w:w="1556" w:type="dxa"/>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r>
              <w:rPr>
                <w:rFonts w:hint="eastAsia" w:ascii="宋体" w:hAnsi="宋体" w:eastAsia="宋体" w:cs="宋体"/>
                <w:bCs/>
                <w:sz w:val="21"/>
                <w:szCs w:val="21"/>
              </w:rPr>
              <w:t>±3.0</w:t>
            </w:r>
          </w:p>
        </w:tc>
        <w:tc>
          <w:tcPr>
            <w:tcW w:w="978" w:type="dxa"/>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r>
              <w:rPr>
                <w:rFonts w:hint="eastAsia" w:ascii="宋体" w:hAnsi="宋体" w:eastAsia="宋体" w:cs="宋体"/>
                <w:bCs/>
                <w:sz w:val="21"/>
                <w:szCs w:val="21"/>
              </w:rPr>
              <w:t>≤150</w:t>
            </w:r>
          </w:p>
        </w:tc>
        <w:tc>
          <w:tcPr>
            <w:tcW w:w="978" w:type="dxa"/>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r>
              <w:rPr>
                <w:rFonts w:hint="eastAsia" w:ascii="宋体" w:hAnsi="宋体" w:eastAsia="宋体" w:cs="宋体"/>
                <w:bCs/>
                <w:sz w:val="21"/>
                <w:szCs w:val="21"/>
              </w:rPr>
              <w:t>±1.8</w:t>
            </w:r>
          </w:p>
        </w:tc>
        <w:tc>
          <w:tcPr>
            <w:tcW w:w="1367" w:type="dxa"/>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r>
              <w:rPr>
                <w:rFonts w:hint="eastAsia" w:ascii="宋体" w:hAnsi="宋体" w:eastAsia="宋体" w:cs="宋体"/>
                <w:bCs/>
                <w:sz w:val="21"/>
                <w:szCs w:val="21"/>
              </w:rPr>
              <w:t>≤1/100000</w:t>
            </w:r>
          </w:p>
        </w:tc>
        <w:tc>
          <w:tcPr>
            <w:tcW w:w="1133" w:type="dxa"/>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r>
              <w:rPr>
                <w:rFonts w:hint="eastAsia" w:ascii="宋体" w:hAnsi="宋体" w:eastAsia="宋体" w:cs="宋体"/>
                <w:bCs/>
                <w:sz w:val="21"/>
                <w:szCs w:val="21"/>
              </w:rPr>
              <w:t>6</w:t>
            </w:r>
          </w:p>
        </w:tc>
        <w:tc>
          <w:tcPr>
            <w:tcW w:w="860" w:type="dxa"/>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r>
              <w:rPr>
                <w:rFonts w:hint="eastAsia" w:ascii="宋体" w:hAnsi="宋体" w:eastAsia="宋体" w:cs="宋体"/>
                <w:bCs/>
                <w:sz w:val="21"/>
                <w:szCs w:val="21"/>
              </w:rPr>
              <w:t>3</w:t>
            </w:r>
          </w:p>
        </w:tc>
        <w:tc>
          <w:tcPr>
            <w:tcW w:w="795" w:type="dxa"/>
            <w:vAlign w:val="center"/>
          </w:tcPr>
          <w:p>
            <w:pPr>
              <w:keepNext w:val="0"/>
              <w:keepLines w:val="0"/>
              <w:suppressLineNumbers w:val="0"/>
              <w:spacing w:before="0" w:beforeAutospacing="0" w:after="0" w:afterAutospacing="0"/>
              <w:ind w:left="-107" w:leftChars="-51" w:right="-111" w:rightChars="-53" w:firstLine="31" w:firstLineChars="15"/>
              <w:jc w:val="center"/>
              <w:rPr>
                <w:rFonts w:hint="eastAsia" w:ascii="宋体" w:hAnsi="宋体" w:eastAsia="宋体" w:cs="宋体"/>
                <w:bCs/>
                <w:sz w:val="21"/>
                <w:szCs w:val="21"/>
              </w:rPr>
            </w:pPr>
            <w:r>
              <w:rPr>
                <w:rFonts w:hint="eastAsia" w:ascii="宋体" w:hAnsi="宋体" w:eastAsia="宋体" w:cs="宋体"/>
                <w:bCs/>
                <w:sz w:val="21"/>
                <w:szCs w:val="21"/>
              </w:rPr>
              <w:t>3</w:t>
            </w:r>
          </w:p>
        </w:tc>
      </w:tr>
    </w:tbl>
    <w:p>
      <w:pPr>
        <w:pStyle w:val="69"/>
        <w:rPr>
          <w:rFonts w:hint="eastAsia" w:ascii="宋体" w:hAnsi="宋体" w:eastAsia="宋体" w:cs="宋体"/>
          <w:bCs/>
          <w:sz w:val="21"/>
          <w:szCs w:val="21"/>
        </w:rPr>
      </w:pPr>
      <w:r>
        <w:rPr>
          <w:rFonts w:hint="eastAsia" w:ascii="宋体" w:hAnsi="宋体" w:eastAsia="宋体" w:cs="宋体"/>
          <w:bCs/>
          <w:sz w:val="21"/>
          <w:szCs w:val="21"/>
        </w:rPr>
        <w:t>（2）监测网</w:t>
      </w:r>
    </w:p>
    <w:p>
      <w:pPr>
        <w:pStyle w:val="69"/>
        <w:rPr>
          <w:rFonts w:hint="eastAsia" w:ascii="宋体" w:hAnsi="宋体" w:eastAsia="宋体" w:cs="宋体"/>
          <w:bCs/>
          <w:sz w:val="21"/>
          <w:szCs w:val="21"/>
        </w:rPr>
      </w:pPr>
      <w:r>
        <w:rPr>
          <w:rFonts w:hint="eastAsia" w:ascii="宋体" w:hAnsi="宋体" w:eastAsia="宋体" w:cs="宋体"/>
          <w:bCs/>
          <w:sz w:val="21"/>
          <w:szCs w:val="21"/>
        </w:rPr>
        <w:t>水平位移变形监测点视现场情况采用极坐标法或视准线法进行观测。水平位移监测表。</w:t>
      </w:r>
    </w:p>
    <w:p>
      <w:pPr>
        <w:spacing w:beforeLines="50"/>
        <w:jc w:val="center"/>
        <w:rPr>
          <w:rFonts w:hint="eastAsia" w:ascii="宋体" w:hAnsi="宋体" w:eastAsia="宋体" w:cs="宋体"/>
          <w:bCs/>
          <w:sz w:val="21"/>
          <w:szCs w:val="21"/>
        </w:rPr>
      </w:pPr>
      <w:r>
        <w:rPr>
          <w:rFonts w:hint="eastAsia" w:ascii="宋体" w:hAnsi="宋体" w:eastAsia="宋体" w:cs="宋体"/>
          <w:bCs/>
          <w:sz w:val="21"/>
          <w:szCs w:val="21"/>
        </w:rPr>
        <w:t>表</w:t>
      </w:r>
      <w:r>
        <w:rPr>
          <w:rFonts w:hint="eastAsia" w:ascii="宋体" w:hAnsi="宋体" w:eastAsia="宋体" w:cs="宋体"/>
          <w:bCs/>
          <w:sz w:val="21"/>
          <w:szCs w:val="21"/>
          <w:lang w:val="en-US" w:eastAsia="zh-CN"/>
        </w:rPr>
        <w:t>6</w:t>
      </w:r>
      <w:r>
        <w:rPr>
          <w:rFonts w:hint="eastAsia" w:ascii="宋体" w:hAnsi="宋体" w:eastAsia="宋体" w:cs="宋体"/>
          <w:bCs/>
          <w:sz w:val="21"/>
          <w:szCs w:val="21"/>
        </w:rPr>
        <w:t>-6  水平位移监测精度要求</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6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173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等级</w:t>
            </w:r>
          </w:p>
        </w:tc>
        <w:tc>
          <w:tcPr>
            <w:tcW w:w="678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变形观测点的点位中误差（mm）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173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二级</w:t>
            </w:r>
          </w:p>
        </w:tc>
        <w:tc>
          <w:tcPr>
            <w:tcW w:w="678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±3.0</w:t>
            </w:r>
          </w:p>
        </w:tc>
      </w:tr>
    </w:tbl>
    <w:p>
      <w:pPr>
        <w:spacing w:line="500" w:lineRule="exact"/>
        <w:outlineLvl w:val="2"/>
        <w:rPr>
          <w:rFonts w:hint="eastAsia" w:ascii="宋体" w:hAnsi="宋体" w:eastAsia="宋体" w:cs="宋体"/>
          <w:b/>
          <w:bCs/>
          <w:sz w:val="21"/>
          <w:szCs w:val="21"/>
        </w:rPr>
      </w:pPr>
      <w:r>
        <w:rPr>
          <w:rFonts w:hint="eastAsia" w:ascii="宋体" w:hAnsi="宋体" w:eastAsia="宋体" w:cs="宋体"/>
          <w:b/>
          <w:bCs/>
          <w:sz w:val="21"/>
          <w:szCs w:val="21"/>
          <w:lang w:val="en-US" w:eastAsia="zh-CN"/>
        </w:rPr>
        <w:t>6.3</w:t>
      </w:r>
      <w:r>
        <w:rPr>
          <w:rFonts w:hint="eastAsia" w:ascii="宋体" w:hAnsi="宋体" w:eastAsia="宋体" w:cs="宋体"/>
          <w:b/>
          <w:bCs/>
          <w:sz w:val="21"/>
          <w:szCs w:val="21"/>
        </w:rPr>
        <w:t>隧道收敛</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在隧道两侧腰线及竖向上分别布设一条水平、竖向基线，且基线通过隧道假定圆心，采用全站仪自由设站</w:t>
      </w:r>
      <w:r>
        <w:rPr>
          <w:rFonts w:hint="eastAsia" w:ascii="宋体" w:hAnsi="宋体" w:eastAsia="宋体" w:cs="宋体"/>
          <w:sz w:val="21"/>
          <w:szCs w:val="21"/>
          <w:lang w:eastAsia="zh-CN"/>
        </w:rPr>
        <w:t>测量</w:t>
      </w:r>
      <w:r>
        <w:rPr>
          <w:rFonts w:hint="eastAsia" w:ascii="宋体" w:hAnsi="宋体" w:eastAsia="宋体" w:cs="宋体"/>
          <w:sz w:val="21"/>
          <w:szCs w:val="21"/>
        </w:rPr>
        <w:t>。隧道收敛布设见图</w:t>
      </w:r>
      <w:r>
        <w:rPr>
          <w:rFonts w:hint="eastAsia" w:ascii="宋体" w:hAnsi="宋体" w:eastAsia="宋体" w:cs="宋体"/>
          <w:sz w:val="21"/>
          <w:szCs w:val="21"/>
          <w:lang w:val="en-US" w:eastAsia="zh-CN"/>
        </w:rPr>
        <w:t>6</w:t>
      </w:r>
      <w:r>
        <w:rPr>
          <w:rFonts w:hint="eastAsia" w:ascii="宋体" w:hAnsi="宋体" w:eastAsia="宋体" w:cs="宋体"/>
          <w:sz w:val="21"/>
          <w:szCs w:val="21"/>
        </w:rPr>
        <w:t>-1。</w:t>
      </w:r>
    </w:p>
    <w:p>
      <w:pPr>
        <w:spacing w:line="360" w:lineRule="auto"/>
        <w:ind w:firstLine="315" w:firstLineChars="150"/>
        <w:jc w:val="center"/>
        <w:rPr>
          <w:rFonts w:hint="eastAsia" w:ascii="宋体" w:hAnsi="宋体" w:eastAsia="宋体" w:cs="宋体"/>
          <w:sz w:val="21"/>
          <w:szCs w:val="21"/>
        </w:rPr>
      </w:pPr>
      <w:r>
        <w:rPr>
          <w:rFonts w:hint="eastAsia" w:ascii="宋体" w:hAnsi="宋体" w:eastAsia="宋体" w:cs="宋体"/>
          <w:sz w:val="21"/>
          <w:szCs w:val="21"/>
        </w:rPr>
        <mc:AlternateContent>
          <mc:Choice Requires="wps">
            <w:drawing>
              <wp:anchor distT="0" distB="0" distL="114300" distR="114300" simplePos="0" relativeHeight="251661312" behindDoc="0" locked="0" layoutInCell="1" allowOverlap="1">
                <wp:simplePos x="0" y="0"/>
                <wp:positionH relativeFrom="column">
                  <wp:posOffset>2781300</wp:posOffset>
                </wp:positionH>
                <wp:positionV relativeFrom="paragraph">
                  <wp:posOffset>156210</wp:posOffset>
                </wp:positionV>
                <wp:extent cx="66675" cy="2971800"/>
                <wp:effectExtent l="9525" t="0" r="19050" b="19050"/>
                <wp:wrapNone/>
                <wp:docPr id="3" name="直接连接符 3"/>
                <wp:cNvGraphicFramePr/>
                <a:graphic xmlns:a="http://schemas.openxmlformats.org/drawingml/2006/main">
                  <a:graphicData uri="http://schemas.microsoft.com/office/word/2010/wordprocessingShape">
                    <wps:wsp>
                      <wps:cNvCnPr/>
                      <wps:spPr>
                        <a:xfrm flipV="1">
                          <a:off x="0" y="0"/>
                          <a:ext cx="66675" cy="2971800"/>
                        </a:xfrm>
                        <a:prstGeom prst="line">
                          <a:avLst/>
                        </a:prstGeom>
                        <a:ln w="19050" cap="flat" cmpd="sng">
                          <a:solidFill>
                            <a:srgbClr val="FF0000"/>
                          </a:solidFill>
                          <a:prstDash val="dash"/>
                          <a:headEnd type="none" w="med" len="med"/>
                          <a:tailEnd type="none" w="med" len="med"/>
                        </a:ln>
                      </wps:spPr>
                      <wps:bodyPr upright="1"/>
                    </wps:wsp>
                  </a:graphicData>
                </a:graphic>
              </wp:anchor>
            </w:drawing>
          </mc:Choice>
          <mc:Fallback>
            <w:pict>
              <v:line id="_x0000_s1026" o:spid="_x0000_s1026" o:spt="20" style="position:absolute;left:0pt;flip:y;margin-left:219pt;margin-top:12.3pt;height:234pt;width:5.25pt;z-index:251661312;mso-width-relative:page;mso-height-relative:page;" filled="f" stroked="t" coordsize="21600,21600" o:gfxdata="UEsDBAoAAAAAAIdO4kAAAAAAAAAAAAAAAAAEAAAAZHJzL1BLAwQUAAAACACHTuJAf6DREdcAAAAK&#10;AQAADwAAAGRycy9kb3ducmV2LnhtbE2PQU+EMBCF7yb+h2ZMvLkFBESWsgeD2cSb6A8odBYa2ymh&#10;ZXf999aT3t7kvbz5XnO4WsPOuHrtSEC6S4AhjU5pmgR8frw+VMB8kKSkcYQCvtHDob29aWSt3IXe&#10;8dyHicUS8rUUMIew1Jz7cUYr/c4tSNE7udXKEM914mqVl1huDc+SpORWaoofZrngy4zjV79ZAW9P&#10;pl+KQptqS4duPfLO6mMnxP1dmuyBBbyGvzD84kd0aCPT4DZSnhkB+WMVtwQBWV4Ci4E8rwpgQxTP&#10;WQm8bfj/Ce0PUEsDBBQAAAAIAIdO4kD4tno0BgIAAPIDAAAOAAAAZHJzL2Uyb0RvYy54bWytU0uO&#10;EzEQ3SNxB8t70p2MJjPTSmcWE8IGQSQ+e8eftCX/5HLSySW4ABI7WLFkP7dhOAZldwgwbLKgF1bZ&#10;Vf2q3vPz7HZvDdnJCNq7lo5HNSXScS+027T03dvls2tKIDEnmPFOtvQggd7Onz6Z9aGRE995I2Qk&#10;COKg6UNLu5RCU1XAO2kZjHyQDpPKR8sSbuOmEpH1iG5NNanradX7KEL0XALg6WJI0iNiPAfQK6W5&#10;XHi+tdKlATVKwxJSgk4HoPMyrVKSp9dKgUzEtBSZprJiE4zXea3mM9ZsIgud5scR2DkjPOJkmXbY&#10;9AS1YImRbdT/QFnNowev0oh7Ww1EiiLIYlw/0uZNx4IsXFBqCCfR4f/B8le7VSRatPSCEscsXvjD&#10;x2/fP3z+cf8J14evX8hFFqkP0GDtnVvF4w7CKmbGexUtUUaH9+imogGyIvsi8eEksdwnwvFwOp1e&#10;XVLCMTO5uRpf1+UKqgEmw4UI6YX0luSgpUa7rABr2O4lJGyNpb9K8rFxpMe+N/Ul3ihn6EeFPsDQ&#10;BuQEblN+Bm+0WGpj8i8QN+s7E8mOoSeWyxq/zBCB/yrLXRYMuqFOYDSYpZNMPHeCpENAsRy+EZpH&#10;sFJQYiQ+qRwhHmsS0+acSuxsHA6QNR5UzdHaiwNezTZEvelQiXEZMmfQCmXco22z1/7cF6TfT3X+&#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g0RHXAAAACgEAAA8AAAAAAAAAAQAgAAAAIgAAAGRy&#10;cy9kb3ducmV2LnhtbFBLAQIUABQAAAAIAIdO4kD4tno0BgIAAPIDAAAOAAAAAAAAAAEAIAAAACYB&#10;AABkcnMvZTJvRG9jLnhtbFBLBQYAAAAABgAGAFkBAACeBQAAAAA=&#10;">
                <v:fill on="f" focussize="0,0"/>
                <v:stroke weight="1.5pt" color="#FF0000" joinstyle="round" dashstyle="dash"/>
                <v:imagedata o:title=""/>
                <o:lock v:ext="edit" aspectratio="f"/>
              </v:line>
            </w:pict>
          </mc:Fallback>
        </mc:AlternateContent>
      </w:r>
      <w:r>
        <w:rPr>
          <w:rFonts w:hint="eastAsia" w:ascii="宋体" w:hAnsi="宋体" w:eastAsia="宋体" w:cs="宋体"/>
          <w:sz w:val="21"/>
          <w:szCs w:val="21"/>
        </w:rPr>
        <mc:AlternateContent>
          <mc:Choice Requires="wps">
            <w:drawing>
              <wp:anchor distT="0" distB="0" distL="114300" distR="114300" simplePos="0" relativeHeight="251660288" behindDoc="0" locked="0" layoutInCell="1" allowOverlap="1">
                <wp:simplePos x="0" y="0"/>
                <wp:positionH relativeFrom="column">
                  <wp:posOffset>1735455</wp:posOffset>
                </wp:positionH>
                <wp:positionV relativeFrom="paragraph">
                  <wp:posOffset>1544320</wp:posOffset>
                </wp:positionV>
                <wp:extent cx="2859405" cy="215265"/>
                <wp:effectExtent l="635" t="9525" r="16510" b="22860"/>
                <wp:wrapNone/>
                <wp:docPr id="4" name="直接连接符 4"/>
                <wp:cNvGraphicFramePr/>
                <a:graphic xmlns:a="http://schemas.openxmlformats.org/drawingml/2006/main">
                  <a:graphicData uri="http://schemas.microsoft.com/office/word/2010/wordprocessingShape">
                    <wps:wsp>
                      <wps:cNvCnPr/>
                      <wps:spPr>
                        <a:xfrm flipV="1">
                          <a:off x="0" y="0"/>
                          <a:ext cx="2859405" cy="215265"/>
                        </a:xfrm>
                        <a:prstGeom prst="line">
                          <a:avLst/>
                        </a:prstGeom>
                        <a:ln w="19050" cap="flat" cmpd="sng">
                          <a:solidFill>
                            <a:srgbClr val="FF0000"/>
                          </a:solidFill>
                          <a:prstDash val="dash"/>
                          <a:headEnd type="none" w="med" len="med"/>
                          <a:tailEnd type="none" w="med" len="med"/>
                        </a:ln>
                      </wps:spPr>
                      <wps:bodyPr upright="1"/>
                    </wps:wsp>
                  </a:graphicData>
                </a:graphic>
              </wp:anchor>
            </w:drawing>
          </mc:Choice>
          <mc:Fallback>
            <w:pict>
              <v:line id="_x0000_s1026" o:spid="_x0000_s1026" o:spt="20" style="position:absolute;left:0pt;flip:y;margin-left:136.65pt;margin-top:121.6pt;height:16.95pt;width:225.15pt;z-index:251660288;mso-width-relative:page;mso-height-relative:page;" filled="f" stroked="t" coordsize="21600,21600" o:gfxdata="UEsDBAoAAAAAAIdO4kAAAAAAAAAAAAAAAAAEAAAAZHJzL1BLAwQUAAAACACHTuJAFMBUPdcAAAAL&#10;AQAADwAAAGRycy9kb3ducmV2LnhtbE2Py07DMBBF90j8gzVI7KjzoE0V4nSBgiqxI+UDnHhILPyI&#10;bKctf890BbsZ3aM7Z5rD1Rp2xhC1dwLyTQYM3eiVdpOAz9Pb0x5YTNIpabxDAT8Y4dDe3zWyVv7i&#10;PvDcp4lRiYu1FDCntNScx3FGK+PGL+go+/LBykRrmLgK8kLl1vAiy3bcSu3owiwXfJ1x/O5XK+C9&#10;Mv2y3WqzX/OhC0feWX3shHh8yLMXYAmv6Q+Gmz6pQ0tOg1+diswIKKqyJJSG57IARkRVlDtgwy2q&#10;cuBtw///0P4CUEsDBBQAAAAIAIdO4kDEzLQ/BAIAAPMDAAAOAAAAZHJzL2Uyb0RvYy54bWytU0uO&#10;EzEQ3SNxB8t70p0oGc200pnFhLBBEInP3vGn25J/cjnp5BJcAIkdrFiy5zYzHINydxNg2GRBL6yy&#10;6/Wres/l5e3RGnKQEbR3NZ1OSkqk415o19T03dvNs2tKIDEnmPFO1vQkgd6unj5ZdqGSM996I2Qk&#10;SOKg6kJN25RCVRTAW2kZTHyQDpPKR8sSbmNTiMg6ZLemmJXlVdH5KEL0XALg6XpI0pExXkLoldJc&#10;rj3fW+nSwBqlYQklQasD0FXfrVKSp9dKgUzE1BSVpn7FIhjv8lqslqxqIgut5mML7JIWHmmyTDss&#10;eqZas8TIPup/qKzm0YNXacK9LQYhvSOoYlo+8uZNy4LstaDVEM6mw/+j5a8O20i0qOmcEscsXvjD&#10;x2/3Hz7/+P4J14evX8g8m9QFqBB757Zx3EHYxqz4qKIlyujwHqep9wBVkWNv8elssTwmwvFwdr24&#10;mZcLSjjmZtPF7GqR6YuBJ/OFCOmF9JbkoKZGu2wBq9jhJaQB+guSj40jHRa+KRd4pZzhQCocBAxt&#10;QFHgmv5n8EaLjTYm/wKx2d2ZSA4Mh2KzKfEbe/gLlqusGbQDTmCUUaxqJRPPnSDpFNAth4+E5has&#10;FJQYiW8qRz0yMW0uQaJ649CEbPJga452XpzwbvYh6qZFJ6Z9kzmDs9BbNs5tHrY/9z3T77e6+g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UwFQ91wAAAAsBAAAPAAAAAAAAAAEAIAAAACIAAABkcnMv&#10;ZG93bnJldi54bWxQSwECFAAUAAAACACHTuJAxMy0PwQCAADzAwAADgAAAAAAAAABACAAAAAmAQAA&#10;ZHJzL2Uyb0RvYy54bWxQSwUGAAAAAAYABgBZAQAAnAUAAAAA&#10;">
                <v:fill on="f" focussize="0,0"/>
                <v:stroke weight="1.5pt" color="#FF0000" joinstyle="round" dashstyle="dash"/>
                <v:imagedata o:title=""/>
                <o:lock v:ext="edit" aspectratio="f"/>
              </v:line>
            </w:pict>
          </mc:Fallback>
        </mc:AlternateContent>
      </w:r>
      <w:r>
        <w:rPr>
          <w:rFonts w:hint="eastAsia" w:ascii="宋体" w:hAnsi="宋体" w:eastAsia="宋体" w:cs="宋体"/>
          <w:sz w:val="21"/>
          <w:szCs w:val="21"/>
        </w:rPr>
        <w:drawing>
          <wp:inline distT="0" distB="0" distL="0" distR="0">
            <wp:extent cx="4017645" cy="3165475"/>
            <wp:effectExtent l="0" t="0" r="1905" b="158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017645" cy="3165475"/>
                    </a:xfrm>
                    <a:prstGeom prst="rect">
                      <a:avLst/>
                    </a:prstGeom>
                    <a:noFill/>
                    <a:ln>
                      <a:noFill/>
                    </a:ln>
                  </pic:spPr>
                </pic:pic>
              </a:graphicData>
            </a:graphic>
          </wp:inline>
        </w:drawing>
      </w:r>
    </w:p>
    <w:p>
      <w:pPr>
        <w:spacing w:afterLines="50"/>
        <w:jc w:val="center"/>
        <w:rPr>
          <w:rFonts w:hint="eastAsia" w:ascii="宋体" w:hAnsi="宋体" w:eastAsia="宋体" w:cs="宋体"/>
          <w:b/>
          <w:sz w:val="21"/>
          <w:szCs w:val="21"/>
        </w:rPr>
      </w:pPr>
      <w:r>
        <w:rPr>
          <w:rFonts w:hint="eastAsia" w:ascii="宋体" w:hAnsi="宋体" w:eastAsia="宋体" w:cs="宋体"/>
          <w:b/>
          <w:sz w:val="21"/>
          <w:szCs w:val="21"/>
        </w:rPr>
        <w:t>图</w:t>
      </w:r>
      <w:r>
        <w:rPr>
          <w:rFonts w:hint="eastAsia" w:ascii="宋体" w:hAnsi="宋体" w:eastAsia="宋体" w:cs="宋体"/>
          <w:b/>
          <w:sz w:val="21"/>
          <w:szCs w:val="21"/>
          <w:lang w:val="en-US" w:eastAsia="zh-CN"/>
        </w:rPr>
        <w:t>6</w:t>
      </w:r>
      <w:r>
        <w:rPr>
          <w:rFonts w:hint="eastAsia" w:ascii="宋体" w:hAnsi="宋体" w:eastAsia="宋体" w:cs="宋体"/>
          <w:b/>
          <w:sz w:val="21"/>
          <w:szCs w:val="21"/>
        </w:rPr>
        <w:t>-1  隧道收敛测点布设图</w:t>
      </w:r>
    </w:p>
    <w:p>
      <w:pPr>
        <w:numPr>
          <w:ilvl w:val="0"/>
          <w:numId w:val="5"/>
        </w:numPr>
        <w:spacing w:line="360" w:lineRule="auto"/>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应急预案</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地铁监测项目责任重大，实施过程中采取以下应急预案：</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（1）监测数据异常的应急预案</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1）加强监测数据的及时反馈，每日监测数据</w:t>
      </w:r>
      <w:r>
        <w:rPr>
          <w:rFonts w:hint="eastAsia" w:ascii="宋体" w:hAnsi="宋体" w:eastAsia="宋体" w:cs="宋体"/>
          <w:sz w:val="21"/>
          <w:szCs w:val="21"/>
          <w:lang w:val="en-US" w:eastAsia="zh-CN"/>
        </w:rPr>
        <w:t>9点</w:t>
      </w:r>
      <w:r>
        <w:rPr>
          <w:rFonts w:hint="eastAsia" w:ascii="宋体" w:hAnsi="宋体" w:eastAsia="宋体" w:cs="宋体"/>
          <w:sz w:val="21"/>
          <w:szCs w:val="21"/>
        </w:rPr>
        <w:t>前通过电子邮件方式发到指定技术人员邮箱；</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2）监测数据接近报警值前加常巡查，加强变形数据与结构裂纹、渗漏等表象的结合，监测报表进行综合叙述与初步分析；</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3）监测数据达到或超过报警值时，除进行日常计算、对算、复核的数据处理流程外，再次独立进行外业数据检查、数据核算，避免因计算错误发生“谎报”；</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4）确认达到报警值的数据无误后，除发送电子邮件外，当日</w:t>
      </w:r>
      <w:r>
        <w:rPr>
          <w:rFonts w:hint="eastAsia" w:ascii="宋体" w:hAnsi="宋体" w:eastAsia="宋体" w:cs="宋体"/>
          <w:sz w:val="21"/>
          <w:szCs w:val="21"/>
          <w:lang w:val="en-US" w:eastAsia="zh-CN"/>
        </w:rPr>
        <w:t>9点</w:t>
      </w:r>
      <w:r>
        <w:rPr>
          <w:rFonts w:hint="eastAsia" w:ascii="宋体" w:hAnsi="宋体" w:eastAsia="宋体" w:cs="宋体"/>
          <w:sz w:val="21"/>
          <w:szCs w:val="21"/>
        </w:rPr>
        <w:t>前把报警变形点、变形量、变形速率以短消息形式发到指定技术人员手机；</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5）数据达到警戒值后，当日</w:t>
      </w:r>
      <w:r>
        <w:rPr>
          <w:rFonts w:hint="eastAsia" w:ascii="宋体" w:hAnsi="宋体" w:eastAsia="宋体" w:cs="宋体"/>
          <w:sz w:val="21"/>
          <w:szCs w:val="21"/>
          <w:lang w:val="en-US" w:eastAsia="zh-CN"/>
        </w:rPr>
        <w:t>9点</w:t>
      </w:r>
      <w:r>
        <w:rPr>
          <w:rFonts w:hint="eastAsia" w:ascii="宋体" w:hAnsi="宋体" w:eastAsia="宋体" w:cs="宋体"/>
          <w:sz w:val="21"/>
          <w:szCs w:val="21"/>
        </w:rPr>
        <w:t>前电话通知指定技术人员并随即提供书面监护报告；</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（2）现场工作失误的应急响应</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施工班组撤离地铁后，发现有对地铁安全运营造成隐患的工具、仪器或其他物品遗留地铁内部，及时通知地铁总调。根据总调的许可回到现场配合排除隐患，我公司对因此而造成的不良影响及损失负责。</w:t>
      </w:r>
    </w:p>
    <w:p>
      <w:pPr>
        <w:numPr>
          <w:ilvl w:val="0"/>
          <w:numId w:val="0"/>
        </w:numPr>
        <w:spacing w:line="360" w:lineRule="auto"/>
        <w:rPr>
          <w:rFonts w:hint="eastAsia" w:ascii="宋体" w:hAnsi="宋体" w:eastAsia="宋体" w:cs="宋体"/>
          <w:b/>
          <w:sz w:val="21"/>
          <w:szCs w:val="21"/>
          <w:lang w:val="en-US" w:eastAsia="zh-CN"/>
        </w:rPr>
      </w:pPr>
    </w:p>
    <w:p>
      <w:pPr>
        <w:spacing w:line="360" w:lineRule="auto"/>
        <w:rPr>
          <w:rFonts w:hint="default" w:ascii="宋体" w:hAnsi="宋体" w:cs="宋体"/>
          <w:b/>
          <w:sz w:val="24"/>
          <w:lang w:val="en-US" w:eastAsia="zh-CN"/>
        </w:rPr>
      </w:pPr>
    </w:p>
    <w:p>
      <w:pPr>
        <w:numPr>
          <w:ilvl w:val="0"/>
          <w:numId w:val="0"/>
        </w:numPr>
        <w:rPr>
          <w:rFonts w:hint="eastAsia" w:ascii="宋体" w:hAnsi="宋体" w:cs="宋体"/>
          <w:b/>
          <w:sz w:val="24"/>
          <w:lang w:val="en-US" w:eastAsia="zh-CN"/>
        </w:rPr>
      </w:pPr>
    </w:p>
    <w:p>
      <w:pPr>
        <w:rPr>
          <w:rFonts w:hint="eastAsia" w:ascii="宋体"/>
          <w:b/>
          <w:color w:val="auto"/>
          <w:sz w:val="30"/>
          <w:szCs w:val="30"/>
          <w:highlight w:val="none"/>
          <w:lang w:val="en-US" w:eastAsia="zh-CN"/>
        </w:rPr>
      </w:pPr>
      <w:r>
        <w:rPr>
          <w:rFonts w:hint="eastAsia" w:ascii="宋体"/>
          <w:b/>
          <w:color w:val="auto"/>
          <w:sz w:val="30"/>
          <w:szCs w:val="30"/>
          <w:highlight w:val="none"/>
          <w:lang w:val="en-US" w:eastAsia="zh-CN"/>
        </w:rPr>
        <w:br w:type="page"/>
      </w:r>
    </w:p>
    <w:p>
      <w:pPr>
        <w:numPr>
          <w:ilvl w:val="0"/>
          <w:numId w:val="0"/>
        </w:numPr>
        <w:spacing w:line="400" w:lineRule="exact"/>
        <w:jc w:val="center"/>
        <w:outlineLvl w:val="0"/>
        <w:rPr>
          <w:rFonts w:hint="eastAsia" w:ascii="宋体"/>
          <w:b/>
          <w:color w:val="auto"/>
          <w:sz w:val="30"/>
          <w:szCs w:val="30"/>
          <w:highlight w:val="none"/>
        </w:rPr>
      </w:pPr>
      <w:r>
        <w:rPr>
          <w:rFonts w:hint="eastAsia" w:ascii="宋体"/>
          <w:b/>
          <w:color w:val="auto"/>
          <w:sz w:val="30"/>
          <w:szCs w:val="30"/>
          <w:highlight w:val="none"/>
          <w:lang w:val="en-US" w:eastAsia="zh-CN"/>
        </w:rPr>
        <w:t xml:space="preserve">第六章 </w:t>
      </w:r>
      <w:r>
        <w:rPr>
          <w:rFonts w:hint="eastAsia" w:ascii="宋体"/>
          <w:b/>
          <w:color w:val="auto"/>
          <w:sz w:val="30"/>
          <w:szCs w:val="30"/>
          <w:highlight w:val="none"/>
        </w:rPr>
        <w:t>合同条款及格式</w:t>
      </w:r>
      <w:r>
        <w:rPr>
          <w:rFonts w:hint="eastAsia" w:ascii="宋体"/>
          <w:b/>
          <w:color w:val="auto"/>
          <w:sz w:val="21"/>
          <w:szCs w:val="21"/>
          <w:highlight w:val="none"/>
          <w:lang w:eastAsia="zh-CN"/>
        </w:rPr>
        <w:t>（</w:t>
      </w:r>
      <w:r>
        <w:rPr>
          <w:rFonts w:hint="eastAsia" w:ascii="宋体"/>
          <w:b/>
          <w:color w:val="auto"/>
          <w:sz w:val="21"/>
          <w:szCs w:val="21"/>
          <w:highlight w:val="none"/>
          <w:lang w:val="en-US" w:eastAsia="zh-CN"/>
        </w:rPr>
        <w:t>合同格式仅供参考</w:t>
      </w:r>
      <w:r>
        <w:rPr>
          <w:rFonts w:hint="eastAsia" w:ascii="宋体"/>
          <w:b/>
          <w:color w:val="auto"/>
          <w:sz w:val="21"/>
          <w:szCs w:val="21"/>
          <w:highlight w:val="none"/>
          <w:lang w:eastAsia="zh-CN"/>
        </w:rPr>
        <w:t>）</w:t>
      </w:r>
    </w:p>
    <w:p>
      <w:pPr>
        <w:jc w:val="center"/>
        <w:rPr>
          <w:rFonts w:hint="eastAsia" w:ascii="宋体"/>
          <w:highlight w:val="none"/>
        </w:rPr>
      </w:pPr>
    </w:p>
    <w:p>
      <w:pPr>
        <w:widowControl/>
        <w:spacing w:line="400" w:lineRule="exact"/>
        <w:ind w:left="360"/>
        <w:jc w:val="center"/>
        <w:textAlignment w:val="baseline"/>
        <w:outlineLvl w:val="1"/>
        <w:rPr>
          <w:rFonts w:hint="eastAsia" w:ascii="宋体"/>
          <w:b/>
          <w:color w:val="000000"/>
          <w:sz w:val="30"/>
          <w:szCs w:val="30"/>
          <w:highlight w:val="none"/>
        </w:rPr>
      </w:pPr>
    </w:p>
    <w:p>
      <w:pPr>
        <w:spacing w:line="400" w:lineRule="exact"/>
        <w:ind w:firstLine="420" w:firstLineChars="200"/>
        <w:rPr>
          <w:rFonts w:hint="eastAsia"/>
          <w:color w:val="000000"/>
          <w:szCs w:val="21"/>
          <w:highlight w:val="none"/>
          <w:lang w:val="en-US" w:eastAsia="zh-CN"/>
        </w:rPr>
      </w:pPr>
      <w:r>
        <w:rPr>
          <w:rFonts w:hint="eastAsia"/>
          <w:color w:val="000000"/>
          <w:szCs w:val="21"/>
          <w:highlight w:val="none"/>
          <w:lang w:val="en-US" w:eastAsia="zh-CN"/>
        </w:rPr>
        <w:t>本项目合同由中标人与滁州市市政设施管理中心、滁州市滁宁城际铁路开发建设有限公司签订三方协议，由中标人按照相关法律和规定拟定。</w:t>
      </w:r>
    </w:p>
    <w:p>
      <w:pPr>
        <w:spacing w:line="400" w:lineRule="exact"/>
        <w:ind w:firstLine="420" w:firstLineChars="200"/>
        <w:rPr>
          <w:rFonts w:hint="eastAsia"/>
          <w:color w:val="000000"/>
          <w:szCs w:val="21"/>
          <w:highlight w:val="none"/>
          <w:lang w:val="en-US" w:eastAsia="zh-CN"/>
        </w:rPr>
      </w:pPr>
    </w:p>
    <w:p>
      <w:pPr>
        <w:widowControl/>
        <w:spacing w:line="400" w:lineRule="exact"/>
        <w:ind w:left="360"/>
        <w:jc w:val="center"/>
        <w:textAlignment w:val="baseline"/>
        <w:outlineLvl w:val="1"/>
        <w:rPr>
          <w:rFonts w:hint="eastAsia" w:ascii="宋体"/>
          <w:b/>
          <w:color w:val="000000"/>
          <w:sz w:val="30"/>
          <w:szCs w:val="30"/>
          <w:highlight w:val="none"/>
        </w:rPr>
      </w:pPr>
    </w:p>
    <w:p>
      <w:pPr>
        <w:spacing w:before="120" w:line="480" w:lineRule="auto"/>
        <w:ind w:left="960"/>
        <w:rPr>
          <w:rFonts w:hint="eastAsia" w:ascii="宋体" w:hAnsi="宋体"/>
          <w:sz w:val="24"/>
          <w:highlight w:val="none"/>
        </w:rPr>
      </w:pPr>
    </w:p>
    <w:p>
      <w:pPr>
        <w:pStyle w:val="25"/>
        <w:rPr>
          <w:rFonts w:hint="eastAsia"/>
          <w:highlight w:val="none"/>
        </w:rPr>
      </w:pPr>
    </w:p>
    <w:p>
      <w:pPr>
        <w:spacing w:before="120" w:line="480" w:lineRule="auto"/>
        <w:ind w:left="960"/>
        <w:rPr>
          <w:rFonts w:hint="eastAsia" w:ascii="宋体" w:hAnsi="宋体"/>
          <w:sz w:val="24"/>
          <w:highlight w:val="none"/>
        </w:rPr>
      </w:pPr>
    </w:p>
    <w:p>
      <w:pPr>
        <w:spacing w:before="120" w:line="480" w:lineRule="auto"/>
        <w:ind w:left="960"/>
        <w:rPr>
          <w:rFonts w:hint="eastAsia" w:ascii="宋体" w:hAnsi="宋体"/>
          <w:sz w:val="24"/>
          <w:highlight w:val="none"/>
        </w:rPr>
      </w:pPr>
    </w:p>
    <w:p>
      <w:pPr>
        <w:spacing w:before="120" w:line="480" w:lineRule="auto"/>
        <w:ind w:left="960"/>
        <w:rPr>
          <w:rFonts w:hint="eastAsia" w:ascii="宋体" w:hAnsi="宋体"/>
          <w:sz w:val="24"/>
          <w:highlight w:val="none"/>
        </w:rPr>
      </w:pPr>
    </w:p>
    <w:p>
      <w:pPr>
        <w:pStyle w:val="25"/>
        <w:rPr>
          <w:rFonts w:hint="eastAsia" w:ascii="宋体" w:hAnsi="宋体"/>
          <w:sz w:val="24"/>
          <w:highlight w:val="none"/>
        </w:rPr>
      </w:pPr>
    </w:p>
    <w:p>
      <w:pPr>
        <w:rPr>
          <w:rFonts w:hint="eastAsia"/>
          <w:highlight w:val="none"/>
        </w:rPr>
      </w:pPr>
    </w:p>
    <w:p>
      <w:pPr>
        <w:spacing w:before="120" w:line="480" w:lineRule="auto"/>
        <w:ind w:left="960"/>
        <w:rPr>
          <w:rFonts w:hint="eastAsia" w:ascii="宋体" w:hAnsi="宋体"/>
          <w:sz w:val="24"/>
          <w:highlight w:val="none"/>
        </w:rPr>
      </w:pPr>
    </w:p>
    <w:p>
      <w:pPr>
        <w:spacing w:before="120" w:line="480" w:lineRule="auto"/>
        <w:ind w:firstLine="420" w:firstLineChars="200"/>
        <w:rPr>
          <w:rFonts w:hint="eastAsia" w:ascii="宋体" w:hAnsi="宋体"/>
          <w:szCs w:val="21"/>
          <w:highlight w:val="none"/>
        </w:rPr>
      </w:pPr>
      <w:r>
        <w:rPr>
          <w:rFonts w:hint="eastAsia" w:ascii="宋体" w:hAnsi="宋体"/>
          <w:szCs w:val="21"/>
          <w:highlight w:val="none"/>
        </w:rPr>
        <w:t xml:space="preserve">项目名称：    </w:t>
      </w:r>
    </w:p>
    <w:p>
      <w:pPr>
        <w:spacing w:before="120" w:line="480" w:lineRule="auto"/>
        <w:ind w:firstLine="420" w:firstLineChars="200"/>
        <w:rPr>
          <w:rFonts w:ascii="宋体" w:hAnsi="宋体"/>
          <w:szCs w:val="21"/>
          <w:highlight w:val="none"/>
          <w:u w:val="single"/>
        </w:rPr>
      </w:pPr>
      <w:r>
        <w:rPr>
          <w:rFonts w:hint="eastAsia" w:ascii="宋体" w:hAnsi="宋体"/>
          <w:szCs w:val="21"/>
          <w:highlight w:val="none"/>
        </w:rPr>
        <w:t>甲方（</w:t>
      </w:r>
      <w:r>
        <w:rPr>
          <w:rFonts w:hint="eastAsia" w:ascii="宋体" w:hAnsi="宋体"/>
          <w:szCs w:val="21"/>
          <w:highlight w:val="none"/>
          <w:lang w:eastAsia="zh-CN"/>
        </w:rPr>
        <w:t>招标人</w:t>
      </w:r>
      <w:r>
        <w:rPr>
          <w:rFonts w:hint="eastAsia" w:ascii="宋体" w:hAnsi="宋体"/>
          <w:szCs w:val="21"/>
          <w:highlight w:val="none"/>
        </w:rPr>
        <w:t>）：</w:t>
      </w:r>
      <w:r>
        <w:rPr>
          <w:rFonts w:hint="eastAsia" w:ascii="宋体" w:hAnsi="宋体"/>
          <w:szCs w:val="21"/>
          <w:highlight w:val="none"/>
          <w:u w:val="single"/>
        </w:rPr>
        <w:t xml:space="preserve">                              </w:t>
      </w:r>
    </w:p>
    <w:p>
      <w:pPr>
        <w:spacing w:before="120" w:line="480" w:lineRule="auto"/>
        <w:ind w:firstLine="420" w:firstLineChars="200"/>
        <w:rPr>
          <w:rFonts w:ascii="宋体" w:hAnsi="宋体"/>
          <w:szCs w:val="21"/>
          <w:highlight w:val="none"/>
          <w:u w:val="single"/>
        </w:rPr>
      </w:pPr>
      <w:r>
        <w:rPr>
          <w:rFonts w:hint="eastAsia" w:ascii="宋体" w:hAnsi="宋体"/>
          <w:szCs w:val="21"/>
          <w:highlight w:val="none"/>
        </w:rPr>
        <w:t>乙方（中标人）：</w:t>
      </w:r>
      <w:r>
        <w:rPr>
          <w:rFonts w:hint="eastAsia" w:ascii="宋体" w:hAnsi="宋体"/>
          <w:szCs w:val="21"/>
          <w:highlight w:val="none"/>
          <w:u w:val="single"/>
          <w:lang w:val="en-US" w:eastAsia="zh-CN"/>
        </w:rPr>
        <w:t xml:space="preserve">                             </w:t>
      </w:r>
      <w:r>
        <w:rPr>
          <w:rFonts w:ascii="宋体" w:hAnsi="宋体"/>
          <w:szCs w:val="21"/>
          <w:highlight w:val="none"/>
          <w:u w:val="single"/>
        </w:rPr>
        <w:t xml:space="preserve"> </w:t>
      </w:r>
    </w:p>
    <w:p>
      <w:pPr>
        <w:spacing w:before="120" w:line="480" w:lineRule="auto"/>
        <w:ind w:firstLine="420" w:firstLineChars="200"/>
        <w:rPr>
          <w:rFonts w:ascii="宋体" w:hAnsi="宋体"/>
          <w:szCs w:val="21"/>
          <w:highlight w:val="none"/>
          <w:u w:val="single"/>
        </w:rPr>
      </w:pPr>
      <w:r>
        <w:rPr>
          <w:rFonts w:hint="eastAsia" w:ascii="宋体" w:hAnsi="宋体"/>
          <w:szCs w:val="21"/>
          <w:highlight w:val="none"/>
        </w:rPr>
        <w:t>签订地：</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p>
    <w:p>
      <w:pPr>
        <w:spacing w:before="120" w:line="480" w:lineRule="auto"/>
        <w:ind w:firstLine="420" w:firstLineChars="200"/>
        <w:rPr>
          <w:rFonts w:ascii="宋体" w:hAnsi="宋体"/>
          <w:szCs w:val="21"/>
          <w:highlight w:val="none"/>
        </w:rPr>
      </w:pPr>
      <w:r>
        <w:rPr>
          <w:rFonts w:hint="eastAsia" w:ascii="宋体" w:hAnsi="宋体"/>
          <w:szCs w:val="21"/>
          <w:highlight w:val="none"/>
        </w:rPr>
        <w:t>签订日期：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pPr>
        <w:widowControl/>
        <w:jc w:val="left"/>
        <w:rPr>
          <w:rFonts w:ascii="宋体" w:hAnsi="宋体"/>
          <w:szCs w:val="21"/>
          <w:highlight w:val="none"/>
        </w:rPr>
      </w:pPr>
      <w:r>
        <w:rPr>
          <w:rFonts w:ascii="宋体" w:hAnsi="宋体"/>
          <w:szCs w:val="21"/>
          <w:highlight w:val="none"/>
        </w:rPr>
        <w:br w:type="page"/>
      </w:r>
    </w:p>
    <w:p>
      <w:pPr>
        <w:keepNext w:val="0"/>
        <w:keepLines w:val="0"/>
        <w:pageBreakBefore w:val="0"/>
        <w:kinsoku/>
        <w:wordWrap/>
        <w:overflowPunct/>
        <w:topLinePunct w:val="0"/>
        <w:autoSpaceDN/>
        <w:bidi w:val="0"/>
        <w:adjustRightInd/>
        <w:snapToGrid/>
        <w:spacing w:line="420" w:lineRule="exact"/>
        <w:ind w:right="-433" w:rightChars="-206" w:firstLine="630" w:firstLineChars="300"/>
        <w:jc w:val="left"/>
        <w:textAlignment w:val="auto"/>
        <w:rPr>
          <w:rFonts w:hint="eastAsia" w:ascii="宋体" w:hAnsi="宋体" w:cs="宋体"/>
          <w:szCs w:val="21"/>
          <w:highlight w:val="none"/>
        </w:rPr>
      </w:pPr>
      <w:r>
        <w:rPr>
          <w:rFonts w:hint="eastAsia" w:ascii="宋体" w:hAnsi="宋体" w:cs="宋体"/>
          <w:szCs w:val="21"/>
          <w:highlight w:val="none"/>
        </w:rPr>
        <w:t>采购单位（全称）:</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（以下简称甲方）</w:t>
      </w:r>
    </w:p>
    <w:p>
      <w:pPr>
        <w:keepNext w:val="0"/>
        <w:keepLines w:val="0"/>
        <w:pageBreakBefore w:val="0"/>
        <w:kinsoku/>
        <w:wordWrap/>
        <w:overflowPunct/>
        <w:topLinePunct w:val="0"/>
        <w:autoSpaceDN/>
        <w:bidi w:val="0"/>
        <w:adjustRightInd/>
        <w:snapToGrid/>
        <w:spacing w:line="420" w:lineRule="exact"/>
        <w:ind w:right="-433" w:rightChars="-206"/>
        <w:jc w:val="left"/>
        <w:textAlignment w:val="auto"/>
        <w:rPr>
          <w:rFonts w:hint="eastAsia" w:ascii="宋体" w:hAnsi="宋体" w:cs="宋体"/>
          <w:szCs w:val="21"/>
          <w:highlight w:val="none"/>
        </w:rPr>
      </w:pPr>
      <w:r>
        <w:rPr>
          <w:rFonts w:hint="eastAsia" w:ascii="宋体" w:hAnsi="宋体" w:cs="宋体"/>
          <w:szCs w:val="21"/>
          <w:highlight w:val="none"/>
        </w:rPr>
        <w:t xml:space="preserve">      服务单位（全称）:</w:t>
      </w:r>
      <w:r>
        <w:rPr>
          <w:rFonts w:hint="eastAsia" w:ascii="宋体" w:hAnsi="宋体" w:cs="宋体"/>
          <w:szCs w:val="21"/>
          <w:highlight w:val="none"/>
          <w:u w:val="single"/>
        </w:rPr>
        <w:t xml:space="preserve">                          </w:t>
      </w:r>
      <w:r>
        <w:rPr>
          <w:rFonts w:hint="eastAsia" w:ascii="宋体" w:hAnsi="宋体" w:cs="宋体"/>
          <w:szCs w:val="21"/>
          <w:highlight w:val="none"/>
        </w:rPr>
        <w:t>（以下简称乙方）</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eastAsia="宋体" w:cs="宋体"/>
          <w:szCs w:val="21"/>
          <w:highlight w:val="none"/>
        </w:rPr>
      </w:pPr>
      <w:r>
        <w:rPr>
          <w:rFonts w:hint="eastAsia" w:ascii="宋体" w:hAnsi="宋体" w:cs="宋体"/>
          <w:szCs w:val="21"/>
          <w:highlight w:val="none"/>
        </w:rPr>
        <w:t>依照《中华人民共和国民法典》及其他有关法律、法规，遵循</w:t>
      </w:r>
      <w:r>
        <w:rPr>
          <w:rFonts w:hint="eastAsia" w:ascii="宋体" w:hAnsi="宋体" w:eastAsia="宋体" w:cs="宋体"/>
          <w:szCs w:val="21"/>
          <w:highlight w:val="none"/>
        </w:rPr>
        <w:t>平等、自愿、公平和诚实信用的原则，双方就本此采购服务事项协商一致，订立本合同。</w:t>
      </w:r>
    </w:p>
    <w:p>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20" w:lineRule="exact"/>
        <w:ind w:right="0"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1、项目名称：</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2、服务内容：</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3、服务期：</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4、服务质量：</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4.</w:t>
      </w:r>
      <w:r>
        <w:rPr>
          <w:rFonts w:hint="eastAsia" w:ascii="宋体" w:hAnsi="宋体" w:cs="宋体"/>
          <w:szCs w:val="21"/>
          <w:highlight w:val="none"/>
          <w:lang w:val="en-US" w:eastAsia="zh-CN"/>
        </w:rPr>
        <w:t>1</w:t>
      </w:r>
      <w:r>
        <w:rPr>
          <w:rFonts w:hint="eastAsia" w:hAnsi="宋体" w:cs="宋体"/>
          <w:kern w:val="0"/>
          <w:highlight w:val="none"/>
        </w:rPr>
        <w:t>必须符合国家强制性规范、条文、标准和本</w:t>
      </w:r>
      <w:r>
        <w:rPr>
          <w:rFonts w:hint="eastAsia" w:cs="宋体"/>
          <w:kern w:val="0"/>
          <w:highlight w:val="none"/>
          <w:lang w:val="en-US" w:eastAsia="zh-CN"/>
        </w:rPr>
        <w:t>招标</w:t>
      </w:r>
      <w:r>
        <w:rPr>
          <w:rFonts w:hint="eastAsia" w:hAnsi="宋体" w:cs="宋体"/>
          <w:kern w:val="0"/>
          <w:highlight w:val="none"/>
        </w:rPr>
        <w:t>文件要求</w:t>
      </w:r>
      <w:r>
        <w:rPr>
          <w:rFonts w:hint="eastAsia" w:ascii="宋体" w:hAnsi="宋体" w:cs="宋体"/>
          <w:szCs w:val="21"/>
          <w:highlight w:val="none"/>
        </w:rPr>
        <w:t>。</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4.2.乙方服务质量达不到</w:t>
      </w:r>
      <w:r>
        <w:rPr>
          <w:rFonts w:hint="eastAsia" w:ascii="宋体" w:hAnsi="宋体" w:cs="宋体"/>
          <w:szCs w:val="21"/>
          <w:highlight w:val="none"/>
          <w:lang w:val="en-US" w:eastAsia="zh-CN"/>
        </w:rPr>
        <w:t>乙方</w:t>
      </w:r>
      <w:r>
        <w:rPr>
          <w:rFonts w:hint="eastAsia" w:ascii="宋体" w:hAnsi="宋体" w:cs="宋体"/>
          <w:szCs w:val="21"/>
          <w:highlight w:val="none"/>
        </w:rPr>
        <w:t>的质量标准，乙方应承担违约责任。</w:t>
      </w:r>
    </w:p>
    <w:p>
      <w:pPr>
        <w:keepNext w:val="0"/>
        <w:keepLines w:val="0"/>
        <w:pageBreakBefore w:val="0"/>
        <w:kinsoku/>
        <w:wordWrap/>
        <w:overflowPunct/>
        <w:topLinePunct w:val="0"/>
        <w:autoSpaceDN/>
        <w:bidi w:val="0"/>
        <w:adjustRightInd/>
        <w:snapToGrid/>
        <w:spacing w:line="420" w:lineRule="exact"/>
        <w:ind w:right="-433" w:rightChars="-206" w:firstLine="422" w:firstLineChars="200"/>
        <w:jc w:val="left"/>
        <w:textAlignment w:val="auto"/>
        <w:rPr>
          <w:rFonts w:hint="eastAsia" w:ascii="宋体" w:hAnsi="宋体" w:cs="宋体"/>
          <w:b/>
          <w:bCs/>
          <w:szCs w:val="21"/>
          <w:highlight w:val="none"/>
        </w:rPr>
      </w:pPr>
      <w:r>
        <w:rPr>
          <w:rFonts w:hint="eastAsia" w:ascii="宋体" w:hAnsi="宋体" w:cs="宋体"/>
          <w:b/>
          <w:bCs/>
          <w:szCs w:val="21"/>
          <w:highlight w:val="none"/>
        </w:rPr>
        <w:t>5、合同价款及支付</w:t>
      </w:r>
    </w:p>
    <w:p>
      <w:pPr>
        <w:pStyle w:val="14"/>
        <w:keepNext w:val="0"/>
        <w:keepLines w:val="0"/>
        <w:pageBreakBefore w:val="0"/>
        <w:kinsoku/>
        <w:wordWrap/>
        <w:overflowPunct/>
        <w:topLinePunct w:val="0"/>
        <w:autoSpaceDN/>
        <w:bidi w:val="0"/>
        <w:adjustRightInd/>
        <w:snapToGrid/>
        <w:spacing w:line="420" w:lineRule="exact"/>
        <w:ind w:firstLine="422" w:firstLineChars="200"/>
        <w:jc w:val="left"/>
        <w:textAlignment w:val="auto"/>
        <w:rPr>
          <w:rFonts w:hint="default" w:cs="宋体"/>
          <w:b/>
          <w:bCs/>
          <w:szCs w:val="21"/>
          <w:highlight w:val="none"/>
          <w:u w:val="single"/>
          <w:lang w:val="en-US" w:eastAsia="zh-CN"/>
        </w:rPr>
      </w:pPr>
      <w:r>
        <w:rPr>
          <w:rFonts w:hint="eastAsia" w:ascii="宋体" w:hAnsi="宋体" w:cs="宋体"/>
          <w:b/>
          <w:bCs/>
          <w:szCs w:val="21"/>
          <w:highlight w:val="none"/>
        </w:rPr>
        <w:t>5.1本</w:t>
      </w:r>
      <w:r>
        <w:rPr>
          <w:rFonts w:hint="eastAsia" w:cs="宋体"/>
          <w:b/>
          <w:bCs/>
          <w:szCs w:val="21"/>
          <w:highlight w:val="none"/>
          <w:lang w:val="en-US" w:eastAsia="zh-CN"/>
        </w:rPr>
        <w:t>项目</w:t>
      </w:r>
      <w:r>
        <w:rPr>
          <w:rFonts w:hint="eastAsia" w:ascii="宋体" w:hAnsi="宋体" w:cs="宋体"/>
          <w:b/>
          <w:bCs/>
          <w:szCs w:val="21"/>
          <w:highlight w:val="none"/>
        </w:rPr>
        <w:t>合同价为：大写</w:t>
      </w:r>
      <w:r>
        <w:rPr>
          <w:rFonts w:hint="eastAsia" w:ascii="宋体" w:hAnsi="宋体" w:cs="宋体"/>
          <w:b/>
          <w:bCs/>
          <w:szCs w:val="21"/>
          <w:highlight w:val="none"/>
          <w:u w:val="single"/>
        </w:rPr>
        <w:t xml:space="preserve">：                小写：       元 </w:t>
      </w:r>
      <w:r>
        <w:rPr>
          <w:rFonts w:hint="eastAsia" w:cs="宋体"/>
          <w:b/>
          <w:bCs/>
          <w:szCs w:val="21"/>
          <w:highlight w:val="none"/>
          <w:u w:val="single"/>
          <w:lang w:val="en-US" w:eastAsia="zh-CN"/>
        </w:rPr>
        <w:t>；</w:t>
      </w:r>
    </w:p>
    <w:p>
      <w:pPr>
        <w:pStyle w:val="14"/>
        <w:keepNext w:val="0"/>
        <w:keepLines w:val="0"/>
        <w:pageBreakBefore w:val="0"/>
        <w:kinsoku/>
        <w:wordWrap/>
        <w:overflowPunct/>
        <w:topLinePunct w:val="0"/>
        <w:autoSpaceDN/>
        <w:bidi w:val="0"/>
        <w:adjustRightInd/>
        <w:snapToGrid/>
        <w:spacing w:line="420" w:lineRule="exact"/>
        <w:ind w:firstLine="422" w:firstLineChars="200"/>
        <w:jc w:val="left"/>
        <w:textAlignment w:val="auto"/>
        <w:rPr>
          <w:rFonts w:hint="eastAsia" w:ascii="宋体" w:hAnsi="宋体" w:cs="宋体"/>
          <w:b/>
          <w:bCs/>
          <w:szCs w:val="21"/>
          <w:highlight w:val="none"/>
        </w:rPr>
      </w:pPr>
      <w:r>
        <w:rPr>
          <w:rFonts w:hint="eastAsia" w:ascii="宋体" w:hAnsi="宋体" w:cs="宋体"/>
          <w:b/>
          <w:bCs/>
          <w:szCs w:val="21"/>
          <w:highlight w:val="none"/>
        </w:rPr>
        <w:t>5.2本项目合同计价方式为固定</w:t>
      </w:r>
      <w:r>
        <w:rPr>
          <w:rFonts w:hint="eastAsia" w:cs="宋体"/>
          <w:b/>
          <w:bCs/>
          <w:szCs w:val="21"/>
          <w:highlight w:val="none"/>
          <w:lang w:val="en-US" w:eastAsia="zh-CN"/>
        </w:rPr>
        <w:t>总</w:t>
      </w:r>
      <w:r>
        <w:rPr>
          <w:rFonts w:hint="eastAsia" w:ascii="宋体" w:hAnsi="宋体" w:cs="宋体"/>
          <w:b/>
          <w:bCs/>
          <w:szCs w:val="21"/>
          <w:highlight w:val="none"/>
        </w:rPr>
        <w:t xml:space="preserve">价。                </w:t>
      </w:r>
    </w:p>
    <w:p>
      <w:pPr>
        <w:pStyle w:val="14"/>
        <w:keepNext w:val="0"/>
        <w:keepLines w:val="0"/>
        <w:pageBreakBefore w:val="0"/>
        <w:kinsoku/>
        <w:wordWrap/>
        <w:overflowPunct/>
        <w:topLinePunct w:val="0"/>
        <w:autoSpaceDN/>
        <w:bidi w:val="0"/>
        <w:adjustRightInd/>
        <w:snapToGrid/>
        <w:spacing w:line="420" w:lineRule="exact"/>
        <w:ind w:firstLine="422" w:firstLineChars="200"/>
        <w:jc w:val="left"/>
        <w:textAlignment w:val="auto"/>
        <w:rPr>
          <w:rFonts w:hint="default" w:ascii="宋体" w:hAnsi="宋体" w:eastAsia="宋体" w:cs="宋体"/>
          <w:szCs w:val="21"/>
          <w:highlight w:val="none"/>
          <w:lang w:val="en-US" w:eastAsia="zh-CN"/>
        </w:rPr>
      </w:pPr>
      <w:r>
        <w:rPr>
          <w:rFonts w:hint="eastAsia" w:ascii="宋体" w:hAnsi="宋体" w:cs="宋体"/>
          <w:b/>
          <w:bCs/>
          <w:szCs w:val="21"/>
          <w:highlight w:val="none"/>
        </w:rPr>
        <w:t>5.3付款方式：</w:t>
      </w:r>
    </w:p>
    <w:p>
      <w:pPr>
        <w:keepNext w:val="0"/>
        <w:keepLines w:val="0"/>
        <w:pageBreakBefore w:val="0"/>
        <w:kinsoku/>
        <w:wordWrap/>
        <w:overflowPunct/>
        <w:topLinePunct w:val="0"/>
        <w:autoSpaceDN/>
        <w:bidi w:val="0"/>
        <w:adjustRightInd/>
        <w:snapToGrid/>
        <w:spacing w:line="420" w:lineRule="exact"/>
        <w:ind w:right="-433" w:rightChars="-206" w:firstLine="422" w:firstLineChars="200"/>
        <w:jc w:val="left"/>
        <w:textAlignment w:val="auto"/>
        <w:rPr>
          <w:rFonts w:hint="eastAsia" w:ascii="宋体" w:hAnsi="宋体" w:cs="宋体"/>
          <w:b/>
          <w:bCs/>
          <w:szCs w:val="21"/>
          <w:highlight w:val="none"/>
        </w:rPr>
      </w:pPr>
      <w:r>
        <w:rPr>
          <w:rFonts w:hint="eastAsia" w:ascii="宋体" w:hAnsi="宋体" w:cs="宋体"/>
          <w:b/>
          <w:bCs/>
          <w:szCs w:val="21"/>
          <w:highlight w:val="none"/>
        </w:rPr>
        <w:t>6、双方一般权利和义务</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6.1  甲方权利和义务</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eastAsia="宋体" w:cs="宋体"/>
          <w:szCs w:val="21"/>
          <w:highlight w:val="none"/>
          <w:lang w:eastAsia="zh-CN"/>
        </w:rPr>
      </w:pPr>
      <w:r>
        <w:rPr>
          <w:rFonts w:hint="eastAsia" w:ascii="宋体" w:hAnsi="宋体" w:cs="宋体"/>
          <w:szCs w:val="21"/>
          <w:highlight w:val="none"/>
        </w:rPr>
        <w:t>6.1.1 甲方向乙方提供相关技术资料</w:t>
      </w:r>
      <w:r>
        <w:rPr>
          <w:rFonts w:hint="eastAsia" w:ascii="宋体" w:hAnsi="宋体" w:cs="宋体"/>
          <w:szCs w:val="21"/>
          <w:highlight w:val="none"/>
          <w:lang w:eastAsia="zh-CN"/>
        </w:rPr>
        <w:t>；</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 xml:space="preserve">6.1.2甲方向乙方提供工作条件: </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6.1.</w:t>
      </w:r>
      <w:r>
        <w:rPr>
          <w:rFonts w:ascii="宋体" w:hAnsi="宋体" w:cs="宋体"/>
          <w:szCs w:val="21"/>
          <w:highlight w:val="none"/>
        </w:rPr>
        <w:t>3</w:t>
      </w:r>
      <w:r>
        <w:rPr>
          <w:rFonts w:hint="eastAsia" w:ascii="宋体" w:hAnsi="宋体" w:cs="宋体"/>
          <w:szCs w:val="21"/>
          <w:highlight w:val="none"/>
        </w:rPr>
        <w:t>甲方协助乙方与项目相关部门进行联系，办理项目所需佐证文件 。</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6.1.</w:t>
      </w:r>
      <w:r>
        <w:rPr>
          <w:rFonts w:ascii="宋体" w:hAnsi="宋体" w:cs="宋体"/>
          <w:szCs w:val="21"/>
          <w:highlight w:val="none"/>
        </w:rPr>
        <w:t>4</w:t>
      </w:r>
      <w:r>
        <w:rPr>
          <w:rFonts w:hint="eastAsia" w:ascii="宋体" w:hAnsi="宋体" w:cs="宋体"/>
          <w:szCs w:val="21"/>
          <w:highlight w:val="none"/>
        </w:rPr>
        <w:t>甲方负责调解项目技术咨询过程中可能存在的民事纠纷问题，如因民事纠纷导致工期延误，乙方不承担由此引发的一系列责任。</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6.1.</w:t>
      </w:r>
      <w:r>
        <w:rPr>
          <w:rFonts w:ascii="宋体" w:hAnsi="宋体" w:cs="宋体"/>
          <w:szCs w:val="21"/>
          <w:highlight w:val="none"/>
        </w:rPr>
        <w:t>5</w:t>
      </w:r>
      <w:r>
        <w:rPr>
          <w:rFonts w:hint="eastAsia" w:ascii="宋体" w:hAnsi="宋体" w:cs="宋体"/>
          <w:szCs w:val="21"/>
          <w:highlight w:val="none"/>
        </w:rPr>
        <w:t xml:space="preserve"> 甲方有义务按时支付咨询款。</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6.2   乙方权利和义务</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6.2.1 乙方应保证方案编制必须满足相关规范、标准、以及相关报告编制要求，并确保编制质量和完成行政主管部门备案；负责技术咨询过程中组织专家评审、会务等技术咨询相关事项；</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6.2.2 承担因方案编制不合格而返工费用，因乙方的责任而造成工期延误，承担违约责任；</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6.2.3 乙方对未尽事宜应提前两天向甲方提出；</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6.2.4 乙方选派项目负责人</w:t>
      </w:r>
      <w:r>
        <w:rPr>
          <w:rFonts w:hint="eastAsia" w:ascii="宋体" w:hAnsi="宋体" w:cs="宋体"/>
          <w:szCs w:val="21"/>
          <w:highlight w:val="none"/>
          <w:u w:val="single"/>
        </w:rPr>
        <w:t xml:space="preserve">      （电话：        ）</w:t>
      </w:r>
      <w:r>
        <w:rPr>
          <w:rFonts w:hint="eastAsia" w:ascii="宋体" w:hAnsi="宋体" w:cs="宋体"/>
          <w:szCs w:val="21"/>
          <w:highlight w:val="none"/>
        </w:rPr>
        <w:t>负责协调相关事宜；</w:t>
      </w:r>
    </w:p>
    <w:p>
      <w:pPr>
        <w:keepNext w:val="0"/>
        <w:keepLines w:val="0"/>
        <w:pageBreakBefore w:val="0"/>
        <w:kinsoku/>
        <w:wordWrap/>
        <w:overflowPunct/>
        <w:topLinePunct w:val="0"/>
        <w:autoSpaceDN/>
        <w:bidi w:val="0"/>
        <w:adjustRightInd/>
        <w:snapToGrid/>
        <w:spacing w:line="420" w:lineRule="exact"/>
        <w:ind w:right="-433" w:rightChars="-206" w:firstLine="422" w:firstLineChars="200"/>
        <w:jc w:val="left"/>
        <w:textAlignment w:val="auto"/>
        <w:rPr>
          <w:rFonts w:hint="eastAsia" w:ascii="宋体" w:hAnsi="宋体" w:cs="宋体"/>
          <w:b/>
          <w:bCs/>
          <w:szCs w:val="21"/>
          <w:highlight w:val="none"/>
        </w:rPr>
      </w:pPr>
      <w:r>
        <w:rPr>
          <w:rFonts w:hint="eastAsia" w:ascii="宋体" w:hAnsi="宋体" w:cs="宋体"/>
          <w:b/>
          <w:bCs/>
          <w:szCs w:val="21"/>
          <w:highlight w:val="none"/>
        </w:rPr>
        <w:t>7、安全责任</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7.1  甲方不得要求乙方违反安全管理的规定，因甲方原因等导致安全事故由甲方承担相应的责任及发生的费用。</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7.2  乙方应遵守有关管理制度，采取必要的安全措施，消除事故隐患，由于乙方安全措施不力造成事故责任和因此发生的费用由乙方承担。</w:t>
      </w:r>
    </w:p>
    <w:p>
      <w:pPr>
        <w:keepNext w:val="0"/>
        <w:keepLines w:val="0"/>
        <w:pageBreakBefore w:val="0"/>
        <w:kinsoku/>
        <w:wordWrap/>
        <w:overflowPunct/>
        <w:topLinePunct w:val="0"/>
        <w:autoSpaceDN/>
        <w:bidi w:val="0"/>
        <w:adjustRightInd/>
        <w:snapToGrid/>
        <w:spacing w:line="420" w:lineRule="exact"/>
        <w:ind w:right="-433" w:rightChars="-206" w:firstLine="422" w:firstLineChars="200"/>
        <w:jc w:val="left"/>
        <w:textAlignment w:val="auto"/>
        <w:rPr>
          <w:rFonts w:hint="eastAsia" w:ascii="宋体" w:hAnsi="宋体" w:cs="宋体"/>
          <w:b/>
          <w:bCs/>
          <w:szCs w:val="21"/>
          <w:highlight w:val="none"/>
        </w:rPr>
      </w:pPr>
      <w:r>
        <w:rPr>
          <w:rFonts w:hint="eastAsia" w:ascii="宋体" w:hAnsi="宋体" w:cs="宋体"/>
          <w:b/>
          <w:bCs/>
          <w:szCs w:val="21"/>
          <w:highlight w:val="none"/>
        </w:rPr>
        <w:t>8、违约责任</w:t>
      </w:r>
    </w:p>
    <w:p>
      <w:pPr>
        <w:pStyle w:val="14"/>
        <w:keepNext w:val="0"/>
        <w:keepLines w:val="0"/>
        <w:pageBreakBefore w:val="0"/>
        <w:kinsoku/>
        <w:wordWrap/>
        <w:overflowPunct/>
        <w:topLinePunct w:val="0"/>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8.1   甲方违约：当发生下列情况时：</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8.1.1  甲方不履行合同义务或不按合同约定履行义务的其他情况；</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8.2   乙方违约：当发生下列情况时</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8.2.1  由于乙方原因质量达不到协议书约定的质量标准，乙方无条件返工并承担损失和违约责任；</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8.2.2  由于乙方不履行合同义务或不按合同约定履行义务的其他情况；</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8.2.3  乙方承担违约责任，赔偿其因其违约给甲方造成的直接经济损失。</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8.3    一方违约后， 另一方要求违约方继续履行合同时，违约方承担上述违约责任后，仍继续履行合同。</w:t>
      </w:r>
    </w:p>
    <w:p>
      <w:pPr>
        <w:keepNext w:val="0"/>
        <w:keepLines w:val="0"/>
        <w:pageBreakBefore w:val="0"/>
        <w:widowControl w:val="0"/>
        <w:kinsoku/>
        <w:wordWrap/>
        <w:overflowPunct/>
        <w:topLinePunct w:val="0"/>
        <w:autoSpaceDE/>
        <w:autoSpaceDN/>
        <w:bidi w:val="0"/>
        <w:adjustRightInd/>
        <w:snapToGrid/>
        <w:spacing w:line="420" w:lineRule="exact"/>
        <w:ind w:right="-433" w:rightChars="-206" w:firstLine="422" w:firstLineChars="200"/>
        <w:jc w:val="left"/>
        <w:textAlignment w:val="auto"/>
        <w:rPr>
          <w:rFonts w:hint="eastAsia" w:ascii="宋体" w:hAnsi="宋体" w:cs="宋体"/>
          <w:b/>
          <w:bCs/>
          <w:szCs w:val="21"/>
          <w:highlight w:val="none"/>
        </w:rPr>
      </w:pPr>
      <w:r>
        <w:rPr>
          <w:rFonts w:hint="eastAsia" w:ascii="宋体" w:hAnsi="宋体" w:cs="宋体"/>
          <w:b/>
          <w:bCs/>
          <w:szCs w:val="21"/>
          <w:highlight w:val="none"/>
        </w:rPr>
        <w:t>9、合同生效及其它</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9.1  本合同发生的相关技术资料等纸质材料是本合同的组成部分，与本合同具有同等法律效力。</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9.2   未尽事宜，双方在合同执行时协商解决。</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9.3   甲乙双方在履行和同事发生争议时，可以协商解决，协商不成，双方同时申请仲裁；</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9.4   本合同规定的责任和义务、付款结清后，本合同及告终止。</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9.5   甲乙双方法定代表人或其委托代理人在合同书上签名并盖单位公章后合同生效。</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lang w:val="en-US" w:eastAsia="zh-CN"/>
        </w:rPr>
        <w:t>9</w:t>
      </w:r>
      <w:r>
        <w:rPr>
          <w:rFonts w:hint="eastAsia" w:ascii="宋体" w:hAnsi="宋体" w:cs="宋体"/>
          <w:szCs w:val="21"/>
          <w:highlight w:val="none"/>
        </w:rPr>
        <w:t>.6   本合同正本一式</w:t>
      </w:r>
      <w:r>
        <w:rPr>
          <w:rFonts w:hint="eastAsia" w:ascii="宋体" w:hAnsi="宋体" w:cs="宋体"/>
          <w:szCs w:val="21"/>
          <w:highlight w:val="none"/>
          <w:u w:val="single"/>
        </w:rPr>
        <w:t xml:space="preserve">   </w:t>
      </w:r>
      <w:r>
        <w:rPr>
          <w:rFonts w:hint="eastAsia" w:ascii="宋体" w:hAnsi="宋体" w:cs="宋体"/>
          <w:szCs w:val="21"/>
          <w:highlight w:val="none"/>
        </w:rPr>
        <w:t>份，甲乙双方各执</w:t>
      </w:r>
      <w:r>
        <w:rPr>
          <w:rFonts w:hint="eastAsia" w:ascii="宋体" w:hAnsi="宋体" w:cs="宋体"/>
          <w:szCs w:val="21"/>
          <w:highlight w:val="none"/>
          <w:u w:val="single"/>
        </w:rPr>
        <w:t xml:space="preserve">   </w:t>
      </w:r>
      <w:r>
        <w:rPr>
          <w:rFonts w:hint="eastAsia" w:ascii="宋体" w:hAnsi="宋体" w:cs="宋体"/>
          <w:szCs w:val="21"/>
          <w:highlight w:val="none"/>
        </w:rPr>
        <w:t>份。</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 xml:space="preserve">甲 方：  (公章)                       乙 方：  (公章)                                 </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法定代表人或其委托代理人：            法定代表人或其委托代理人：</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（签字）                             （签字）</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组织机构代码：</w:t>
      </w:r>
      <w:r>
        <w:rPr>
          <w:rFonts w:hint="eastAsia" w:hAnsi="宋体" w:cs="宋体"/>
          <w:szCs w:val="21"/>
          <w:highlight w:val="none"/>
          <w:lang w:val="en-US" w:eastAsia="zh-CN"/>
        </w:rPr>
        <w:t xml:space="preserve">                  </w:t>
      </w:r>
      <w:r>
        <w:rPr>
          <w:rFonts w:hint="eastAsia" w:ascii="宋体" w:hAnsi="宋体" w:cs="宋体"/>
          <w:szCs w:val="21"/>
          <w:highlight w:val="none"/>
        </w:rPr>
        <w:t xml:space="preserve">   </w:t>
      </w: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组织机构代码：             </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地  址：</w:t>
      </w:r>
      <w:r>
        <w:rPr>
          <w:rFonts w:hint="eastAsia" w:hAnsi="宋体" w:cs="宋体"/>
          <w:szCs w:val="21"/>
          <w:highlight w:val="none"/>
          <w:lang w:val="en-US" w:eastAsia="zh-CN"/>
        </w:rPr>
        <w:t xml:space="preserve">                   </w:t>
      </w:r>
      <w:r>
        <w:rPr>
          <w:rFonts w:hint="eastAsia" w:ascii="宋体" w:hAnsi="宋体" w:cs="宋体"/>
          <w:szCs w:val="21"/>
          <w:highlight w:val="none"/>
        </w:rPr>
        <w:t xml:space="preserve">           地  址：                  </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邮政编码：</w:t>
      </w:r>
      <w:r>
        <w:rPr>
          <w:rFonts w:hint="eastAsia" w:hAnsi="宋体" w:cs="宋体"/>
          <w:szCs w:val="21"/>
          <w:highlight w:val="none"/>
          <w:lang w:val="en-US" w:eastAsia="zh-CN"/>
        </w:rPr>
        <w:t xml:space="preserve">      </w:t>
      </w:r>
      <w:r>
        <w:rPr>
          <w:rFonts w:hint="eastAsia" w:ascii="宋体" w:hAnsi="宋体" w:cs="宋体"/>
          <w:szCs w:val="21"/>
          <w:highlight w:val="none"/>
        </w:rPr>
        <w:t xml:space="preserve">            </w:t>
      </w: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邮政编码：                  </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电  话：</w:t>
      </w:r>
      <w:r>
        <w:rPr>
          <w:rFonts w:hint="eastAsia" w:hAnsi="宋体" w:cs="宋体"/>
          <w:szCs w:val="21"/>
          <w:highlight w:val="none"/>
          <w:lang w:val="en-US" w:eastAsia="zh-CN"/>
        </w:rPr>
        <w:t xml:space="preserve">             </w:t>
      </w:r>
      <w:r>
        <w:rPr>
          <w:rFonts w:hint="eastAsia" w:ascii="宋体" w:hAnsi="宋体" w:cs="宋体"/>
          <w:szCs w:val="21"/>
          <w:highlight w:val="none"/>
        </w:rPr>
        <w:t xml:space="preserve">           </w:t>
      </w: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电  话：                     </w:t>
      </w:r>
    </w:p>
    <w:p>
      <w:pPr>
        <w:pStyle w:val="14"/>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                            开户银行：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highlight w:val="none"/>
        </w:rPr>
      </w:pPr>
      <w:r>
        <w:rPr>
          <w:rFonts w:hint="eastAsia" w:ascii="宋体" w:hAnsi="宋体" w:cs="宋体"/>
          <w:szCs w:val="21"/>
          <w:highlight w:val="none"/>
          <w:lang w:val="en-US" w:eastAsia="zh-CN"/>
        </w:rPr>
        <w:t xml:space="preserve">         </w:t>
      </w:r>
      <w:r>
        <w:rPr>
          <w:rFonts w:hint="eastAsia" w:ascii="宋体" w:hAnsi="宋体" w:cs="宋体"/>
          <w:szCs w:val="21"/>
          <w:highlight w:val="none"/>
        </w:rPr>
        <w:t xml:space="preserve">                           账   号：</w:t>
      </w:r>
    </w:p>
    <w:p>
      <w:pPr>
        <w:rPr>
          <w:rFonts w:hint="eastAsia" w:ascii="宋体" w:hAnsi="宋体" w:eastAsia="宋体" w:cs="宋体"/>
          <w:color w:val="auto"/>
          <w:kern w:val="2"/>
          <w:sz w:val="28"/>
          <w:szCs w:val="28"/>
          <w:highlight w:val="none"/>
          <w:u w:color="auto"/>
          <w:lang w:val="en-US" w:eastAsia="zh-CN" w:bidi="ar"/>
        </w:rPr>
      </w:pPr>
    </w:p>
    <w:p>
      <w:pP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br w:type="page"/>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bookmarkStart w:id="74" w:name="_Toc6275_WPSOffice_Level1"/>
      <w:bookmarkEnd w:id="74"/>
      <w:r>
        <w:rPr>
          <w:rFonts w:hint="eastAsia" w:ascii="宋体" w:hAnsi="宋体" w:eastAsia="宋体" w:cs="宋体"/>
          <w:color w:val="auto"/>
          <w:kern w:val="2"/>
          <w:sz w:val="28"/>
          <w:szCs w:val="28"/>
          <w:highlight w:val="none"/>
          <w:u w:color="auto"/>
          <w:lang w:val="en-US" w:eastAsia="zh-CN" w:bidi="ar"/>
        </w:rPr>
        <w:t>第七章 投标文件格式</w:t>
      </w:r>
    </w:p>
    <w:p>
      <w:pPr>
        <w:jc w:val="right"/>
        <w:rPr>
          <w:rFonts w:ascii="宋体" w:hAnsi="宋体"/>
          <w:sz w:val="28"/>
          <w:szCs w:val="28"/>
          <w:highlight w:val="none"/>
          <w:bdr w:val="single" w:color="auto" w:sz="4" w:space="0"/>
        </w:rPr>
      </w:pP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pPr>
        <w:jc w:val="center"/>
        <w:rPr>
          <w:rFonts w:hint="eastAsia" w:ascii="宋体"/>
          <w:b/>
          <w:color w:val="auto"/>
          <w:sz w:val="44"/>
          <w:szCs w:val="44"/>
          <w:highlight w:val="none"/>
        </w:rPr>
      </w:pPr>
      <w:bookmarkStart w:id="75" w:name="_Toc21573"/>
      <w:bookmarkEnd w:id="75"/>
      <w:bookmarkStart w:id="76" w:name="_Toc19336_WPSOffice_Level2"/>
      <w:bookmarkEnd w:id="76"/>
      <w:bookmarkStart w:id="77" w:name="_Toc449028949"/>
      <w:bookmarkStart w:id="78" w:name="_Toc350698753"/>
      <w:r>
        <w:rPr>
          <w:rFonts w:hint="eastAsia" w:ascii="宋体"/>
          <w:b/>
          <w:color w:val="auto"/>
          <w:sz w:val="44"/>
          <w:szCs w:val="44"/>
          <w:highlight w:val="none"/>
        </w:rPr>
        <w:t>资信证明文件</w:t>
      </w:r>
      <w:bookmarkEnd w:id="77"/>
      <w:bookmarkEnd w:id="78"/>
    </w:p>
    <w:p>
      <w:pPr>
        <w:jc w:val="center"/>
        <w:rPr>
          <w:rFonts w:hint="eastAsia" w:ascii="宋体"/>
          <w:color w:val="auto"/>
          <w:sz w:val="32"/>
          <w:szCs w:val="32"/>
          <w:highlight w:val="none"/>
        </w:rPr>
      </w:pPr>
      <w:r>
        <w:rPr>
          <w:rFonts w:hint="eastAsia" w:ascii="宋体"/>
          <w:color w:val="auto"/>
          <w:sz w:val="32"/>
          <w:szCs w:val="32"/>
          <w:highlight w:val="none"/>
        </w:rPr>
        <w:t>（投标文件一）</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highlight w:val="none"/>
          <w:lang w:val="en-US"/>
        </w:rPr>
      </w:pPr>
      <w:bookmarkStart w:id="79" w:name="_Toc7180_WPSOffice_Level3"/>
      <w:bookmarkEnd w:id="79"/>
      <w:r>
        <w:rPr>
          <w:rFonts w:hint="eastAsia" w:ascii="宋体" w:hAnsi="宋体" w:eastAsia="宋体" w:cs="宋体"/>
          <w:color w:val="000000"/>
          <w:kern w:val="0"/>
          <w:sz w:val="28"/>
          <w:szCs w:val="28"/>
          <w:highlight w:val="none"/>
          <w:u w:color="000000"/>
          <w:lang w:val="en-US" w:eastAsia="zh-CN" w:bidi="ar"/>
        </w:rPr>
        <w:t>项目名称：</w:t>
      </w:r>
      <w:r>
        <w:rPr>
          <w:rFonts w:hint="eastAsia" w:ascii="宋体" w:hAnsi="宋体" w:eastAsia="宋体" w:cs="宋体"/>
          <w:color w:val="000000"/>
          <w:kern w:val="0"/>
          <w:sz w:val="28"/>
          <w:szCs w:val="28"/>
          <w:highlight w:val="none"/>
          <w:u w:val="single"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25"/>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21"/>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80" w:name="_Toc14710_WPSOffice_Level1"/>
      <w:bookmarkEnd w:id="80"/>
      <w:r>
        <w:rPr>
          <w:rFonts w:hint="eastAsia" w:ascii="宋体" w:hAnsi="宋体" w:eastAsia="宋体" w:cs="宋体"/>
          <w:b/>
          <w:bCs w:val="0"/>
          <w:color w:val="000000"/>
          <w:kern w:val="0"/>
          <w:sz w:val="44"/>
          <w:szCs w:val="44"/>
          <w:highlight w:val="none"/>
          <w:u w:color="000000"/>
          <w:lang w:val="en-US" w:eastAsia="zh-CN" w:bidi="ar"/>
        </w:rPr>
        <w:t>目   录</w:t>
      </w:r>
    </w:p>
    <w:p>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spacing w:line="400" w:lineRule="exact"/>
        <w:rPr>
          <w:rFonts w:hint="eastAsia"/>
          <w:b/>
          <w:color w:val="auto"/>
          <w:sz w:val="28"/>
          <w:szCs w:val="28"/>
          <w:highlight w:val="none"/>
        </w:rPr>
      </w:pPr>
    </w:p>
    <w:p>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（1）法定代表人身份证明及其有效身份证（或法定代表人授权委托书及其有效身份证）（格式见附件）；</w:t>
      </w:r>
    </w:p>
    <w:p>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（2）投标人有效的营业执照、税务登记证、组织机构代码证（或三合一证书）；</w:t>
      </w:r>
    </w:p>
    <w:p>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w:t>
      </w:r>
      <w:r>
        <w:rPr>
          <w:rFonts w:hint="eastAsia" w:ascii="宋体" w:hAnsi="Times New Roman" w:eastAsia="宋体" w:cs="Times New Roman"/>
          <w:color w:val="auto"/>
          <w:szCs w:val="21"/>
          <w:highlight w:val="none"/>
          <w:lang w:eastAsia="zh-CN"/>
        </w:rPr>
        <w:t>诚信投标承诺书（格式见附件）；</w:t>
      </w:r>
    </w:p>
    <w:p>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rPr>
        <w:t>服务承诺：是否响应招标文件要求的书面说明和服务承诺书（格式见附件）</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lang w:eastAsia="zh-CN"/>
        </w:rPr>
        <w:t>）投标人认为需要提供的其他资信证明材料。</w:t>
      </w:r>
    </w:p>
    <w:p>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pPr>
        <w:keepNext w:val="0"/>
        <w:keepLines w:val="0"/>
        <w:widowControl/>
        <w:suppressLineNumbers w:val="0"/>
        <w:autoSpaceDE w:val="0"/>
        <w:autoSpaceDN/>
        <w:spacing w:before="0" w:beforeAutospacing="0" w:after="0" w:afterAutospacing="0" w:line="400" w:lineRule="exact"/>
        <w:ind w:left="0" w:right="0"/>
        <w:jc w:val="center"/>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u w:color="000000"/>
          <w:lang w:val="en-US" w:eastAsia="zh-CN" w:bidi="ar"/>
        </w:rPr>
        <w:t>1</w:t>
      </w:r>
      <w:r>
        <w:rPr>
          <w:rFonts w:hint="eastAsia" w:ascii="宋体" w:hAnsi="宋体" w:eastAsia="宋体" w:cs="宋体"/>
          <w:b/>
          <w:bCs w:val="0"/>
          <w:color w:val="000000"/>
          <w:kern w:val="0"/>
          <w:sz w:val="28"/>
          <w:szCs w:val="28"/>
          <w:highlight w:val="none"/>
          <w:u w:color="000000"/>
          <w:lang w:val="en-US" w:eastAsia="zh-CN" w:bidi="ar"/>
        </w:rPr>
        <w:t>、法定代表人身份证明或授权委托书</w:t>
      </w:r>
    </w:p>
    <w:p>
      <w:pPr>
        <w:pStyle w:val="48"/>
        <w:widowControl/>
        <w:autoSpaceDE w:val="0"/>
        <w:autoSpaceDN/>
        <w:spacing w:before="312" w:beforeLines="100" w:beforeAutospacing="0" w:after="312" w:afterLines="100" w:afterAutospacing="0" w:line="400" w:lineRule="exact"/>
        <w:ind w:left="0" w:right="0"/>
        <w:rPr>
          <w:rFonts w:hint="eastAsia" w:ascii="宋体" w:hAnsi="宋体" w:eastAsia="宋体" w:cs="宋体"/>
          <w:b/>
          <w:bCs w:val="0"/>
          <w:sz w:val="24"/>
          <w:szCs w:val="24"/>
          <w:highlight w:val="none"/>
          <w:lang w:val="en-US"/>
        </w:rPr>
      </w:pPr>
      <w:bookmarkStart w:id="81" w:name="_Toc6019_WPSOffice_Level1"/>
      <w:bookmarkEnd w:id="81"/>
      <w:r>
        <w:rPr>
          <w:rFonts w:hint="eastAsia" w:ascii="宋体" w:hAnsi="宋体" w:eastAsia="宋体" w:cs="宋体"/>
          <w:sz w:val="24"/>
          <w:szCs w:val="24"/>
          <w:highlight w:val="none"/>
          <w:lang w:val="en-US"/>
        </w:rPr>
        <w:t>1</w:t>
      </w:r>
      <w:r>
        <w:rPr>
          <w:rFonts w:hint="eastAsia" w:ascii="宋体" w:hAnsi="宋体" w:eastAsia="宋体" w:cs="宋体"/>
          <w:sz w:val="24"/>
          <w:szCs w:val="24"/>
          <w:highlight w:val="none"/>
          <w:lang w:eastAsia="zh-CN"/>
        </w:rPr>
        <w:t>、法定代表人身份证明</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单位性质：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地    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成立时间：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月</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＿日</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经营期限：</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480" w:lineRule="exact"/>
        <w:ind w:left="0" w:right="0" w:firstLine="144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spacing w:val="240"/>
          <w:kern w:val="0"/>
          <w:sz w:val="24"/>
          <w:szCs w:val="24"/>
          <w:highlight w:val="none"/>
          <w:u w:color="000000"/>
          <w:lang w:val="en-US" w:eastAsia="zh-CN" w:bidi="ar"/>
        </w:rPr>
        <w:t>姓</w:t>
      </w:r>
      <w:r>
        <w:rPr>
          <w:rFonts w:hint="eastAsia" w:ascii="宋体" w:hAnsi="宋体" w:eastAsia="宋体" w:cs="宋体"/>
          <w:color w:val="000000"/>
          <w:kern w:val="0"/>
          <w:sz w:val="24"/>
          <w:szCs w:val="24"/>
          <w:highlight w:val="none"/>
          <w:u w:color="000000"/>
          <w:lang w:val="en-US" w:eastAsia="zh-CN" w:bidi="ar"/>
        </w:rPr>
        <w:t>名：</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性别：</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年龄：＿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职务：</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_</w:t>
      </w:r>
    </w:p>
    <w:p>
      <w:pPr>
        <w:keepNext w:val="0"/>
        <w:keepLines w:val="0"/>
        <w:widowControl/>
        <w:suppressLineNumbers w:val="0"/>
        <w:spacing w:before="0" w:beforeAutospacing="0" w:after="0" w:afterAutospacing="0" w:line="48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（投标人名称）的法定代表人。</w:t>
      </w:r>
    </w:p>
    <w:p>
      <w:pPr>
        <w:keepNext w:val="0"/>
        <w:keepLines w:val="0"/>
        <w:widowControl/>
        <w:suppressLineNumbers w:val="0"/>
        <w:spacing w:before="0" w:beforeAutospacing="0" w:after="0" w:afterAutospacing="0" w:line="480" w:lineRule="exact"/>
        <w:ind w:left="0" w:right="0" w:firstLine="960" w:firstLineChars="4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特此证明。</w:t>
      </w:r>
    </w:p>
    <w:p>
      <w:pPr>
        <w:keepNext w:val="0"/>
        <w:keepLines w:val="0"/>
        <w:widowControl/>
        <w:suppressLineNumbers w:val="0"/>
        <w:spacing w:before="0" w:beforeAutospacing="0" w:after="0" w:afterAutospacing="0" w:line="360" w:lineRule="auto"/>
        <w:ind w:left="0" w:right="0" w:firstLine="3480" w:firstLineChars="14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投标人：</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（盖单位章）</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年    月     日</w:t>
      </w:r>
    </w:p>
    <w:p>
      <w:pPr>
        <w:keepNext w:val="0"/>
        <w:keepLines w:val="0"/>
        <w:widowControl/>
        <w:suppressLineNumbers w:val="0"/>
        <w:spacing w:before="0" w:beforeAutospacing="0" w:after="0" w:afterAutospacing="0" w:line="357" w:lineRule="atLeast"/>
        <w:ind w:left="0" w:right="0" w:firstLine="560" w:firstLineChars="200"/>
        <w:jc w:val="center"/>
        <w:rPr>
          <w:rFonts w:hint="eastAsia" w:ascii="宋体" w:hAnsi="宋体" w:eastAsia="宋体" w:cs="宋体"/>
          <w:sz w:val="24"/>
          <w:szCs w:val="24"/>
          <w:highlight w:val="none"/>
          <w:lang w:val="en-US"/>
        </w:rPr>
      </w:pPr>
      <w:r>
        <w:rPr>
          <w:rFonts w:hint="eastAsia" w:ascii="宋体" w:hAnsi="宋体" w:eastAsia="宋体" w:cs="宋体"/>
          <w:color w:val="000000"/>
          <w:kern w:val="0"/>
          <w:sz w:val="28"/>
          <w:szCs w:val="28"/>
          <w:highlight w:val="none"/>
          <w:u w:color="000000"/>
          <w:lang w:val="en-US" w:eastAsia="zh-CN" w:bidi="ar"/>
        </w:rPr>
        <w:t>2、</w:t>
      </w:r>
      <w:r>
        <w:rPr>
          <w:rFonts w:hint="eastAsia" w:ascii="宋体" w:hAnsi="宋体" w:eastAsia="宋体" w:cs="宋体"/>
          <w:color w:val="000000"/>
          <w:kern w:val="0"/>
          <w:sz w:val="24"/>
          <w:szCs w:val="24"/>
          <w:highlight w:val="none"/>
          <w:u w:color="000000"/>
          <w:lang w:val="en-US" w:eastAsia="zh-CN" w:bidi="ar"/>
        </w:rPr>
        <w:t>授权委托书</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540" w:lineRule="exact"/>
        <w:ind w:left="0" w:right="0" w:firstLine="720" w:firstLineChars="3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本授权委托书声明：我</w:t>
      </w:r>
      <w:r>
        <w:rPr>
          <w:rFonts w:hint="eastAsia" w:ascii="宋体" w:hAnsi="宋体" w:eastAsia="宋体" w:cs="宋体"/>
          <w:color w:val="000000"/>
          <w:kern w:val="0"/>
          <w:sz w:val="24"/>
          <w:szCs w:val="24"/>
          <w:highlight w:val="none"/>
          <w:u w:val="single" w:color="000000"/>
          <w:lang w:val="en-US" w:eastAsia="zh-CN" w:bidi="ar"/>
        </w:rPr>
        <w:t xml:space="preserve">         （姓名）</w:t>
      </w:r>
      <w:r>
        <w:rPr>
          <w:rFonts w:hint="eastAsia" w:ascii="宋体" w:hAnsi="宋体" w:eastAsia="宋体" w:cs="宋体"/>
          <w:color w:val="000000"/>
          <w:kern w:val="0"/>
          <w:sz w:val="24"/>
          <w:szCs w:val="24"/>
          <w:highlight w:val="none"/>
          <w:u w:color="000000"/>
          <w:lang w:val="en-US" w:eastAsia="zh-CN" w:bidi="ar"/>
        </w:rPr>
        <w:t>系</w:t>
      </w:r>
      <w:r>
        <w:rPr>
          <w:rFonts w:hint="eastAsia" w:ascii="宋体" w:hAnsi="宋体" w:eastAsia="宋体" w:cs="宋体"/>
          <w:color w:val="000000"/>
          <w:kern w:val="0"/>
          <w:sz w:val="24"/>
          <w:szCs w:val="24"/>
          <w:highlight w:val="none"/>
          <w:u w:val="single" w:color="000000"/>
          <w:lang w:val="en-US" w:eastAsia="zh-CN" w:bidi="ar"/>
        </w:rPr>
        <w:t xml:space="preserve">          （投标人名称）</w:t>
      </w:r>
      <w:r>
        <w:rPr>
          <w:rFonts w:hint="eastAsia" w:ascii="宋体" w:hAnsi="宋体" w:eastAsia="宋体" w:cs="宋体"/>
          <w:color w:val="000000"/>
          <w:kern w:val="0"/>
          <w:sz w:val="24"/>
          <w:szCs w:val="24"/>
          <w:highlight w:val="none"/>
          <w:u w:color="000000"/>
          <w:lang w:val="en-US" w:eastAsia="zh-CN" w:bidi="ar"/>
        </w:rPr>
        <w:t>的法定代表人，现授权委托</w:t>
      </w:r>
      <w:r>
        <w:rPr>
          <w:rFonts w:hint="eastAsia" w:ascii="宋体" w:hAnsi="宋体" w:eastAsia="宋体" w:cs="宋体"/>
          <w:color w:val="000000"/>
          <w:kern w:val="0"/>
          <w:sz w:val="24"/>
          <w:szCs w:val="24"/>
          <w:highlight w:val="none"/>
          <w:u w:val="single" w:color="000000"/>
          <w:lang w:val="en-US" w:eastAsia="zh-CN" w:bidi="ar"/>
        </w:rPr>
        <w:t xml:space="preserve">        （单位名称）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（姓名） </w:t>
      </w:r>
      <w:r>
        <w:rPr>
          <w:rFonts w:hint="eastAsia" w:ascii="宋体" w:hAnsi="宋体" w:eastAsia="宋体" w:cs="宋体"/>
          <w:color w:val="000000"/>
          <w:kern w:val="0"/>
          <w:sz w:val="24"/>
          <w:szCs w:val="24"/>
          <w:highlight w:val="none"/>
          <w:u w:color="000000"/>
          <w:lang w:val="en-US" w:eastAsia="zh-CN" w:bidi="ar"/>
        </w:rPr>
        <w:t>为我公司法定代表人授权委托代理人，参加</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的</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工程的投标活动。代理人在投标、开标、评标、合同谈判过程中所签署的一切文件和处理与之有关的一切事务，我均予以承认。</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附：法人及授权委托人身份证</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pPr>
        <w:keepNext w:val="0"/>
        <w:keepLines w:val="0"/>
        <w:pageBreakBefore w:val="0"/>
        <w:kinsoku/>
        <w:wordWrap/>
        <w:overflowPunct/>
        <w:topLinePunct w:val="0"/>
        <w:autoSpaceDE/>
        <w:autoSpaceDN/>
        <w:bidi w:val="0"/>
        <w:adjustRightInd/>
        <w:snapToGrid/>
        <w:spacing w:line="38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pPr>
        <w:keepNext w:val="0"/>
        <w:keepLines w:val="0"/>
        <w:pageBreakBefore w:val="0"/>
        <w:widowControl w:val="0"/>
        <w:kinsoku/>
        <w:wordWrap/>
        <w:overflowPunct/>
        <w:topLinePunct w:val="0"/>
        <w:autoSpaceDE/>
        <w:autoSpaceDN/>
        <w:bidi w:val="0"/>
        <w:adjustRightInd/>
        <w:snapToGrid/>
        <w:spacing w:line="380" w:lineRule="exact"/>
        <w:ind w:firstLine="413" w:firstLineChars="147"/>
        <w:jc w:val="center"/>
        <w:textAlignment w:val="auto"/>
        <w:rPr>
          <w:rFonts w:hint="default" w:ascii="Calibri" w:hAnsi="Calibri" w:cs="Times New Roman"/>
          <w:b/>
          <w:bCs w:val="0"/>
          <w:sz w:val="28"/>
          <w:szCs w:val="28"/>
          <w:highlight w:val="none"/>
          <w:lang w:val="en-US"/>
        </w:rPr>
      </w:pPr>
      <w:r>
        <w:rPr>
          <w:rFonts w:hint="eastAsia"/>
          <w:b/>
          <w:sz w:val="28"/>
          <w:szCs w:val="28"/>
          <w:highlight w:val="none"/>
        </w:rPr>
        <w:t>诚信投标承诺书</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本人以企业法定代表人的身份郑重承诺：</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一、将遵循公开、公正和诚实信用的原则自愿参加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项目的投标，所提供的一切材料都是真实、有效、合法的；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w:t>
      </w:r>
      <w:r>
        <w:rPr>
          <w:rFonts w:hint="eastAsia" w:ascii="宋体" w:hAnsi="宋体"/>
          <w:color w:val="auto"/>
          <w:szCs w:val="21"/>
          <w:highlight w:val="none"/>
          <w:lang w:eastAsia="zh-CN"/>
        </w:rPr>
        <w:t>招标人</w:t>
      </w:r>
      <w:r>
        <w:rPr>
          <w:rFonts w:hint="eastAsia" w:ascii="宋体" w:hAnsi="宋体"/>
          <w:color w:val="auto"/>
          <w:szCs w:val="21"/>
          <w:highlight w:val="none"/>
        </w:rPr>
        <w:t>的合法权益；</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五、不与</w:t>
      </w:r>
      <w:r>
        <w:rPr>
          <w:rFonts w:hint="eastAsia" w:ascii="宋体" w:hAnsi="宋体"/>
          <w:color w:val="auto"/>
          <w:szCs w:val="21"/>
          <w:highlight w:val="none"/>
          <w:lang w:eastAsia="zh-CN"/>
        </w:rPr>
        <w:t>招标人</w:t>
      </w:r>
      <w:r>
        <w:rPr>
          <w:rFonts w:hint="eastAsia" w:ascii="宋体" w:hAnsi="宋体"/>
          <w:color w:val="auto"/>
          <w:szCs w:val="21"/>
          <w:highlight w:val="none"/>
        </w:rPr>
        <w:t>、招标代理机构或其他投标人串通投标，损害国家利益、社会公共利益或者他人的合法权益；</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六、我公司没有下列情形： 1、被人民法院列入失信被执行人的；2、我公司及其法定代表人、拟派项目经理（项目负责人）</w:t>
      </w:r>
      <w:r>
        <w:rPr>
          <w:rFonts w:hint="eastAsia" w:ascii="宋体" w:hAnsi="宋体"/>
          <w:color w:val="auto"/>
          <w:szCs w:val="21"/>
          <w:highlight w:val="none"/>
          <w:lang w:eastAsia="zh-CN"/>
        </w:rPr>
        <w:t>前</w:t>
      </w:r>
      <w:r>
        <w:rPr>
          <w:rFonts w:hint="eastAsia" w:ascii="宋体" w:hAnsi="宋体"/>
          <w:color w:val="auto"/>
          <w:szCs w:val="21"/>
          <w:highlight w:val="none"/>
        </w:rPr>
        <w:t>三年被人民检察院列入行贿犯罪档案的；3、被市场监督管理部门列入经营异常名录或者严重违法企业名单</w:t>
      </w:r>
      <w:r>
        <w:rPr>
          <w:rFonts w:hint="eastAsia" w:ascii="宋体" w:hAnsi="宋体" w:eastAsia="宋体"/>
          <w:color w:val="auto"/>
          <w:sz w:val="21"/>
          <w:szCs w:val="21"/>
          <w:highlight w:val="none"/>
          <w:lang w:eastAsia="zh-CN"/>
        </w:rPr>
        <w:t>，且</w:t>
      </w:r>
      <w:r>
        <w:rPr>
          <w:rFonts w:hint="eastAsia" w:ascii="宋体" w:hAnsi="宋体" w:eastAsia="宋体" w:cs="Times New Roman"/>
          <w:color w:val="auto"/>
          <w:sz w:val="21"/>
          <w:szCs w:val="21"/>
          <w:highlight w:val="none"/>
          <w:vertAlign w:val="baseline"/>
          <w:lang w:val="en-US" w:eastAsia="zh-CN"/>
        </w:rPr>
        <w:t>未被移除</w:t>
      </w:r>
      <w:r>
        <w:rPr>
          <w:rFonts w:hint="eastAsia" w:ascii="宋体" w:hAnsi="宋体"/>
          <w:color w:val="auto"/>
          <w:szCs w:val="21"/>
          <w:highlight w:val="none"/>
        </w:rPr>
        <w:t>的；4、被税收部门列入重大税收违法案件当事人的；5、被政府采购监管部门列入政府采购严重违法失信行为记录名单的；6、在“信用中国”网站上披露仍在公示期的严重失信行为的；7、参与政府采购活动前3年在经营活动中有重大违法记录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eastAsia="宋体"/>
          <w:color w:val="auto"/>
          <w:highlight w:val="none"/>
          <w:lang w:eastAsia="zh-CN"/>
        </w:rPr>
      </w:pPr>
      <w:r>
        <w:rPr>
          <w:rFonts w:hint="eastAsia" w:ascii="宋体" w:hAnsi="宋体"/>
          <w:color w:val="auto"/>
          <w:szCs w:val="21"/>
          <w:highlight w:val="none"/>
          <w:lang w:eastAsia="zh-CN"/>
        </w:rPr>
        <w:t>七、</w:t>
      </w:r>
      <w:r>
        <w:rPr>
          <w:rFonts w:hint="eastAsia" w:ascii="宋体" w:hAnsi="宋体"/>
          <w:color w:val="auto"/>
          <w:szCs w:val="21"/>
          <w:highlight w:val="none"/>
        </w:rPr>
        <w:t>我公司没有下列情形：被滁州市县两级公管部门记入不良行为记录且在披露期内</w:t>
      </w:r>
      <w:r>
        <w:rPr>
          <w:rFonts w:hint="eastAsia" w:ascii="宋体" w:hAnsi="宋体"/>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eastAsia="zh-CN"/>
        </w:rPr>
        <w:t>八</w:t>
      </w:r>
      <w:r>
        <w:rPr>
          <w:rFonts w:hint="eastAsia" w:ascii="宋体" w:hAnsi="宋体"/>
          <w:color w:val="auto"/>
          <w:szCs w:val="21"/>
          <w:highlight w:val="none"/>
        </w:rPr>
        <w:t>、严格遵守开标现场纪律，服从监管人员管理；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eastAsia="zh-CN"/>
        </w:rPr>
        <w:t>九</w:t>
      </w:r>
      <w:r>
        <w:rPr>
          <w:rFonts w:hint="eastAsia" w:ascii="宋体" w:hAnsi="宋体"/>
          <w:color w:val="auto"/>
          <w:szCs w:val="21"/>
          <w:highlight w:val="none"/>
        </w:rPr>
        <w:t>、保证中标后不转包，若有分包征得</w:t>
      </w:r>
      <w:r>
        <w:rPr>
          <w:rFonts w:hint="eastAsia" w:ascii="宋体" w:hAnsi="宋体"/>
          <w:color w:val="auto"/>
          <w:szCs w:val="21"/>
          <w:highlight w:val="none"/>
          <w:lang w:eastAsia="zh-CN"/>
        </w:rPr>
        <w:t>招标人</w:t>
      </w:r>
      <w:r>
        <w:rPr>
          <w:rFonts w:hint="eastAsia" w:ascii="宋体" w:hAnsi="宋体"/>
          <w:color w:val="auto"/>
          <w:szCs w:val="21"/>
          <w:highlight w:val="none"/>
        </w:rPr>
        <w:t>同意；</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eastAsia="zh-CN"/>
        </w:rPr>
        <w:t>十</w:t>
      </w:r>
      <w:r>
        <w:rPr>
          <w:rFonts w:hint="eastAsia" w:ascii="宋体" w:hAnsi="宋体"/>
          <w:color w:val="auto"/>
          <w:szCs w:val="21"/>
          <w:highlight w:val="none"/>
        </w:rPr>
        <w:t>、保证中标之后，按照投标文件要求提供相关后续服务；</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十</w:t>
      </w:r>
      <w:r>
        <w:rPr>
          <w:rFonts w:hint="eastAsia" w:ascii="宋体" w:hAnsi="宋体"/>
          <w:color w:val="auto"/>
          <w:szCs w:val="21"/>
          <w:highlight w:val="none"/>
          <w:lang w:eastAsia="zh-CN"/>
        </w:rPr>
        <w:t>一</w:t>
      </w:r>
      <w:r>
        <w:rPr>
          <w:rFonts w:hint="eastAsia" w:ascii="宋体" w:hAnsi="宋体"/>
          <w:color w:val="auto"/>
          <w:szCs w:val="21"/>
          <w:highlight w:val="none"/>
        </w:rPr>
        <w:t>、保证企业及所属相关人员在本次投标中无行贿等犯罪行为；</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十</w:t>
      </w:r>
      <w:r>
        <w:rPr>
          <w:rFonts w:hint="eastAsia" w:ascii="宋体" w:hAnsi="宋体"/>
          <w:color w:val="auto"/>
          <w:szCs w:val="21"/>
          <w:highlight w:val="none"/>
          <w:lang w:eastAsia="zh-CN"/>
        </w:rPr>
        <w:t>二</w:t>
      </w:r>
      <w:r>
        <w:rPr>
          <w:rFonts w:hint="eastAsia" w:ascii="宋体" w:hAnsi="宋体"/>
          <w:color w:val="auto"/>
          <w:szCs w:val="21"/>
          <w:highlight w:val="none"/>
        </w:rPr>
        <w:t>、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以上内容我已仔细阅读，本公司若有违反承诺内容的行为，自愿接受取消投标或者中标资格、记入不良行为记录等有关处理，愿意承担法律责任，给</w:t>
      </w:r>
      <w:r>
        <w:rPr>
          <w:rFonts w:hint="eastAsia" w:ascii="宋体" w:hAnsi="宋体"/>
          <w:color w:val="auto"/>
          <w:szCs w:val="21"/>
          <w:highlight w:val="none"/>
          <w:lang w:eastAsia="zh-CN"/>
        </w:rPr>
        <w:t>招标人</w:t>
      </w:r>
      <w:r>
        <w:rPr>
          <w:rFonts w:hint="eastAsia" w:ascii="宋体" w:hAnsi="宋体"/>
          <w:color w:val="auto"/>
          <w:szCs w:val="21"/>
          <w:highlight w:val="none"/>
        </w:rPr>
        <w:t>造成损失的，依法承担赔偿责任。</w:t>
      </w:r>
    </w:p>
    <w:p>
      <w:pPr>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szCs w:val="21"/>
          <w:highlight w:val="none"/>
        </w:rPr>
      </w:pPr>
      <w:r>
        <w:rPr>
          <w:rFonts w:hint="eastAsia" w:ascii="宋体" w:hAnsi="宋体"/>
          <w:color w:val="auto"/>
          <w:szCs w:val="21"/>
          <w:highlight w:val="none"/>
        </w:rPr>
        <w:t> </w:t>
      </w:r>
      <w:r>
        <w:rPr>
          <w:rFonts w:hint="eastAsia" w:ascii="宋体" w:hAnsi="宋体"/>
          <w:szCs w:val="21"/>
          <w:highlight w:val="none"/>
        </w:rPr>
        <w:t>开户银行：                          基本账户：</w:t>
      </w:r>
    </w:p>
    <w:p>
      <w:pPr>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szCs w:val="21"/>
          <w:highlight w:val="none"/>
        </w:rPr>
      </w:pPr>
      <w:r>
        <w:rPr>
          <w:rFonts w:hint="eastAsia" w:ascii="宋体" w:hAnsi="宋体"/>
          <w:szCs w:val="21"/>
          <w:highlight w:val="none"/>
        </w:rPr>
        <w:t>投标单位（签章或盖章）：          法定代表人（签字或签章）：</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exact"/>
        <w:ind w:left="0" w:right="0" w:firstLine="420" w:firstLineChars="200"/>
        <w:jc w:val="both"/>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r>
        <w:rPr>
          <w:rFonts w:hint="eastAsia" w:ascii="宋体" w:hAnsi="宋体" w:eastAsia="宋体" w:cs="宋体"/>
          <w:color w:val="000000"/>
          <w:kern w:val="0"/>
          <w:sz w:val="21"/>
          <w:szCs w:val="21"/>
          <w:highlight w:val="none"/>
          <w:u w:color="000000"/>
          <w:lang w:val="en-US" w:eastAsia="zh-CN" w:bidi="ar"/>
        </w:rPr>
        <w:t xml:space="preserve"> </w:t>
      </w:r>
    </w:p>
    <w:p>
      <w:pPr>
        <w:keepNext/>
        <w:keepLines/>
        <w:spacing w:line="720" w:lineRule="auto"/>
        <w:jc w:val="both"/>
        <w:outlineLvl w:val="2"/>
        <w:rPr>
          <w:rFonts w:hint="eastAsia"/>
          <w:b/>
          <w:bCs/>
          <w:sz w:val="28"/>
          <w:szCs w:val="28"/>
          <w:highlight w:val="none"/>
          <w:lang w:val="en-US" w:eastAsia="zh-CN"/>
        </w:rPr>
      </w:pPr>
      <w:r>
        <w:rPr>
          <w:rFonts w:hint="eastAsia" w:ascii="宋体" w:hAnsi="宋体" w:eastAsia="宋体" w:cs="宋体"/>
          <w:color w:val="000000"/>
          <w:kern w:val="0"/>
          <w:sz w:val="21"/>
          <w:szCs w:val="21"/>
          <w:highlight w:val="none"/>
          <w:u w:color="000000"/>
          <w:lang w:val="en-US" w:eastAsia="zh-CN" w:bidi="ar"/>
        </w:rPr>
        <w:br w:type="page"/>
      </w:r>
      <w:r>
        <w:rPr>
          <w:rFonts w:hint="eastAsia"/>
          <w:b/>
          <w:bCs/>
          <w:sz w:val="28"/>
          <w:szCs w:val="28"/>
          <w:highlight w:val="none"/>
          <w:lang w:val="en-US" w:eastAsia="zh-CN"/>
        </w:rPr>
        <w:t>附件3：</w:t>
      </w:r>
    </w:p>
    <w:p>
      <w:pPr>
        <w:keepNext/>
        <w:keepLines/>
        <w:spacing w:line="720" w:lineRule="auto"/>
        <w:jc w:val="center"/>
        <w:outlineLvl w:val="2"/>
        <w:rPr>
          <w:b/>
          <w:bCs/>
          <w:sz w:val="28"/>
          <w:szCs w:val="28"/>
          <w:highlight w:val="none"/>
        </w:rPr>
      </w:pPr>
      <w:r>
        <w:rPr>
          <w:rFonts w:hint="eastAsia"/>
          <w:b/>
          <w:bCs/>
          <w:sz w:val="28"/>
          <w:szCs w:val="28"/>
          <w:highlight w:val="none"/>
        </w:rPr>
        <w:t>服务承诺书</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若发现有偏离且不能按招标人要求调整的，招标人有权终止合同重新招标，我方承担因此产生的所有经济及工期责任。</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rPr>
        <w:t>特此声明。</w:t>
      </w:r>
    </w:p>
    <w:p>
      <w:pPr>
        <w:spacing w:line="720" w:lineRule="auto"/>
        <w:rPr>
          <w:rFonts w:ascii="宋体" w:hAnsi="宋体"/>
          <w:color w:val="000000"/>
          <w:sz w:val="24"/>
          <w:highlight w:val="none"/>
        </w:rPr>
      </w:pPr>
      <w:r>
        <w:rPr>
          <w:rFonts w:hint="eastAsia" w:ascii="宋体" w:hAnsi="宋体"/>
          <w:color w:val="000000"/>
          <w:sz w:val="24"/>
          <w:highlight w:val="none"/>
        </w:rPr>
        <w:t> </w:t>
      </w:r>
    </w:p>
    <w:p>
      <w:pPr>
        <w:spacing w:line="720" w:lineRule="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（签章）       </w:t>
      </w:r>
    </w:p>
    <w:p>
      <w:pPr>
        <w:spacing w:line="720" w:lineRule="auto"/>
        <w:rPr>
          <w:rFonts w:ascii="宋体" w:hAnsi="宋体"/>
          <w:color w:val="000000"/>
          <w:sz w:val="24"/>
          <w:highlight w:val="none"/>
          <w:u w:val="single"/>
        </w:rPr>
      </w:pPr>
      <w:r>
        <w:rPr>
          <w:rFonts w:hint="eastAsia" w:ascii="宋体" w:hAnsi="宋体"/>
          <w:color w:val="000000"/>
          <w:sz w:val="24"/>
          <w:highlight w:val="none"/>
        </w:rPr>
        <w:t>                                    投标单位名称：</w:t>
      </w:r>
      <w:r>
        <w:rPr>
          <w:rFonts w:hint="eastAsia" w:ascii="宋体" w:hAnsi="宋体"/>
          <w:color w:val="000000"/>
          <w:sz w:val="24"/>
          <w:highlight w:val="none"/>
          <w:u w:val="single"/>
        </w:rPr>
        <w:t xml:space="preserve">        （签章）    </w:t>
      </w:r>
    </w:p>
    <w:p>
      <w:pPr>
        <w:spacing w:line="720" w:lineRule="auto"/>
        <w:ind w:firstLine="4560" w:firstLineChars="1900"/>
        <w:jc w:val="left"/>
        <w:rPr>
          <w:rFonts w:hint="eastAsia"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pPr>
        <w:rPr>
          <w:highlight w:val="none"/>
        </w:rPr>
      </w:pPr>
      <w:r>
        <w:rPr>
          <w:highlight w:val="none"/>
        </w:rPr>
        <w:br w:type="page"/>
      </w:r>
    </w:p>
    <w:p>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p>
    <w:p>
      <w:pPr>
        <w:pStyle w:val="36"/>
        <w:rPr>
          <w:rFonts w:hint="eastAsia" w:ascii="黑体" w:hAnsi="宋体" w:eastAsia="黑体" w:cs="黑体"/>
          <w:sz w:val="20"/>
          <w:szCs w:val="20"/>
          <w:highlight w:val="none"/>
          <w:lang w:val="en-US"/>
        </w:rPr>
      </w:pPr>
    </w:p>
    <w:p>
      <w:pPr>
        <w:pStyle w:val="36"/>
        <w:rPr>
          <w:rFonts w:hint="eastAsia" w:ascii="黑体" w:hAnsi="宋体" w:eastAsia="黑体" w:cs="黑体"/>
          <w:sz w:val="20"/>
          <w:szCs w:val="20"/>
          <w:highlight w:val="none"/>
          <w:lang w:val="en-US"/>
        </w:rPr>
      </w:pPr>
    </w:p>
    <w:p>
      <w:pPr>
        <w:pStyle w:val="36"/>
        <w:rPr>
          <w:rFonts w:hint="eastAsia" w:ascii="黑体" w:hAnsi="宋体" w:eastAsia="黑体" w:cs="黑体"/>
          <w:sz w:val="20"/>
          <w:szCs w:val="20"/>
          <w:highlight w:val="none"/>
          <w:lang w:val="en-US"/>
        </w:rPr>
      </w:pPr>
    </w:p>
    <w:p>
      <w:pPr>
        <w:pStyle w:val="36"/>
        <w:rPr>
          <w:rFonts w:hint="eastAsia" w:ascii="黑体" w:hAnsi="宋体" w:eastAsia="黑体" w:cs="黑体"/>
          <w:sz w:val="20"/>
          <w:szCs w:val="20"/>
          <w:highlight w:val="none"/>
          <w:lang w:val="en-US"/>
        </w:rPr>
      </w:pPr>
    </w:p>
    <w:p>
      <w:pPr>
        <w:pStyle w:val="36"/>
        <w:rPr>
          <w:rFonts w:hint="eastAsia" w:ascii="黑体" w:hAnsi="宋体" w:eastAsia="黑体" w:cs="黑体"/>
          <w:sz w:val="20"/>
          <w:szCs w:val="20"/>
          <w:highlight w:val="none"/>
          <w:lang w:val="en-US"/>
        </w:rPr>
      </w:pPr>
    </w:p>
    <w:p>
      <w:pPr>
        <w:jc w:val="center"/>
        <w:rPr>
          <w:rFonts w:hint="eastAsia" w:ascii="宋体"/>
          <w:b/>
          <w:color w:val="auto"/>
          <w:sz w:val="44"/>
          <w:szCs w:val="44"/>
          <w:highlight w:val="none"/>
        </w:rPr>
      </w:pPr>
      <w:r>
        <w:rPr>
          <w:rFonts w:hint="eastAsia" w:ascii="宋体"/>
          <w:b/>
          <w:color w:val="auto"/>
          <w:sz w:val="44"/>
          <w:szCs w:val="44"/>
          <w:highlight w:val="none"/>
          <w:lang w:val="en-US" w:eastAsia="zh-CN"/>
        </w:rPr>
        <w:t>技术标</w:t>
      </w:r>
    </w:p>
    <w:p>
      <w:pPr>
        <w:jc w:val="center"/>
        <w:rPr>
          <w:rFonts w:hint="eastAsia" w:ascii="宋体"/>
          <w:color w:val="auto"/>
          <w:sz w:val="32"/>
          <w:szCs w:val="32"/>
          <w:highlight w:val="none"/>
        </w:rPr>
      </w:pPr>
      <w:r>
        <w:rPr>
          <w:rFonts w:hint="eastAsia" w:ascii="宋体"/>
          <w:color w:val="auto"/>
          <w:sz w:val="32"/>
          <w:szCs w:val="32"/>
          <w:highlight w:val="none"/>
        </w:rPr>
        <w:t>（投标文件</w:t>
      </w:r>
      <w:r>
        <w:rPr>
          <w:rFonts w:hint="eastAsia" w:ascii="宋体"/>
          <w:color w:val="auto"/>
          <w:sz w:val="32"/>
          <w:szCs w:val="32"/>
          <w:highlight w:val="none"/>
          <w:lang w:val="en-US" w:eastAsia="zh-CN"/>
        </w:rPr>
        <w:t>二</w:t>
      </w:r>
      <w:r>
        <w:rPr>
          <w:rFonts w:hint="eastAsia" w:ascii="宋体"/>
          <w:color w:val="auto"/>
          <w:sz w:val="32"/>
          <w:szCs w:val="32"/>
          <w:highlight w:val="none"/>
        </w:rPr>
        <w:t>）</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项目名称：</w:t>
      </w:r>
      <w:r>
        <w:rPr>
          <w:rFonts w:hint="eastAsia" w:ascii="宋体" w:hAnsi="宋体" w:eastAsia="宋体" w:cs="宋体"/>
          <w:color w:val="000000"/>
          <w:kern w:val="0"/>
          <w:sz w:val="28"/>
          <w:szCs w:val="28"/>
          <w:highlight w:val="none"/>
          <w:u w:val="single"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25"/>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21"/>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keepNext w:val="0"/>
        <w:keepLines w:val="0"/>
        <w:widowControl/>
        <w:suppressLineNumbers w:val="0"/>
        <w:snapToGrid w:val="0"/>
        <w:spacing w:before="0" w:beforeAutospacing="0" w:after="0" w:afterAutospacing="0" w:line="460" w:lineRule="exact"/>
        <w:ind w:left="2940" w:leftChars="1400" w:right="0" w:firstLine="964" w:firstLineChars="300"/>
        <w:jc w:val="both"/>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pPr>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30"/>
          <w:szCs w:val="30"/>
          <w:highlight w:val="none"/>
          <w:u w:color="000000"/>
          <w:lang w:val="en-US" w:eastAsia="zh-CN" w:bidi="ar"/>
        </w:rPr>
        <w:br w:type="page"/>
      </w:r>
    </w:p>
    <w:p>
      <w:pPr>
        <w:spacing w:line="400" w:lineRule="exact"/>
        <w:jc w:val="center"/>
        <w:rPr>
          <w:rFonts w:hint="eastAsia"/>
          <w:b/>
          <w:color w:val="auto"/>
          <w:sz w:val="36"/>
          <w:szCs w:val="36"/>
          <w:highlight w:val="none"/>
        </w:rPr>
      </w:pPr>
    </w:p>
    <w:p>
      <w:pPr>
        <w:spacing w:line="400" w:lineRule="exact"/>
        <w:jc w:val="center"/>
        <w:rPr>
          <w:rFonts w:hint="eastAsia"/>
          <w:b/>
          <w:color w:val="auto"/>
          <w:sz w:val="36"/>
          <w:szCs w:val="36"/>
          <w:highlight w:val="none"/>
        </w:rPr>
      </w:pPr>
      <w:r>
        <w:rPr>
          <w:rFonts w:hint="eastAsia"/>
          <w:b/>
          <w:color w:val="auto"/>
          <w:sz w:val="36"/>
          <w:szCs w:val="36"/>
          <w:highlight w:val="none"/>
        </w:rPr>
        <w:t>目   录</w:t>
      </w:r>
    </w:p>
    <w:p>
      <w:pPr>
        <w:spacing w:line="360" w:lineRule="auto"/>
        <w:ind w:firstLine="420" w:firstLineChars="200"/>
        <w:rPr>
          <w:rFonts w:hint="eastAsia" w:ascii="宋体" w:hAnsi="Times New Roman" w:eastAsia="宋体" w:cs="Times New Roman"/>
          <w:color w:val="auto"/>
          <w:szCs w:val="21"/>
          <w:highlight w:val="none"/>
        </w:rPr>
      </w:pPr>
    </w:p>
    <w:p>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总体理解</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分析报告编制</w:t>
      </w:r>
      <w:r>
        <w:rPr>
          <w:rFonts w:hint="eastAsia" w:ascii="宋体" w:hAnsi="Times New Roman" w:eastAsia="宋体" w:cs="Times New Roman"/>
          <w:color w:val="auto"/>
          <w:szCs w:val="21"/>
          <w:highlight w:val="none"/>
          <w:lang w:eastAsia="zh-CN"/>
        </w:rPr>
        <w:t>；</w:t>
      </w:r>
    </w:p>
    <w:p>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作业组织方案计划合理</w:t>
      </w:r>
      <w:r>
        <w:rPr>
          <w:rFonts w:hint="eastAsia" w:ascii="宋体" w:hAnsi="Times New Roman" w:eastAsia="宋体" w:cs="Times New Roman"/>
          <w:color w:val="auto"/>
          <w:szCs w:val="21"/>
          <w:highlight w:val="none"/>
          <w:lang w:eastAsia="zh-CN"/>
        </w:rPr>
        <w:t>。</w:t>
      </w:r>
      <w:bookmarkStart w:id="82" w:name="_GoBack"/>
      <w:bookmarkEnd w:id="82"/>
    </w:p>
    <w:p>
      <w:pPr>
        <w:spacing w:line="400" w:lineRule="exact"/>
        <w:ind w:firstLine="562" w:firstLineChars="200"/>
        <w:rPr>
          <w:rFonts w:hint="eastAsia"/>
          <w:b/>
          <w:color w:val="auto"/>
          <w:sz w:val="28"/>
          <w:szCs w:val="28"/>
          <w:highlight w:val="none"/>
        </w:rPr>
      </w:pPr>
    </w:p>
    <w:p>
      <w:pPr>
        <w:spacing w:line="400" w:lineRule="exact"/>
        <w:ind w:firstLine="562" w:firstLineChars="200"/>
        <w:rPr>
          <w:rFonts w:hint="eastAsia"/>
          <w:b/>
          <w:color w:val="auto"/>
          <w:sz w:val="28"/>
          <w:szCs w:val="28"/>
          <w:highlight w:val="none"/>
        </w:rPr>
      </w:pPr>
    </w:p>
    <w:p>
      <w:pPr>
        <w:spacing w:line="400" w:lineRule="exact"/>
        <w:ind w:firstLine="562" w:firstLineChars="200"/>
        <w:rPr>
          <w:rFonts w:hint="eastAsia"/>
          <w:b/>
          <w:color w:val="auto"/>
          <w:sz w:val="28"/>
          <w:szCs w:val="28"/>
          <w:highlight w:val="none"/>
        </w:rPr>
      </w:pPr>
    </w:p>
    <w:p>
      <w:pPr>
        <w:rPr>
          <w:rFonts w:hint="eastAsia" w:ascii="宋体" w:hAnsi="宋体" w:eastAsia="宋体" w:cs="宋体"/>
          <w:b/>
          <w:bCs w:val="0"/>
          <w:color w:val="000000"/>
          <w:kern w:val="0"/>
          <w:sz w:val="32"/>
          <w:szCs w:val="32"/>
          <w:highlight w:val="none"/>
          <w:u w:color="000000"/>
          <w:lang w:val="en-US" w:eastAsia="zh-CN" w:bidi="ar"/>
        </w:rPr>
      </w:pPr>
      <w:r>
        <w:rPr>
          <w:rFonts w:hint="eastAsia" w:ascii="宋体" w:hAnsi="宋体" w:eastAsia="宋体" w:cs="宋体"/>
          <w:b/>
          <w:bCs w:val="0"/>
          <w:color w:val="000000"/>
          <w:kern w:val="0"/>
          <w:sz w:val="32"/>
          <w:szCs w:val="32"/>
          <w:highlight w:val="none"/>
          <w:u w:color="000000"/>
          <w:lang w:val="en-US" w:eastAsia="zh-CN" w:bidi="ar"/>
        </w:rPr>
        <w:br w:type="page"/>
      </w:r>
    </w:p>
    <w:p>
      <w:pPr>
        <w:pStyle w:val="36"/>
        <w:rPr>
          <w:rFonts w:hint="eastAsia" w:ascii="黑体" w:hAnsi="宋体" w:eastAsia="黑体" w:cs="黑体"/>
          <w:sz w:val="20"/>
          <w:szCs w:val="20"/>
          <w:highlight w:val="none"/>
          <w:lang w:val="en-US"/>
        </w:rPr>
      </w:pPr>
    </w:p>
    <w:p>
      <w:pPr>
        <w:pStyle w:val="36"/>
        <w:rPr>
          <w:rFonts w:hint="eastAsia" w:ascii="黑体" w:hAnsi="宋体" w:eastAsia="黑体" w:cs="黑体"/>
          <w:sz w:val="20"/>
          <w:szCs w:val="20"/>
          <w:highlight w:val="none"/>
          <w:lang w:val="en-US"/>
        </w:rPr>
      </w:pPr>
    </w:p>
    <w:p>
      <w:pPr>
        <w:pStyle w:val="36"/>
        <w:rPr>
          <w:rFonts w:hint="eastAsia" w:ascii="黑体" w:hAnsi="宋体" w:eastAsia="黑体" w:cs="黑体"/>
          <w:sz w:val="20"/>
          <w:szCs w:val="20"/>
          <w:highlight w:val="none"/>
          <w:lang w:val="en-US"/>
        </w:rPr>
      </w:pPr>
    </w:p>
    <w:p>
      <w:pPr>
        <w:jc w:val="center"/>
        <w:rPr>
          <w:rFonts w:hint="eastAsia" w:ascii="宋体"/>
          <w:b/>
          <w:color w:val="auto"/>
          <w:sz w:val="44"/>
          <w:szCs w:val="44"/>
          <w:highlight w:val="none"/>
        </w:rPr>
      </w:pPr>
      <w:r>
        <w:rPr>
          <w:rFonts w:hint="eastAsia" w:ascii="宋体"/>
          <w:b/>
          <w:color w:val="auto"/>
          <w:sz w:val="44"/>
          <w:szCs w:val="44"/>
          <w:highlight w:val="none"/>
          <w:lang w:val="en-US" w:eastAsia="zh-CN"/>
        </w:rPr>
        <w:t>商务标</w:t>
      </w:r>
    </w:p>
    <w:p>
      <w:pPr>
        <w:jc w:val="center"/>
        <w:rPr>
          <w:rFonts w:hint="eastAsia" w:ascii="宋体"/>
          <w:color w:val="auto"/>
          <w:sz w:val="32"/>
          <w:szCs w:val="32"/>
          <w:highlight w:val="none"/>
        </w:rPr>
      </w:pPr>
      <w:r>
        <w:rPr>
          <w:rFonts w:hint="eastAsia" w:ascii="宋体"/>
          <w:color w:val="auto"/>
          <w:sz w:val="32"/>
          <w:szCs w:val="32"/>
          <w:highlight w:val="none"/>
        </w:rPr>
        <w:t>（投标文件</w:t>
      </w:r>
      <w:r>
        <w:rPr>
          <w:rFonts w:hint="eastAsia" w:ascii="宋体"/>
          <w:color w:val="auto"/>
          <w:sz w:val="32"/>
          <w:szCs w:val="32"/>
          <w:highlight w:val="none"/>
          <w:lang w:val="en-US" w:eastAsia="zh-CN"/>
        </w:rPr>
        <w:t>三</w:t>
      </w:r>
      <w:r>
        <w:rPr>
          <w:rFonts w:hint="eastAsia" w:ascii="宋体"/>
          <w:color w:val="auto"/>
          <w:sz w:val="32"/>
          <w:szCs w:val="32"/>
          <w:highlight w:val="none"/>
        </w:rPr>
        <w:t>）</w:t>
      </w:r>
    </w:p>
    <w:p>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r>
        <w:rPr>
          <w:rFonts w:hint="eastAsia" w:ascii="黑体" w:hAnsi="宋体" w:eastAsia="黑体" w:cs="黑体"/>
          <w:color w:val="000000"/>
          <w:kern w:val="0"/>
          <w:sz w:val="44"/>
          <w:szCs w:val="4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项目名称：</w:t>
      </w:r>
      <w:r>
        <w:rPr>
          <w:rFonts w:hint="eastAsia" w:ascii="宋体" w:hAnsi="宋体" w:eastAsia="宋体" w:cs="宋体"/>
          <w:color w:val="000000"/>
          <w:kern w:val="0"/>
          <w:sz w:val="28"/>
          <w:szCs w:val="28"/>
          <w:highlight w:val="none"/>
          <w:u w:val="single"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pStyle w:val="25"/>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pPr>
        <w:pStyle w:val="21"/>
        <w:widowControl/>
        <w:rPr>
          <w:highlight w:val="none"/>
          <w:lang w:val="en-US"/>
        </w:rPr>
      </w:pPr>
      <w:r>
        <w:rPr>
          <w:highlight w:val="none"/>
          <w:lang w:val="en-US"/>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pPr>
        <w:rPr>
          <w:rFonts w:hint="eastAsia" w:ascii="宋体" w:hAnsi="宋体" w:eastAsia="宋体" w:cs="宋体"/>
          <w:b/>
          <w:bCs w:val="0"/>
          <w:color w:val="000000"/>
          <w:kern w:val="0"/>
          <w:sz w:val="32"/>
          <w:szCs w:val="32"/>
          <w:highlight w:val="none"/>
          <w:u w:color="000000"/>
          <w:lang w:val="en-US" w:eastAsia="zh-CN" w:bidi="ar"/>
        </w:rPr>
      </w:pPr>
      <w:r>
        <w:rPr>
          <w:rFonts w:hint="eastAsia" w:ascii="宋体" w:hAnsi="宋体" w:eastAsia="宋体" w:cs="宋体"/>
          <w:b/>
          <w:bCs w:val="0"/>
          <w:color w:val="000000"/>
          <w:kern w:val="0"/>
          <w:sz w:val="32"/>
          <w:szCs w:val="32"/>
          <w:highlight w:val="none"/>
          <w:u w:color="000000"/>
          <w:lang w:val="en-US" w:eastAsia="zh-CN" w:bidi="ar"/>
        </w:rPr>
        <w:br w:type="page"/>
      </w:r>
    </w:p>
    <w:p>
      <w:pPr>
        <w:spacing w:line="400" w:lineRule="exact"/>
        <w:jc w:val="center"/>
        <w:rPr>
          <w:b/>
          <w:color w:val="auto"/>
          <w:sz w:val="36"/>
          <w:szCs w:val="36"/>
          <w:highlight w:val="none"/>
        </w:rPr>
      </w:pPr>
    </w:p>
    <w:p>
      <w:pPr>
        <w:pStyle w:val="36"/>
        <w:rPr>
          <w:b/>
          <w:color w:val="auto"/>
          <w:sz w:val="36"/>
          <w:szCs w:val="36"/>
          <w:highlight w:val="none"/>
        </w:rPr>
      </w:pPr>
    </w:p>
    <w:p>
      <w:pPr>
        <w:pStyle w:val="36"/>
        <w:rPr>
          <w:b/>
          <w:color w:val="auto"/>
          <w:sz w:val="36"/>
          <w:szCs w:val="36"/>
          <w:highlight w:val="none"/>
        </w:rPr>
      </w:pPr>
    </w:p>
    <w:p>
      <w:pPr>
        <w:spacing w:line="400" w:lineRule="exact"/>
        <w:jc w:val="center"/>
        <w:rPr>
          <w:rFonts w:hint="eastAsia"/>
          <w:b/>
          <w:color w:val="auto"/>
          <w:sz w:val="36"/>
          <w:szCs w:val="36"/>
          <w:highlight w:val="none"/>
        </w:rPr>
      </w:pPr>
      <w:r>
        <w:rPr>
          <w:rFonts w:hint="eastAsia"/>
          <w:b/>
          <w:color w:val="auto"/>
          <w:sz w:val="36"/>
          <w:szCs w:val="36"/>
          <w:highlight w:val="none"/>
        </w:rPr>
        <w:t>目   录</w:t>
      </w:r>
    </w:p>
    <w:p>
      <w:pPr>
        <w:spacing w:line="400" w:lineRule="exact"/>
        <w:ind w:firstLine="4130" w:firstLineChars="935"/>
        <w:rPr>
          <w:rFonts w:hint="eastAsia"/>
          <w:b/>
          <w:color w:val="auto"/>
          <w:sz w:val="44"/>
          <w:szCs w:val="44"/>
          <w:highlight w:val="none"/>
        </w:rPr>
      </w:pP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（1）开标一览表（格式见附件）；</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（2）投标函（以此投标函为准，格式见附件）；</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（3）</w:t>
      </w:r>
      <w:r>
        <w:rPr>
          <w:rFonts w:hint="eastAsia" w:ascii="宋体"/>
          <w:szCs w:val="21"/>
          <w:highlight w:val="none"/>
        </w:rPr>
        <w:t>招标文件商务评审中要求提供的其他相关资料；</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（4）投标人认为需要提供的其他材料。</w:t>
      </w:r>
    </w:p>
    <w:p>
      <w:pPr>
        <w:rPr>
          <w:rFonts w:hint="eastAsia" w:ascii="宋体"/>
          <w:b/>
          <w:color w:val="auto"/>
          <w:sz w:val="28"/>
          <w:szCs w:val="28"/>
          <w:highlight w:val="none"/>
        </w:rPr>
      </w:pPr>
      <w:r>
        <w:rPr>
          <w:rFonts w:hint="eastAsia" w:ascii="宋体"/>
          <w:b/>
          <w:color w:val="auto"/>
          <w:sz w:val="28"/>
          <w:szCs w:val="28"/>
          <w:highlight w:val="none"/>
        </w:rPr>
        <w:br w:type="page"/>
      </w:r>
    </w:p>
    <w:p>
      <w:pPr>
        <w:jc w:val="center"/>
        <w:rPr>
          <w:rFonts w:hint="eastAsia" w:ascii="宋体"/>
          <w:b/>
          <w:color w:val="auto"/>
          <w:sz w:val="28"/>
          <w:szCs w:val="28"/>
          <w:highlight w:val="none"/>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72" w:firstLineChars="147"/>
        <w:jc w:val="center"/>
        <w:textAlignment w:val="auto"/>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（1） </w:t>
      </w:r>
      <w:r>
        <w:rPr>
          <w:rFonts w:hint="eastAsia" w:ascii="宋体" w:hAnsi="宋体" w:eastAsia="宋体" w:cs="宋体"/>
          <w:b/>
          <w:bCs w:val="0"/>
          <w:color w:val="000000"/>
          <w:kern w:val="0"/>
          <w:sz w:val="36"/>
          <w:szCs w:val="36"/>
          <w:highlight w:val="none"/>
          <w:u w:color="000000"/>
          <w:lang w:val="en-US" w:eastAsia="zh-CN" w:bidi="ar"/>
        </w:rPr>
        <w:t>开标一览表</w:t>
      </w:r>
    </w:p>
    <w:p>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widowControl/>
        <w:suppressLineNumbers w:val="0"/>
        <w:snapToGrid w:val="0"/>
        <w:spacing w:before="0" w:beforeAutospacing="0" w:after="0" w:afterAutospacing="0" w:line="460" w:lineRule="exact"/>
        <w:ind w:left="2940" w:leftChars="1400" w:right="0" w:firstLine="720" w:firstLineChars="3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tbl>
      <w:tblPr>
        <w:tblStyle w:val="2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pPr>
              <w:pStyle w:val="15"/>
              <w:widowControl/>
              <w:spacing w:line="460" w:lineRule="exact"/>
              <w:ind w:left="86" w:leftChars="41"/>
              <w:rPr>
                <w:rFonts w:hint="eastAsia" w:ascii="宋体" w:hAnsi="Arial" w:eastAsia="宋体" w:cs="宋体"/>
                <w:sz w:val="24"/>
                <w:szCs w:val="24"/>
                <w:highlight w:val="none"/>
                <w:lang w:val="en-U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pPr>
              <w:keepNext w:val="0"/>
              <w:keepLines w:val="0"/>
              <w:suppressLineNumbers w:val="0"/>
              <w:spacing w:before="0" w:beforeAutospacing="0" w:after="0" w:afterAutospacing="0" w:line="360" w:lineRule="auto"/>
              <w:ind w:left="0" w:right="0"/>
              <w:rPr>
                <w:rFonts w:hint="default" w:ascii="宋体"/>
                <w:color w:val="000000"/>
                <w:sz w:val="24"/>
                <w:highlight w:val="none"/>
              </w:rPr>
            </w:pPr>
            <w:r>
              <w:rPr>
                <w:rFonts w:hint="eastAsia" w:ascii="宋体"/>
                <w:color w:val="000000"/>
                <w:sz w:val="24"/>
                <w:highlight w:val="none"/>
              </w:rPr>
              <w:t>总投标价（大写）：</w:t>
            </w:r>
            <w:r>
              <w:rPr>
                <w:rFonts w:hint="eastAsia" w:ascii="宋体"/>
                <w:color w:val="000000"/>
                <w:sz w:val="24"/>
                <w:highlight w:val="none"/>
                <w:u w:val="single"/>
              </w:rPr>
              <w:t xml:space="preserve">                   </w:t>
            </w:r>
            <w:r>
              <w:rPr>
                <w:rFonts w:hint="eastAsia" w:ascii="宋体"/>
                <w:color w:val="000000"/>
                <w:sz w:val="24"/>
                <w:highlight w:val="none"/>
              </w:rPr>
              <w:t>元</w:t>
            </w:r>
          </w:p>
          <w:p>
            <w:pPr>
              <w:keepNext w:val="0"/>
              <w:keepLines w:val="0"/>
              <w:suppressLineNumbers w:val="0"/>
              <w:spacing w:before="0" w:beforeAutospacing="0" w:after="0" w:afterAutospacing="0" w:line="360" w:lineRule="auto"/>
              <w:ind w:left="0" w:right="0" w:firstLine="1080" w:firstLineChars="450"/>
              <w:rPr>
                <w:rFonts w:hint="default" w:ascii="宋体"/>
                <w:color w:val="000000"/>
                <w:sz w:val="24"/>
                <w:highlight w:val="none"/>
              </w:rPr>
            </w:pPr>
            <w:r>
              <w:rPr>
                <w:rFonts w:hint="eastAsia" w:ascii="宋体"/>
                <w:color w:val="000000"/>
                <w:sz w:val="24"/>
                <w:highlight w:val="none"/>
              </w:rPr>
              <w:t>(小写) ：</w:t>
            </w:r>
            <w:r>
              <w:rPr>
                <w:rFonts w:hint="eastAsia" w:ascii="宋体"/>
                <w:color w:val="000000"/>
                <w:sz w:val="24"/>
                <w:highlight w:val="none"/>
                <w:u w:val="single"/>
              </w:rPr>
              <w:t xml:space="preserve">                    </w:t>
            </w:r>
            <w:r>
              <w:rPr>
                <w:rFonts w:hint="eastAsia" w:ascii="宋体"/>
                <w:color w:val="000000"/>
                <w:sz w:val="24"/>
                <w:highlight w:val="none"/>
              </w:rPr>
              <w:t>元</w:t>
            </w:r>
          </w:p>
          <w:p>
            <w:pPr>
              <w:keepNext w:val="0"/>
              <w:keepLines w:val="0"/>
              <w:suppressLineNumbers w:val="0"/>
              <w:spacing w:before="0" w:beforeAutospacing="0" w:after="0" w:afterAutospacing="0" w:line="360" w:lineRule="auto"/>
              <w:ind w:left="0" w:right="0"/>
              <w:rPr>
                <w:rFonts w:hint="eastAsia" w:ascii="宋体" w:hAnsi="宋体" w:eastAsiaTheme="minorEastAsia"/>
                <w:color w:val="auto"/>
                <w:sz w:val="24"/>
                <w:highlight w:val="none"/>
                <w:lang w:val="en-US" w:eastAsia="zh-CN"/>
              </w:rPr>
            </w:pPr>
          </w:p>
          <w:p>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color w:val="000000"/>
                <w:sz w:val="24"/>
                <w:highlight w:val="none"/>
              </w:rPr>
              <w:t>服务期：</w:t>
            </w:r>
          </w:p>
        </w:tc>
      </w:tr>
    </w:tbl>
    <w:p>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pPr>
        <w:spacing w:line="360" w:lineRule="auto"/>
        <w:rPr>
          <w:rFonts w:hint="eastAsia" w:ascii="宋体" w:hAnsi="宋体" w:eastAsia="宋体" w:cs="宋体"/>
          <w:b/>
          <w:bCs w:val="0"/>
          <w:color w:val="000000"/>
          <w:kern w:val="0"/>
          <w:sz w:val="30"/>
          <w:szCs w:val="30"/>
          <w:highlight w:val="none"/>
          <w:lang w:val="en-US" w:eastAsia="zh-CN" w:bidi="ar"/>
        </w:rPr>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pPr>
    </w:p>
    <w:p>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p>
    <w:p>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（2）投  标  函</w:t>
      </w:r>
    </w:p>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2.我方愿意按照招标文件规定的各项要求，向招标人提供本项目的服务，总投标价为人民币（大写）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；服务期：</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60 </w:t>
      </w:r>
      <w:r>
        <w:rPr>
          <w:rFonts w:hint="eastAsia" w:ascii="宋体" w:hAnsi="宋体" w:eastAsia="宋体" w:cs="宋体"/>
          <w:color w:val="000000"/>
          <w:kern w:val="0"/>
          <w:sz w:val="24"/>
          <w:szCs w:val="24"/>
          <w:highlight w:val="none"/>
          <w:u w:color="000000"/>
          <w:lang w:val="en-US" w:eastAsia="zh-CN" w:bidi="ar"/>
        </w:rPr>
        <w:t>日历天（从投标截止之日算起）。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178" w:rightChars="-85" w:firstLine="2520" w:firstLineChars="105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pPr>
        <w:pStyle w:val="23"/>
        <w:widowControl/>
        <w:spacing w:before="0" w:beforeAutospacing="0" w:after="0" w:afterAutospacing="0" w:line="375" w:lineRule="atLeast"/>
        <w:ind w:left="0" w:right="0"/>
        <w:jc w:val="center"/>
        <w:outlineLvl w:val="0"/>
        <w:rPr>
          <w:b/>
          <w:bCs w:val="0"/>
          <w:sz w:val="32"/>
          <w:szCs w:val="32"/>
          <w:highlight w:val="none"/>
          <w:lang w:val="en-US"/>
        </w:rPr>
      </w:pPr>
      <w:r>
        <w:rPr>
          <w:b/>
          <w:bCs w:val="0"/>
          <w:sz w:val="32"/>
          <w:szCs w:val="32"/>
          <w:highlight w:val="none"/>
          <w:lang w:eastAsia="zh-CN"/>
        </w:rPr>
        <w:br w:type="page"/>
      </w:r>
      <w:r>
        <w:rPr>
          <w:b/>
          <w:bCs w:val="0"/>
          <w:sz w:val="32"/>
          <w:szCs w:val="32"/>
          <w:highlight w:val="none"/>
          <w:lang w:eastAsia="zh-CN"/>
        </w:rPr>
        <w:t>第</w:t>
      </w:r>
      <w:r>
        <w:rPr>
          <w:rFonts w:hint="eastAsia"/>
          <w:b/>
          <w:bCs w:val="0"/>
          <w:sz w:val="32"/>
          <w:szCs w:val="32"/>
          <w:highlight w:val="none"/>
          <w:lang w:val="en-US" w:eastAsia="zh-CN"/>
        </w:rPr>
        <w:t>八</w:t>
      </w:r>
      <w:r>
        <w:rPr>
          <w:b/>
          <w:bCs w:val="0"/>
          <w:sz w:val="32"/>
          <w:szCs w:val="32"/>
          <w:highlight w:val="none"/>
          <w:lang w:eastAsia="zh-CN"/>
        </w:rPr>
        <w:t>章</w:t>
      </w:r>
      <w:r>
        <w:rPr>
          <w:b/>
          <w:bCs w:val="0"/>
          <w:sz w:val="32"/>
          <w:szCs w:val="32"/>
          <w:highlight w:val="none"/>
          <w:lang w:val="en-US"/>
        </w:rPr>
        <w:t xml:space="preserve">   </w:t>
      </w:r>
      <w:r>
        <w:rPr>
          <w:rFonts w:hint="eastAsia"/>
          <w:b/>
          <w:bCs w:val="0"/>
          <w:sz w:val="32"/>
          <w:szCs w:val="32"/>
          <w:highlight w:val="none"/>
          <w:lang w:eastAsia="zh-CN"/>
        </w:rPr>
        <w:t>招标人</w:t>
      </w:r>
      <w:r>
        <w:rPr>
          <w:b/>
          <w:bCs w:val="0"/>
          <w:sz w:val="32"/>
          <w:szCs w:val="32"/>
          <w:highlight w:val="none"/>
          <w:lang w:eastAsia="zh-CN"/>
        </w:rPr>
        <w:t>、招标代理机构对本招标文件的确认</w:t>
      </w:r>
    </w:p>
    <w:tbl>
      <w:tblPr>
        <w:tblStyle w:val="26"/>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滁州至南京城际铁路（滁州段）龙蟠大道空洞注浆期间涉轨保护监测项目</w:t>
            </w:r>
            <w:r>
              <w:rPr>
                <w:rFonts w:hint="eastAsia" w:ascii="宋体" w:hAnsi="宋体" w:eastAsia="宋体" w:cs="宋体"/>
                <w:color w:val="000000"/>
                <w:kern w:val="2"/>
                <w:sz w:val="28"/>
                <w:szCs w:val="28"/>
                <w:highlight w:val="none"/>
                <w:u w:color="000000"/>
                <w:lang w:val="en-US" w:eastAsia="zh-CN" w:bidi="ar"/>
              </w:rPr>
              <w:t>招标文件进行确认。</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招标人：滁州市滁宁城际铁路开发建设有限公司 </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 xml:space="preserve">联系人：陈俊 </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联系电话：18949108929</w:t>
            </w:r>
          </w:p>
          <w:p>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p>
          <w:p>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2024年5月</w:t>
            </w:r>
          </w:p>
          <w:p>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pPr>
              <w:pStyle w:val="25"/>
              <w:widowControl/>
              <w:spacing w:before="0" w:beforeAutospacing="0" w:after="120" w:afterAutospacing="0"/>
              <w:ind w:leftChars="200" w:right="0" w:firstLine="560"/>
              <w:rPr>
                <w:kern w:val="2"/>
                <w:sz w:val="28"/>
                <w:szCs w:val="28"/>
                <w:highlight w:val="none"/>
                <w:lang w:val="en-US"/>
              </w:rPr>
            </w:pPr>
          </w:p>
          <w:p>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pPr>
              <w:keepNext w:val="0"/>
              <w:keepLines w:val="0"/>
              <w:widowControl/>
              <w:suppressLineNumbers w:val="0"/>
              <w:spacing w:before="0" w:beforeAutospacing="0" w:after="0" w:afterAutospacing="0" w:line="440" w:lineRule="exact"/>
              <w:ind w:left="0" w:right="0" w:firstLine="5740" w:firstLineChars="20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pPr>
              <w:keepNext w:val="0"/>
              <w:keepLines w:val="0"/>
              <w:widowControl/>
              <w:suppressLineNumbers w:val="0"/>
              <w:spacing w:before="0" w:beforeAutospacing="0" w:after="0" w:afterAutospacing="0" w:line="440" w:lineRule="exact"/>
              <w:ind w:left="0" w:right="0" w:firstLine="5880" w:firstLineChars="21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2024年5月</w:t>
            </w:r>
          </w:p>
        </w:tc>
      </w:tr>
    </w:tbl>
    <w:p>
      <w:pPr>
        <w:rPr>
          <w:highlight w:val="none"/>
        </w:rPr>
      </w:pP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雅黑.〇.">
    <w:altName w:val="黑体"/>
    <w:panose1 w:val="00000000000000000000"/>
    <w:charset w:val="86"/>
    <w:family w:val="swiss"/>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Times">
    <w:altName w:val="Times New Roman"/>
    <w:panose1 w:val="02020603050405020304"/>
    <w:charset w:val="00"/>
    <w:family w:val="roman"/>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283" w:usb1="288F0000" w:usb2="00000006" w:usb3="00000000" w:csb0="00040001" w:csb1="00000000"/>
  </w:font>
  <w:font w:name="ˎ̥">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4240C8"/>
    <w:multiLevelType w:val="singleLevel"/>
    <w:tmpl w:val="9A4240C8"/>
    <w:lvl w:ilvl="0" w:tentative="0">
      <w:start w:val="4"/>
      <w:numFmt w:val="chineseCounting"/>
      <w:suff w:val="space"/>
      <w:lvlText w:val="第%1章"/>
      <w:lvlJc w:val="left"/>
      <w:rPr>
        <w:rFonts w:hint="eastAsia"/>
      </w:rPr>
    </w:lvl>
  </w:abstractNum>
  <w:abstractNum w:abstractNumId="1">
    <w:nsid w:val="181D5CA9"/>
    <w:multiLevelType w:val="singleLevel"/>
    <w:tmpl w:val="181D5CA9"/>
    <w:lvl w:ilvl="0" w:tentative="0">
      <w:start w:val="35"/>
      <w:numFmt w:val="decimal"/>
      <w:lvlText w:val="%1."/>
      <w:lvlJc w:val="left"/>
      <w:pPr>
        <w:tabs>
          <w:tab w:val="left" w:pos="312"/>
        </w:tabs>
      </w:pPr>
    </w:lvl>
  </w:abstractNum>
  <w:abstractNum w:abstractNumId="2">
    <w:nsid w:val="2323379E"/>
    <w:multiLevelType w:val="multilevel"/>
    <w:tmpl w:val="2323379E"/>
    <w:lvl w:ilvl="0" w:tentative="0">
      <w:start w:val="1"/>
      <w:numFmt w:val="chineseCountingThousand"/>
      <w:pStyle w:val="18"/>
      <w:lvlText w:val="%1、"/>
      <w:lvlJc w:val="left"/>
      <w:pPr>
        <w:ind w:left="420" w:hanging="4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EB0DCF8"/>
    <w:multiLevelType w:val="singleLevel"/>
    <w:tmpl w:val="4EB0DCF8"/>
    <w:lvl w:ilvl="0" w:tentative="0">
      <w:start w:val="7"/>
      <w:numFmt w:val="chineseCounting"/>
      <w:suff w:val="nothing"/>
      <w:lvlText w:val="%1、"/>
      <w:lvlJc w:val="left"/>
      <w:rPr>
        <w:rFonts w:hint="eastAsia"/>
      </w:rPr>
    </w:lvl>
  </w:abstractNum>
  <w:abstractNum w:abstractNumId="4">
    <w:nsid w:val="5AAD55EB"/>
    <w:multiLevelType w:val="singleLevel"/>
    <w:tmpl w:val="5AAD55EB"/>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00172A27"/>
    <w:rsid w:val="01D118B5"/>
    <w:rsid w:val="01E872A1"/>
    <w:rsid w:val="03EB72C0"/>
    <w:rsid w:val="06B76AF5"/>
    <w:rsid w:val="06D54ED0"/>
    <w:rsid w:val="07A279B7"/>
    <w:rsid w:val="07C12328"/>
    <w:rsid w:val="0B625D1F"/>
    <w:rsid w:val="0B8B29D7"/>
    <w:rsid w:val="0B9716C3"/>
    <w:rsid w:val="0CEF01A1"/>
    <w:rsid w:val="0D586601"/>
    <w:rsid w:val="0D8F0D8C"/>
    <w:rsid w:val="0E064672"/>
    <w:rsid w:val="0E264319"/>
    <w:rsid w:val="0EBB3464"/>
    <w:rsid w:val="0FAB66D0"/>
    <w:rsid w:val="0FEC3D6A"/>
    <w:rsid w:val="10182671"/>
    <w:rsid w:val="114F3AD5"/>
    <w:rsid w:val="12082018"/>
    <w:rsid w:val="1295689E"/>
    <w:rsid w:val="14334ED5"/>
    <w:rsid w:val="14C00319"/>
    <w:rsid w:val="14CF696D"/>
    <w:rsid w:val="15D46184"/>
    <w:rsid w:val="16F107B9"/>
    <w:rsid w:val="18D96084"/>
    <w:rsid w:val="18DA6F09"/>
    <w:rsid w:val="1AB3384D"/>
    <w:rsid w:val="1D2A5FD4"/>
    <w:rsid w:val="1DA44462"/>
    <w:rsid w:val="1E474369"/>
    <w:rsid w:val="1E567970"/>
    <w:rsid w:val="1F9647B1"/>
    <w:rsid w:val="1FBE5586"/>
    <w:rsid w:val="202979CC"/>
    <w:rsid w:val="222D5B93"/>
    <w:rsid w:val="22EA440E"/>
    <w:rsid w:val="23503E27"/>
    <w:rsid w:val="23DF40E5"/>
    <w:rsid w:val="28721359"/>
    <w:rsid w:val="287E4991"/>
    <w:rsid w:val="28C620C3"/>
    <w:rsid w:val="29452A17"/>
    <w:rsid w:val="29BA55DC"/>
    <w:rsid w:val="2CD13D11"/>
    <w:rsid w:val="2D921DED"/>
    <w:rsid w:val="2DE60661"/>
    <w:rsid w:val="2FD4269B"/>
    <w:rsid w:val="31CF5BC6"/>
    <w:rsid w:val="34DB0F11"/>
    <w:rsid w:val="3692586C"/>
    <w:rsid w:val="382B3EBA"/>
    <w:rsid w:val="3AEDD2D9"/>
    <w:rsid w:val="3C864743"/>
    <w:rsid w:val="3E1108FD"/>
    <w:rsid w:val="3F392F9C"/>
    <w:rsid w:val="40585B1F"/>
    <w:rsid w:val="41C76417"/>
    <w:rsid w:val="42AB7679"/>
    <w:rsid w:val="43EE045E"/>
    <w:rsid w:val="440F4D94"/>
    <w:rsid w:val="4443363F"/>
    <w:rsid w:val="454247AC"/>
    <w:rsid w:val="46DE1424"/>
    <w:rsid w:val="47DC16A5"/>
    <w:rsid w:val="49C27036"/>
    <w:rsid w:val="4B8A2C90"/>
    <w:rsid w:val="4BBE3EC0"/>
    <w:rsid w:val="4BF21D42"/>
    <w:rsid w:val="4C3857CB"/>
    <w:rsid w:val="4F522371"/>
    <w:rsid w:val="50620C14"/>
    <w:rsid w:val="50C36810"/>
    <w:rsid w:val="54C56489"/>
    <w:rsid w:val="56797A9A"/>
    <w:rsid w:val="58BC42F8"/>
    <w:rsid w:val="5AB972A9"/>
    <w:rsid w:val="5AC41FE9"/>
    <w:rsid w:val="5AD57D84"/>
    <w:rsid w:val="5C2219D2"/>
    <w:rsid w:val="5C940834"/>
    <w:rsid w:val="5D8F154C"/>
    <w:rsid w:val="5F0E0827"/>
    <w:rsid w:val="5F35414B"/>
    <w:rsid w:val="635219C2"/>
    <w:rsid w:val="642277FE"/>
    <w:rsid w:val="6509245E"/>
    <w:rsid w:val="668A652A"/>
    <w:rsid w:val="691E05DB"/>
    <w:rsid w:val="69394AB2"/>
    <w:rsid w:val="69524CC8"/>
    <w:rsid w:val="6CC47100"/>
    <w:rsid w:val="6DC03432"/>
    <w:rsid w:val="6E0A7D05"/>
    <w:rsid w:val="6EA934B6"/>
    <w:rsid w:val="72D30C05"/>
    <w:rsid w:val="75843174"/>
    <w:rsid w:val="76B7003F"/>
    <w:rsid w:val="77FF70A2"/>
    <w:rsid w:val="78412396"/>
    <w:rsid w:val="794F00D8"/>
    <w:rsid w:val="79924E45"/>
    <w:rsid w:val="7B280AC6"/>
    <w:rsid w:val="7CBC5D05"/>
    <w:rsid w:val="7CBF5DBC"/>
    <w:rsid w:val="7CC201FC"/>
    <w:rsid w:val="7EE10A61"/>
    <w:rsid w:val="7F216B07"/>
    <w:rsid w:val="FFBF8D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4"/>
    <w:autoRedefine/>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4">
    <w:name w:val="heading 3"/>
    <w:basedOn w:val="1"/>
    <w:next w:val="1"/>
    <w:autoRedefine/>
    <w:unhideWhenUsed/>
    <w:qFormat/>
    <w:uiPriority w:val="9"/>
    <w:pPr>
      <w:keepNext/>
      <w:keepLines/>
      <w:spacing w:line="360" w:lineRule="auto"/>
      <w:outlineLvl w:val="2"/>
    </w:pPr>
    <w:rPr>
      <w:rFonts w:ascii="仿宋_GB2312" w:eastAsia="仿宋_GB2312"/>
      <w:b/>
      <w:bCs/>
      <w:sz w:val="32"/>
      <w:szCs w:val="32"/>
    </w:rPr>
  </w:style>
  <w:style w:type="character" w:default="1" w:styleId="27">
    <w:name w:val="Default Paragraph Font"/>
    <w:autoRedefine/>
    <w:semiHidden/>
    <w:qFormat/>
    <w:uiPriority w:val="0"/>
  </w:style>
  <w:style w:type="table" w:default="1" w:styleId="26">
    <w:name w:val="Normal Table"/>
    <w:autoRedefin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5">
    <w:name w:val="toc 7"/>
    <w:basedOn w:val="1"/>
    <w:next w:val="1"/>
    <w:autoRedefine/>
    <w:qFormat/>
    <w:uiPriority w:val="39"/>
    <w:pPr>
      <w:ind w:left="1260"/>
      <w:jc w:val="left"/>
    </w:pPr>
    <w:rPr>
      <w:sz w:val="18"/>
      <w:szCs w:val="18"/>
    </w:rPr>
  </w:style>
  <w:style w:type="paragraph" w:styleId="6">
    <w:name w:val="Normal Indent"/>
    <w:basedOn w:val="1"/>
    <w:next w:val="1"/>
    <w:autoRedefine/>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7">
    <w:name w:val="annotation text"/>
    <w:basedOn w:val="1"/>
    <w:autoRedefine/>
    <w:qFormat/>
    <w:uiPriority w:val="0"/>
    <w:pPr>
      <w:jc w:val="left"/>
    </w:pPr>
    <w:rPr>
      <w:kern w:val="1"/>
    </w:rPr>
  </w:style>
  <w:style w:type="paragraph" w:styleId="8">
    <w:name w:val="Body Text 3"/>
    <w:basedOn w:val="1"/>
    <w:autoRedefine/>
    <w:qFormat/>
    <w:uiPriority w:val="0"/>
    <w:rPr>
      <w:rFonts w:ascii="宋体" w:hAnsi="Calibri" w:eastAsia="宋体" w:cs="Times New Roman"/>
      <w:sz w:val="24"/>
      <w:szCs w:val="20"/>
    </w:rPr>
  </w:style>
  <w:style w:type="paragraph" w:styleId="9">
    <w:name w:val="Body Text"/>
    <w:basedOn w:val="1"/>
    <w:next w:val="10"/>
    <w:autoRedefine/>
    <w:qFormat/>
    <w:uiPriority w:val="0"/>
    <w:pPr>
      <w:widowControl w:val="0"/>
      <w:snapToGrid w:val="0"/>
      <w:spacing w:line="360" w:lineRule="auto"/>
    </w:pPr>
    <w:rPr>
      <w:rFonts w:ascii="Arial" w:hAnsi="Arial" w:eastAsia="仿宋_GB2312"/>
      <w:sz w:val="31"/>
    </w:rPr>
  </w:style>
  <w:style w:type="paragraph" w:customStyle="1" w:styleId="10">
    <w:name w:val="Default"/>
    <w:autoRedefine/>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11">
    <w:name w:val="Body Text Indent"/>
    <w:basedOn w:val="1"/>
    <w:link w:val="41"/>
    <w:autoRedefine/>
    <w:qFormat/>
    <w:uiPriority w:val="0"/>
    <w:pPr>
      <w:spacing w:after="120" w:afterLines="0" w:afterAutospacing="0"/>
      <w:ind w:left="420" w:leftChars="200"/>
    </w:pPr>
  </w:style>
  <w:style w:type="paragraph" w:styleId="12">
    <w:name w:val="List Continue"/>
    <w:basedOn w:val="1"/>
    <w:autoRedefine/>
    <w:qFormat/>
    <w:uiPriority w:val="0"/>
    <w:pPr>
      <w:spacing w:after="120"/>
      <w:ind w:left="420"/>
    </w:pPr>
  </w:style>
  <w:style w:type="paragraph" w:styleId="13">
    <w:name w:val="index 4"/>
    <w:basedOn w:val="1"/>
    <w:next w:val="1"/>
    <w:autoRedefine/>
    <w:qFormat/>
    <w:uiPriority w:val="99"/>
    <w:pPr>
      <w:ind w:left="600" w:leftChars="600"/>
    </w:pPr>
    <w:rPr>
      <w:szCs w:val="24"/>
    </w:rPr>
  </w:style>
  <w:style w:type="paragraph" w:styleId="14">
    <w:name w:val="Plain Text"/>
    <w:basedOn w:val="1"/>
    <w:next w:val="1"/>
    <w:link w:val="46"/>
    <w:autoRedefine/>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5">
    <w:name w:val="Date"/>
    <w:basedOn w:val="1"/>
    <w:next w:val="1"/>
    <w:link w:val="43"/>
    <w:autoRedefine/>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6">
    <w:name w:val="footer"/>
    <w:basedOn w:val="1"/>
    <w:link w:val="47"/>
    <w:autoRedefine/>
    <w:qFormat/>
    <w:uiPriority w:val="0"/>
    <w:pPr>
      <w:tabs>
        <w:tab w:val="center" w:pos="4153"/>
        <w:tab w:val="right" w:pos="8306"/>
      </w:tabs>
      <w:snapToGrid w:val="0"/>
      <w:jc w:val="left"/>
    </w:pPr>
    <w:rPr>
      <w:sz w:val="18"/>
    </w:rPr>
  </w:style>
  <w:style w:type="paragraph" w:styleId="17">
    <w:name w:val="envelope return"/>
    <w:basedOn w:val="1"/>
    <w:next w:val="18"/>
    <w:autoRedefine/>
    <w:qFormat/>
    <w:uiPriority w:val="0"/>
    <w:pPr>
      <w:snapToGrid w:val="0"/>
    </w:pPr>
    <w:rPr>
      <w:rFonts w:ascii="Arial" w:hAnsi="Arial"/>
    </w:rPr>
  </w:style>
  <w:style w:type="paragraph" w:styleId="18">
    <w:name w:val="Title"/>
    <w:basedOn w:val="1"/>
    <w:next w:val="1"/>
    <w:autoRedefine/>
    <w:qFormat/>
    <w:uiPriority w:val="0"/>
    <w:pPr>
      <w:numPr>
        <w:ilvl w:val="0"/>
        <w:numId w:val="1"/>
      </w:numPr>
      <w:spacing w:line="360" w:lineRule="auto"/>
      <w:jc w:val="left"/>
      <w:outlineLvl w:val="0"/>
    </w:pPr>
    <w:rPr>
      <w:rFonts w:ascii="Cambria" w:hAnsi="Cambria"/>
      <w:b/>
      <w:bCs/>
      <w:sz w:val="28"/>
      <w:szCs w:val="32"/>
    </w:rPr>
  </w:style>
  <w:style w:type="paragraph" w:styleId="19">
    <w:name w:val="header"/>
    <w:basedOn w:val="1"/>
    <w:link w:val="45"/>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0">
    <w:name w:val="toc 1"/>
    <w:basedOn w:val="1"/>
    <w:next w:val="1"/>
    <w:autoRedefine/>
    <w:qFormat/>
    <w:uiPriority w:val="39"/>
  </w:style>
  <w:style w:type="paragraph" w:styleId="21">
    <w:name w:val="List"/>
    <w:basedOn w:val="1"/>
    <w:autoRedefine/>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2">
    <w:name w:val="Body Text 2"/>
    <w:basedOn w:val="1"/>
    <w:autoRedefine/>
    <w:unhideWhenUsed/>
    <w:qFormat/>
    <w:uiPriority w:val="99"/>
    <w:pPr>
      <w:spacing w:after="120" w:line="480" w:lineRule="auto"/>
    </w:pPr>
  </w:style>
  <w:style w:type="paragraph" w:styleId="23">
    <w:name w:val="Normal (Web)"/>
    <w:basedOn w:val="1"/>
    <w:autoRedefine/>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24">
    <w:name w:val="Body Text First Indent"/>
    <w:basedOn w:val="9"/>
    <w:autoRedefine/>
    <w:unhideWhenUsed/>
    <w:qFormat/>
    <w:uiPriority w:val="99"/>
    <w:pPr>
      <w:ind w:firstLine="420" w:firstLineChars="100"/>
    </w:pPr>
  </w:style>
  <w:style w:type="paragraph" w:styleId="25">
    <w:name w:val="Body Text First Indent 2"/>
    <w:basedOn w:val="11"/>
    <w:next w:val="24"/>
    <w:link w:val="42"/>
    <w:autoRedefine/>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character" w:styleId="28">
    <w:name w:val="Strong"/>
    <w:basedOn w:val="27"/>
    <w:autoRedefine/>
    <w:qFormat/>
    <w:uiPriority w:val="0"/>
    <w:rPr>
      <w:b/>
      <w:bCs/>
    </w:rPr>
  </w:style>
  <w:style w:type="character" w:styleId="29">
    <w:name w:val="FollowedHyperlink"/>
    <w:basedOn w:val="27"/>
    <w:autoRedefine/>
    <w:qFormat/>
    <w:uiPriority w:val="0"/>
    <w:rPr>
      <w:color w:val="444444"/>
      <w:u w:val="none"/>
    </w:rPr>
  </w:style>
  <w:style w:type="character" w:styleId="30">
    <w:name w:val="HTML Definition"/>
    <w:basedOn w:val="27"/>
    <w:autoRedefine/>
    <w:qFormat/>
    <w:uiPriority w:val="0"/>
    <w:rPr>
      <w:i/>
      <w:iCs/>
    </w:rPr>
  </w:style>
  <w:style w:type="character" w:styleId="31">
    <w:name w:val="HTML Acronym"/>
    <w:basedOn w:val="27"/>
    <w:autoRedefine/>
    <w:qFormat/>
    <w:uiPriority w:val="0"/>
  </w:style>
  <w:style w:type="character" w:styleId="32">
    <w:name w:val="Hyperlink"/>
    <w:autoRedefine/>
    <w:qFormat/>
    <w:uiPriority w:val="99"/>
    <w:rPr>
      <w:color w:val="333333"/>
      <w:u w:val="none"/>
    </w:rPr>
  </w:style>
  <w:style w:type="character" w:styleId="33">
    <w:name w:val="HTML Code"/>
    <w:basedOn w:val="27"/>
    <w:autoRedefine/>
    <w:qFormat/>
    <w:uiPriority w:val="0"/>
    <w:rPr>
      <w:rFonts w:hint="default" w:ascii="monospace" w:hAnsi="monospace" w:eastAsia="monospace" w:cs="monospace"/>
      <w:sz w:val="21"/>
      <w:szCs w:val="21"/>
    </w:rPr>
  </w:style>
  <w:style w:type="character" w:styleId="34">
    <w:name w:val="HTML Keyboard"/>
    <w:basedOn w:val="27"/>
    <w:autoRedefine/>
    <w:qFormat/>
    <w:uiPriority w:val="0"/>
    <w:rPr>
      <w:rFonts w:hint="default" w:ascii="monospace" w:hAnsi="monospace" w:eastAsia="monospace" w:cs="monospace"/>
      <w:sz w:val="21"/>
      <w:szCs w:val="21"/>
    </w:rPr>
  </w:style>
  <w:style w:type="character" w:styleId="35">
    <w:name w:val="HTML Sample"/>
    <w:basedOn w:val="27"/>
    <w:autoRedefine/>
    <w:qFormat/>
    <w:uiPriority w:val="0"/>
    <w:rPr>
      <w:rFonts w:ascii="monospace" w:hAnsi="monospace" w:eastAsia="monospace" w:cs="monospace"/>
      <w:sz w:val="21"/>
      <w:szCs w:val="21"/>
    </w:rPr>
  </w:style>
  <w:style w:type="paragraph" w:styleId="36">
    <w:name w:val="List Paragraph"/>
    <w:basedOn w:val="1"/>
    <w:autoRedefine/>
    <w:qFormat/>
    <w:uiPriority w:val="0"/>
    <w:pPr>
      <w:widowControl w:val="0"/>
      <w:spacing w:line="240" w:lineRule="auto"/>
      <w:ind w:firstLine="200" w:firstLineChars="200"/>
      <w:textAlignment w:val="auto"/>
    </w:pPr>
    <w:rPr>
      <w:u w:val="none" w:color="000000"/>
    </w:rPr>
  </w:style>
  <w:style w:type="paragraph" w:customStyle="1" w:styleId="37">
    <w:name w:val="正文文字 8"/>
    <w:basedOn w:val="1"/>
    <w:next w:val="1"/>
    <w:autoRedefine/>
    <w:qFormat/>
    <w:uiPriority w:val="0"/>
    <w:pPr>
      <w:ind w:left="240"/>
    </w:pPr>
    <w:rPr>
      <w:sz w:val="16"/>
    </w:rPr>
  </w:style>
  <w:style w:type="paragraph" w:customStyle="1" w:styleId="38">
    <w:name w:val="段"/>
    <w:next w:val="1"/>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39">
    <w:name w:val="l正文"/>
    <w:autoRedefine/>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paragraph" w:customStyle="1" w:styleId="40">
    <w:name w:val="二级标题"/>
    <w:basedOn w:val="1"/>
    <w:next w:val="1"/>
    <w:autoRedefine/>
    <w:qFormat/>
    <w:uiPriority w:val="0"/>
    <w:rPr>
      <w:rFonts w:hint="eastAsia" w:eastAsia="楷体"/>
    </w:rPr>
  </w:style>
  <w:style w:type="character" w:customStyle="1" w:styleId="41">
    <w:name w:val="正文文本缩进 Char"/>
    <w:basedOn w:val="27"/>
    <w:link w:val="11"/>
    <w:autoRedefine/>
    <w:qFormat/>
    <w:uiPriority w:val="0"/>
    <w:rPr>
      <w:rFonts w:hint="default" w:ascii="Times New Roman" w:hAnsi="Times New Roman" w:eastAsia="宋体" w:cs="Times New Roman"/>
      <w:color w:val="000000"/>
      <w:kern w:val="0"/>
      <w:szCs w:val="21"/>
      <w:u w:color="000000"/>
    </w:rPr>
  </w:style>
  <w:style w:type="character" w:customStyle="1" w:styleId="42">
    <w:name w:val="正文首行缩进 2 Char"/>
    <w:basedOn w:val="41"/>
    <w:link w:val="25"/>
    <w:autoRedefine/>
    <w:qFormat/>
    <w:uiPriority w:val="0"/>
    <w:rPr>
      <w:rFonts w:hint="default" w:ascii="Times New Roman" w:hAnsi="Times New Roman" w:eastAsia="宋体" w:cs="Times New Roman"/>
      <w:color w:val="000000"/>
      <w:kern w:val="0"/>
      <w:szCs w:val="21"/>
      <w:u w:color="000000"/>
    </w:rPr>
  </w:style>
  <w:style w:type="character" w:customStyle="1" w:styleId="43">
    <w:name w:val="日期 Char"/>
    <w:basedOn w:val="27"/>
    <w:link w:val="15"/>
    <w:autoRedefine/>
    <w:qFormat/>
    <w:uiPriority w:val="0"/>
    <w:rPr>
      <w:rFonts w:ascii="Arial" w:hAnsi="Arial" w:eastAsia="仿宋_GB2312" w:cs="Arial"/>
      <w:color w:val="000000"/>
      <w:sz w:val="32"/>
      <w:szCs w:val="32"/>
      <w:u w:color="000000"/>
    </w:rPr>
  </w:style>
  <w:style w:type="character" w:customStyle="1" w:styleId="44">
    <w:name w:val="标题 2 Char"/>
    <w:basedOn w:val="27"/>
    <w:link w:val="3"/>
    <w:autoRedefine/>
    <w:qFormat/>
    <w:uiPriority w:val="0"/>
    <w:rPr>
      <w:rFonts w:hint="default" w:ascii="Times New Roman" w:hAnsi="Times New Roman" w:eastAsia="宋体" w:cs="Times New Roman"/>
      <w:kern w:val="0"/>
      <w:sz w:val="24"/>
      <w:szCs w:val="24"/>
    </w:rPr>
  </w:style>
  <w:style w:type="character" w:customStyle="1" w:styleId="45">
    <w:name w:val="页眉 Char"/>
    <w:basedOn w:val="27"/>
    <w:link w:val="19"/>
    <w:autoRedefine/>
    <w:qFormat/>
    <w:uiPriority w:val="0"/>
    <w:rPr>
      <w:rFonts w:hint="default" w:ascii="Times New Roman" w:hAnsi="Times New Roman" w:eastAsia="宋体" w:cs="Times New Roman"/>
      <w:color w:val="000000"/>
      <w:kern w:val="0"/>
      <w:sz w:val="18"/>
      <w:szCs w:val="18"/>
      <w:u w:color="000000"/>
    </w:rPr>
  </w:style>
  <w:style w:type="character" w:customStyle="1" w:styleId="46">
    <w:name w:val="纯文本 Char"/>
    <w:basedOn w:val="27"/>
    <w:link w:val="14"/>
    <w:autoRedefine/>
    <w:qFormat/>
    <w:uiPriority w:val="0"/>
    <w:rPr>
      <w:rFonts w:hint="eastAsia" w:ascii="宋体" w:hAnsi="宋体" w:eastAsia="宋体" w:cs="宋体"/>
      <w:szCs w:val="21"/>
    </w:rPr>
  </w:style>
  <w:style w:type="character" w:customStyle="1" w:styleId="47">
    <w:name w:val="页脚 Char"/>
    <w:basedOn w:val="27"/>
    <w:link w:val="16"/>
    <w:autoRedefine/>
    <w:qFormat/>
    <w:uiPriority w:val="0"/>
    <w:rPr>
      <w:rFonts w:hint="default" w:ascii="Times New Roman" w:hAnsi="Times New Roman" w:eastAsia="宋体" w:cs="Times New Roman"/>
      <w:color w:val="000000"/>
      <w:kern w:val="0"/>
      <w:sz w:val="18"/>
      <w:szCs w:val="18"/>
      <w:u w:color="000000"/>
    </w:rPr>
  </w:style>
  <w:style w:type="paragraph" w:customStyle="1" w:styleId="48">
    <w:name w:val="节标题"/>
    <w:basedOn w:val="1"/>
    <w:next w:val="1"/>
    <w:autoRedefine/>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character" w:customStyle="1" w:styleId="49">
    <w:name w:val="NormalCharacter"/>
    <w:autoRedefine/>
    <w:semiHidden/>
    <w:qFormat/>
    <w:uiPriority w:val="0"/>
  </w:style>
  <w:style w:type="paragraph" w:customStyle="1" w:styleId="50">
    <w:name w:val="正文1"/>
    <w:basedOn w:val="1"/>
    <w:autoRedefine/>
    <w:qFormat/>
    <w:uiPriority w:val="0"/>
    <w:pPr>
      <w:spacing w:line="500" w:lineRule="exact"/>
      <w:jc w:val="center"/>
    </w:pPr>
    <w:rPr>
      <w:b/>
      <w:sz w:val="36"/>
    </w:rPr>
  </w:style>
  <w:style w:type="paragraph" w:customStyle="1" w:styleId="5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52">
    <w:name w:val="样式 样式 仿宋＋首行缩进 + 首行缩进:  2 字符 + 首行缩进:  2 字符"/>
    <w:basedOn w:val="1"/>
    <w:autoRedefine/>
    <w:qFormat/>
    <w:uiPriority w:val="0"/>
    <w:pPr>
      <w:adjustRightInd w:val="0"/>
      <w:snapToGrid w:val="0"/>
      <w:spacing w:line="360" w:lineRule="auto"/>
      <w:ind w:firstLine="200" w:firstLineChars="200"/>
      <w:jc w:val="left"/>
    </w:pPr>
    <w:rPr>
      <w:rFonts w:ascii="仿宋_GB2312" w:eastAsia="仿宋_GB2312"/>
      <w:kern w:val="0"/>
      <w:sz w:val="28"/>
      <w:szCs w:val="20"/>
    </w:rPr>
  </w:style>
  <w:style w:type="paragraph" w:customStyle="1" w:styleId="53">
    <w:name w:val="xl25"/>
    <w:basedOn w:val="1"/>
    <w:autoRedefine/>
    <w:qFormat/>
    <w:uiPriority w:val="0"/>
    <w:pPr>
      <w:widowControl/>
      <w:spacing w:before="100" w:beforeAutospacing="1" w:after="100" w:afterAutospacing="1"/>
      <w:jc w:val="right"/>
    </w:pPr>
    <w:rPr>
      <w:rFonts w:ascii="Arial Unicode MS" w:hAnsi="Arial Unicode MS" w:cs="宋体"/>
      <w:sz w:val="18"/>
      <w:szCs w:val="18"/>
    </w:rPr>
  </w:style>
  <w:style w:type="paragraph" w:customStyle="1" w:styleId="54">
    <w:name w:val="样式"/>
    <w:autoRedefine/>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55">
    <w:name w:val="首行缩进"/>
    <w:basedOn w:val="1"/>
    <w:next w:val="12"/>
    <w:autoRedefine/>
    <w:qFormat/>
    <w:uiPriority w:val="0"/>
    <w:pPr>
      <w:spacing w:line="360" w:lineRule="auto"/>
      <w:ind w:firstLine="480" w:firstLineChars="200"/>
    </w:pPr>
    <w:rPr>
      <w:sz w:val="24"/>
      <w:lang w:val="zh-CN"/>
    </w:rPr>
  </w:style>
  <w:style w:type="character" w:customStyle="1" w:styleId="56">
    <w:name w:val="button"/>
    <w:basedOn w:val="27"/>
    <w:autoRedefine/>
    <w:qFormat/>
    <w:uiPriority w:val="0"/>
  </w:style>
  <w:style w:type="character" w:customStyle="1" w:styleId="57">
    <w:name w:val="next9"/>
    <w:basedOn w:val="27"/>
    <w:autoRedefine/>
    <w:qFormat/>
    <w:uiPriority w:val="0"/>
  </w:style>
  <w:style w:type="character" w:customStyle="1" w:styleId="58">
    <w:name w:val="tmpztreemove_arrow"/>
    <w:basedOn w:val="27"/>
    <w:autoRedefine/>
    <w:qFormat/>
    <w:uiPriority w:val="0"/>
  </w:style>
  <w:style w:type="character" w:customStyle="1" w:styleId="59">
    <w:name w:val="tit13"/>
    <w:basedOn w:val="27"/>
    <w:autoRedefine/>
    <w:qFormat/>
    <w:uiPriority w:val="0"/>
    <w:rPr>
      <w:b/>
      <w:bCs/>
      <w:color w:val="333333"/>
      <w:sz w:val="24"/>
      <w:szCs w:val="24"/>
    </w:rPr>
  </w:style>
  <w:style w:type="character" w:customStyle="1" w:styleId="60">
    <w:name w:val="split"/>
    <w:basedOn w:val="27"/>
    <w:autoRedefine/>
    <w:qFormat/>
    <w:uiPriority w:val="0"/>
    <w:rPr>
      <w:color w:val="C50001"/>
      <w:sz w:val="21"/>
      <w:szCs w:val="21"/>
    </w:rPr>
  </w:style>
  <w:style w:type="character" w:customStyle="1" w:styleId="61">
    <w:name w:val="buvis"/>
    <w:basedOn w:val="27"/>
    <w:autoRedefine/>
    <w:qFormat/>
    <w:uiPriority w:val="0"/>
    <w:rPr>
      <w:color w:val="999999"/>
    </w:rPr>
  </w:style>
  <w:style w:type="character" w:customStyle="1" w:styleId="62">
    <w:name w:val="buvis1"/>
    <w:basedOn w:val="27"/>
    <w:autoRedefine/>
    <w:qFormat/>
    <w:uiPriority w:val="0"/>
    <w:rPr>
      <w:color w:val="CC0000"/>
    </w:rPr>
  </w:style>
  <w:style w:type="character" w:customStyle="1" w:styleId="63">
    <w:name w:val="txt11"/>
    <w:basedOn w:val="27"/>
    <w:autoRedefine/>
    <w:qFormat/>
    <w:uiPriority w:val="0"/>
    <w:rPr>
      <w:color w:val="C0C0C0"/>
    </w:rPr>
  </w:style>
  <w:style w:type="character" w:customStyle="1" w:styleId="64">
    <w:name w:val="prev9"/>
    <w:basedOn w:val="27"/>
    <w:autoRedefine/>
    <w:qFormat/>
    <w:uiPriority w:val="0"/>
  </w:style>
  <w:style w:type="character" w:customStyle="1" w:styleId="65">
    <w:name w:val="msg-box16"/>
    <w:basedOn w:val="27"/>
    <w:autoRedefine/>
    <w:qFormat/>
    <w:uiPriority w:val="0"/>
  </w:style>
  <w:style w:type="character" w:customStyle="1" w:styleId="66">
    <w:name w:val="c1"/>
    <w:basedOn w:val="27"/>
    <w:autoRedefine/>
    <w:qFormat/>
    <w:uiPriority w:val="0"/>
  </w:style>
  <w:style w:type="character" w:customStyle="1" w:styleId="67">
    <w:name w:val="c2"/>
    <w:basedOn w:val="27"/>
    <w:autoRedefine/>
    <w:qFormat/>
    <w:uiPriority w:val="0"/>
  </w:style>
  <w:style w:type="character" w:customStyle="1" w:styleId="68">
    <w:name w:val="c3"/>
    <w:basedOn w:val="27"/>
    <w:autoRedefine/>
    <w:qFormat/>
    <w:uiPriority w:val="0"/>
  </w:style>
  <w:style w:type="paragraph" w:customStyle="1" w:styleId="69">
    <w:name w:val="标准"/>
    <w:basedOn w:val="1"/>
    <w:autoRedefine/>
    <w:qFormat/>
    <w:uiPriority w:val="0"/>
    <w:pPr>
      <w:spacing w:line="360" w:lineRule="auto"/>
      <w:ind w:firstLine="480" w:firstLineChars="200"/>
    </w:pPr>
    <w:rPr>
      <w:rFonts w:ascii="Calibri" w:hAnsi="Calibri" w:eastAsia="仿宋"/>
      <w:sz w:val="24"/>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w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emf"/><Relationship Id="rId11" Type="http://schemas.openxmlformats.org/officeDocument/2006/relationships/oleObject" Target="embeddings/oleObject4.bin"/><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45</Pages>
  <Words>17781</Words>
  <Characters>19122</Characters>
  <Lines>0</Lines>
  <Paragraphs>0</Paragraphs>
  <TotalTime>9</TotalTime>
  <ScaleCrop>false</ScaleCrop>
  <LinksUpToDate>false</LinksUpToDate>
  <CharactersWithSpaces>21667</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2021-12-21T17:48:00Z</dcterms:created>
  <dc:creator>傻傻一辈子</dc:creator>
  <cp:lastModifiedBy>傻傻一辈子</cp:lastModifiedBy>
  <cp:lastPrinted>2023-11-23T15:05:00Z</cp:lastPrinted>
  <dcterms:modified xsi:type="dcterms:W3CDTF">2024-05-11T03:49:52Z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C4C6A95434B94A3ABC07C832733C5A17</vt:lpwstr>
  </property>
</Properties>
</file>