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center"/>
        <w:textAlignment w:val="auto"/>
        <w:rPr>
          <w:rFonts w:hint="default" w:ascii="宋体" w:hAnsi="宋体" w:eastAsia="宋体" w:cs="宋体"/>
          <w:b/>
          <w:bCs w:val="0"/>
          <w:color w:val="000000"/>
          <w:kern w:val="0"/>
          <w:sz w:val="144"/>
          <w:szCs w:val="144"/>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滁州至南京城际铁路（滁州段）工程红线防护设施采购及安装项目（二次）</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12</w:t>
      </w:r>
      <w:r>
        <w:rPr>
          <w:rFonts w:hint="eastAsia" w:ascii="宋体" w:hAnsi="宋体"/>
          <w:b/>
          <w:sz w:val="32"/>
          <w:highlight w:val="none"/>
          <w:u w:val="thick"/>
        </w:rPr>
        <w:t xml:space="preserve">月            </w:t>
      </w:r>
    </w:p>
    <w:p>
      <w:pPr>
        <w:pStyle w:val="6"/>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采购需求…………………………………………………………………19</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合同条款及格式…………………………………………………………21</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投标文件格式……………………………………………………………27</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招标人、招标代理机构对本招标文件的确认…………………………35</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21"/>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79"/>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工程红线防护设施采购及安装项目（二次）的潜在投标人应在滁州市滁宁城际铁路开发建设有限公司网站（http://czctgs.cn/）获取招标文件，并于2023年12月14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项目名称：滁州至南京城际铁路（滁州段）工程红线防护设施采购及安装项目（二次）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项目预算金额：</w:t>
      </w:r>
      <w:r>
        <w:rPr>
          <w:rFonts w:hint="eastAsia" w:ascii="宋体" w:hAnsi="宋体" w:eastAsia="宋体" w:cs="宋体"/>
          <w:b w:val="0"/>
          <w:bCs w:val="0"/>
          <w:color w:val="000000"/>
          <w:kern w:val="0"/>
          <w:sz w:val="24"/>
          <w:szCs w:val="24"/>
          <w:highlight w:val="none"/>
          <w:u w:color="000000"/>
          <w:lang w:val="en-US" w:eastAsia="zh-CN" w:bidi="ar"/>
        </w:rPr>
        <w:t>约57.71万元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577100.00元，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bookmarkStart w:id="101" w:name="_GoBack"/>
      <w:bookmarkEnd w:id="101"/>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本次招标范围为滁宁城际铁路（滁州段）工程红线保护区防护设施采购及安装服务。采用高度1.8米的绿色隔离栅栏；隔离防护长度约为5000米，其中一期工程责任段长度约为3000米，二期工程责任段长度约为2000米。</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工期：不高于60个日历天，具体开工时间以招标人通知为准，维保责任期为1年。</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2.1具备建筑工程施工总承包贰级（或以上）资质，并具有有效的安全生产许可证。</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2.2项目</w:t>
      </w:r>
      <w:r>
        <w:rPr>
          <w:rFonts w:hint="default" w:ascii="宋体" w:hAnsi="宋体" w:eastAsia="宋体" w:cs="宋体"/>
          <w:color w:val="000000"/>
          <w:kern w:val="0"/>
          <w:sz w:val="24"/>
          <w:szCs w:val="24"/>
          <w:highlight w:val="none"/>
          <w:u w:color="000000"/>
          <w:lang w:val="en-US" w:eastAsia="zh-CN" w:bidi="ar"/>
        </w:rPr>
        <w:t>经理</w:t>
      </w:r>
      <w:r>
        <w:rPr>
          <w:rFonts w:hint="eastAsia" w:ascii="宋体" w:hAnsi="宋体" w:eastAsia="宋体" w:cs="宋体"/>
          <w:color w:val="000000"/>
          <w:kern w:val="0"/>
          <w:sz w:val="24"/>
          <w:szCs w:val="24"/>
          <w:highlight w:val="none"/>
          <w:u w:color="000000"/>
          <w:lang w:val="en-US" w:eastAsia="zh-CN" w:bidi="ar"/>
        </w:rPr>
        <w:t>：具备在本单位注册的建筑工程专业二级（或以上）注册建造师资格，具备有效的安全生产考核合格(B类)证书。</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2023年12月4日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2023年12月14日</w:t>
      </w:r>
    </w:p>
    <w:p>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58430308"/>
      <w:bookmarkEnd w:id="11"/>
      <w:bookmarkStart w:id="12" w:name="_Toc28359005"/>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2023年12月14日15时00分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滁州至南京城际铁路（滁州段）工程红线防护设施采购及安装项目（</w:t>
            </w:r>
            <w:r>
              <w:rPr>
                <w:rFonts w:hint="eastAsia" w:cs="Times New Roman"/>
                <w:bCs/>
                <w:highlight w:val="none"/>
                <w:lang w:val="en-US" w:eastAsia="zh-CN"/>
              </w:rPr>
              <w:t>二次）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577100.00元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577100.00</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12</w:t>
            </w:r>
            <w:r>
              <w:rPr>
                <w:rFonts w:cs="Times New Roman"/>
                <w:b w:val="0"/>
                <w:bCs w:val="0"/>
                <w:highlight w:val="none"/>
              </w:rPr>
              <w:t>月</w:t>
            </w:r>
            <w:r>
              <w:rPr>
                <w:rFonts w:hint="eastAsia" w:cs="Times New Roman"/>
                <w:b w:val="0"/>
                <w:bCs w:val="0"/>
                <w:highlight w:val="none"/>
                <w:lang w:val="en-US" w:eastAsia="zh-CN"/>
              </w:rPr>
              <w:t>10</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2023年12月11日17时后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代理服务费金额：招标代理费4328元，不含专家评审费（专家评审费用以实际支付为准，预计2000元整）。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14</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开标时间：2023年12月14日15时00分（北京时间）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本项目无预付款，全部设备安装完成并验收合格后，中标人提交请款资料及增值税专用发票，招标人完成审核后，付款至合同价款的95%，剩余5%在维保责任期1年满后，一个月一次性无息付清。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47527563"/>
      <w:bookmarkEnd w:id="21"/>
      <w:bookmarkStart w:id="22" w:name="_Toc152045539"/>
      <w:bookmarkEnd w:id="22"/>
      <w:bookmarkStart w:id="23" w:name="_Toc152042315"/>
      <w:bookmarkEnd w:id="23"/>
      <w:bookmarkStart w:id="24" w:name="_Toc144974507"/>
      <w:bookmarkEnd w:id="24"/>
      <w:bookmarkStart w:id="25" w:name="_Toc247513962"/>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numPr>
          <w:ilvl w:val="0"/>
          <w:numId w:val="1"/>
        </w:numPr>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本项目不要求提交履约保证金。</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35.1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default" w:ascii="宋体" w:hAnsi="宋体" w:eastAsiaTheme="minorEastAsia"/>
                <w:color w:val="000000"/>
                <w:szCs w:val="21"/>
                <w:highlight w:val="none"/>
                <w:lang w:val="en-US" w:eastAsia="zh-CN"/>
              </w:rPr>
            </w:pP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3）</w:t>
            </w: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（3）具备建筑工程施工总承包贰级（或以上）资质，并具有有效的安全生产许可证</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评审核验电子标书中的下列证书、证明材料：</w:t>
            </w:r>
          </w:p>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投标人有效的企业资质证书和安全生产许可证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lang w:eastAsia="zh-CN"/>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具备在本单位注册的建筑工程专业二级（或以上）注册建造师资格，具备有效的安全生产考核合格(B类)证书</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投标人拟派项目经理的有效的建筑工程专业二级（或以上）注册建造师证书和安全生产考核合格(B类)证书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（5）诚信投标承诺书</w:t>
            </w:r>
          </w:p>
        </w:tc>
        <w:tc>
          <w:tcPr>
            <w:tcW w:w="3929" w:type="dxa"/>
            <w:noWrap w:val="0"/>
            <w:vAlign w:val="top"/>
          </w:tcPr>
          <w:p>
            <w:pPr>
              <w:keepNext w:val="0"/>
              <w:keepLines w:val="0"/>
              <w:suppressLineNumbers w:val="0"/>
              <w:spacing w:before="0" w:beforeAutospacing="0" w:after="0" w:afterAutospacing="0" w:line="360" w:lineRule="exact"/>
              <w:ind w:left="0" w:right="0"/>
              <w:rPr>
                <w:rFonts w:hint="eastAsia"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rPr>
      </w:pPr>
      <w:bookmarkStart w:id="44" w:name="_Toc95223395"/>
      <w:bookmarkStart w:id="45" w:name="_Toc15058909"/>
      <w:bookmarkStart w:id="46" w:name="_Toc506107320"/>
      <w:bookmarkStart w:id="47" w:name="_Toc60061492"/>
      <w:r>
        <w:rPr>
          <w:rFonts w:hint="eastAsia" w:ascii="Times New Roman" w:hAnsi="Times New Roman" w:eastAsia="宋体" w:cs="Times New Roman"/>
          <w:color w:val="000000"/>
        </w:rPr>
        <w:t>2.审查办法</w:t>
      </w:r>
      <w:bookmarkEnd w:id="44"/>
      <w:bookmarkEnd w:id="45"/>
      <w:bookmarkEnd w:id="46"/>
      <w:bookmarkEnd w:id="47"/>
    </w:p>
    <w:p>
      <w:pPr>
        <w:adjustRightInd w:val="0"/>
        <w:snapToGrid w:val="0"/>
        <w:spacing w:line="560" w:lineRule="exact"/>
        <w:jc w:val="left"/>
        <w:rPr>
          <w:rFonts w:hint="eastAsia" w:ascii="Times New Roman" w:hAnsi="Times New Roman" w:eastAsia="宋体" w:cs="Times New Roman"/>
          <w:color w:val="000000"/>
        </w:rPr>
      </w:pPr>
      <w:bookmarkStart w:id="48" w:name="_Toc324404868"/>
      <w:bookmarkStart w:id="49" w:name="_Toc60061493"/>
      <w:bookmarkStart w:id="50" w:name="_Toc506107321"/>
      <w:bookmarkStart w:id="51" w:name="_Toc15058910"/>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rPr>
      </w:pPr>
      <w:bookmarkStart w:id="52" w:name="_Toc95223396"/>
      <w:r>
        <w:rPr>
          <w:rFonts w:hint="eastAsia" w:ascii="Times New Roman" w:hAnsi="Times New Roman" w:eastAsia="宋体" w:cs="Times New Roman"/>
          <w:color w:val="000000"/>
        </w:rPr>
        <w:t>3.资格审查委员会和审查标准</w:t>
      </w:r>
      <w:bookmarkEnd w:id="48"/>
      <w:bookmarkEnd w:id="49"/>
      <w:bookmarkEnd w:id="50"/>
      <w:bookmarkEnd w:id="51"/>
      <w:bookmarkEnd w:id="52"/>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pPr>
        <w:adjustRightInd w:val="0"/>
        <w:snapToGrid w:val="0"/>
        <w:spacing w:line="560" w:lineRule="exact"/>
        <w:jc w:val="left"/>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pPr>
        <w:adjustRightInd w:val="0"/>
        <w:snapToGrid w:val="0"/>
        <w:spacing w:line="560" w:lineRule="exact"/>
        <w:jc w:val="left"/>
        <w:rPr>
          <w:rFonts w:hint="eastAsia" w:ascii="Times New Roman" w:hAnsi="Times New Roman" w:eastAsia="宋体" w:cs="Times New Roman"/>
          <w:color w:val="000000"/>
        </w:rPr>
      </w:pPr>
      <w:bookmarkStart w:id="53" w:name="_Toc324404869"/>
      <w:bookmarkStart w:id="54" w:name="_Toc506107322"/>
      <w:bookmarkStart w:id="55" w:name="_Toc60061494"/>
      <w:bookmarkStart w:id="56" w:name="_Toc15058911"/>
      <w:bookmarkStart w:id="57" w:name="_Toc95223397"/>
      <w:r>
        <w:rPr>
          <w:rFonts w:hint="eastAsia" w:ascii="Times New Roman" w:hAnsi="Times New Roman" w:eastAsia="宋体" w:cs="Times New Roman"/>
          <w:color w:val="000000"/>
        </w:rPr>
        <w:t>4.审查结果</w:t>
      </w:r>
      <w:bookmarkEnd w:id="53"/>
      <w:bookmarkEnd w:id="54"/>
      <w:bookmarkEnd w:id="55"/>
      <w:bookmarkEnd w:id="56"/>
      <w:bookmarkEnd w:id="57"/>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6"/>
        <w:numPr>
          <w:ilvl w:val="0"/>
          <w:numId w:val="0"/>
        </w:numPr>
        <w:jc w:val="left"/>
        <w:rPr>
          <w:rFonts w:hint="default" w:eastAsia="宋体"/>
          <w:lang w:val="en-US" w:eastAsia="zh-CN"/>
        </w:rPr>
      </w:pPr>
      <w:bookmarkStart w:id="58" w:name="_Toc23254"/>
      <w:bookmarkEnd w:id="58"/>
      <w:r>
        <w:rPr>
          <w:rFonts w:hint="eastAsia"/>
          <w:lang w:val="en-US" w:eastAsia="zh-CN"/>
        </w:rPr>
        <w:t>报价评审：</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362983802"/>
            <w:bookmarkStart w:id="60" w:name="_Toc58430318"/>
            <w:bookmarkStart w:id="61" w:name="_Toc449028878"/>
            <w:bookmarkStart w:id="62" w:name="_Toc267320058"/>
            <w:bookmarkStart w:id="63"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供货</w:t>
            </w:r>
            <w:r>
              <w:rPr>
                <w:rFonts w:hint="eastAsia" w:ascii="宋体" w:hAnsi="宋体" w:cs="宋体"/>
                <w:color w:val="000000"/>
                <w:szCs w:val="21"/>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投标总价评审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tbl>
    <w:p>
      <w:pPr>
        <w:spacing w:line="440" w:lineRule="exact"/>
        <w:ind w:firstLine="316" w:firstLineChars="150"/>
        <w:jc w:val="left"/>
        <w:rPr>
          <w:rFonts w:hint="default" w:ascii="宋体" w:eastAsia="宋体"/>
          <w:b/>
          <w:color w:val="000000"/>
          <w:szCs w:val="21"/>
          <w:highlight w:val="none"/>
          <w:lang w:val="en-US" w:eastAsia="zh-CN"/>
        </w:rPr>
      </w:pPr>
      <w:r>
        <w:rPr>
          <w:rFonts w:hint="eastAsia" w:ascii="宋体"/>
          <w:b/>
          <w:color w:val="000000"/>
          <w:szCs w:val="21"/>
          <w:highlight w:val="none"/>
        </w:rPr>
        <w:t xml:space="preserve"> 1. </w:t>
      </w:r>
      <w:r>
        <w:rPr>
          <w:rFonts w:hint="eastAsia" w:ascii="宋体"/>
          <w:b/>
          <w:color w:val="000000"/>
          <w:szCs w:val="21"/>
          <w:highlight w:val="none"/>
          <w:lang w:val="en-US" w:eastAsia="zh-CN"/>
        </w:rPr>
        <w:t>评标方法</w:t>
      </w:r>
    </w:p>
    <w:p>
      <w:pPr>
        <w:widowControl/>
        <w:adjustRightInd w:val="0"/>
        <w:snapToGrid w:val="0"/>
        <w:spacing w:line="560" w:lineRule="exact"/>
        <w:ind w:firstLine="420" w:firstLineChars="200"/>
        <w:jc w:val="left"/>
        <w:rPr>
          <w:rFonts w:hint="eastAsia" w:ascii="宋体" w:hAnsi="宋体" w:cs="宋体"/>
          <w:b/>
          <w:color w:val="000000"/>
          <w:kern w:val="0"/>
          <w:sz w:val="24"/>
          <w:highlight w:val="none"/>
        </w:rPr>
      </w:pPr>
      <w:r>
        <w:rPr>
          <w:rFonts w:hint="eastAsia" w:ascii="宋体"/>
          <w:color w:val="000000"/>
          <w:szCs w:val="21"/>
          <w:highlight w:val="none"/>
        </w:rPr>
        <w:t>1.1</w:t>
      </w:r>
      <w:r>
        <w:rPr>
          <w:rFonts w:hint="eastAsia" w:ascii="宋体"/>
          <w:b/>
          <w:color w:val="000000"/>
          <w:szCs w:val="21"/>
          <w:highlight w:val="none"/>
        </w:rPr>
        <w:t>本次评标采用最低评标价</w:t>
      </w:r>
      <w:r>
        <w:rPr>
          <w:rFonts w:ascii="宋体"/>
          <w:b/>
          <w:color w:val="000000"/>
          <w:szCs w:val="21"/>
          <w:highlight w:val="none"/>
        </w:rPr>
        <w:t>法</w:t>
      </w:r>
      <w:r>
        <w:rPr>
          <w:rFonts w:ascii="宋体"/>
          <w:color w:val="000000"/>
          <w:szCs w:val="21"/>
          <w:highlight w:val="none"/>
        </w:rPr>
        <w:t>，</w:t>
      </w:r>
      <w:r>
        <w:rPr>
          <w:rFonts w:hint="eastAsia" w:ascii="宋体" w:hAnsi="宋体" w:cs="宋体"/>
          <w:b/>
          <w:color w:val="000000"/>
          <w:szCs w:val="21"/>
        </w:rPr>
        <w:t>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pPr>
        <w:spacing w:line="440" w:lineRule="exact"/>
        <w:ind w:firstLine="315" w:firstLineChars="150"/>
        <w:jc w:val="left"/>
        <w:rPr>
          <w:rFonts w:hint="eastAsia" w:ascii="宋体" w:hAnsi="宋体" w:eastAsia="宋体" w:cs="宋体"/>
          <w:color w:val="000000"/>
        </w:rPr>
      </w:pPr>
      <w:bookmarkStart w:id="64"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64"/>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65" w:name="_Toc60061499"/>
      <w:bookmarkStart w:id="66" w:name="_Toc15058916"/>
      <w:r>
        <w:rPr>
          <w:rFonts w:hint="eastAsia" w:ascii="宋体" w:hAnsi="宋体" w:eastAsia="宋体" w:cs="宋体"/>
          <w:color w:val="000000"/>
        </w:rPr>
        <w:t>托的代理机构编</w:t>
      </w:r>
      <w:bookmarkEnd w:id="65"/>
      <w:bookmarkEnd w:id="66"/>
      <w:r>
        <w:rPr>
          <w:rFonts w:hint="eastAsia" w:ascii="宋体" w:hAnsi="宋体" w:eastAsia="宋体" w:cs="宋体"/>
          <w:color w:val="000000"/>
        </w:rPr>
        <w:t>制的招标项目情况材料。</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pPr>
        <w:spacing w:line="440" w:lineRule="exact"/>
        <w:ind w:firstLine="315" w:firstLineChars="150"/>
        <w:jc w:val="left"/>
        <w:rPr>
          <w:rFonts w:hint="eastAsia" w:ascii="宋体" w:hAnsi="宋体" w:eastAsia="宋体" w:cs="宋体"/>
          <w:color w:val="000000"/>
        </w:rPr>
      </w:pPr>
      <w:bookmarkStart w:id="67" w:name="_Toc60061500"/>
      <w:bookmarkStart w:id="68" w:name="_Toc15058917"/>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67"/>
      <w:bookmarkEnd w:id="68"/>
      <w:r>
        <w:rPr>
          <w:rFonts w:hint="eastAsia" w:ascii="宋体" w:hAnsi="宋体" w:eastAsia="宋体" w:cs="宋体"/>
          <w:color w:val="000000"/>
        </w:rPr>
        <w:t>选人</w:t>
      </w:r>
    </w:p>
    <w:p>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69" w:name="_Toc60061501"/>
      <w:bookmarkStart w:id="70" w:name="_Toc15058918"/>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69"/>
      <w:bookmarkEnd w:id="70"/>
      <w:r>
        <w:rPr>
          <w:rFonts w:hint="eastAsia" w:ascii="宋体" w:hAnsi="宋体" w:cs="宋体"/>
          <w:color w:val="000000"/>
          <w:szCs w:val="21"/>
        </w:rPr>
        <w:t>后，推荐中标候选人，并标明排序。</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pPr>
        <w:spacing w:line="440" w:lineRule="exact"/>
        <w:ind w:firstLine="315" w:firstLineChars="150"/>
        <w:jc w:val="left"/>
        <w:rPr>
          <w:rFonts w:hint="eastAsia" w:ascii="宋体" w:hAnsi="宋体" w:eastAsia="宋体" w:cs="宋体"/>
          <w:color w:val="000000"/>
          <w:szCs w:val="21"/>
        </w:rPr>
      </w:pPr>
      <w:bookmarkStart w:id="72"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72"/>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73" w:name="_Toc15058921"/>
      <w:bookmarkStart w:id="74" w:name="_Toc60061504"/>
      <w:r>
        <w:rPr>
          <w:rFonts w:hint="eastAsia" w:ascii="宋体" w:hAnsi="宋体" w:eastAsia="宋体" w:cs="宋体"/>
          <w:color w:val="000000"/>
          <w:szCs w:val="21"/>
        </w:rPr>
        <w:t>形式性评审标准：</w:t>
      </w:r>
      <w:bookmarkEnd w:id="73"/>
      <w:bookmarkEnd w:id="74"/>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bookmarkEnd w:id="59"/>
    <w:bookmarkEnd w:id="60"/>
    <w:bookmarkEnd w:id="61"/>
    <w:bookmarkEnd w:id="62"/>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3"/>
    <w:bookmarkEnd w:id="75"/>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线路概况：滁州至南京城际铁路工程线路全长约55.35km，设站17座，平均站间距3.43km，采用市域D型车，设计时速120Km/h（预留140Km/h）。</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本次</w:t>
      </w:r>
      <w:r>
        <w:rPr>
          <w:rFonts w:hint="eastAsia" w:ascii="宋体" w:hAnsi="宋体" w:eastAsia="宋体" w:cs="宋体"/>
          <w:color w:val="000000"/>
          <w:szCs w:val="21"/>
          <w:highlight w:val="none"/>
          <w:lang w:val="en-US" w:eastAsia="zh-CN"/>
        </w:rPr>
        <w:t>招标</w:t>
      </w:r>
      <w:r>
        <w:rPr>
          <w:rFonts w:hint="eastAsia" w:ascii="宋体" w:hAnsi="宋体" w:eastAsia="宋体" w:cs="宋体"/>
          <w:color w:val="000000"/>
          <w:szCs w:val="21"/>
          <w:highlight w:val="none"/>
        </w:rPr>
        <w:t>范围为一期、二期工程14座车站、13个区间（西起滁州高铁站，东至汊河镇站，初期运营正线全长44.83km）</w:t>
      </w:r>
      <w:r>
        <w:rPr>
          <w:rFonts w:hint="eastAsia" w:ascii="宋体" w:hAnsi="宋体" w:eastAsia="宋体" w:cs="宋体"/>
          <w:color w:val="000000"/>
          <w:szCs w:val="21"/>
          <w:highlight w:val="none"/>
          <w:lang w:val="en-US" w:eastAsia="zh-CN"/>
        </w:rPr>
        <w:t>其中</w:t>
      </w:r>
      <w:r>
        <w:rPr>
          <w:rFonts w:hint="eastAsia" w:ascii="宋体" w:hAnsi="宋体" w:eastAsia="宋体" w:cs="宋体"/>
          <w:color w:val="000000"/>
          <w:szCs w:val="21"/>
          <w:highlight w:val="none"/>
        </w:rPr>
        <w:t>一期工程：线路全长为31.55km，设站8座（预留2座），均为高架站，控制中心一座，牵引站一座</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二期工程：线路全长约13.28km，设站6座，高架站4座（预留2座），地下站2座，牵引站一座。</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车辆类型：市域D型车，近远期4辆编组。</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b/>
          <w:sz w:val="21"/>
          <w:szCs w:val="21"/>
          <w:highlight w:val="none"/>
          <w:lang w:val="en-US" w:eastAsia="zh-CN"/>
        </w:rPr>
      </w:pPr>
      <w:r>
        <w:rPr>
          <w:rFonts w:hint="eastAsia" w:ascii="宋体" w:hAnsi="宋体" w:eastAsia="宋体" w:cs="宋体"/>
          <w:color w:val="000000"/>
          <w:szCs w:val="21"/>
          <w:highlight w:val="none"/>
          <w:lang w:val="en-US" w:eastAsia="zh-CN"/>
        </w:rPr>
        <w:t xml:space="preserve">速度目标值：120km/h，预留140km/h线路条件。     </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 二、招标范围</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一</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本次招标范围为</w:t>
      </w:r>
      <w:r>
        <w:rPr>
          <w:rFonts w:hint="eastAsia" w:ascii="宋体" w:hAnsi="宋体" w:eastAsia="宋体" w:cs="宋体"/>
          <w:color w:val="000000"/>
          <w:szCs w:val="21"/>
          <w:highlight w:val="none"/>
          <w:lang w:val="en-US" w:eastAsia="zh-CN"/>
        </w:rPr>
        <w:t>滁宁城际铁路（滁州段）工程红线</w:t>
      </w:r>
      <w:r>
        <w:rPr>
          <w:rFonts w:hint="eastAsia" w:ascii="宋体" w:hAnsi="宋体" w:eastAsia="宋体" w:cs="宋体"/>
          <w:color w:val="000000"/>
          <w:szCs w:val="21"/>
          <w:highlight w:val="none"/>
        </w:rPr>
        <w:t>保护区</w:t>
      </w:r>
      <w:r>
        <w:rPr>
          <w:rFonts w:hint="eastAsia" w:ascii="宋体" w:hAnsi="宋体" w:eastAsia="宋体" w:cs="宋体"/>
          <w:color w:val="000000"/>
          <w:szCs w:val="21"/>
          <w:highlight w:val="none"/>
          <w:lang w:val="en-US" w:eastAsia="zh-CN"/>
        </w:rPr>
        <w:t>防护设施采购及安装</w:t>
      </w:r>
      <w:r>
        <w:rPr>
          <w:rFonts w:hint="eastAsia" w:ascii="宋体" w:hAnsi="宋体" w:eastAsia="宋体" w:cs="宋体"/>
          <w:color w:val="000000"/>
          <w:szCs w:val="21"/>
          <w:highlight w:val="none"/>
        </w:rPr>
        <w:t>服务。</w:t>
      </w:r>
      <w:r>
        <w:rPr>
          <w:rFonts w:hint="eastAsia" w:ascii="宋体" w:hAnsi="宋体" w:eastAsia="宋体" w:cs="宋体"/>
          <w:color w:val="000000"/>
          <w:szCs w:val="21"/>
          <w:highlight w:val="none"/>
          <w:lang w:val="en-US" w:eastAsia="zh-CN"/>
        </w:rPr>
        <w:t>采用高度1.8米的绿色隔离栅栏；隔离防护长度约为5000米，其中一期工程责任段长度约为3000米，二期工程责任段长度约为2000米。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（二）隔离栅栏实际应用图例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pPr>
      <w:r>
        <w:drawing>
          <wp:inline distT="0" distB="0" distL="114300" distR="114300">
            <wp:extent cx="5266055" cy="3374390"/>
            <wp:effectExtent l="0" t="0" r="1079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6055" cy="33743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1、立柱：50mm*50mm,热镀锌方钢，壁厚4mm；一网一柱。</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2、网片：材质低碳冷拔钢丝,1.8高，3米宽，网孔60mm*60mm，丝粗4mm,边框20mm*30mm方管加固；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3、连接片40mm*40mm*4mm镀锌钢片；</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4、防腐处理：整体侵塑；</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green"/>
          <w:lang w:val="en-US" w:eastAsia="zh-CN"/>
        </w:rPr>
      </w:pPr>
      <w:r>
        <w:rPr>
          <w:rFonts w:hint="eastAsia" w:ascii="宋体" w:hAnsi="宋体" w:eastAsia="宋体" w:cs="宋体"/>
          <w:color w:val="000000"/>
          <w:szCs w:val="21"/>
          <w:highlight w:val="none"/>
          <w:lang w:val="en-US" w:eastAsia="zh-CN"/>
        </w:rPr>
        <w:t>5、基础：C25砼，尺寸：300mm*300*600mm*3000mm(注：长*宽*埋深*间距)。</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三、工作任务 (包括但不限于) </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1、对滁州至南京城际铁路（滁州段）工程红线保护区边线进行防护设施安装并设立警示标识。 </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2、警示标识每100m设一组 ,根据现场实际情况,报甲方审核同意后,可进行距离或数量的调整，尺寸为600mm*300mm*0.6mm,不锈钢材质。字样：保护设施，破坏必究。 </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3、维保期内管理:防护设施、警示标志牌维保期内每季度进行全线巡查一次,并免费更换破损或遗失的防护栅栏、警示标志牌。</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4、隔离栅栏内部地表清理、整平、播撒草种。 </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四、工期</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不高于60个日历天，具体开工时间以招标人通知为准，维保责任期为1年。</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五、具体工程量</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1、洪武路-丰乐大道拐弯沿线，共6跨；约500米。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w:t>
      </w:r>
      <w:r>
        <w:rPr>
          <w:rFonts w:hint="default" w:ascii="宋体" w:hAnsi="宋体" w:eastAsia="宋体" w:cs="宋体"/>
          <w:color w:val="000000"/>
          <w:szCs w:val="21"/>
          <w:highlight w:val="none"/>
          <w:lang w:val="en-US" w:eastAsia="zh-CN"/>
        </w:rPr>
        <w:t>怡亭路</w:t>
      </w:r>
      <w:r>
        <w:rPr>
          <w:rFonts w:hint="eastAsia" w:ascii="宋体" w:hAnsi="宋体" w:eastAsia="宋体" w:cs="宋体"/>
          <w:color w:val="000000"/>
          <w:szCs w:val="21"/>
          <w:highlight w:val="none"/>
          <w:lang w:val="en-US" w:eastAsia="zh-CN"/>
        </w:rPr>
        <w:t>沿城际铁路</w:t>
      </w:r>
      <w:r>
        <w:rPr>
          <w:rFonts w:hint="default" w:ascii="宋体" w:hAnsi="宋体" w:eastAsia="宋体" w:cs="宋体"/>
          <w:color w:val="000000"/>
          <w:szCs w:val="21"/>
          <w:highlight w:val="none"/>
          <w:lang w:val="en-US" w:eastAsia="zh-CN"/>
        </w:rPr>
        <w:t>向东至</w:t>
      </w:r>
      <w:r>
        <w:rPr>
          <w:rFonts w:hint="eastAsia" w:ascii="宋体" w:hAnsi="宋体" w:eastAsia="宋体" w:cs="宋体"/>
          <w:color w:val="000000"/>
          <w:szCs w:val="21"/>
          <w:highlight w:val="none"/>
          <w:lang w:val="en-US" w:eastAsia="zh-CN"/>
        </w:rPr>
        <w:t>凤阳路，共14跨，约1000米。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3、凤阳路-担子站沿线，共6跨；约500米。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4、担子站至京沪铁路轨道沿线共13跨，约1000米。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5、创业南路与徽州路交口-京沪铁路沿线，共15跨，约1000米。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6、车辆段出入连接段16跨，约1000米。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7、投标人自行组织现场查勘。</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8、最终结算工程量按实测实量进行结算。</w:t>
      </w:r>
    </w:p>
    <w:p>
      <w:pPr>
        <w:numPr>
          <w:ilvl w:val="0"/>
          <w:numId w:val="5"/>
        </w:num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pageBreakBefore w:val="0"/>
        <w:widowControl/>
        <w:numPr>
          <w:ilvl w:val="0"/>
          <w:numId w:val="6"/>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79"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79"/>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80" w:name="_Toc469495742"/>
      <w:bookmarkStart w:id="81" w:name="_Toc179632628"/>
      <w:bookmarkStart w:id="82" w:name="_Toc152042388"/>
      <w:bookmarkStart w:id="83" w:name="_Toc144974578"/>
      <w:bookmarkStart w:id="84" w:name="_Toc246996996"/>
      <w:bookmarkStart w:id="85" w:name="_Toc152045610"/>
      <w:bookmarkStart w:id="86" w:name="_Toc247085768"/>
      <w:bookmarkStart w:id="87" w:name="_Toc246996253"/>
      <w:bookmarkStart w:id="88" w:name="_Toc296602498"/>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numPr>
          <w:ilvl w:val="0"/>
          <w:numId w:val="8"/>
        </w:numPr>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付款方式：</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注：最终结算工程量按实测实量进行结算。</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w:t>
      </w:r>
      <w:r>
        <w:rPr>
          <w:rFonts w:hint="eastAsia" w:ascii="宋体" w:hAnsi="宋体" w:eastAsia="宋体" w:cs="宋体"/>
          <w:b/>
          <w:bCs/>
          <w:color w:val="auto"/>
          <w:szCs w:val="21"/>
          <w:highlight w:val="none"/>
          <w:lang w:val="en-US" w:eastAsia="zh-CN"/>
        </w:rPr>
        <w:t>工</w:t>
      </w:r>
      <w:r>
        <w:rPr>
          <w:rFonts w:hint="eastAsia" w:ascii="宋体" w:hAnsi="宋体" w:eastAsia="宋体" w:cs="宋体"/>
          <w:b/>
          <w:bCs/>
          <w:color w:val="auto"/>
          <w:szCs w:val="21"/>
          <w:highlight w:val="none"/>
        </w:rPr>
        <w:t>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89" w:name="_Toc23596"/>
      <w:r>
        <w:rPr>
          <w:rFonts w:hint="eastAsia" w:ascii="宋体" w:hAnsi="宋体" w:cs="宋体"/>
          <w:b/>
          <w:color w:val="auto"/>
          <w:sz w:val="30"/>
          <w:szCs w:val="30"/>
          <w:highlight w:val="none"/>
        </w:rPr>
        <w:t>二  合同条款</w:t>
      </w:r>
      <w:bookmarkEnd w:id="80"/>
      <w:bookmarkEnd w:id="81"/>
      <w:bookmarkEnd w:id="82"/>
      <w:bookmarkEnd w:id="83"/>
      <w:bookmarkEnd w:id="84"/>
      <w:bookmarkEnd w:id="85"/>
      <w:bookmarkEnd w:id="86"/>
      <w:bookmarkEnd w:id="87"/>
      <w:bookmarkEnd w:id="88"/>
      <w:bookmarkEnd w:id="89"/>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5"/>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5"/>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5"/>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5"/>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5"/>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本项目不收取</w:t>
      </w:r>
      <w:r>
        <w:rPr>
          <w:rFonts w:hint="eastAsia" w:ascii="宋体" w:hAnsi="宋体" w:cs="宋体"/>
          <w:color w:val="auto"/>
          <w:szCs w:val="21"/>
          <w:highlight w:val="none"/>
        </w:rPr>
        <w:t>履约保证金</w:t>
      </w:r>
      <w:r>
        <w:rPr>
          <w:rFonts w:hint="eastAsia" w:ascii="宋体" w:hAnsi="宋体" w:cs="宋体"/>
          <w:color w:val="auto"/>
          <w:szCs w:val="21"/>
          <w:highlight w:val="none"/>
          <w:lang w:eastAsia="zh-CN"/>
        </w:rPr>
        <w:t>。</w:t>
      </w:r>
    </w:p>
    <w:p>
      <w:pPr>
        <w:pStyle w:val="5"/>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5"/>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90" w:name="_Toc21573"/>
      <w:bookmarkEnd w:id="90"/>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1"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1"/>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2" w:name="_Toc19336_WPSOffice_Level2"/>
      <w:bookmarkEnd w:id="92"/>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93" w:name="_Toc7180_WPSOffice_Level3"/>
      <w:bookmarkEnd w:id="93"/>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4" w:name="_Toc14710_WPSOffice_Level1"/>
      <w:bookmarkEnd w:id="94"/>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default"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投标人有效企业资质证书和安全生产许可证；</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宋体" w:eastAsia="宋体" w:cs="Times New Roman"/>
          <w:color w:val="000000"/>
          <w:szCs w:val="21"/>
          <w:highlight w:val="none"/>
          <w:lang w:val="en-US" w:eastAsia="zh-CN"/>
        </w:rPr>
        <w:t>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在本单位注册的有效建筑工程专业二级（或以上）注册建造师资格和具备有效的安全生产考核合格(B类)证书；</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（7）开标一览表（格式见附件）；</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（8）投标函（格式见附件）；</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（9）分项报价清单（格式见附件）；</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10）</w:t>
      </w:r>
      <w:r>
        <w:rPr>
          <w:rFonts w:hint="eastAsia" w:ascii="宋体" w:hAnsi="Times New Roman" w:eastAsia="宋体" w:cs="Times New Roman"/>
          <w:color w:val="auto"/>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7"/>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95" w:name="_Toc451384148"/>
      <w:bookmarkStart w:id="96" w:name="_Toc425084385"/>
      <w:r>
        <w:rPr>
          <w:rFonts w:hint="eastAsia" w:ascii="宋体" w:hAnsi="宋体"/>
          <w:color w:val="000000"/>
          <w:szCs w:val="21"/>
          <w:highlight w:val="none"/>
        </w:rPr>
        <w:t>一、将遵循公</w:t>
      </w:r>
      <w:bookmarkStart w:id="97" w:name="_Toc503196197"/>
      <w:bookmarkStart w:id="98" w:name="_Toc506107356"/>
      <w:bookmarkStart w:id="99" w:name="_Toc26598"/>
      <w:r>
        <w:rPr>
          <w:rFonts w:hint="eastAsia" w:ascii="宋体" w:hAnsi="宋体"/>
          <w:color w:val="000000"/>
          <w:szCs w:val="21"/>
          <w:highlight w:val="none"/>
        </w:rPr>
        <w:t>开、公正和诚实信用</w:t>
      </w:r>
      <w:bookmarkEnd w:id="97"/>
      <w:bookmarkEnd w:id="98"/>
      <w:r>
        <w:rPr>
          <w:rFonts w:hint="eastAsia" w:ascii="宋体" w:hAnsi="宋体"/>
          <w:color w:val="000000"/>
          <w:szCs w:val="21"/>
          <w:highlight w:val="none"/>
        </w:rPr>
        <w:t>的</w:t>
      </w:r>
      <w:bookmarkEnd w:id="99"/>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95"/>
    <w:bookmarkEnd w:id="96"/>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6"/>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widowControl/>
        <w:suppressLineNumbers w:val="0"/>
        <w:spacing w:before="0" w:beforeAutospacing="0" w:after="0" w:afterAutospacing="0" w:line="360" w:lineRule="auto"/>
        <w:ind w:right="0"/>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5"/>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color w:val="000000"/>
                <w:sz w:val="24"/>
                <w:highlight w:val="none"/>
              </w:rPr>
            </w:pPr>
            <w:r>
              <w:rPr>
                <w:rFonts w:hint="eastAsia" w:ascii="宋体" w:hAnsi="宋体" w:eastAsia="宋体" w:cs="宋体"/>
                <w:color w:val="000000"/>
                <w:szCs w:val="21"/>
                <w:highlight w:val="none"/>
                <w:lang w:val="en-US" w:eastAsia="zh-CN"/>
              </w:rPr>
              <w:t>洪武路-丰乐大道拐弯沿线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500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共6跨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怡亭路</w:t>
            </w:r>
            <w:r>
              <w:rPr>
                <w:rFonts w:hint="eastAsia" w:ascii="宋体" w:hAnsi="宋体" w:eastAsia="宋体" w:cs="宋体"/>
                <w:color w:val="000000"/>
                <w:szCs w:val="21"/>
                <w:highlight w:val="none"/>
                <w:lang w:val="en-US" w:eastAsia="zh-CN"/>
              </w:rPr>
              <w:t>沿城际铁路</w:t>
            </w:r>
            <w:r>
              <w:rPr>
                <w:rFonts w:hint="default" w:ascii="宋体" w:hAnsi="宋体" w:eastAsia="宋体" w:cs="宋体"/>
                <w:color w:val="000000"/>
                <w:szCs w:val="21"/>
                <w:highlight w:val="none"/>
                <w:lang w:val="en-US" w:eastAsia="zh-CN"/>
              </w:rPr>
              <w:t>向东至</w:t>
            </w:r>
            <w:r>
              <w:rPr>
                <w:rFonts w:hint="eastAsia" w:ascii="宋体" w:hAnsi="宋体" w:eastAsia="宋体" w:cs="宋体"/>
                <w:color w:val="000000"/>
                <w:szCs w:val="21"/>
                <w:highlight w:val="none"/>
                <w:lang w:val="en-US" w:eastAsia="zh-CN"/>
              </w:rPr>
              <w:t>凤阳路</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color w:val="000000"/>
                <w:szCs w:val="21"/>
                <w:highlight w:val="none"/>
                <w:lang w:val="en-US" w:eastAsia="zh-CN"/>
              </w:rPr>
              <w:t>共14跨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凤阳路-担子站沿线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500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共6跨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4</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担子站至京沪铁路轨道沿线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color w:val="000000"/>
                <w:szCs w:val="21"/>
                <w:highlight w:val="none"/>
                <w:lang w:val="en-US" w:eastAsia="zh-CN"/>
              </w:rPr>
              <w:t>共13跨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5</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创业南路与徽州路交口-京沪铁路沿线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color w:val="000000"/>
                <w:szCs w:val="21"/>
                <w:highlight w:val="none"/>
                <w:lang w:val="en-US" w:eastAsia="zh-CN"/>
              </w:rPr>
              <w:t>共15跨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6</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车辆段出入连接段</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共16跨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3+4+5+6</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eastAsia="zh-CN"/>
        </w:rPr>
      </w:pPr>
      <w:r>
        <w:rPr>
          <w:rFonts w:hint="eastAsia" w:ascii="宋体" w:hAnsi="宋体" w:cs="宋体"/>
          <w:color w:val="000000"/>
          <w:szCs w:val="21"/>
          <w:highlight w:val="none"/>
          <w:lang w:val="zh-CN" w:eastAsia="zh-CN"/>
        </w:rPr>
        <w:t>注：1.所有投标只能选择一种方案，单价和合价的报价只能是唯一，且须列出详细的分项报价。（与采购清单项相一致，不得缺项，否则视同包含在其他项目。）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zh-CN" w:eastAsia="zh-CN"/>
        </w:rPr>
        <w:t>2.投标报价采用综合单价法，</w:t>
      </w:r>
      <w:r>
        <w:rPr>
          <w:rFonts w:hint="eastAsia" w:ascii="宋体" w:hAnsi="宋体" w:cs="宋体"/>
          <w:color w:val="000000"/>
          <w:szCs w:val="21"/>
          <w:highlight w:val="none"/>
          <w:lang w:val="en-US" w:eastAsia="zh-CN"/>
        </w:rPr>
        <w:t>综合</w:t>
      </w:r>
      <w:r>
        <w:rPr>
          <w:rFonts w:hint="eastAsia" w:ascii="宋体" w:hAnsi="宋体" w:cs="宋体"/>
          <w:color w:val="000000"/>
          <w:szCs w:val="21"/>
          <w:highlight w:val="none"/>
          <w:lang w:val="zh-CN" w:eastAsia="zh-CN"/>
        </w:rPr>
        <w:t>单价包括</w:t>
      </w:r>
      <w:r>
        <w:rPr>
          <w:rFonts w:hint="eastAsia" w:ascii="宋体" w:hAnsi="宋体" w:cs="宋体"/>
          <w:color w:val="000000"/>
          <w:szCs w:val="21"/>
          <w:highlight w:val="none"/>
          <w:lang w:val="en-US" w:eastAsia="zh-CN"/>
        </w:rPr>
        <w:t>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eastAsiaTheme="minorEastAsia"/>
          <w:color w:val="000000"/>
          <w:sz w:val="24"/>
          <w:highlight w:val="none"/>
          <w:lang w:val="en-US" w:eastAsia="zh-CN"/>
        </w:rPr>
      </w:pPr>
      <w:r>
        <w:rPr>
          <w:rFonts w:hint="eastAsia" w:ascii="宋体" w:hAnsi="宋体" w:cs="宋体"/>
          <w:color w:val="000000"/>
          <w:szCs w:val="21"/>
          <w:highlight w:val="none"/>
          <w:lang w:val="en-US" w:eastAsia="zh-CN"/>
        </w:rPr>
        <w:t>3.最终结算工程量按实测实量进行结算。</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24"/>
        <w:widowControl/>
        <w:spacing w:before="0" w:beforeAutospacing="0" w:after="0" w:afterAutospacing="0" w:line="375" w:lineRule="atLeast"/>
        <w:ind w:left="0" w:right="0"/>
        <w:jc w:val="center"/>
        <w:outlineLvl w:val="0"/>
        <w:rPr>
          <w:b/>
          <w:bCs w:val="0"/>
          <w:sz w:val="32"/>
          <w:szCs w:val="32"/>
          <w:highlight w:val="none"/>
          <w:lang w:val="en-US"/>
        </w:rPr>
      </w:pPr>
      <w:bookmarkStart w:id="100" w:name="_Toc6275_WPSOffice_Level1"/>
      <w:bookmarkEnd w:id="100"/>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滁州至南京城际铁路（滁州段）工程红线防护设施采购及安装项目（二次）</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6"/>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2023年12月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3468D"/>
    <w:multiLevelType w:val="singleLevel"/>
    <w:tmpl w:val="F2A3468D"/>
    <w:lvl w:ilvl="0" w:tentative="0">
      <w:start w:val="19"/>
      <w:numFmt w:val="decimal"/>
      <w:suff w:val="space"/>
      <w:lvlText w:val="%1."/>
      <w:lvlJc w:val="left"/>
    </w:lvl>
  </w:abstractNum>
  <w:abstractNum w:abstractNumId="1">
    <w:nsid w:val="F2A9B865"/>
    <w:multiLevelType w:val="singleLevel"/>
    <w:tmpl w:val="F2A9B865"/>
    <w:lvl w:ilvl="0" w:tentative="0">
      <w:start w:val="4"/>
      <w:numFmt w:val="decimal"/>
      <w:suff w:val="nothing"/>
      <w:lvlText w:val="%1、"/>
      <w:lvlJc w:val="left"/>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00000007"/>
    <w:multiLevelType w:val="singleLevel"/>
    <w:tmpl w:val="00000007"/>
    <w:lvl w:ilvl="0" w:tentative="0">
      <w:start w:val="1"/>
      <w:numFmt w:val="decimal"/>
      <w:suff w:val="nothing"/>
      <w:lvlText w:val="（%1）"/>
      <w:lvlJc w:val="left"/>
    </w:lvl>
  </w:abstractNum>
  <w:abstractNum w:abstractNumId="4">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181D5CA9"/>
    <w:multiLevelType w:val="singleLevel"/>
    <w:tmpl w:val="181D5CA9"/>
    <w:lvl w:ilvl="0" w:tentative="0">
      <w:start w:val="35"/>
      <w:numFmt w:val="decimal"/>
      <w:lvlText w:val="%1."/>
      <w:lvlJc w:val="left"/>
      <w:pPr>
        <w:tabs>
          <w:tab w:val="left" w:pos="312"/>
        </w:tabs>
      </w:pPr>
    </w:lvl>
  </w:abstractNum>
  <w:abstractNum w:abstractNumId="6">
    <w:nsid w:val="202AD6DE"/>
    <w:multiLevelType w:val="singleLevel"/>
    <w:tmpl w:val="202AD6DE"/>
    <w:lvl w:ilvl="0" w:tentative="0">
      <w:start w:val="6"/>
      <w:numFmt w:val="chineseCounting"/>
      <w:suff w:val="nothing"/>
      <w:lvlText w:val="%1、"/>
      <w:lvlJc w:val="left"/>
      <w:rPr>
        <w:rFonts w:hint="eastAsia"/>
      </w:rPr>
    </w:lvl>
  </w:abstractNum>
  <w:abstractNum w:abstractNumId="7">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7"/>
  </w:num>
  <w:num w:numId="3">
    <w:abstractNumId w:val="5"/>
  </w:num>
  <w:num w:numId="4">
    <w:abstractNumId w:val="2"/>
  </w:num>
  <w:num w:numId="5">
    <w:abstractNumId w:val="6"/>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6D54ED0"/>
    <w:rsid w:val="07C425FF"/>
    <w:rsid w:val="0AFF501E"/>
    <w:rsid w:val="0CEF01A1"/>
    <w:rsid w:val="0D4228C9"/>
    <w:rsid w:val="0EBB3464"/>
    <w:rsid w:val="0F5A3543"/>
    <w:rsid w:val="101C4945"/>
    <w:rsid w:val="11273F56"/>
    <w:rsid w:val="12431559"/>
    <w:rsid w:val="14334ED5"/>
    <w:rsid w:val="162403C8"/>
    <w:rsid w:val="1A2C0203"/>
    <w:rsid w:val="1B0B6A26"/>
    <w:rsid w:val="1CF617FA"/>
    <w:rsid w:val="1DD7722D"/>
    <w:rsid w:val="1E474369"/>
    <w:rsid w:val="1FBE5586"/>
    <w:rsid w:val="2035457B"/>
    <w:rsid w:val="204506D8"/>
    <w:rsid w:val="20F63292"/>
    <w:rsid w:val="21391D2B"/>
    <w:rsid w:val="21FC6157"/>
    <w:rsid w:val="222D5B93"/>
    <w:rsid w:val="239955A4"/>
    <w:rsid w:val="27427F5F"/>
    <w:rsid w:val="287E4991"/>
    <w:rsid w:val="32013042"/>
    <w:rsid w:val="323852C9"/>
    <w:rsid w:val="32812567"/>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7002D3"/>
    <w:rsid w:val="604D11B9"/>
    <w:rsid w:val="62C47C43"/>
    <w:rsid w:val="6509245E"/>
    <w:rsid w:val="668A652A"/>
    <w:rsid w:val="6EA934B6"/>
    <w:rsid w:val="706E041E"/>
    <w:rsid w:val="72A03324"/>
    <w:rsid w:val="746B63CF"/>
    <w:rsid w:val="746C0AE0"/>
    <w:rsid w:val="74C85615"/>
    <w:rsid w:val="75843174"/>
    <w:rsid w:val="760F0C92"/>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3"/>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9"/>
    <w:link w:val="3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0"/>
    <w:qFormat/>
    <w:uiPriority w:val="0"/>
    <w:pPr>
      <w:spacing w:after="120" w:afterLines="0" w:afterAutospacing="0"/>
      <w:ind w:left="420" w:leftChars="200"/>
    </w:pPr>
  </w:style>
  <w:style w:type="paragraph" w:customStyle="1" w:styleId="8">
    <w:name w:val="正文文字 8"/>
    <w:basedOn w:val="1"/>
    <w:next w:val="1"/>
    <w:qFormat/>
    <w:uiPriority w:val="0"/>
    <w:pPr>
      <w:ind w:left="240"/>
    </w:pPr>
    <w:rPr>
      <w:sz w:val="16"/>
    </w:rPr>
  </w:style>
  <w:style w:type="paragraph" w:styleId="9">
    <w:name w:val="Body Text First Indent"/>
    <w:basedOn w:val="10"/>
    <w:qFormat/>
    <w:uiPriority w:val="0"/>
    <w:pPr>
      <w:adjustRightInd/>
      <w:spacing w:after="120" w:line="240" w:lineRule="auto"/>
      <w:ind w:firstLine="420" w:firstLineChars="100"/>
      <w:jc w:val="both"/>
    </w:pPr>
  </w:style>
  <w:style w:type="paragraph" w:styleId="10">
    <w:name w:val="Body Text"/>
    <w:basedOn w:val="1"/>
    <w:next w:val="11"/>
    <w:qFormat/>
    <w:uiPriority w:val="0"/>
    <w:pPr>
      <w:widowControl w:val="0"/>
      <w:snapToGrid w:val="0"/>
      <w:spacing w:line="360" w:lineRule="auto"/>
    </w:pPr>
    <w:rPr>
      <w:rFonts w:ascii="Arial" w:hAnsi="Arial" w:eastAsia="仿宋_GB2312"/>
      <w:sz w:val="31"/>
    </w:rPr>
  </w:style>
  <w:style w:type="paragraph" w:customStyle="1" w:styleId="1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2">
    <w:name w:val="annotation text"/>
    <w:basedOn w:val="1"/>
    <w:qFormat/>
    <w:uiPriority w:val="0"/>
    <w:pPr>
      <w:jc w:val="left"/>
    </w:pPr>
  </w:style>
  <w:style w:type="paragraph" w:styleId="13">
    <w:name w:val="Body Text 3"/>
    <w:basedOn w:val="1"/>
    <w:qFormat/>
    <w:uiPriority w:val="0"/>
    <w:rPr>
      <w:rFonts w:ascii="宋体" w:hAnsi="Calibri" w:eastAsia="宋体" w:cs="Times New Roman"/>
      <w:sz w:val="24"/>
      <w:szCs w:val="20"/>
    </w:rPr>
  </w:style>
  <w:style w:type="paragraph" w:styleId="14">
    <w:name w:val="toc 3"/>
    <w:basedOn w:val="1"/>
    <w:next w:val="1"/>
    <w:qFormat/>
    <w:uiPriority w:val="39"/>
    <w:pPr>
      <w:jc w:val="left"/>
    </w:pPr>
    <w:rPr>
      <w:rFonts w:ascii="Calibri" w:hAnsi="Calibri"/>
      <w:smallCaps/>
      <w:sz w:val="22"/>
      <w:szCs w:val="22"/>
    </w:rPr>
  </w:style>
  <w:style w:type="paragraph" w:styleId="15">
    <w:name w:val="Plain Text"/>
    <w:basedOn w:val="1"/>
    <w:next w:val="1"/>
    <w:link w:val="35"/>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3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36"/>
    <w:qFormat/>
    <w:uiPriority w:val="0"/>
    <w:pPr>
      <w:tabs>
        <w:tab w:val="center" w:pos="4153"/>
        <w:tab w:val="right" w:pos="8306"/>
      </w:tabs>
      <w:snapToGrid w:val="0"/>
      <w:jc w:val="left"/>
    </w:pPr>
    <w:rPr>
      <w:sz w:val="18"/>
    </w:rPr>
  </w:style>
  <w:style w:type="paragraph" w:styleId="18">
    <w:name w:val="envelope return"/>
    <w:basedOn w:val="1"/>
    <w:next w:val="4"/>
    <w:qFormat/>
    <w:uiPriority w:val="0"/>
    <w:pPr>
      <w:snapToGrid w:val="0"/>
    </w:pPr>
    <w:rPr>
      <w:rFonts w:ascii="Arial" w:hAnsi="Arial"/>
    </w:rPr>
  </w:style>
  <w:style w:type="paragraph" w:styleId="19">
    <w:name w:val="header"/>
    <w:basedOn w:val="1"/>
    <w:link w:val="3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pPr>
      <w:spacing w:before="120" w:after="120"/>
      <w:jc w:val="left"/>
    </w:pPr>
    <w:rPr>
      <w:b/>
      <w:bCs/>
      <w:caps/>
      <w:sz w:val="20"/>
    </w:rPr>
  </w:style>
  <w:style w:type="paragraph" w:styleId="21">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footnote text"/>
    <w:basedOn w:val="1"/>
    <w:semiHidden/>
    <w:unhideWhenUsed/>
    <w:qFormat/>
    <w:uiPriority w:val="99"/>
    <w:pPr>
      <w:snapToGrid w:val="0"/>
      <w:jc w:val="left"/>
    </w:pPr>
    <w:rPr>
      <w:sz w:val="18"/>
    </w:rPr>
  </w:style>
  <w:style w:type="paragraph" w:styleId="23">
    <w:name w:val="Body Text 2"/>
    <w:basedOn w:val="1"/>
    <w:qFormat/>
    <w:uiPriority w:val="0"/>
    <w:rPr>
      <w:kern w:val="0"/>
      <w:sz w:val="24"/>
    </w:rPr>
  </w:style>
  <w:style w:type="paragraph" w:styleId="24">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styleId="29">
    <w:name w:val="footnote reference"/>
    <w:basedOn w:val="27"/>
    <w:semiHidden/>
    <w:unhideWhenUsed/>
    <w:qFormat/>
    <w:uiPriority w:val="99"/>
    <w:rPr>
      <w:vertAlign w:val="superscript"/>
    </w:rPr>
  </w:style>
  <w:style w:type="character" w:customStyle="1" w:styleId="30">
    <w:name w:val="正文文本缩进 Char"/>
    <w:basedOn w:val="27"/>
    <w:link w:val="7"/>
    <w:qFormat/>
    <w:uiPriority w:val="0"/>
    <w:rPr>
      <w:rFonts w:hint="default" w:ascii="Times New Roman" w:hAnsi="Times New Roman" w:eastAsia="宋体" w:cs="Times New Roman"/>
      <w:color w:val="000000"/>
      <w:kern w:val="0"/>
      <w:szCs w:val="21"/>
      <w:u w:color="000000"/>
    </w:rPr>
  </w:style>
  <w:style w:type="character" w:customStyle="1" w:styleId="31">
    <w:name w:val="正文首行缩进 2 Char"/>
    <w:basedOn w:val="30"/>
    <w:link w:val="6"/>
    <w:qFormat/>
    <w:uiPriority w:val="0"/>
    <w:rPr>
      <w:rFonts w:hint="default" w:ascii="Times New Roman" w:hAnsi="Times New Roman" w:eastAsia="宋体" w:cs="Times New Roman"/>
      <w:color w:val="000000"/>
      <w:kern w:val="0"/>
      <w:szCs w:val="21"/>
      <w:u w:color="000000"/>
    </w:rPr>
  </w:style>
  <w:style w:type="character" w:customStyle="1" w:styleId="32">
    <w:name w:val="日期 Char"/>
    <w:basedOn w:val="27"/>
    <w:link w:val="16"/>
    <w:qFormat/>
    <w:uiPriority w:val="0"/>
    <w:rPr>
      <w:rFonts w:ascii="Arial" w:hAnsi="Arial" w:eastAsia="仿宋_GB2312" w:cs="Arial"/>
      <w:color w:val="000000"/>
      <w:sz w:val="32"/>
      <w:szCs w:val="32"/>
      <w:u w:color="000000"/>
    </w:rPr>
  </w:style>
  <w:style w:type="character" w:customStyle="1" w:styleId="33">
    <w:name w:val="标题 2 Char"/>
    <w:basedOn w:val="27"/>
    <w:link w:val="2"/>
    <w:qFormat/>
    <w:uiPriority w:val="0"/>
    <w:rPr>
      <w:rFonts w:hint="default" w:ascii="Times New Roman" w:hAnsi="Times New Roman" w:eastAsia="宋体" w:cs="Times New Roman"/>
      <w:kern w:val="0"/>
      <w:sz w:val="24"/>
      <w:szCs w:val="24"/>
    </w:rPr>
  </w:style>
  <w:style w:type="character" w:customStyle="1" w:styleId="34">
    <w:name w:val="页眉 Char"/>
    <w:basedOn w:val="27"/>
    <w:link w:val="19"/>
    <w:qFormat/>
    <w:uiPriority w:val="0"/>
    <w:rPr>
      <w:rFonts w:hint="default" w:ascii="Times New Roman" w:hAnsi="Times New Roman" w:eastAsia="宋体" w:cs="Times New Roman"/>
      <w:color w:val="000000"/>
      <w:kern w:val="0"/>
      <w:sz w:val="18"/>
      <w:szCs w:val="18"/>
      <w:u w:color="000000"/>
    </w:rPr>
  </w:style>
  <w:style w:type="character" w:customStyle="1" w:styleId="35">
    <w:name w:val="纯文本 Char"/>
    <w:basedOn w:val="27"/>
    <w:link w:val="15"/>
    <w:qFormat/>
    <w:uiPriority w:val="0"/>
    <w:rPr>
      <w:rFonts w:hint="eastAsia" w:ascii="宋体" w:hAnsi="宋体" w:eastAsia="宋体" w:cs="宋体"/>
      <w:szCs w:val="21"/>
    </w:rPr>
  </w:style>
  <w:style w:type="character" w:customStyle="1" w:styleId="36">
    <w:name w:val="页脚 Char"/>
    <w:basedOn w:val="27"/>
    <w:link w:val="17"/>
    <w:qFormat/>
    <w:uiPriority w:val="0"/>
    <w:rPr>
      <w:rFonts w:hint="default" w:ascii="Times New Roman" w:hAnsi="Times New Roman" w:eastAsia="宋体" w:cs="Times New Roman"/>
      <w:color w:val="000000"/>
      <w:kern w:val="0"/>
      <w:sz w:val="18"/>
      <w:szCs w:val="18"/>
      <w:u w:color="000000"/>
    </w:rPr>
  </w:style>
  <w:style w:type="paragraph" w:customStyle="1" w:styleId="37">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8">
    <w:name w:val="List Paragraph"/>
    <w:basedOn w:val="1"/>
    <w:qFormat/>
    <w:uiPriority w:val="0"/>
    <w:pPr>
      <w:widowControl w:val="0"/>
      <w:spacing w:line="240" w:lineRule="auto"/>
      <w:ind w:firstLine="200" w:firstLineChars="200"/>
      <w:textAlignment w:val="auto"/>
    </w:pPr>
    <w:rPr>
      <w:u w:val="none" w:color="000000"/>
    </w:rPr>
  </w:style>
  <w:style w:type="character" w:customStyle="1" w:styleId="39">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0">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1">
    <w:name w:val="font51"/>
    <w:basedOn w:val="27"/>
    <w:qFormat/>
    <w:uiPriority w:val="0"/>
    <w:rPr>
      <w:rFonts w:hint="eastAsia" w:ascii="宋体" w:hAnsi="宋体" w:eastAsia="宋体" w:cs="宋体"/>
      <w:color w:val="000000"/>
      <w:sz w:val="22"/>
      <w:szCs w:val="22"/>
      <w:u w:val="none"/>
    </w:rPr>
  </w:style>
  <w:style w:type="character" w:customStyle="1" w:styleId="42">
    <w:name w:val="font31"/>
    <w:basedOn w:val="27"/>
    <w:qFormat/>
    <w:uiPriority w:val="0"/>
    <w:rPr>
      <w:rFonts w:hint="default" w:ascii="Times New Roman" w:hAnsi="Times New Roman" w:cs="Times New Roman"/>
      <w:color w:val="000000"/>
      <w:sz w:val="22"/>
      <w:szCs w:val="22"/>
      <w:u w:val="none"/>
    </w:rPr>
  </w:style>
  <w:style w:type="character" w:customStyle="1" w:styleId="43">
    <w:name w:val="font61"/>
    <w:basedOn w:val="27"/>
    <w:qFormat/>
    <w:uiPriority w:val="0"/>
    <w:rPr>
      <w:rFonts w:hint="default" w:ascii="Times New Roman" w:hAnsi="Times New Roman" w:cs="Times New Roman"/>
      <w:color w:val="000000"/>
      <w:sz w:val="21"/>
      <w:szCs w:val="21"/>
      <w:u w:val="none"/>
    </w:rPr>
  </w:style>
  <w:style w:type="character" w:customStyle="1" w:styleId="44">
    <w:name w:val="font71"/>
    <w:basedOn w:val="27"/>
    <w:qFormat/>
    <w:uiPriority w:val="0"/>
    <w:rPr>
      <w:rFonts w:hint="eastAsia" w:ascii="宋体" w:hAnsi="宋体" w:eastAsia="宋体" w:cs="宋体"/>
      <w:color w:val="000000"/>
      <w:sz w:val="21"/>
      <w:szCs w:val="21"/>
      <w:u w:val="none"/>
    </w:rPr>
  </w:style>
  <w:style w:type="character" w:customStyle="1" w:styleId="45">
    <w:name w:val="font01"/>
    <w:basedOn w:val="27"/>
    <w:qFormat/>
    <w:uiPriority w:val="0"/>
    <w:rPr>
      <w:rFonts w:hint="eastAsia" w:ascii="宋体" w:hAnsi="宋体" w:eastAsia="宋体" w:cs="宋体"/>
      <w:color w:val="000000"/>
      <w:sz w:val="22"/>
      <w:szCs w:val="22"/>
      <w:u w:val="none"/>
    </w:rPr>
  </w:style>
  <w:style w:type="character" w:customStyle="1" w:styleId="46">
    <w:name w:val="font11"/>
    <w:basedOn w:val="27"/>
    <w:qFormat/>
    <w:uiPriority w:val="0"/>
    <w:rPr>
      <w:rFonts w:hint="eastAsia" w:ascii="宋体" w:hAnsi="宋体" w:eastAsia="宋体" w:cs="宋体"/>
      <w:color w:val="000000"/>
      <w:sz w:val="21"/>
      <w:szCs w:val="21"/>
      <w:u w:val="none"/>
    </w:rPr>
  </w:style>
  <w:style w:type="character" w:customStyle="1" w:styleId="47">
    <w:name w:val="font41"/>
    <w:basedOn w:val="27"/>
    <w:qFormat/>
    <w:uiPriority w:val="0"/>
    <w:rPr>
      <w:rFonts w:hint="default" w:ascii="Times New Roman" w:hAnsi="Times New Roman" w:cs="Times New Roman"/>
      <w:color w:val="000000"/>
      <w:sz w:val="22"/>
      <w:szCs w:val="22"/>
      <w:u w:val="none"/>
    </w:rPr>
  </w:style>
  <w:style w:type="paragraph" w:customStyle="1" w:styleId="48">
    <w:name w:val="二级标题"/>
    <w:basedOn w:val="1"/>
    <w:next w:val="1"/>
    <w:qFormat/>
    <w:uiPriority w:val="0"/>
    <w:rPr>
      <w:rFonts w:hint="eastAsia" w:eastAsia="楷体"/>
    </w:rPr>
  </w:style>
  <w:style w:type="paragraph" w:customStyle="1" w:styleId="49">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26140</Words>
  <Characters>27990</Characters>
  <Lines>0</Lines>
  <Paragraphs>0</Paragraphs>
  <TotalTime>11</TotalTime>
  <ScaleCrop>false</ScaleCrop>
  <LinksUpToDate>false</LinksUpToDate>
  <CharactersWithSpaces>30759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2023-11-23T14:11:00Z</cp:lastPrinted>
  <dcterms:modified xsi:type="dcterms:W3CDTF">2023-12-04T09:34:01Z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6D9A791FE09F4AF69DC46F4A104A7358</vt:lpwstr>
  </property>
</Properties>
</file>