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jc w:val="center"/>
        <w:textAlignment w:val="auto"/>
        <w:rPr>
          <w:rFonts w:hint="default" w:ascii="宋体" w:hAnsi="宋体" w:eastAsia="宋体" w:cs="宋体"/>
          <w:b/>
          <w:bCs w:val="0"/>
          <w:color w:val="000000"/>
          <w:kern w:val="0"/>
          <w:sz w:val="144"/>
          <w:szCs w:val="144"/>
          <w:highlight w:val="none"/>
          <w:u w:color="000000"/>
          <w:lang w:val="en-US" w:eastAsia="zh-CN" w:bidi="ar"/>
        </w:rPr>
      </w:pPr>
      <w:r>
        <w:rPr>
          <w:rFonts w:hint="eastAsia" w:ascii="Times New Roman" w:hAnsi="Times New Roman" w:eastAsia="宋体" w:cs="宋体"/>
          <w:b/>
          <w:bCs w:val="0"/>
          <w:color w:val="000000"/>
          <w:kern w:val="0"/>
          <w:sz w:val="48"/>
          <w:szCs w:val="28"/>
          <w:highlight w:val="none"/>
          <w:u w:color="000000"/>
          <w:lang w:val="en-US" w:eastAsia="zh-CN" w:bidi="ar"/>
        </w:rPr>
        <w:t>滁宁城际铁路控制中心档案设备采购及安装项目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8</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评标办法…………………………………………………………………14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采购需求…………………………………………………………………22</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第五章  合同条款及格式…………………………………………………………30</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第六章  投标文件格式……………………………………………………………36</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第七章  招标人、招标代理机构对本招标文件的确认…………………………49</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21"/>
        <w:keepNext w:val="0"/>
        <w:keepLines w:val="0"/>
        <w:pageBreakBefore w:val="0"/>
        <w:widowControl/>
        <w:kinsoku/>
        <w:overflowPunct/>
        <w:topLinePunct w:val="0"/>
        <w:autoSpaceDN/>
        <w:bidi w:val="0"/>
        <w:adjustRightInd/>
        <w:snapToGrid/>
        <w:spacing w:beforeAutospacing="0" w:afterAutospacing="0" w:line="44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58430305"/>
      <w:bookmarkEnd w:id="6"/>
      <w:bookmarkStart w:id="7" w:name="_Toc28359002"/>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滁宁城际铁路控制中心档案设备采购及安装项目的潜在投标人应在滁州市滁宁城际铁路开发建设有限公司网站（http://czctgs.cn/）获取招标文件，并于2023年8月24日15时00分（北京时间）前递交投标文件。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项目名称：滁宁城际铁路控制中心档案设备采购及安装项目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479"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项目预算金额：</w:t>
      </w:r>
      <w:r>
        <w:rPr>
          <w:rFonts w:hint="eastAsia" w:ascii="宋体" w:hAnsi="宋体" w:eastAsia="宋体" w:cs="宋体"/>
          <w:b w:val="0"/>
          <w:bCs w:val="0"/>
          <w:color w:val="000000"/>
          <w:kern w:val="0"/>
          <w:sz w:val="24"/>
          <w:szCs w:val="24"/>
          <w:highlight w:val="none"/>
          <w:u w:color="000000"/>
          <w:lang w:val="en-US" w:eastAsia="zh-CN" w:bidi="ar"/>
        </w:rPr>
        <w:t>约28.5万元</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285000.00元，</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采购需求：滁宁城际铁路控制中心大厦档案室设备采购及安装</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供货期：自合同签订后30个日历天内全部供货安装及调试完毕，免费质保期三年。</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具有独立的法人资格且具有相应供货服务能力。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2023年8月11日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2023年8月24日</w:t>
      </w:r>
    </w:p>
    <w:p>
      <w:pPr>
        <w:keepNext w:val="0"/>
        <w:keepLines w:val="0"/>
        <w:pageBreakBefore w:val="0"/>
        <w:kinsoku/>
        <w:overflowPunct/>
        <w:topLinePunct w:val="0"/>
        <w:autoSpaceDE/>
        <w:autoSpaceDN/>
        <w:bidi w:val="0"/>
        <w:adjustRightInd/>
        <w:snapToGrid/>
        <w:spacing w:line="44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58430308"/>
      <w:bookmarkEnd w:id="11"/>
      <w:bookmarkStart w:id="12" w:name="_Toc28359005"/>
      <w:bookmarkEnd w:id="12"/>
      <w:bookmarkStart w:id="13" w:name="_Toc35393793"/>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2023年8月24日15时00分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样品递交方式：</w:t>
      </w:r>
      <w:r>
        <w:rPr>
          <w:rFonts w:hint="default" w:ascii="宋体" w:hAnsi="宋体" w:eastAsia="宋体" w:cs="宋体"/>
          <w:color w:val="000000"/>
          <w:kern w:val="0"/>
          <w:sz w:val="24"/>
          <w:szCs w:val="24"/>
          <w:highlight w:val="none"/>
          <w:u w:color="000000"/>
          <w:lang w:val="en-US" w:eastAsia="zh-CN" w:bidi="ar"/>
        </w:rPr>
        <w:t>①</w:t>
      </w:r>
      <w:r>
        <w:rPr>
          <w:rFonts w:hint="eastAsia" w:ascii="宋体" w:hAnsi="宋体" w:eastAsia="宋体" w:cs="宋体"/>
          <w:color w:val="000000"/>
          <w:kern w:val="0"/>
          <w:sz w:val="24"/>
          <w:szCs w:val="24"/>
          <w:highlight w:val="none"/>
          <w:u w:color="000000"/>
          <w:lang w:val="en-US" w:eastAsia="zh-CN" w:bidi="ar"/>
        </w:rPr>
        <w:t>本项目须提供不同的两件样品（①立柱一件（长500mm）；②铁滚轮(12根加强筋)一件），两个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②</w:t>
      </w:r>
      <w:r>
        <w:rPr>
          <w:rFonts w:hint="eastAsia" w:ascii="宋体" w:hAnsi="宋体" w:eastAsia="宋体" w:cs="宋体"/>
          <w:color w:val="000000"/>
          <w:kern w:val="0"/>
          <w:sz w:val="24"/>
          <w:szCs w:val="24"/>
          <w:highlight w:val="none"/>
          <w:u w:color="000000"/>
          <w:lang w:val="en-US" w:eastAsia="zh-CN" w:bidi="ar"/>
        </w:rPr>
        <w:t>样品须使用顺丰快递密封送达至规定地点。样品邮寄地址：滁州市南谯区徽州路与扬子大道交叉口控制中心大楼7层 ，收件人：陈俊，联系方式：</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color w:val="000000"/>
          <w:kern w:val="0"/>
          <w:sz w:val="24"/>
          <w:szCs w:val="24"/>
          <w:highlight w:val="none"/>
          <w:u w:color="000000"/>
          <w:lang w:val="en-US" w:eastAsia="zh-CN" w:bidi="ar"/>
        </w:rPr>
        <w:t>，未使用顺丰快递送达的或未按要求密封的将被拒绝，样品评分项按零分处理。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default" w:ascii="宋体" w:hAnsi="宋体" w:eastAsia="宋体" w:cs="宋体"/>
          <w:color w:val="000000"/>
          <w:kern w:val="0"/>
          <w:sz w:val="24"/>
          <w:szCs w:val="24"/>
          <w:highlight w:val="none"/>
          <w:u w:color="000000"/>
          <w:lang w:val="en-US" w:eastAsia="zh-CN" w:bidi="ar"/>
        </w:rPr>
        <w:t>③</w:t>
      </w:r>
      <w:r>
        <w:rPr>
          <w:rFonts w:hint="eastAsia" w:ascii="宋体" w:hAnsi="宋体" w:eastAsia="宋体" w:cs="宋体"/>
          <w:color w:val="000000"/>
          <w:kern w:val="0"/>
          <w:sz w:val="24"/>
          <w:szCs w:val="24"/>
          <w:highlight w:val="none"/>
          <w:u w:color="000000"/>
          <w:lang w:val="en-US" w:eastAsia="zh-CN" w:bidi="ar"/>
        </w:rPr>
        <w:t>每个样品须在尾部分别标注：立柱或铁滚轮。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④样品密封要求：样品需进行密封，否则样品得分按零分处理；在密封箱中放置加盖投标单位公章的样品清单，便于区分投标单位信息及后期核对样品。</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⑤未中标的投标人样品在公示期结束后由未中标人自行取回或选择邮件退回（顺丰到付），逾期招标人将不负责保管；中标人提供的样品在公示期结束后封存在招标人处。</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滁宁城际铁路控制中心档案设备采购及安装项目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约</w:t>
            </w:r>
            <w:r>
              <w:rPr>
                <w:rFonts w:hint="eastAsia" w:cs="宋体"/>
                <w:bCs/>
                <w:color w:val="000000"/>
                <w:szCs w:val="21"/>
                <w:highlight w:val="none"/>
                <w:lang w:val="en-US" w:eastAsia="zh-CN"/>
              </w:rPr>
              <w:t>285000.00</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285000.00</w:t>
            </w:r>
            <w:r>
              <w:rPr>
                <w:rFonts w:hint="eastAsia" w:ascii="宋体" w:hAnsi="宋体" w:eastAsia="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8</w:t>
            </w:r>
            <w:r>
              <w:rPr>
                <w:rFonts w:cs="Times New Roman"/>
                <w:b w:val="0"/>
                <w:bCs w:val="0"/>
                <w:highlight w:val="none"/>
              </w:rPr>
              <w:t>月</w:t>
            </w:r>
            <w:r>
              <w:rPr>
                <w:rFonts w:hint="eastAsia" w:cs="Times New Roman"/>
                <w:b w:val="0"/>
                <w:bCs w:val="0"/>
                <w:highlight w:val="none"/>
                <w:lang w:val="en-US" w:eastAsia="zh-CN"/>
              </w:rPr>
              <w:t>17</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2023年8月18日17时后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24</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开标时间：2023年8月24日15时00分（北京时间）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(滁州市徽州路与扬子路交叉口东南侧)。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本项目无预付款，全部设备安装完成并满足档案馆的相关规定后，中标人提交请款资料及增值税专用发票，招标人完成审核后，付款至合同价款的95%，剩余5%在质保期（三年）满后，一个月一次性无息付清。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highlight w:val="none"/>
                <w:lang w:val="en-US"/>
              </w:rPr>
            </w:pPr>
            <w:r>
              <w:rPr>
                <w:rFonts w:hint="eastAsia" w:ascii="宋体" w:hAnsi="Times New Roman" w:eastAsia="宋体" w:cs="Times New Roman"/>
                <w:color w:val="auto"/>
                <w:sz w:val="21"/>
                <w:szCs w:val="21"/>
                <w:highlight w:val="none"/>
                <w:lang w:val="en-US" w:eastAsia="zh-CN"/>
              </w:rPr>
              <w:t>注：最终一期费用和二期费用按照概算中建设管理费比例分摊。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4、系统中提供的表格（或格式文件）与招标文件中不一致时，以招标文件中提供的为准；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5、按本款前述规定仍不能形成结论的，由招标人负责解释。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4、中标人须保证无条件配合招标人，将供货场地清理干净至具备实施条件（含现有30组档案柜搬移至本控制中心大厦内其他地方），搬移等相关费用含在投标报价中，招标人不再另行支付其他费用。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5、中标人提供的所有货物、材料或配件必须是全新的、合格的且未曾使用过的，否则，造成的一切后果由中标人承担。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6、对于有损坏等未通过招标人验收合格的货物，中标人应自行清理出招标人场地并承担所有相关费用，不增加结算金额。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7、招标人对本项目执行过程中的所有争议拥有最终的裁决权，投标人应无条件地服从招标人的裁决，不得以任何理由提出增加本项目合同费</w:t>
            </w:r>
            <w:r>
              <w:rPr>
                <w:rFonts w:hint="eastAsia"/>
                <w:highlight w:val="none"/>
                <w:lang w:val="en-US" w:eastAsia="zh-CN"/>
              </w:rPr>
              <w:t>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8、</w:t>
            </w:r>
            <w:r>
              <w:rPr>
                <w:rFonts w:hint="eastAsia" w:ascii="宋体" w:hAnsi="宋体" w:eastAsia="宋体" w:cs="宋体"/>
                <w:color w:val="auto"/>
                <w:kern w:val="2"/>
                <w:sz w:val="21"/>
                <w:szCs w:val="24"/>
                <w:highlight w:val="none"/>
                <w:lang w:val="en-US" w:eastAsia="zh-CN" w:bidi="ar-SA"/>
              </w:rPr>
              <w:t>本项目为皖通城际铁路有限责任公司（滁州至南京城际铁路（滁州段）一期建设单位）和滁州市滁宁城际铁路开发建设有限公司（滁州至南京城际铁路（滁州段）二期建设单位）统一进行招标采购。中标单位须分别与皖通城际铁路有限责任公司和滁州市滁宁城际铁路开发建设有限公司签订项目合同和请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9、招标人将保留对中标人所提供的业绩等情况进行实地考察的权利，若考察发现有弄虚作假或发现工程存在质量等违约情形，将取消其中标资格，投标保证金不予退还，情节严重的提请相关部门对其进行处罚。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10、本项目严禁非法转包，一经发现，招标人依法处理。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5539"/>
      <w:bookmarkEnd w:id="21"/>
      <w:bookmarkStart w:id="22" w:name="_Toc152042315"/>
      <w:bookmarkEnd w:id="22"/>
      <w:bookmarkStart w:id="23" w:name="_Toc144974507"/>
      <w:bookmarkEnd w:id="23"/>
      <w:bookmarkStart w:id="24" w:name="_Toc247527563"/>
      <w:bookmarkEnd w:id="24"/>
      <w:bookmarkStart w:id="25" w:name="_Toc247513962"/>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numPr>
          <w:ilvl w:val="0"/>
          <w:numId w:val="1"/>
        </w:numPr>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样品</w:t>
      </w:r>
      <w:bookmarkEnd w:id="31"/>
    </w:p>
    <w:p>
      <w:pPr>
        <w:spacing w:line="440" w:lineRule="exact"/>
        <w:ind w:firstLine="420" w:firstLineChars="200"/>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19.1样品递交方式：</w:t>
      </w:r>
      <w:r>
        <w:rPr>
          <w:rFonts w:hint="default" w:ascii="宋体" w:hAnsi="宋体" w:eastAsia="宋体" w:cs="宋体"/>
          <w:color w:val="000000"/>
          <w:kern w:val="0"/>
          <w:sz w:val="21"/>
          <w:szCs w:val="21"/>
          <w:highlight w:val="none"/>
          <w:u w:color="000000"/>
          <w:lang w:val="en-US" w:eastAsia="zh-CN" w:bidi="ar"/>
        </w:rPr>
        <w:t>①</w:t>
      </w:r>
      <w:r>
        <w:rPr>
          <w:rFonts w:hint="eastAsia" w:ascii="宋体" w:hAnsi="宋体" w:eastAsia="宋体" w:cs="宋体"/>
          <w:color w:val="000000"/>
          <w:kern w:val="0"/>
          <w:sz w:val="21"/>
          <w:szCs w:val="21"/>
          <w:highlight w:val="none"/>
          <w:u w:color="000000"/>
          <w:lang w:val="en-US" w:eastAsia="zh-CN" w:bidi="ar"/>
        </w:rPr>
        <w:t>本项目须提供不同的两件样品（①立柱一件（长500mm）；②铁滚轮(12根加强筋)一件），两个样品须全部一次性递交，不接受样品的修改及补充，提供不全的样品评分项按零分处理；各投标人务必在规定的时间内递交，时间以招标人签收时间为准，逾期送达的将被拒绝，样品评分项按零分处理，请各投标人自行合理安排邮寄时间；</w:t>
      </w:r>
    </w:p>
    <w:p>
      <w:pPr>
        <w:spacing w:line="440" w:lineRule="exact"/>
        <w:ind w:firstLine="420" w:firstLineChars="200"/>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19.2样品须使用顺丰快递密封送达至规定地点。样品邮寄地址：滁州市南谯区徽州路与扬子大道交叉口控制中心大楼7层 ，收件人：陈俊，联系方式：18949108929，未使用顺丰快递送达的或未按要求密封的将被拒绝，样品评分项按零分处理。</w:t>
      </w:r>
    </w:p>
    <w:p>
      <w:pPr>
        <w:spacing w:line="440" w:lineRule="exact"/>
        <w:ind w:firstLine="420" w:firstLineChars="200"/>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19.3每个样品须在尾部分别标注：立柱或铁滚轮。</w:t>
      </w:r>
    </w:p>
    <w:p>
      <w:pPr>
        <w:spacing w:line="440" w:lineRule="exact"/>
        <w:ind w:firstLine="420" w:firstLineChars="200"/>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19.4样品密封要求：样品需进行密封，否则样品得分按零分处理；在密封箱中放置加盖投标单位公章的样品清单，便于区分投标单位信息及后期核对样品。</w:t>
      </w:r>
    </w:p>
    <w:p>
      <w:pPr>
        <w:spacing w:line="440" w:lineRule="exact"/>
        <w:ind w:firstLine="420" w:firstLineChars="200"/>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19.5未中标的投标人样品在公示期结束后由未中标人自行取回或选择邮件退回（顺丰到付），逾期招标人将不负责保管；中标人提供的样品在公示期结束后封存在招标人处。</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22.3投标报价的综合单价包括完成本项目全部供货及服务的一切费用：包括但不限于材料费（含</w:t>
      </w:r>
      <w:r>
        <w:rPr>
          <w:rFonts w:hint="eastAsia"/>
          <w:highlight w:val="none"/>
          <w:lang w:val="en-US" w:eastAsia="zh-CN"/>
        </w:rPr>
        <w:t>面料、轨道、辅材）</w:t>
      </w:r>
      <w:r>
        <w:rPr>
          <w:rFonts w:hint="eastAsia" w:ascii="宋体" w:hAnsi="宋体" w:eastAsia="宋体" w:cs="宋体"/>
          <w:color w:val="000000"/>
          <w:kern w:val="0"/>
          <w:sz w:val="21"/>
          <w:szCs w:val="21"/>
          <w:highlight w:val="none"/>
          <w:u w:color="000000"/>
          <w:lang w:val="en-US" w:eastAsia="zh-CN" w:bidi="ar"/>
        </w:rPr>
        <w:t>、生产加工费、装卸费、运输费、管理费、其他费用（如包装费、仓储费、保管费、场地清理搬移相关费用</w:t>
      </w:r>
      <w:r>
        <w:rPr>
          <w:rFonts w:hint="eastAsia" w:ascii="宋体" w:hAnsi="宋体" w:eastAsia="宋体" w:cs="宋体"/>
          <w:color w:val="000000"/>
          <w:kern w:val="0"/>
          <w:sz w:val="21"/>
          <w:szCs w:val="21"/>
          <w:highlight w:val="none"/>
          <w:u w:color="000000"/>
          <w:lang w:val="en-US" w:eastAsia="zh-CN" w:bidi="ar"/>
        </w:rPr>
        <w:t>）、安装调试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在第一章“招标公告”规定的投标截止时间前，投标人可以自行从网上撤回已递交的投标文件，并可修改后重新</w:t>
      </w:r>
      <w:r>
        <w:rPr>
          <w:rFonts w:hint="eastAsia" w:ascii="宋体" w:hAnsi="宋体" w:eastAsia="宋体" w:cs="宋体"/>
          <w:color w:val="000000"/>
          <w:szCs w:val="21"/>
          <w:highlight w:val="none"/>
          <w:lang w:val="en-US" w:eastAsia="zh-CN"/>
        </w:rPr>
        <w:t>发送</w:t>
      </w:r>
      <w:r>
        <w:rPr>
          <w:rFonts w:hint="eastAsia" w:ascii="宋体" w:hAnsi="宋体" w:eastAsia="宋体" w:cs="宋体"/>
          <w:color w:val="000000"/>
          <w:szCs w:val="21"/>
          <w:highlight w:val="none"/>
        </w:rPr>
        <w:t>，开标时以投标截止时间前投标人最</w:t>
      </w:r>
      <w:r>
        <w:rPr>
          <w:rFonts w:hint="eastAsia" w:ascii="宋体" w:hAnsi="宋体" w:eastAsia="宋体" w:cs="宋体"/>
          <w:color w:val="000000"/>
          <w:szCs w:val="21"/>
          <w:highlight w:val="none"/>
          <w:lang w:val="en-US" w:eastAsia="zh-CN"/>
        </w:rPr>
        <w:t>后送达</w:t>
      </w:r>
      <w:r>
        <w:rPr>
          <w:rFonts w:hint="eastAsia" w:ascii="宋体" w:hAnsi="宋体" w:eastAsia="宋体" w:cs="宋体"/>
          <w:color w:val="000000"/>
          <w:szCs w:val="21"/>
          <w:highlight w:val="none"/>
        </w:rPr>
        <w:t>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0" w:name="_Toc7247"/>
      <w:bookmarkEnd w:id="40"/>
      <w:r>
        <w:rPr>
          <w:rFonts w:hint="eastAsia" w:ascii="宋体" w:hAnsi="Times New Roman" w:eastAsia="宋体" w:cs="Times New Roman"/>
          <w:b/>
          <w:color w:val="auto"/>
          <w:spacing w:val="0"/>
          <w:sz w:val="21"/>
          <w:szCs w:val="21"/>
          <w:highlight w:val="none"/>
          <w:lang w:val="en-US" w:eastAsia="zh-CN"/>
        </w:rPr>
        <w:t xml:space="preserve"> 38.</w:t>
      </w:r>
      <w:bookmarkStart w:id="41" w:name="_Toc217446068"/>
      <w:r>
        <w:rPr>
          <w:rFonts w:hint="eastAsia" w:ascii="宋体" w:hAnsi="Times New Roman" w:eastAsia="宋体" w:cs="Times New Roman"/>
          <w:b/>
          <w:color w:val="auto"/>
          <w:spacing w:val="0"/>
          <w:sz w:val="21"/>
          <w:szCs w:val="21"/>
          <w:highlight w:val="none"/>
          <w:lang w:val="en-US" w:eastAsia="zh-CN"/>
        </w:rPr>
        <w:t>履约保证金</w:t>
      </w:r>
      <w:bookmarkEnd w:id="41"/>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2" w:name="_Toc316_WPSOffice_Level3"/>
      <w:bookmarkEnd w:id="42"/>
      <w:bookmarkStart w:id="43" w:name="_Toc23484"/>
      <w:r>
        <w:rPr>
          <w:rFonts w:hint="eastAsia" w:ascii="宋体" w:hAnsi="Times New Roman" w:eastAsia="宋体" w:cs="Times New Roman"/>
          <w:color w:val="auto"/>
          <w:spacing w:val="0"/>
          <w:sz w:val="21"/>
          <w:szCs w:val="21"/>
          <w:highlight w:val="none"/>
          <w:lang w:val="en-US" w:eastAsia="zh-CN"/>
        </w:rPr>
        <w:t>38.1</w:t>
      </w:r>
      <w:bookmarkEnd w:id="43"/>
      <w:r>
        <w:rPr>
          <w:rFonts w:hint="eastAsia" w:ascii="宋体" w:hAnsi="Times New Roman" w:eastAsia="宋体" w:cs="Times New Roman"/>
          <w:color w:val="auto"/>
          <w:spacing w:val="0"/>
          <w:sz w:val="21"/>
          <w:szCs w:val="21"/>
          <w:highlight w:val="none"/>
          <w:lang w:val="en-US" w:eastAsia="zh-CN"/>
        </w:rPr>
        <w:t>本项目不要求提交履约保证金。</w:t>
      </w: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43. 投诉</w:t>
      </w:r>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43.1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43.2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35.1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numPr>
          <w:ilvl w:val="0"/>
          <w:numId w:val="4"/>
        </w:numPr>
        <w:spacing w:before="156" w:beforeLines="50" w:after="156" w:afterLines="50"/>
        <w:jc w:val="center"/>
        <w:outlineLvl w:val="0"/>
        <w:rPr>
          <w:rFonts w:hint="eastAsia" w:ascii="宋体" w:hAnsi="宋体" w:eastAsia="宋体" w:cs="宋体"/>
          <w:b/>
          <w:bCs w:val="0"/>
          <w:color w:val="000000"/>
          <w:kern w:val="44"/>
          <w:sz w:val="28"/>
          <w:szCs w:val="28"/>
          <w:highlight w:val="none"/>
          <w:u w:color="000000"/>
          <w:lang w:val="en-US" w:eastAsia="zh-CN" w:bidi="ar"/>
        </w:rPr>
      </w:pPr>
      <w:r>
        <w:rPr>
          <w:rFonts w:hint="eastAsia" w:ascii="宋体" w:hAnsi="宋体" w:eastAsia="宋体" w:cs="宋体"/>
          <w:b/>
          <w:bCs w:val="0"/>
          <w:color w:val="000000"/>
          <w:kern w:val="44"/>
          <w:sz w:val="28"/>
          <w:szCs w:val="28"/>
          <w:highlight w:val="none"/>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bookmarkStart w:id="44" w:name="_Toc9679_WPSOffice_Level2"/>
      <w:r>
        <w:rPr>
          <w:rFonts w:hint="eastAsia" w:ascii="宋体" w:hAnsi="宋体" w:eastAsia="宋体" w:cs="宋体"/>
          <w:b/>
          <w:bCs w:val="0"/>
          <w:color w:val="000000"/>
          <w:kern w:val="0"/>
          <w:sz w:val="24"/>
          <w:szCs w:val="24"/>
          <w:highlight w:val="none"/>
          <w:u w:color="000000"/>
          <w:lang w:val="en-US" w:eastAsia="zh-CN" w:bidi="ar"/>
        </w:rPr>
        <w:t>一</w:t>
      </w:r>
      <w:bookmarkEnd w:id="44"/>
      <w:r>
        <w:rPr>
          <w:rFonts w:hint="eastAsia" w:ascii="宋体" w:hAnsi="宋体" w:eastAsia="宋体" w:cs="宋体"/>
          <w:b/>
          <w:bCs w:val="0"/>
          <w:color w:val="000000"/>
          <w:kern w:val="0"/>
          <w:sz w:val="24"/>
          <w:szCs w:val="24"/>
          <w:highlight w:val="none"/>
          <w:u w:color="000000"/>
          <w:lang w:val="en-US" w:eastAsia="zh-CN" w:bidi="ar"/>
        </w:rPr>
        <w:t>、总则</w:t>
      </w:r>
    </w:p>
    <w:p>
      <w:pPr>
        <w:spacing w:line="440" w:lineRule="exact"/>
        <w:ind w:firstLine="422" w:firstLineChars="200"/>
        <w:jc w:val="left"/>
        <w:rPr>
          <w:rFonts w:hint="eastAsia" w:ascii="黑体" w:eastAsia="黑体"/>
          <w:b/>
          <w:color w:val="auto"/>
          <w:szCs w:val="21"/>
          <w:highlight w:val="none"/>
        </w:rPr>
      </w:pPr>
      <w:bookmarkStart w:id="45" w:name="_Toc14651"/>
      <w:bookmarkEnd w:id="45"/>
      <w:bookmarkStart w:id="46" w:name="_Toc10907_WPSOffice_Level3"/>
      <w:r>
        <w:rPr>
          <w:rFonts w:hint="eastAsia" w:ascii="黑体" w:eastAsia="黑体"/>
          <w:b/>
          <w:color w:val="auto"/>
          <w:szCs w:val="21"/>
          <w:highlight w:val="none"/>
        </w:rPr>
        <w:t>1.本次评标采用综合评</w:t>
      </w:r>
      <w:r>
        <w:rPr>
          <w:rFonts w:hint="eastAsia" w:ascii="黑体" w:eastAsia="黑体"/>
          <w:b/>
          <w:color w:val="auto"/>
          <w:szCs w:val="21"/>
          <w:highlight w:val="none"/>
          <w:lang w:val="en-US" w:eastAsia="zh-CN"/>
        </w:rPr>
        <w:t>估</w:t>
      </w:r>
      <w:r>
        <w:rPr>
          <w:rFonts w:hint="eastAsia" w:ascii="黑体" w:eastAsia="黑体"/>
          <w:b/>
          <w:color w:val="auto"/>
          <w:szCs w:val="21"/>
          <w:highlight w:val="none"/>
        </w:rPr>
        <w:t>法</w:t>
      </w:r>
      <w:bookmarkEnd w:id="46"/>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pPr>
        <w:spacing w:line="440" w:lineRule="exact"/>
        <w:ind w:firstLine="422" w:firstLineChars="200"/>
        <w:jc w:val="left"/>
        <w:rPr>
          <w:rFonts w:hint="eastAsia" w:ascii="黑体" w:eastAsia="黑体"/>
          <w:b/>
          <w:color w:val="auto"/>
          <w:szCs w:val="21"/>
          <w:highlight w:val="none"/>
          <w:lang w:val="en-US"/>
        </w:rPr>
      </w:pPr>
      <w:r>
        <w:rPr>
          <w:rFonts w:hint="eastAsia" w:ascii="黑体" w:eastAsia="黑体"/>
          <w:b/>
          <w:color w:val="auto"/>
          <w:szCs w:val="21"/>
          <w:highlight w:val="none"/>
          <w:lang w:val="en-US" w:eastAsia="zh-CN"/>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2．3.1按招标文件中规定的评标方法和标准，对资格性检查和符合性检查合格的投标文件进行资信评估，综合比较与评价。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bookmarkStart w:id="47" w:name="_Toc9092_WPSOffice_Level3"/>
      <w:bookmarkEnd w:id="47"/>
      <w:r>
        <w:rPr>
          <w:rFonts w:hint="eastAsia" w:ascii="黑体" w:hAnsi="宋体" w:eastAsia="黑体" w:cs="宋体"/>
          <w:b/>
          <w:bCs w:val="0"/>
          <w:color w:val="000000"/>
          <w:kern w:val="0"/>
          <w:sz w:val="21"/>
          <w:szCs w:val="21"/>
          <w:highlight w:val="none"/>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3.1评审细则</w:t>
      </w:r>
    </w:p>
    <w:tbl>
      <w:tblPr>
        <w:tblStyle w:val="25"/>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黑体" w:hAnsi="宋体" w:eastAsia="黑体" w:cs="黑体"/>
                <w:b/>
                <w:bCs/>
                <w:color w:val="000000"/>
                <w:kern w:val="2"/>
                <w:sz w:val="21"/>
                <w:szCs w:val="21"/>
                <w:highlight w:val="none"/>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default" w:ascii="Times New Roman" w:hAnsi="Times New Roman" w:eastAsia="宋体" w:cs="Times New Roman"/>
                <w:color w:val="000000"/>
                <w:kern w:val="2"/>
                <w:sz w:val="21"/>
                <w:szCs w:val="21"/>
                <w:highlight w:val="none"/>
                <w:u w:color="000000"/>
                <w:lang w:val="en-US" w:eastAsia="zh-CN" w:bidi="ar"/>
              </w:rPr>
              <w:t>1</w:t>
            </w:r>
            <w:r>
              <w:rPr>
                <w:rFonts w:hint="eastAsia" w:ascii="宋体" w:hAnsi="宋体" w:eastAsia="宋体" w:cs="宋体"/>
                <w:color w:val="000000"/>
                <w:kern w:val="2"/>
                <w:sz w:val="21"/>
                <w:szCs w:val="21"/>
                <w:highlight w:val="none"/>
                <w:u w:color="000000"/>
                <w:lang w:val="en-US" w:eastAsia="zh-CN" w:bidi="ar"/>
              </w:rPr>
              <w:t>）法定代表人身份证明和本人身份证</w:t>
            </w:r>
            <w:r>
              <w:rPr>
                <w:rFonts w:hint="default" w:ascii="Times New Roman" w:hAnsi="Times New Roman" w:eastAsia="宋体" w:cs="Times New Roman"/>
                <w:color w:val="000000"/>
                <w:kern w:val="2"/>
                <w:sz w:val="21"/>
                <w:szCs w:val="21"/>
                <w:highlight w:val="none"/>
                <w:u w:color="000000"/>
                <w:lang w:val="en-US" w:eastAsia="zh-CN" w:bidi="ar"/>
              </w:rPr>
              <w:t>(</w:t>
            </w:r>
            <w:r>
              <w:rPr>
                <w:rFonts w:hint="eastAsia" w:ascii="宋体" w:hAnsi="宋体" w:eastAsia="宋体" w:cs="宋体"/>
                <w:color w:val="000000"/>
                <w:kern w:val="2"/>
                <w:sz w:val="21"/>
                <w:szCs w:val="21"/>
                <w:highlight w:val="none"/>
                <w:u w:color="000000"/>
                <w:lang w:val="en-US" w:eastAsia="zh-CN" w:bidi="ar"/>
              </w:rPr>
              <w:t>或法定代表人授权委托书和委托代理人身份证</w:t>
            </w:r>
            <w:r>
              <w:rPr>
                <w:rFonts w:hint="default" w:ascii="Times New Roman" w:hAnsi="Times New Roman" w:eastAsia="宋体" w:cs="Times New Roman"/>
                <w:color w:val="000000"/>
                <w:kern w:val="2"/>
                <w:sz w:val="21"/>
                <w:szCs w:val="21"/>
                <w:highlight w:val="none"/>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left"/>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法定代表人身份证明和有效身份证扫描件（或授权委托书及委托代理人有效身份证扫描件）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b/>
                <w:bCs w:val="0"/>
                <w:color w:val="000000"/>
                <w:kern w:val="2"/>
                <w:sz w:val="21"/>
                <w:szCs w:val="21"/>
                <w:highlight w:val="none"/>
                <w:u w:color="000000"/>
                <w:lang w:val="en-US" w:eastAsia="zh-CN" w:bidi="ar"/>
              </w:rPr>
            </w:pPr>
            <w:r>
              <w:rPr>
                <w:rFonts w:hint="eastAsia" w:ascii="宋体" w:hAnsi="宋体" w:eastAsia="宋体" w:cs="宋体"/>
                <w:b/>
                <w:bCs w:val="0"/>
                <w:color w:val="000000"/>
                <w:kern w:val="2"/>
                <w:sz w:val="21"/>
                <w:szCs w:val="21"/>
                <w:highlight w:val="none"/>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w:t>
            </w:r>
            <w:r>
              <w:rPr>
                <w:rFonts w:hint="eastAsia" w:ascii="Times New Roman" w:hAnsi="Times New Roman" w:eastAsia="宋体" w:cs="Times New Roman"/>
                <w:color w:val="000000"/>
                <w:kern w:val="2"/>
                <w:sz w:val="21"/>
                <w:szCs w:val="21"/>
                <w:highlight w:val="none"/>
                <w:u w:color="000000"/>
                <w:lang w:val="en-US" w:eastAsia="zh-CN" w:bidi="ar"/>
              </w:rPr>
              <w:t>3</w:t>
            </w:r>
            <w:r>
              <w:rPr>
                <w:rFonts w:hint="eastAsia" w:ascii="宋体" w:hAnsi="宋体" w:eastAsia="宋体" w:cs="宋体"/>
                <w:color w:val="000000"/>
                <w:kern w:val="2"/>
                <w:sz w:val="21"/>
                <w:szCs w:val="21"/>
                <w:highlight w:val="none"/>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诚信投标承诺书扫描件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color w:val="000000"/>
                <w:kern w:val="2"/>
                <w:sz w:val="21"/>
                <w:szCs w:val="21"/>
                <w:highlight w:val="none"/>
                <w:u w:color="000000"/>
                <w:lang w:val="en-US" w:eastAsia="zh-CN" w:bidi="ar"/>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suppressLineNumbers w:val="0"/>
              <w:spacing w:before="0" w:beforeAutospacing="0" w:after="0" w:afterAutospacing="0" w:line="360" w:lineRule="exact"/>
              <w:ind w:left="0" w:right="0"/>
              <w:rPr>
                <w:rFonts w:hint="eastAsia" w:ascii="宋体" w:hAnsi="宋体" w:eastAsia="宋体" w:cs="宋体"/>
                <w:color w:val="000000"/>
                <w:kern w:val="2"/>
                <w:sz w:val="21"/>
                <w:szCs w:val="21"/>
                <w:highlight w:val="none"/>
                <w:u w:color="000000"/>
                <w:lang w:val="en-US" w:eastAsia="zh-CN" w:bidi="ar"/>
              </w:rPr>
            </w:pPr>
            <w:r>
              <w:rPr>
                <w:rFonts w:hint="eastAsia" w:ascii="宋体" w:hAnsi="宋体"/>
                <w:color w:val="000000"/>
                <w:szCs w:val="21"/>
                <w:highlight w:val="none"/>
                <w:lang w:val="en-US" w:eastAsia="zh-CN"/>
              </w:rPr>
              <w:t>服务承诺书</w:t>
            </w:r>
            <w:r>
              <w:rPr>
                <w:rFonts w:hint="eastAsia" w:ascii="宋体" w:hAnsi="宋体" w:eastAsia="宋体" w:cs="宋体"/>
                <w:color w:val="000000"/>
                <w:kern w:val="2"/>
                <w:sz w:val="21"/>
                <w:szCs w:val="21"/>
                <w:highlight w:val="none"/>
                <w:u w:color="000000"/>
                <w:lang w:val="en-US" w:eastAsia="zh-CN" w:bidi="ar"/>
              </w:rPr>
              <w:t>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highlight w:val="none"/>
          <w:lang w:val="en-US"/>
        </w:rPr>
      </w:pPr>
      <w:bookmarkStart w:id="48" w:name="_Toc4660368"/>
      <w:bookmarkEnd w:id="48"/>
      <w:r>
        <w:rPr>
          <w:rFonts w:hint="eastAsia" w:ascii="宋体" w:hAnsi="宋体" w:eastAsia="宋体" w:cs="宋体"/>
          <w:color w:val="000000"/>
          <w:kern w:val="0"/>
          <w:sz w:val="21"/>
          <w:szCs w:val="21"/>
          <w:highlight w:val="none"/>
          <w:u w:color="000000"/>
          <w:lang w:val="en-US" w:eastAsia="zh-CN" w:bidi="ar"/>
        </w:rPr>
        <w:t>4.1评审细则</w:t>
      </w:r>
    </w:p>
    <w:tbl>
      <w:tblPr>
        <w:tblStyle w:val="25"/>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highlight w:val="none"/>
                <w:lang w:val="en-US"/>
              </w:rPr>
            </w:pPr>
            <w:r>
              <w:rPr>
                <w:rFonts w:hint="eastAsia" w:ascii="黑体" w:hAnsi="宋体" w:eastAsia="黑体" w:cs="宋体"/>
                <w:b/>
                <w:bCs/>
                <w:color w:val="000000"/>
                <w:kern w:val="2"/>
                <w:sz w:val="21"/>
                <w:szCs w:val="21"/>
                <w:highlight w:val="none"/>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default" w:ascii="宋体" w:hAnsi="宋体" w:eastAsia="宋体" w:cs="宋体"/>
                <w:kern w:val="2"/>
                <w:highlight w:val="none"/>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highlight w:val="none"/>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黑体" w:hAnsi="宋体" w:eastAsia="黑体" w:cs="宋体"/>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leftChars="0" w:right="0" w:rightChars="0"/>
              <w:jc w:val="both"/>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highlight w:val="none"/>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leftChars="0" w:right="0" w:rightChars="0"/>
              <w:jc w:val="both"/>
              <w:rPr>
                <w:rFonts w:hint="eastAsia" w:ascii="宋体" w:hAnsi="宋体" w:eastAsia="宋体" w:cs="仿宋_GB2312"/>
                <w:color w:val="0000FF"/>
                <w:kern w:val="2"/>
                <w:highlight w:val="none"/>
                <w:lang w:val="en-US"/>
              </w:rPr>
            </w:pPr>
            <w:r>
              <w:rPr>
                <w:rFonts w:hint="eastAsia" w:ascii="宋体" w:hAnsi="宋体" w:eastAsia="宋体" w:cs="仿宋_GB2312"/>
                <w:color w:val="000000"/>
                <w:kern w:val="2"/>
                <w:sz w:val="21"/>
                <w:szCs w:val="21"/>
                <w:highlight w:val="none"/>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4.4只有通过初审的投标人才能进入下一步程序。</w:t>
      </w:r>
    </w:p>
    <w:p>
      <w:pPr>
        <w:widowControl w:val="0"/>
        <w:numPr>
          <w:ilvl w:val="0"/>
          <w:numId w:val="5"/>
        </w:numPr>
        <w:snapToGrid w:val="0"/>
        <w:spacing w:before="156" w:beforeLines="50" w:after="156" w:afterLines="50" w:line="440" w:lineRule="exact"/>
        <w:jc w:val="center"/>
        <w:outlineLvl w:val="1"/>
        <w:rPr>
          <w:rFonts w:hint="eastAsia" w:ascii="宋体"/>
          <w:b/>
          <w:color w:val="auto"/>
          <w:sz w:val="24"/>
          <w:szCs w:val="24"/>
          <w:highlight w:val="none"/>
        </w:rPr>
      </w:pPr>
      <w:bookmarkStart w:id="49" w:name="_Toc831"/>
      <w:bookmarkStart w:id="50" w:name="_Toc22100_WPSOffice_Level2"/>
      <w:r>
        <w:rPr>
          <w:rFonts w:hint="eastAsia" w:ascii="宋体"/>
          <w:b/>
          <w:color w:val="auto"/>
          <w:sz w:val="24"/>
          <w:szCs w:val="24"/>
          <w:highlight w:val="none"/>
        </w:rPr>
        <w:t>投标文件的澄清和补正</w:t>
      </w:r>
      <w:bookmarkEnd w:id="49"/>
      <w:bookmarkEnd w:id="50"/>
    </w:p>
    <w:p>
      <w:pPr>
        <w:widowControl w:val="0"/>
        <w:spacing w:line="440" w:lineRule="exact"/>
        <w:ind w:firstLine="420" w:firstLineChars="200"/>
        <w:textAlignment w:val="auto"/>
        <w:rPr>
          <w:rFonts w:hint="eastAsia" w:ascii="宋体" w:cs="宋体"/>
          <w:color w:val="auto"/>
          <w:szCs w:val="21"/>
          <w:highlight w:val="none"/>
        </w:rPr>
      </w:pPr>
      <w:r>
        <w:rPr>
          <w:rFonts w:hint="eastAsia" w:ascii="宋体" w:cs="宋体"/>
          <w:color w:val="auto"/>
          <w:szCs w:val="21"/>
          <w:highlight w:val="none"/>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5.3评委会修正错误的原则：</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highlight w:val="none"/>
        </w:rPr>
      </w:pPr>
      <w:r>
        <w:rPr>
          <w:rFonts w:hint="eastAsia" w:asci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highlight w:val="none"/>
        </w:rPr>
      </w:pPr>
      <w:r>
        <w:rPr>
          <w:rFonts w:hint="eastAsia" w:asci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widowControl w:val="0"/>
        <w:numPr>
          <w:ilvl w:val="0"/>
          <w:numId w:val="5"/>
        </w:numPr>
        <w:snapToGrid w:val="0"/>
        <w:spacing w:before="156" w:beforeLines="50" w:after="156" w:afterLines="50" w:line="440" w:lineRule="exact"/>
        <w:jc w:val="center"/>
        <w:outlineLvl w:val="1"/>
        <w:rPr>
          <w:rFonts w:hint="eastAsia" w:ascii="宋体"/>
          <w:b/>
          <w:color w:val="auto"/>
          <w:sz w:val="24"/>
          <w:szCs w:val="24"/>
          <w:highlight w:val="none"/>
        </w:rPr>
      </w:pPr>
      <w:r>
        <w:rPr>
          <w:rFonts w:hint="eastAsia" w:ascii="宋体"/>
          <w:b/>
          <w:color w:val="auto"/>
          <w:sz w:val="24"/>
          <w:szCs w:val="24"/>
          <w:highlight w:val="none"/>
        </w:rPr>
        <w:t>比较与评价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6.</w:t>
      </w:r>
      <w:r>
        <w:rPr>
          <w:rFonts w:hint="eastAsia" w:ascii="宋体" w:hAnsi="宋体"/>
          <w:b/>
          <w:szCs w:val="21"/>
          <w:highlight w:val="none"/>
        </w:rPr>
        <w:t>详细评审即</w:t>
      </w:r>
      <w:r>
        <w:rPr>
          <w:rFonts w:ascii="宋体" w:hAnsi="宋体"/>
          <w:b/>
          <w:szCs w:val="21"/>
          <w:highlight w:val="none"/>
        </w:rPr>
        <w:t>按</w:t>
      </w:r>
      <w:r>
        <w:rPr>
          <w:rFonts w:hint="eastAsia" w:ascii="宋体" w:hAnsi="宋体"/>
          <w:b/>
          <w:szCs w:val="21"/>
          <w:highlight w:val="none"/>
          <w:lang w:eastAsia="zh-CN"/>
        </w:rPr>
        <w:t>招标文件</w:t>
      </w:r>
      <w:r>
        <w:rPr>
          <w:rFonts w:ascii="宋体" w:hAnsi="宋体"/>
          <w:b/>
          <w:szCs w:val="21"/>
          <w:highlight w:val="none"/>
        </w:rPr>
        <w:t>中规定的评标方法和标准，</w:t>
      </w:r>
      <w:r>
        <w:rPr>
          <w:rFonts w:hint="eastAsia" w:ascii="宋体" w:hAnsi="宋体"/>
          <w:b/>
          <w:szCs w:val="21"/>
          <w:highlight w:val="none"/>
        </w:rPr>
        <w:t>评标委员会将</w:t>
      </w:r>
      <w:r>
        <w:rPr>
          <w:rFonts w:ascii="宋体" w:hAnsi="宋体"/>
          <w:b/>
          <w:szCs w:val="21"/>
          <w:highlight w:val="none"/>
        </w:rPr>
        <w:t>对</w:t>
      </w:r>
      <w:r>
        <w:rPr>
          <w:rFonts w:hint="eastAsia" w:ascii="宋体" w:hAnsi="宋体"/>
          <w:b/>
          <w:szCs w:val="21"/>
          <w:highlight w:val="none"/>
        </w:rPr>
        <w:t>通过初审</w:t>
      </w:r>
      <w:r>
        <w:rPr>
          <w:rFonts w:ascii="宋体" w:hAnsi="宋体"/>
          <w:b/>
          <w:szCs w:val="21"/>
          <w:highlight w:val="none"/>
        </w:rPr>
        <w:t>的投标</w:t>
      </w:r>
      <w:r>
        <w:rPr>
          <w:rFonts w:hint="eastAsia" w:ascii="宋体" w:hAnsi="宋体"/>
          <w:b/>
          <w:szCs w:val="21"/>
          <w:highlight w:val="none"/>
        </w:rPr>
        <w:t>文件，</w:t>
      </w:r>
      <w:r>
        <w:rPr>
          <w:rFonts w:ascii="宋体" w:hAnsi="宋体"/>
          <w:b/>
          <w:szCs w:val="21"/>
          <w:highlight w:val="none"/>
        </w:rPr>
        <w:t>进行</w:t>
      </w:r>
      <w:r>
        <w:rPr>
          <w:rFonts w:hint="eastAsia" w:ascii="宋体" w:hAnsi="宋体"/>
          <w:b/>
          <w:szCs w:val="21"/>
          <w:highlight w:val="none"/>
          <w:lang w:val="en-US" w:eastAsia="zh-CN"/>
        </w:rPr>
        <w:t>资信</w:t>
      </w:r>
      <w:r>
        <w:rPr>
          <w:rFonts w:hint="eastAsia" w:ascii="宋体" w:hAnsi="宋体"/>
          <w:b/>
          <w:szCs w:val="21"/>
          <w:highlight w:val="none"/>
          <w:lang w:eastAsia="zh-CN"/>
        </w:rPr>
        <w:t>、</w:t>
      </w:r>
      <w:r>
        <w:rPr>
          <w:rFonts w:hint="eastAsia" w:ascii="宋体" w:hAnsi="宋体"/>
          <w:b/>
          <w:szCs w:val="21"/>
          <w:highlight w:val="none"/>
          <w:lang w:val="en-US" w:eastAsia="zh-CN"/>
        </w:rPr>
        <w:t>技术和</w:t>
      </w:r>
      <w:r>
        <w:rPr>
          <w:rFonts w:hint="eastAsia" w:ascii="宋体" w:hAnsi="宋体"/>
          <w:b/>
          <w:szCs w:val="21"/>
          <w:highlight w:val="none"/>
        </w:rPr>
        <w:t>商务</w:t>
      </w:r>
      <w:r>
        <w:rPr>
          <w:rFonts w:hint="eastAsia" w:ascii="宋体" w:hAnsi="宋体"/>
          <w:b/>
          <w:szCs w:val="21"/>
          <w:highlight w:val="none"/>
          <w:lang w:val="en-US" w:eastAsia="zh-CN"/>
        </w:rPr>
        <w:t>部分</w:t>
      </w:r>
      <w:r>
        <w:rPr>
          <w:rFonts w:ascii="宋体" w:hAnsi="宋体"/>
          <w:b/>
          <w:szCs w:val="21"/>
          <w:highlight w:val="none"/>
        </w:rPr>
        <w:t>评估</w:t>
      </w:r>
      <w:r>
        <w:rPr>
          <w:rFonts w:hint="eastAsia" w:ascii="宋体" w:hAnsi="宋体"/>
          <w:b/>
          <w:szCs w:val="21"/>
          <w:highlight w:val="none"/>
        </w:rPr>
        <w:t>、</w:t>
      </w:r>
      <w:r>
        <w:rPr>
          <w:rFonts w:ascii="宋体" w:hAnsi="宋体"/>
          <w:b/>
          <w:szCs w:val="21"/>
          <w:highlight w:val="none"/>
        </w:rPr>
        <w:t>综合比较与评价</w:t>
      </w:r>
      <w:r>
        <w:rPr>
          <w:rFonts w:hint="eastAsia" w:ascii="宋体" w:hAnsi="宋体"/>
          <w:b/>
          <w:szCs w:val="21"/>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6</w:t>
      </w:r>
      <w:r>
        <w:rPr>
          <w:rFonts w:hint="eastAsia" w:ascii="宋体" w:hAnsi="宋体"/>
          <w:b/>
          <w:szCs w:val="21"/>
          <w:highlight w:val="none"/>
        </w:rPr>
        <w:t>.</w:t>
      </w:r>
      <w:r>
        <w:rPr>
          <w:rFonts w:hint="eastAsia" w:ascii="宋体" w:hAnsi="宋体"/>
          <w:b/>
          <w:szCs w:val="21"/>
          <w:highlight w:val="none"/>
          <w:lang w:val="en-US" w:eastAsia="zh-CN"/>
        </w:rPr>
        <w:t>1资信</w:t>
      </w:r>
      <w:r>
        <w:rPr>
          <w:rFonts w:hint="eastAsia" w:ascii="宋体" w:hAnsi="宋体"/>
          <w:b/>
          <w:szCs w:val="21"/>
          <w:highlight w:val="none"/>
        </w:rPr>
        <w:t>评</w:t>
      </w:r>
      <w:r>
        <w:rPr>
          <w:rFonts w:hint="eastAsia" w:ascii="宋体" w:hAnsi="宋体"/>
          <w:b/>
          <w:szCs w:val="21"/>
          <w:highlight w:val="none"/>
          <w:lang w:val="en-US" w:eastAsia="zh-CN"/>
        </w:rPr>
        <w:t>分</w:t>
      </w:r>
      <w:r>
        <w:rPr>
          <w:rFonts w:hint="eastAsia" w:ascii="宋体" w:hAnsi="宋体"/>
          <w:b/>
          <w:szCs w:val="21"/>
          <w:highlight w:val="none"/>
        </w:rPr>
        <w:t>细则（</w:t>
      </w:r>
      <w:r>
        <w:rPr>
          <w:rFonts w:hint="eastAsia" w:ascii="宋体" w:hAnsi="宋体"/>
          <w:b/>
          <w:szCs w:val="21"/>
          <w:highlight w:val="none"/>
          <w:lang w:val="en-US" w:eastAsia="zh-CN"/>
        </w:rPr>
        <w:t>30</w:t>
      </w:r>
      <w:r>
        <w:rPr>
          <w:rFonts w:hint="eastAsia" w:ascii="宋体" w:hAnsi="宋体"/>
          <w:b/>
          <w:szCs w:val="21"/>
          <w:highlight w:val="none"/>
        </w:rPr>
        <w:t>分）</w:t>
      </w:r>
    </w:p>
    <w:tbl>
      <w:tblPr>
        <w:tblStyle w:val="25"/>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337"/>
        <w:gridCol w:w="962"/>
        <w:gridCol w:w="3527"/>
        <w:gridCol w:w="2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序号</w:t>
            </w: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highlight w:val="none"/>
              </w:rPr>
            </w:pPr>
            <w:r>
              <w:rPr>
                <w:rFonts w:hint="eastAsia" w:ascii="宋体" w:hAnsi="宋体"/>
                <w:b/>
                <w:szCs w:val="21"/>
                <w:highlight w:val="none"/>
              </w:rPr>
              <w:t>评分因素</w:t>
            </w:r>
          </w:p>
        </w:tc>
        <w:tc>
          <w:tcPr>
            <w:tcW w:w="9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5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评审细则</w:t>
            </w:r>
          </w:p>
        </w:tc>
        <w:tc>
          <w:tcPr>
            <w:tcW w:w="2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3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投标人业绩</w:t>
            </w:r>
          </w:p>
        </w:tc>
        <w:tc>
          <w:tcPr>
            <w:tcW w:w="96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16分</w:t>
            </w:r>
          </w:p>
        </w:tc>
        <w:tc>
          <w:tcPr>
            <w:tcW w:w="352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自2020年1月1日至投标截止时间（以合同签订时间为准），投标人每提供一个供货完成的类似档案密集架供货安装业绩的得8分，其他的不得分，本项满分16分。</w:t>
            </w:r>
          </w:p>
        </w:tc>
        <w:tc>
          <w:tcPr>
            <w:tcW w:w="2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投标文件中须同时提供业绩合同和经甲方盖章的验收证明材料扫描件。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2</w:t>
            </w:r>
          </w:p>
        </w:tc>
        <w:tc>
          <w:tcPr>
            <w:tcW w:w="13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企业认证</w:t>
            </w:r>
          </w:p>
        </w:tc>
        <w:tc>
          <w:tcPr>
            <w:tcW w:w="96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6分</w:t>
            </w:r>
          </w:p>
        </w:tc>
        <w:tc>
          <w:tcPr>
            <w:tcW w:w="352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投标人同时具有经中国国家认证认可监督管理委员会认证机构颁发的有效的质量管理体系认证证书、环境管理体系认证证书、职业健康安全管理体系认证证书，三证齐全的得6分，其他的不得分，本项满分6分。</w:t>
            </w:r>
          </w:p>
        </w:tc>
        <w:tc>
          <w:tcPr>
            <w:tcW w:w="2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投标文件中同时提供证书扫描件及全国认证认可信息公共服务平台官网证书信息查询截图。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3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投标人实力</w:t>
            </w:r>
          </w:p>
        </w:tc>
        <w:tc>
          <w:tcPr>
            <w:tcW w:w="96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8分</w:t>
            </w:r>
          </w:p>
        </w:tc>
        <w:tc>
          <w:tcPr>
            <w:tcW w:w="352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1、投标人具有信息安全管理体系认证证书（IEC27001)的得4分，其他的不得分，本项满分4分。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highlight w:val="none"/>
                <w:lang w:val="en-US" w:eastAsia="zh-CN"/>
              </w:rPr>
            </w:pPr>
            <w:r>
              <w:rPr>
                <w:rFonts w:hint="eastAsia" w:ascii="宋体" w:hAnsi="宋体" w:eastAsia="宋体" w:cs="Times New Roman"/>
                <w:b w:val="0"/>
                <w:bCs w:val="0"/>
                <w:color w:val="auto"/>
                <w:kern w:val="0"/>
                <w:szCs w:val="21"/>
                <w:highlight w:val="none"/>
                <w:u w:val="none" w:color="000000"/>
                <w:lang w:val="en-US" w:eastAsia="zh-CN"/>
              </w:rPr>
              <w:t>2、投标人具有信息技术服务管理体系认证证书的得4分，其他的不得分，本项满分4分。</w:t>
            </w:r>
          </w:p>
        </w:tc>
        <w:tc>
          <w:tcPr>
            <w:tcW w:w="214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投标文件中同时提供证书扫描件及全国认证认可信息公共服务平台官网证书信息查询截图。</w:t>
            </w:r>
          </w:p>
        </w:tc>
      </w:tr>
    </w:tbl>
    <w:p>
      <w:pPr>
        <w:spacing w:line="440" w:lineRule="exact"/>
        <w:ind w:firstLine="422" w:firstLineChars="200"/>
        <w:rPr>
          <w:rFonts w:hint="eastAsia"/>
          <w:highlight w:val="none"/>
          <w:lang w:val="en-US" w:eastAsia="zh-CN"/>
        </w:rPr>
      </w:pPr>
      <w:r>
        <w:rPr>
          <w:rFonts w:hint="eastAsia" w:ascii="Times New Roman" w:hAnsi="Times New Roman" w:eastAsia="宋体" w:cs="Times New Roman"/>
          <w:b/>
          <w:color w:val="000000"/>
          <w:szCs w:val="21"/>
          <w:highlight w:val="none"/>
          <w:lang w:val="en-US" w:eastAsia="zh-CN"/>
        </w:rPr>
        <w:t>注：各投标人资信标总得分为各评委评分的平均值为最终得分。取两位小数，小数点后第三位四舍五入。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lang w:val="en-US" w:eastAsia="zh-CN"/>
        </w:rPr>
      </w:pPr>
      <w:r>
        <w:rPr>
          <w:rFonts w:hint="eastAsia" w:ascii="宋体" w:hAnsi="宋体"/>
          <w:b/>
          <w:szCs w:val="21"/>
          <w:highlight w:val="none"/>
          <w:lang w:val="en-US" w:eastAsia="zh-CN"/>
        </w:rPr>
        <w:t>6.2技术标评审细则（40分）</w:t>
      </w:r>
    </w:p>
    <w:tbl>
      <w:tblPr>
        <w:tblStyle w:val="25"/>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365"/>
        <w:gridCol w:w="1065"/>
        <w:gridCol w:w="3837"/>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序号</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default" w:ascii="宋体" w:hAnsi="宋体"/>
                <w:b/>
                <w:szCs w:val="21"/>
                <w:highlight w:val="none"/>
              </w:rPr>
            </w:pPr>
            <w:r>
              <w:rPr>
                <w:rFonts w:hint="eastAsia" w:ascii="宋体" w:hAnsi="宋体"/>
                <w:b/>
                <w:szCs w:val="21"/>
                <w:highlight w:val="none"/>
              </w:rPr>
              <w:t>评分因素</w:t>
            </w:r>
          </w:p>
        </w:tc>
        <w:tc>
          <w:tcPr>
            <w:tcW w:w="10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lang w:eastAsia="zh-CN"/>
              </w:rPr>
            </w:pPr>
            <w:r>
              <w:rPr>
                <w:rFonts w:hint="eastAsia" w:ascii="宋体" w:hAnsi="宋体"/>
                <w:b/>
                <w:szCs w:val="21"/>
                <w:highlight w:val="none"/>
                <w:lang w:val="en-US" w:eastAsia="zh-CN"/>
              </w:rPr>
              <w:t>分值</w:t>
            </w:r>
          </w:p>
        </w:tc>
        <w:tc>
          <w:tcPr>
            <w:tcW w:w="3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评审细则</w:t>
            </w:r>
          </w:p>
        </w:tc>
        <w:tc>
          <w:tcPr>
            <w:tcW w:w="18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b/>
                <w:szCs w:val="21"/>
                <w:highlight w:val="none"/>
              </w:rPr>
            </w:pPr>
            <w:r>
              <w:rPr>
                <w:rFonts w:hint="eastAsia" w:ascii="宋体" w:hAnsi="宋体"/>
                <w:b/>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3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所投产品技术参数符合性评价</w:t>
            </w:r>
          </w:p>
        </w:tc>
        <w:tc>
          <w:tcPr>
            <w:tcW w:w="10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10分</w:t>
            </w:r>
          </w:p>
        </w:tc>
        <w:tc>
          <w:tcPr>
            <w:tcW w:w="38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投标人所投产品技术参数完全符合招标文件要求得10分， 带“▲”要求参数不得出现负偏离，如有负偏离，则该评分项不得分；非“▲”要求参数出现负偏离，每有一项扣1分，扣完为止。</w:t>
            </w:r>
          </w:p>
        </w:tc>
        <w:tc>
          <w:tcPr>
            <w:tcW w:w="183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投标文件中同时提供技术参数响应表（格式见第六章附件）和货物的详细配置清单（格式见第六章附件）和相关证明材料扫描件。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703"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2</w:t>
            </w:r>
          </w:p>
        </w:tc>
        <w:tc>
          <w:tcPr>
            <w:tcW w:w="1365"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样品</w:t>
            </w:r>
          </w:p>
        </w:tc>
        <w:tc>
          <w:tcPr>
            <w:tcW w:w="10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10分</w:t>
            </w:r>
          </w:p>
        </w:tc>
        <w:tc>
          <w:tcPr>
            <w:tcW w:w="38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（1）立柱样品制作工艺优秀、质量性能优秀、款式美观，实用性强，得7分＜F≤10分；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（2）立柱样品制作工艺良好、质量性能一般、款式美观度和实用性一般，得4分＜F≤7分；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（3）立柱样品制作工艺、质量性能、款式美观度及实用性差，得1分＜F≤4分；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（4）未提供的不得分，本项满分10分。</w:t>
            </w:r>
          </w:p>
        </w:tc>
        <w:tc>
          <w:tcPr>
            <w:tcW w:w="1830" w:type="dxa"/>
            <w:vMerge w:val="restart"/>
            <w:noWrap w:val="0"/>
            <w:vAlign w:val="center"/>
          </w:tcPr>
          <w:p>
            <w:pPr>
              <w:keepNext w:val="0"/>
              <w:keepLines w:val="0"/>
              <w:pageBreakBefore w:val="0"/>
              <w:suppressLineNumbers w:val="0"/>
              <w:kinsoku/>
              <w:wordWrap/>
              <w:overflowPunct/>
              <w:topLinePunct w:val="0"/>
              <w:autoSpaceDE/>
              <w:autoSpaceDN/>
              <w:bidi w:val="0"/>
              <w:spacing w:before="0" w:beforeAutospacing="0" w:after="0" w:afterAutospacing="0" w:line="360" w:lineRule="exact"/>
              <w:ind w:left="0" w:right="0"/>
              <w:jc w:val="center"/>
              <w:textAlignment w:val="auto"/>
              <w:rPr>
                <w:rFonts w:hint="eastAsia" w:ascii="宋体" w:hAnsi="宋体" w:eastAsia="宋体" w:cs="宋体"/>
                <w:szCs w:val="21"/>
                <w:highlight w:val="none"/>
              </w:rPr>
            </w:pPr>
          </w:p>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cs="宋体"/>
                <w:kern w:val="0"/>
                <w:szCs w:val="21"/>
                <w:highlight w:val="none"/>
              </w:rPr>
            </w:pPr>
            <w:r>
              <w:rPr>
                <w:rFonts w:hint="eastAsia" w:ascii="宋体" w:hAnsi="宋体" w:cs="宋体"/>
                <w:szCs w:val="21"/>
                <w:highlight w:val="none"/>
                <w:lang w:val="en-US" w:eastAsia="zh-CN"/>
              </w:rPr>
              <w:t>样品</w:t>
            </w:r>
            <w:r>
              <w:rPr>
                <w:rFonts w:hint="eastAsia" w:ascii="宋体" w:hAnsi="宋体" w:eastAsia="宋体" w:cs="宋体"/>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8" w:hRule="atLeast"/>
          <w:jc w:val="center"/>
        </w:trPr>
        <w:tc>
          <w:tcPr>
            <w:tcW w:w="703"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Times New Roman"/>
                <w:b w:val="0"/>
                <w:bCs w:val="0"/>
                <w:color w:val="auto"/>
                <w:kern w:val="0"/>
                <w:szCs w:val="21"/>
                <w:highlight w:val="none"/>
                <w:u w:val="none" w:color="000000"/>
                <w:lang w:val="en-US" w:eastAsia="zh-CN"/>
              </w:rPr>
            </w:pPr>
          </w:p>
        </w:tc>
        <w:tc>
          <w:tcPr>
            <w:tcW w:w="1365"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Times New Roman"/>
                <w:b w:val="0"/>
                <w:bCs w:val="0"/>
                <w:color w:val="auto"/>
                <w:kern w:val="0"/>
                <w:szCs w:val="21"/>
                <w:highlight w:val="none"/>
                <w:u w:val="none" w:color="000000"/>
                <w:lang w:val="en-US" w:eastAsia="zh-CN"/>
              </w:rPr>
            </w:pPr>
          </w:p>
        </w:tc>
        <w:tc>
          <w:tcPr>
            <w:tcW w:w="10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10分</w:t>
            </w:r>
          </w:p>
        </w:tc>
        <w:tc>
          <w:tcPr>
            <w:tcW w:w="38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（1）铁滚轮样品制作工艺优秀、质量性能优秀、款式美观，实用性强，得7分＜F≤10分；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（2）铁滚轮样品制作工艺良好、质量性能一般、款式美观度和实用性一般，得4分＜F≤7分；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（3）铁滚轮样品制作工艺、质量性能、款式美观度及实用性差，得1分＜F≤4分；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（4）未提供的不得分，本项满分10分。</w:t>
            </w:r>
          </w:p>
        </w:tc>
        <w:tc>
          <w:tcPr>
            <w:tcW w:w="1830" w:type="dxa"/>
            <w:vMerge w:val="continue"/>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3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eastAsia="宋体" w:cs="宋体"/>
                <w:color w:val="auto"/>
                <w:sz w:val="21"/>
                <w:szCs w:val="21"/>
                <w:highlight w:val="none"/>
                <w:lang w:val="en-US" w:bidi="zh-CN"/>
              </w:rPr>
              <w:t>项目实施方案</w:t>
            </w:r>
          </w:p>
        </w:tc>
        <w:tc>
          <w:tcPr>
            <w:tcW w:w="10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cs="宋体"/>
                <w:kern w:val="0"/>
                <w:szCs w:val="21"/>
                <w:highlight w:val="none"/>
                <w:lang w:val="en-US" w:eastAsia="zh-CN"/>
              </w:rPr>
            </w:pPr>
            <w:r>
              <w:rPr>
                <w:rFonts w:hint="eastAsia" w:ascii="宋体" w:hAnsi="宋体" w:eastAsia="宋体" w:cs="宋体"/>
                <w:color w:val="auto"/>
                <w:sz w:val="21"/>
                <w:szCs w:val="21"/>
                <w:highlight w:val="none"/>
                <w:lang w:val="en-US" w:bidi="zh-CN"/>
              </w:rPr>
              <w:t>5</w:t>
            </w:r>
            <w:r>
              <w:rPr>
                <w:rFonts w:hint="eastAsia" w:ascii="宋体" w:hAnsi="宋体" w:eastAsia="宋体" w:cs="宋体"/>
                <w:color w:val="auto"/>
                <w:sz w:val="21"/>
                <w:szCs w:val="21"/>
                <w:highlight w:val="none"/>
                <w:lang w:val="zh-CN" w:bidi="zh-CN"/>
              </w:rPr>
              <w:t>分</w:t>
            </w:r>
          </w:p>
        </w:tc>
        <w:tc>
          <w:tcPr>
            <w:tcW w:w="38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根据针对本项目的整体实施方案（包括但不限于实施计划，工序和流程，设备安装调试等方案）进行评价。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（1）项目整体规划，包含实施计划、工序和流程、设备安装调试等方案完善，切实可行，得5分；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（2）项目整体规划，包含实施计划、工序和流程、设备安装调试等但描述简单，与实际应用存在欠缺，可行性一般，得3分；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（3）项目整体规划，包含实施计划工序和流程、设备安装调试中部分内容，内容粗略，无针对性，得1分；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宋体" w:hAnsi="宋体" w:eastAsia="宋体" w:cs="Times New Roman"/>
                <w:b w:val="0"/>
                <w:bCs w:val="0"/>
                <w:color w:val="auto"/>
                <w:kern w:val="0"/>
                <w:szCs w:val="21"/>
                <w:highlight w:val="none"/>
                <w:u w:val="none" w:color="000000"/>
                <w:lang w:val="en-US" w:eastAsia="zh-CN"/>
              </w:rPr>
            </w:pPr>
            <w:r>
              <w:rPr>
                <w:rFonts w:hint="eastAsia" w:ascii="宋体" w:hAnsi="宋体" w:eastAsia="宋体" w:cs="Times New Roman"/>
                <w:b w:val="0"/>
                <w:bCs w:val="0"/>
                <w:color w:val="auto"/>
                <w:kern w:val="0"/>
                <w:szCs w:val="21"/>
                <w:highlight w:val="none"/>
                <w:u w:val="none" w:color="000000"/>
                <w:lang w:val="en-US" w:eastAsia="zh-CN"/>
              </w:rPr>
              <w:t>（4）未提供的不得分，本项满分5分。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lang w:val="en-US" w:eastAsia="zh-CN"/>
              </w:rPr>
              <w:t>投标文件</w:t>
            </w:r>
            <w:r>
              <w:rPr>
                <w:rFonts w:hint="eastAsia" w:ascii="宋体" w:hAnsi="宋体" w:eastAsia="宋体" w:cs="宋体"/>
                <w:szCs w:val="21"/>
                <w:highlight w:val="none"/>
              </w:rPr>
              <w:t>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1365"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sz w:val="21"/>
                <w:szCs w:val="21"/>
                <w:highlight w:val="none"/>
                <w:lang w:val="en-US" w:bidi="zh-CN"/>
              </w:rPr>
            </w:pPr>
            <w:r>
              <w:rPr>
                <w:rFonts w:hint="eastAsia" w:ascii="宋体" w:hAnsi="宋体" w:eastAsia="宋体" w:cs="宋体"/>
                <w:color w:val="auto"/>
                <w:sz w:val="21"/>
                <w:szCs w:val="21"/>
                <w:highlight w:val="none"/>
                <w:lang w:val="en-US" w:bidi="zh-CN"/>
              </w:rPr>
              <w:t>售后服务方案</w:t>
            </w:r>
          </w:p>
        </w:tc>
        <w:tc>
          <w:tcPr>
            <w:tcW w:w="106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sz w:val="21"/>
                <w:szCs w:val="21"/>
                <w:highlight w:val="none"/>
                <w:lang w:val="en-US" w:bidi="zh-CN"/>
              </w:rPr>
            </w:pPr>
            <w:r>
              <w:rPr>
                <w:rFonts w:hint="eastAsia" w:ascii="宋体" w:hAnsi="宋体" w:eastAsia="宋体" w:cs="宋体"/>
                <w:color w:val="auto"/>
                <w:sz w:val="21"/>
                <w:szCs w:val="21"/>
                <w:highlight w:val="none"/>
                <w:lang w:val="en-US" w:bidi="zh-CN"/>
              </w:rPr>
              <w:t>5分</w:t>
            </w:r>
          </w:p>
        </w:tc>
        <w:tc>
          <w:tcPr>
            <w:tcW w:w="383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default" w:ascii="宋体" w:hAnsi="宋体" w:eastAsia="宋体" w:cs="宋体"/>
                <w:color w:val="auto"/>
                <w:spacing w:val="0"/>
                <w:sz w:val="21"/>
                <w:szCs w:val="21"/>
                <w:highlight w:val="none"/>
                <w:lang w:val="en-US"/>
              </w:rPr>
            </w:pPr>
            <w:r>
              <w:rPr>
                <w:rFonts w:hint="eastAsia"/>
                <w:highlight w:val="none"/>
                <w:lang w:val="en-US" w:eastAsia="zh-CN"/>
              </w:rPr>
              <w:t>投标人提供完善、合理的售后服务计划，并对质保期内、外服务作出承诺，综合评分，优秀得5分；良好得3分；一般得1分；未提供的不得分，本项满分5分。</w:t>
            </w:r>
          </w:p>
        </w:tc>
        <w:tc>
          <w:tcPr>
            <w:tcW w:w="1830" w:type="dxa"/>
            <w:noWrap w:val="0"/>
            <w:vAlign w:val="center"/>
          </w:tcPr>
          <w:p>
            <w:pPr>
              <w:keepNext w:val="0"/>
              <w:keepLines w:val="0"/>
              <w:pageBreakBefore w:val="0"/>
              <w:suppressLineNumbers w:val="0"/>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before="0" w:beforeAutospacing="0" w:after="0" w:afterAutospacing="0" w:line="360" w:lineRule="exact"/>
              <w:ind w:left="0" w:right="-21" w:rightChars="-10"/>
              <w:jc w:val="center"/>
              <w:textAlignment w:val="auto"/>
              <w:rPr>
                <w:rFonts w:hint="eastAsia" w:ascii="宋体" w:hAnsi="宋体" w:eastAsia="宋体" w:cs="宋体"/>
                <w:kern w:val="0"/>
                <w:szCs w:val="21"/>
                <w:highlight w:val="none"/>
              </w:rPr>
            </w:pPr>
            <w:r>
              <w:rPr>
                <w:rFonts w:hint="eastAsia" w:ascii="宋体" w:hAnsi="宋体" w:eastAsia="宋体" w:cs="宋体"/>
                <w:szCs w:val="21"/>
                <w:highlight w:val="none"/>
                <w:lang w:val="en-US" w:eastAsia="zh-CN"/>
              </w:rPr>
              <w:t>投标文件</w:t>
            </w:r>
            <w:r>
              <w:rPr>
                <w:rFonts w:hint="eastAsia" w:ascii="宋体" w:hAnsi="宋体" w:eastAsia="宋体" w:cs="宋体"/>
                <w:szCs w:val="21"/>
                <w:highlight w:val="none"/>
              </w:rPr>
              <w:t>须能充分有效反映出本评分项内容</w:t>
            </w:r>
          </w:p>
        </w:tc>
      </w:tr>
    </w:tbl>
    <w:p>
      <w:pPr>
        <w:spacing w:line="440" w:lineRule="exact"/>
        <w:ind w:firstLine="422" w:firstLineChars="200"/>
        <w:rPr>
          <w:rFonts w:hint="default"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注：1.样品提供不全或未提供的不得分。</w:t>
      </w:r>
    </w:p>
    <w:p>
      <w:pPr>
        <w:spacing w:line="440" w:lineRule="exact"/>
        <w:ind w:firstLine="422" w:firstLineChars="200"/>
        <w:rPr>
          <w:rFonts w:hint="eastAsia" w:ascii="宋体" w:hAnsi="宋体"/>
          <w:b/>
          <w:szCs w:val="21"/>
          <w:highlight w:val="none"/>
          <w:lang w:val="en-US" w:eastAsia="zh-CN"/>
        </w:rPr>
      </w:pPr>
      <w:r>
        <w:rPr>
          <w:rFonts w:hint="eastAsia" w:ascii="Times New Roman" w:hAnsi="Times New Roman" w:eastAsia="宋体" w:cs="Times New Roman"/>
          <w:b/>
          <w:color w:val="000000"/>
          <w:szCs w:val="21"/>
          <w:highlight w:val="none"/>
          <w:lang w:val="en-US" w:eastAsia="zh-CN"/>
        </w:rPr>
        <w:t>2.各投标人技术标总得分为各评委评分的平均值为最终得分。取两位小数，小数点后第三位四舍五入。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b/>
          <w:szCs w:val="21"/>
          <w:highlight w:val="none"/>
        </w:rPr>
      </w:pPr>
      <w:r>
        <w:rPr>
          <w:rFonts w:hint="eastAsia" w:ascii="宋体" w:hAnsi="宋体"/>
          <w:b/>
          <w:szCs w:val="21"/>
          <w:highlight w:val="none"/>
          <w:lang w:val="en-US" w:eastAsia="zh-CN"/>
        </w:rPr>
        <w:t>6.3</w:t>
      </w:r>
      <w:r>
        <w:rPr>
          <w:rFonts w:hint="eastAsia" w:ascii="宋体" w:hAnsi="宋体"/>
          <w:b/>
          <w:szCs w:val="21"/>
          <w:highlight w:val="none"/>
        </w:rPr>
        <w:t>商务标评审细则</w:t>
      </w:r>
      <w:r>
        <w:rPr>
          <w:rFonts w:hint="eastAsia" w:ascii="宋体" w:hAnsi="宋体"/>
          <w:b/>
          <w:szCs w:val="21"/>
          <w:highlight w:val="none"/>
          <w:lang w:eastAsia="zh-CN"/>
        </w:rPr>
        <w:t>（</w:t>
      </w:r>
      <w:r>
        <w:rPr>
          <w:rFonts w:hint="eastAsia" w:ascii="宋体" w:hAnsi="宋体"/>
          <w:b/>
          <w:szCs w:val="21"/>
          <w:highlight w:val="none"/>
          <w:lang w:val="en-US" w:eastAsia="zh-CN"/>
        </w:rPr>
        <w:t>30</w:t>
      </w:r>
      <w:r>
        <w:rPr>
          <w:rFonts w:hint="eastAsia" w:ascii="宋体" w:hAnsi="宋体"/>
          <w:b/>
          <w:szCs w:val="21"/>
          <w:highlight w:val="none"/>
        </w:rPr>
        <w:t>分</w:t>
      </w:r>
      <w:r>
        <w:rPr>
          <w:rFonts w:hint="eastAsia" w:ascii="宋体" w:hAnsi="宋体"/>
          <w:b/>
          <w:szCs w:val="21"/>
          <w:highlight w:val="none"/>
          <w:lang w:eastAsia="zh-CN"/>
        </w:rPr>
        <w:t>）</w:t>
      </w:r>
    </w:p>
    <w:tbl>
      <w:tblPr>
        <w:tblStyle w:val="25"/>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highlight w:val="none"/>
              </w:rPr>
            </w:pPr>
            <w:r>
              <w:rPr>
                <w:rFonts w:hint="eastAsia" w:ascii="宋体" w:cs="宋体"/>
                <w:sz w:val="20"/>
                <w:highlight w:val="none"/>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highlight w:val="none"/>
              </w:rPr>
            </w:pPr>
            <w:r>
              <w:rPr>
                <w:rFonts w:hint="eastAsia" w:ascii="宋体" w:cs="宋体"/>
                <w:sz w:val="20"/>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Times New Roman"/>
                <w:color w:val="000000"/>
                <w:szCs w:val="21"/>
                <w:highlight w:val="none"/>
                <w:lang w:val="en-US" w:eastAsia="zh-CN"/>
              </w:rPr>
              <w:t>所有通过</w:t>
            </w:r>
            <w:r>
              <w:rPr>
                <w:rFonts w:hint="eastAsia" w:ascii="宋体" w:hAnsi="宋体" w:eastAsia="宋体" w:cs="Times New Roman"/>
                <w:color w:val="000000"/>
                <w:szCs w:val="21"/>
                <w:highlight w:val="none"/>
              </w:rPr>
              <w:t>商务</w:t>
            </w:r>
            <w:r>
              <w:rPr>
                <w:rFonts w:hint="eastAsia" w:ascii="宋体" w:hAnsi="宋体" w:eastAsia="宋体" w:cs="Times New Roman"/>
                <w:color w:val="000000"/>
                <w:szCs w:val="21"/>
                <w:highlight w:val="none"/>
                <w:lang w:val="en-US" w:eastAsia="zh-CN"/>
              </w:rPr>
              <w:t>标详细</w:t>
            </w:r>
            <w:r>
              <w:rPr>
                <w:rFonts w:hint="eastAsia" w:ascii="宋体" w:hAnsi="宋体" w:eastAsia="宋体" w:cs="Times New Roman"/>
                <w:color w:val="000000"/>
                <w:szCs w:val="21"/>
                <w:highlight w:val="none"/>
              </w:rPr>
              <w:t>评审</w:t>
            </w:r>
            <w:r>
              <w:rPr>
                <w:rFonts w:hint="eastAsia" w:ascii="宋体" w:hAnsi="宋体" w:eastAsia="宋体" w:cs="Times New Roman"/>
                <w:color w:val="000000"/>
                <w:szCs w:val="21"/>
                <w:highlight w:val="none"/>
                <w:lang w:val="en-US" w:eastAsia="zh-CN"/>
              </w:rPr>
              <w:t>的</w:t>
            </w:r>
            <w:r>
              <w:rPr>
                <w:rFonts w:hint="eastAsia" w:ascii="宋体" w:hAnsi="宋体" w:eastAsia="宋体" w:cs="Times New Roman"/>
                <w:color w:val="000000"/>
                <w:szCs w:val="21"/>
                <w:highlight w:val="none"/>
              </w:rPr>
              <w:t>有效投标人报价的算术平均值</w:t>
            </w:r>
            <w:r>
              <w:rPr>
                <w:rFonts w:hint="eastAsia" w:ascii="宋体" w:hAnsi="宋体" w:eastAsia="宋体" w:cs="宋体"/>
                <w:highlight w:val="none"/>
              </w:rPr>
              <w:t>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w:t>
            </w:r>
            <w:r>
              <w:rPr>
                <w:rFonts w:hint="eastAsia" w:ascii="宋体" w:hAnsi="宋体"/>
                <w:color w:val="000000"/>
                <w:szCs w:val="21"/>
                <w:highlight w:val="none"/>
                <w:lang w:val="en-US" w:eastAsia="zh-CN"/>
              </w:rPr>
              <w:t>有效</w:t>
            </w:r>
            <w:r>
              <w:rPr>
                <w:rFonts w:hint="eastAsia" w:ascii="宋体" w:hAnsi="宋体"/>
                <w:color w:val="000000"/>
                <w:szCs w:val="21"/>
                <w:highlight w:val="none"/>
              </w:rPr>
              <w:t>投标人的报价得分按照下列公示计算：</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0.8</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eastAsia"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4</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2"/>
              <w:keepNext w:val="0"/>
              <w:keepLines w:val="0"/>
              <w:pageBreakBefore w:val="0"/>
              <w:kinsoku/>
              <w:wordWrap/>
              <w:overflowPunct/>
              <w:topLinePunct w:val="0"/>
              <w:autoSpaceDE/>
              <w:autoSpaceDN/>
              <w:bidi w:val="0"/>
              <w:spacing w:line="400" w:lineRule="exact"/>
              <w:ind w:left="0" w:lef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keepNext w:val="0"/>
        <w:keepLines w:val="0"/>
        <w:pageBreakBefore w:val="0"/>
        <w:widowControl w:val="0"/>
        <w:kinsoku/>
        <w:wordWrap/>
        <w:overflowPunct/>
        <w:topLinePunct w:val="0"/>
        <w:autoSpaceDE/>
        <w:autoSpaceDN/>
        <w:bidi w:val="0"/>
        <w:spacing w:line="380" w:lineRule="exact"/>
        <w:ind w:firstLine="422" w:firstLineChars="200"/>
        <w:textAlignment w:val="auto"/>
        <w:rPr>
          <w:rFonts w:hint="eastAsia" w:ascii="宋体" w:hAnsi="宋体" w:cs="宋体"/>
          <w:szCs w:val="21"/>
          <w:highlight w:val="none"/>
        </w:rPr>
      </w:pPr>
      <w:r>
        <w:rPr>
          <w:rFonts w:hint="eastAsia" w:ascii="宋体" w:hAnsi="宋体" w:cs="宋体"/>
          <w:b/>
          <w:szCs w:val="21"/>
          <w:highlight w:val="none"/>
        </w:rPr>
        <w:t>商务标评审表注：</w:t>
      </w:r>
    </w:p>
    <w:p>
      <w:pPr>
        <w:spacing w:line="440" w:lineRule="exact"/>
        <w:ind w:firstLine="422" w:firstLineChars="200"/>
        <w:rPr>
          <w:rFonts w:hint="eastAsia" w:ascii="Times New Roman" w:hAnsi="Times New Roman" w:eastAsia="宋体" w:cs="Times New Roman"/>
          <w:b/>
          <w:color w:val="000000"/>
          <w:szCs w:val="21"/>
          <w:highlight w:val="none"/>
          <w:lang w:val="en-US" w:eastAsia="zh-CN"/>
        </w:rPr>
      </w:pPr>
      <w:r>
        <w:rPr>
          <w:rFonts w:hint="eastAsia" w:ascii="Times New Roman" w:hAnsi="Times New Roman" w:eastAsia="宋体" w:cs="Times New Roman"/>
          <w:b/>
          <w:color w:val="000000"/>
          <w:szCs w:val="21"/>
          <w:highlight w:val="none"/>
          <w:lang w:val="en-US" w:eastAsia="zh-CN"/>
        </w:rPr>
        <w:t>1.本表所称投标报价是指按招标文件规定修正后的投标总报价（多算投标报价、多报费用不扣减）。</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highlight w:val="none"/>
          <w:u w:color="000000"/>
          <w:lang w:val="en-US" w:eastAsia="zh-CN" w:bidi="ar"/>
        </w:rPr>
      </w:pPr>
      <w:bookmarkStart w:id="51" w:name="_Toc95223438"/>
      <w:r>
        <w:rPr>
          <w:rFonts w:hint="eastAsia" w:ascii="宋体" w:hAnsi="宋体" w:eastAsia="宋体" w:cs="宋体"/>
          <w:b/>
          <w:bCs w:val="0"/>
          <w:color w:val="000000"/>
          <w:kern w:val="0"/>
          <w:sz w:val="24"/>
          <w:szCs w:val="24"/>
          <w:highlight w:val="none"/>
          <w:u w:color="000000"/>
          <w:lang w:val="en-US" w:eastAsia="zh-CN" w:bidi="ar"/>
        </w:rPr>
        <w:t>五、推荐中标候选人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7.评标委员会按资信标、技术标和商务标得分之和，从高到低按顺序推荐3名中标候选人。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7.1如综合评分相等，以投标报价低的优先，投标报价仍相等，由招标人随机抽取确定排名。</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8.无效投标条款</w:t>
      </w:r>
      <w:bookmarkEnd w:id="51"/>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8.1投标人存在下列情形的招标人将拒收投标文件：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 未在投标截止时间前通过电子邮箱递交有效电子投标文件的，投标将被拒绝。</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8.2其他无效投标情况：</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（2）投标人有串通投标、视为串通投标、弄虚作假、行贿等违法行为。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（3）投标文件没有对招标文件的实质性要求和条件作出响应。</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（4）未按规定的格式填写导致实质性内容不全以及实质上不响应，或者关键字迹模糊、无法辨认；经公共资源交易监督部门核准的。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（5）同一投标人提交两个以上不同的投标文件或者投标报价，但招标文件规定提交备选投标的除外。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（6）投标文件中存在招标人不能接受的其他实质性条件。</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（7）投标人拒不按照要求对投标文件进行澄清、说明、补正的，或评标委员会根据招标文件的规定对招标文件的计算错误进行修正后，投标人不接受修正的投标报价的。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（8）投标人单方面出现其他投标人材料。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（9）法律、法规规定的其他情形。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9.投标文件的澄清和补正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9.2澄清、说明和补正不得改变投标文件的实质性内容（算术性错误修正的除外）。投标人的书面澄清、说明和补正属于投标文件的组成部分。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9.3评标委员会对投标人提交的澄清、说明和补正有疑问的，可以要求投标人进一步澄清、说明或补正、直至满足评标委员会的要求。</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按照投标文件规定进行澄清、补正后的投标报价经投标人的法定代表人或其委托代理人确认后即为该投标人的最终投标报价。投标人一旦中标，此报价即为中标价。</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9.4评委会修正错误的原则：</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9.4.1如果数字表示的金额和用文字表示的金额不一致时，以文字表示的金额为准；当投标数量与招标数量不一致时，以招标数量为准；当分项报价清单、投标函的总报价与开标一览表不一致时，以开标一览表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9.4.2如果单价与数量的乘积和总价不一致，以单价为准，修正总价及开标一览表；当单价小数点有明显的错位时，评委会将以总价为准，并修正其单价；投标的数量与招标的数量不一致时，以招标数量为准。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bookmarkStart w:id="52" w:name="_Toc95223440"/>
      <w:r>
        <w:rPr>
          <w:rFonts w:hint="eastAsia" w:ascii="宋体"/>
          <w:color w:val="auto"/>
          <w:szCs w:val="21"/>
          <w:highlight w:val="none"/>
          <w:lang w:val="en-US" w:eastAsia="zh-CN"/>
        </w:rPr>
        <w:t>10.评分标准</w:t>
      </w:r>
      <w:bookmarkEnd w:id="52"/>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10.1评分标准：见资信、技术、商务评分表。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11.评审结果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11.1评标委员会按照总得分由高到低顺序推荐中标候选人。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11.2评标委员会完成评标后，应当向招标人提交书面评标报告。评标报告应当如实记载以下内容：</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（1）基本情况和数据表。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（2）评标委员会成员名单。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（3）开标记录。</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（4）符合要求的投标人一览表。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（5）否决投标情况说明。</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（6）评标标准、评标方法或者评标因素。</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（7）评标情况一览表。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（8）经评审的投标人排序。</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（9）推荐的中标候选人名单与签订合同前要处理的事宜。</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（10）澄清、说明、补正事项纪要。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12.其他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highlight w:val="none"/>
          <w:lang w:val="en-US" w:eastAsia="zh-CN"/>
        </w:rPr>
      </w:pPr>
      <w:r>
        <w:rPr>
          <w:rFonts w:hint="eastAsia" w:ascii="宋体"/>
          <w:color w:val="auto"/>
          <w:szCs w:val="21"/>
          <w:highlight w:val="none"/>
          <w:lang w:val="en-US" w:eastAsia="zh-CN"/>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4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四</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滁州市滁宁城际铁路开发建设有限公司手动密集架及库房设备清单及库房平面图详见下表：</w:t>
      </w:r>
    </w:p>
    <w:p>
      <w:pPr>
        <w:pStyle w:val="8"/>
        <w:keepNext/>
        <w:keepLines/>
        <w:pageBreakBefore w:val="0"/>
        <w:widowControl w:val="0"/>
        <w:kinsoku/>
        <w:wordWrap/>
        <w:overflowPunct/>
        <w:topLinePunct w:val="0"/>
        <w:autoSpaceDE/>
        <w:autoSpaceDN/>
        <w:bidi w:val="0"/>
        <w:adjustRightInd w:val="0"/>
        <w:snapToGrid/>
        <w:spacing w:line="240" w:lineRule="auto"/>
        <w:ind w:left="0" w:leftChars="-295" w:hanging="619" w:hangingChars="258"/>
        <w:jc w:val="center"/>
        <w:textAlignment w:val="auto"/>
        <w:rPr>
          <w:rFonts w:hint="default"/>
          <w:highlight w:val="none"/>
          <w:lang w:val="en-US" w:eastAsia="zh-CN"/>
        </w:rPr>
      </w:pPr>
      <w:r>
        <w:rPr>
          <w:rFonts w:hint="eastAsia"/>
          <w:highlight w:val="none"/>
          <w:lang w:val="en-US" w:eastAsia="zh-CN"/>
        </w:rPr>
        <w:drawing>
          <wp:inline distT="0" distB="0" distL="114300" distR="114300">
            <wp:extent cx="5238750" cy="3020060"/>
            <wp:effectExtent l="0" t="0" r="0" b="8890"/>
            <wp:docPr id="1" name="图片 1" descr="303e2b71d4f8a278d43837c123a7e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03e2b71d4f8a278d43837c123a7eb7"/>
                    <pic:cNvPicPr>
                      <a:picLocks noChangeAspect="1"/>
                    </pic:cNvPicPr>
                  </pic:nvPicPr>
                  <pic:blipFill>
                    <a:blip r:embed="rId6"/>
                    <a:stretch>
                      <a:fillRect/>
                    </a:stretch>
                  </pic:blipFill>
                  <pic:spPr>
                    <a:xfrm>
                      <a:off x="0" y="0"/>
                      <a:ext cx="5238750" cy="3020060"/>
                    </a:xfrm>
                    <a:prstGeom prst="rect">
                      <a:avLst/>
                    </a:prstGeom>
                  </pic:spPr>
                </pic:pic>
              </a:graphicData>
            </a:graphic>
          </wp:inline>
        </w:drawing>
      </w:r>
      <w:r>
        <w:rPr>
          <w:rFonts w:hint="eastAsia"/>
          <w:highlight w:val="none"/>
          <w:lang w:val="en-US" w:eastAsia="zh-CN"/>
        </w:rPr>
        <w:t xml:space="preserve">  </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二、采购清单</w:t>
      </w:r>
    </w:p>
    <w:tbl>
      <w:tblPr>
        <w:tblStyle w:val="25"/>
        <w:tblW w:w="10035" w:type="dxa"/>
        <w:tblInd w:w="-5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1515"/>
        <w:gridCol w:w="2085"/>
        <w:gridCol w:w="930"/>
        <w:gridCol w:w="990"/>
        <w:gridCol w:w="1110"/>
        <w:gridCol w:w="2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序号</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货物名称</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规格（mm）</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单位</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数量</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档案存放量</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6"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手动密集架</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每列6</w:t>
            </w:r>
            <w:r>
              <w:rPr>
                <w:rStyle w:val="47"/>
                <w:rFonts w:hint="eastAsia" w:ascii="宋体" w:hAnsi="宋体" w:eastAsia="宋体" w:cs="宋体"/>
                <w:sz w:val="21"/>
                <w:szCs w:val="21"/>
                <w:highlight w:val="none"/>
                <w:lang w:val="en-US" w:eastAsia="zh-CN" w:bidi="ar"/>
              </w:rPr>
              <w:t>节，每节</w:t>
            </w:r>
            <w:r>
              <w:rPr>
                <w:rFonts w:hint="eastAsia" w:ascii="宋体" w:hAnsi="宋体" w:eastAsia="宋体" w:cs="宋体"/>
                <w:i w:val="0"/>
                <w:iCs w:val="0"/>
                <w:color w:val="000000"/>
                <w:kern w:val="0"/>
                <w:sz w:val="21"/>
                <w:szCs w:val="21"/>
                <w:highlight w:val="none"/>
                <w:u w:val="none"/>
                <w:lang w:val="en-US" w:eastAsia="zh-CN" w:bidi="ar"/>
              </w:rPr>
              <w:t>6</w:t>
            </w:r>
            <w:r>
              <w:rPr>
                <w:rStyle w:val="47"/>
                <w:rFonts w:hint="eastAsia" w:ascii="宋体" w:hAnsi="宋体" w:eastAsia="宋体" w:cs="宋体"/>
                <w:sz w:val="21"/>
                <w:szCs w:val="21"/>
                <w:highlight w:val="none"/>
                <w:lang w:val="en-US" w:eastAsia="zh-CN" w:bidi="ar"/>
              </w:rPr>
              <w:t>层</w:t>
            </w:r>
            <w:r>
              <w:rPr>
                <w:rFonts w:hint="eastAsia" w:ascii="宋体" w:hAnsi="宋体" w:eastAsia="宋体" w:cs="宋体"/>
                <w:i w:val="0"/>
                <w:iCs w:val="0"/>
                <w:color w:val="000000"/>
                <w:kern w:val="0"/>
                <w:sz w:val="21"/>
                <w:szCs w:val="21"/>
                <w:highlight w:val="none"/>
                <w:u w:val="none"/>
                <w:lang w:val="en-US" w:eastAsia="zh-CN" w:bidi="ar"/>
              </w:rPr>
              <w:t xml:space="preserve">   5700*600*2500-26</w:t>
            </w:r>
            <w:r>
              <w:rPr>
                <w:rStyle w:val="47"/>
                <w:rFonts w:hint="eastAsia" w:ascii="宋体" w:hAnsi="宋体" w:eastAsia="宋体" w:cs="宋体"/>
                <w:sz w:val="21"/>
                <w:szCs w:val="21"/>
                <w:highlight w:val="none"/>
                <w:lang w:val="en-US" w:eastAsia="zh-CN" w:bidi="ar"/>
              </w:rPr>
              <w:t>列（详见参数）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立方米</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222.3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41184盒（按4CN档案盒预算）</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-52705</wp:posOffset>
                  </wp:positionH>
                  <wp:positionV relativeFrom="paragraph">
                    <wp:posOffset>30480</wp:posOffset>
                  </wp:positionV>
                  <wp:extent cx="1601470" cy="1253490"/>
                  <wp:effectExtent l="0" t="0" r="17780" b="3810"/>
                  <wp:wrapNone/>
                  <wp:docPr id="6" name="图片_1"/>
                  <wp:cNvGraphicFramePr/>
                  <a:graphic xmlns:a="http://schemas.openxmlformats.org/drawingml/2006/main">
                    <a:graphicData uri="http://schemas.openxmlformats.org/drawingml/2006/picture">
                      <pic:pic xmlns:pic="http://schemas.openxmlformats.org/drawingml/2006/picture">
                        <pic:nvPicPr>
                          <pic:cNvPr id="6" name="图片_1"/>
                          <pic:cNvPicPr/>
                        </pic:nvPicPr>
                        <pic:blipFill>
                          <a:blip r:embed="rId7"/>
                          <a:stretch>
                            <a:fillRect/>
                          </a:stretch>
                        </pic:blipFill>
                        <pic:spPr>
                          <a:xfrm>
                            <a:off x="0" y="0"/>
                            <a:ext cx="1601470" cy="125349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档案库房安防设备</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详见参数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2"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3</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档案推车、档案梯</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详见参数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104775</wp:posOffset>
                  </wp:positionH>
                  <wp:positionV relativeFrom="paragraph">
                    <wp:posOffset>13970</wp:posOffset>
                  </wp:positionV>
                  <wp:extent cx="1100455" cy="681990"/>
                  <wp:effectExtent l="0" t="0" r="4445" b="3810"/>
                  <wp:wrapNone/>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embed="rId8"/>
                          <a:stretch>
                            <a:fillRect/>
                          </a:stretch>
                        </pic:blipFill>
                        <pic:spPr>
                          <a:xfrm>
                            <a:off x="0" y="0"/>
                            <a:ext cx="1100455" cy="68199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5"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4</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除湿机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详见参数</w:t>
            </w:r>
            <w:r>
              <w:rPr>
                <w:rStyle w:val="39"/>
                <w:rFonts w:hint="eastAsia" w:ascii="宋体" w:hAnsi="宋体" w:eastAsia="宋体" w:cs="宋体"/>
                <w:b w:val="0"/>
                <w:i w:val="0"/>
                <w:caps w:val="0"/>
                <w:color w:val="000000"/>
                <w:spacing w:val="0"/>
                <w:w w:val="100"/>
                <w:sz w:val="21"/>
                <w:szCs w:val="21"/>
                <w:highlight w:val="none"/>
                <w:lang w:val="en-US" w:eastAsia="zh-CN" w:bidi="ar-SA"/>
              </w:rPr>
              <w:t xml:space="preserve">   </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30480</wp:posOffset>
                  </wp:positionV>
                  <wp:extent cx="1097280" cy="1010920"/>
                  <wp:effectExtent l="0" t="0" r="7620" b="17780"/>
                  <wp:wrapNone/>
                  <wp:docPr id="7" name="图片_4"/>
                  <wp:cNvGraphicFramePr/>
                  <a:graphic xmlns:a="http://schemas.openxmlformats.org/drawingml/2006/main">
                    <a:graphicData uri="http://schemas.openxmlformats.org/drawingml/2006/picture">
                      <pic:pic xmlns:pic="http://schemas.openxmlformats.org/drawingml/2006/picture">
                        <pic:nvPicPr>
                          <pic:cNvPr id="7" name="图片_4"/>
                          <pic:cNvPicPr/>
                        </pic:nvPicPr>
                        <pic:blipFill>
                          <a:blip r:embed="rId9"/>
                          <a:stretch>
                            <a:fillRect/>
                          </a:stretch>
                        </pic:blipFill>
                        <pic:spPr>
                          <a:xfrm>
                            <a:off x="0" y="0"/>
                            <a:ext cx="1097280" cy="1010920"/>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3"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防磁柜</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详见参数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294005</wp:posOffset>
                  </wp:positionH>
                  <wp:positionV relativeFrom="paragraph">
                    <wp:posOffset>19050</wp:posOffset>
                  </wp:positionV>
                  <wp:extent cx="1121410" cy="1014095"/>
                  <wp:effectExtent l="0" t="0" r="2540" b="14605"/>
                  <wp:wrapNone/>
                  <wp:docPr id="4" name="图片_5"/>
                  <wp:cNvGraphicFramePr/>
                  <a:graphic xmlns:a="http://schemas.openxmlformats.org/drawingml/2006/main">
                    <a:graphicData uri="http://schemas.openxmlformats.org/drawingml/2006/picture">
                      <pic:pic xmlns:pic="http://schemas.openxmlformats.org/drawingml/2006/picture">
                        <pic:nvPicPr>
                          <pic:cNvPr id="4" name="图片_5"/>
                          <pic:cNvPicPr/>
                        </pic:nvPicPr>
                        <pic:blipFill>
                          <a:blip r:embed="rId10"/>
                          <a:stretch>
                            <a:fillRect/>
                          </a:stretch>
                        </pic:blipFill>
                        <pic:spPr>
                          <a:xfrm>
                            <a:off x="0" y="0"/>
                            <a:ext cx="1121410" cy="101409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3"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6</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二氧化碳气体灭火器</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手提式二氧化碳灭火器，重量：2KG</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1"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7</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温湿度仪</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温湿度计，方式：壁挂式，产品尺寸：250*56*12MM,温度范围：30-50度，湿度范围：20-100%RH</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8</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防虫药</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草本植物</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箱</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9</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阻燃防紫外防光线窗帘</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一等品阻燃布帘、遮光率大于98%，高度2.8米、铝合金轨道，两倍褶皱、辅材为有纺布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平方米</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最终按实际</w:t>
            </w:r>
            <w:r>
              <w:rPr>
                <w:rFonts w:hint="eastAsia" w:ascii="宋体" w:hAnsi="宋体" w:cs="宋体"/>
                <w:i w:val="0"/>
                <w:iCs w:val="0"/>
                <w:color w:val="000000"/>
                <w:kern w:val="0"/>
                <w:sz w:val="21"/>
                <w:szCs w:val="21"/>
                <w:highlight w:val="none"/>
                <w:u w:val="none"/>
                <w:lang w:val="en-US" w:eastAsia="zh-CN" w:bidi="ar"/>
              </w:rPr>
              <w:t>测量</w:t>
            </w:r>
            <w:r>
              <w:rPr>
                <w:rFonts w:hint="eastAsia" w:ascii="宋体" w:hAnsi="宋体" w:eastAsia="宋体" w:cs="宋体"/>
                <w:i w:val="0"/>
                <w:iCs w:val="0"/>
                <w:color w:val="000000"/>
                <w:kern w:val="0"/>
                <w:sz w:val="21"/>
                <w:szCs w:val="21"/>
                <w:highlight w:val="none"/>
                <w:u w:val="none"/>
                <w:lang w:val="en-US" w:eastAsia="zh-CN" w:bidi="ar"/>
              </w:rPr>
              <w:t>数量结算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办公桌</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约1.6*1.2米，甲醛等有害物质含量符合行业标准。</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办公椅</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常用办公椅、办公室椅需要与办公桌搭配协调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个</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打印机</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支持双面打印、复印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sz w:val="21"/>
                <w:szCs w:val="21"/>
                <w:highlight w:val="none"/>
                <w:u w:val="none"/>
                <w:lang w:val="en-US" w:eastAsia="zh-CN"/>
              </w:rPr>
              <w:t>/</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40" w:lineRule="exact"/>
              <w:ind w:left="0" w:right="0"/>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r>
    </w:tbl>
    <w:p>
      <w:pPr>
        <w:pStyle w:val="5"/>
        <w:pageBreakBefore w:val="0"/>
        <w:kinsoku/>
        <w:wordWrap/>
        <w:overflowPunct/>
        <w:topLinePunct w:val="0"/>
        <w:autoSpaceDE/>
        <w:autoSpaceDN/>
        <w:bidi w:val="0"/>
        <w:spacing w:line="440" w:lineRule="exact"/>
        <w:ind w:left="0" w:leftChars="0" w:firstLine="0" w:firstLineChars="0"/>
        <w:jc w:val="both"/>
        <w:rPr>
          <w:rFonts w:hint="eastAsia" w:ascii="宋体" w:hAnsi="宋体" w:eastAsia="宋体" w:cs="宋体"/>
          <w:b/>
          <w:bCs/>
          <w:color w:val="000000"/>
          <w:sz w:val="21"/>
          <w:szCs w:val="21"/>
          <w:highlight w:val="none"/>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before="120" w:line="440" w:lineRule="exact"/>
        <w:ind w:leftChars="100" w:right="0" w:rightChars="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注：1、所有报价须包含面料、轨道、辅材、生产加工、送货、安装调试等相关费用</w:t>
      </w:r>
      <w:r>
        <w:rPr>
          <w:rFonts w:hint="eastAsia" w:ascii="宋体" w:hAnsi="宋体" w:cs="宋体"/>
          <w:b/>
          <w:bCs/>
          <w:color w:val="000000"/>
          <w:sz w:val="21"/>
          <w:szCs w:val="21"/>
          <w:highlight w:val="none"/>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120" w:line="440" w:lineRule="exact"/>
        <w:ind w:right="0" w:rightChars="0" w:firstLine="632" w:firstLineChars="3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2、货物清单中的预估数量是根据图纸测算数据，最终尺寸以现场实际测量为准。</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120" w:line="440" w:lineRule="exact"/>
        <w:ind w:right="0" w:rightChars="0" w:firstLine="632" w:firstLineChars="3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3、采购清单</w:t>
      </w:r>
      <w:r>
        <w:rPr>
          <w:rFonts w:hint="eastAsia" w:ascii="宋体" w:hAnsi="宋体" w:eastAsia="宋体" w:cs="宋体"/>
          <w:b/>
          <w:bCs/>
          <w:color w:val="000000"/>
          <w:sz w:val="21"/>
          <w:szCs w:val="21"/>
          <w:highlight w:val="none"/>
          <w:lang w:val="zh-CN" w:eastAsia="zh-CN"/>
        </w:rPr>
        <w:t>数量为预估数量，实际采购数量</w:t>
      </w:r>
      <w:r>
        <w:rPr>
          <w:rFonts w:hint="eastAsia" w:ascii="宋体" w:hAnsi="宋体" w:eastAsia="宋体" w:cs="宋体"/>
          <w:b/>
          <w:bCs/>
          <w:color w:val="000000"/>
          <w:sz w:val="21"/>
          <w:szCs w:val="21"/>
          <w:highlight w:val="none"/>
          <w:lang w:val="en-US" w:eastAsia="zh-CN"/>
        </w:rPr>
        <w:t>按实结算。</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sz w:val="21"/>
          <w:szCs w:val="21"/>
          <w:highlight w:val="none"/>
          <w:lang w:val="en-US" w:eastAsia="zh-CN"/>
        </w:rPr>
      </w:pPr>
      <w:bookmarkStart w:id="53" w:name="_Toc21484"/>
      <w:r>
        <w:rPr>
          <w:rFonts w:hint="eastAsia" w:ascii="宋体" w:hAnsi="宋体" w:eastAsia="宋体" w:cs="宋体"/>
          <w:b/>
          <w:sz w:val="21"/>
          <w:szCs w:val="21"/>
          <w:highlight w:val="none"/>
          <w:lang w:val="en-US" w:eastAsia="zh-CN"/>
        </w:rPr>
        <w:t>三、具体参数</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（一）档案密集架技术要求</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（1）密集架架体结构性能</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1、密集架为组合式结构，主要由立柱、搁板、挂板、侧护板、底盘、操纵摇柄、滚</w:t>
      </w:r>
      <w:r>
        <w:rPr>
          <w:rFonts w:hint="eastAsia" w:ascii="宋体" w:hAnsi="宋体" w:eastAsia="宋体" w:cs="宋体"/>
          <w:color w:val="000000"/>
          <w:sz w:val="21"/>
          <w:szCs w:val="21"/>
          <w:highlight w:val="none"/>
          <w:lang w:val="en-US" w:eastAsia="zh-CN"/>
        </w:rPr>
        <w:footnoteReference w:id="0"/>
      </w:r>
      <w:r>
        <w:rPr>
          <w:rFonts w:hint="eastAsia" w:ascii="宋体" w:hAnsi="宋体" w:eastAsia="宋体" w:cs="宋体"/>
          <w:color w:val="000000"/>
          <w:sz w:val="21"/>
          <w:szCs w:val="21"/>
          <w:highlight w:val="none"/>
          <w:lang w:val="en-US" w:eastAsia="zh-CN"/>
        </w:rPr>
        <w:t>轮、传动机构、轨道等零部件组成。</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架体外观及结构设计新颖，与整体装饰风格保持一致。钢制防护多柱式，由立柱、搁板、挂板、顶板、侧护板、标签框、边缘材料等组成。喷涂面色泽一致，均匀光滑，无划伤，颜色可选。架体材料采用符合有关标准要求厚度及强度的性能极为良好的优质冷轧钢材。</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3、轨道：轨道座采用≥3.0mm厚冷轧钢板，导轨采用20*20mm实心方钢。</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▲4、架体为立柱插入式，采用≥1.5mm冷轧钢板，一次性辊压成型，正面压两条筋，左右两个侧面各压两条筋，成型后压筋总数为6条，成型截面50mm*32mm,立柱固定在底盘上用M10螺丝连接。</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提供第三方检测机构（CMA及CNAS）出具的有效期内的立柱检验报告（报告内容包括但不限于硬度、附着力、冲击强度、氙灯光老化试验≥504小时、504小时老化试验后附着力,漆膜划圈实验、化学成分、180°冷弯试验、有害元素含量、邻苯二甲酸酯6P、多环芳烃、富马酸二甲酯等）。</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▲5、搁板：搁板能沿立柱垂直方向随意调整高度。搁板采用≥1.0mm冷轧钢板,一次性辊压成型，成型厚度≥25mm，正面辊压两组筋，每组筋为2条，两个侧面各压一条筋，成型后压筋总数为6条。</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提供第三方检测机构（CMA及CNAS）出具的有效期内的搁板检验报告（报告内容包括但不限于硬度、附着力、冲击强度、氙灯光老化试验≥504小时、504小时老化试验后附着力,漆膜划圈实验、化学成分、180°冷弯试验、有害元素含量、邻苯二甲酸酯6P、多环芳烃、富马酸二甲酯等）。</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挂板：采用≥1.0mm冷轧钢板,一次性辊压成型，上下部各为两条分段式短筋压型，中间采用腰形拉伸翻边模成型加强孔，挂板成型后压筋总数为4条，挂板安装后挂板边缘与立柱边缘保持垂直平整，不得有缺口。</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提供第三方检测机构（CMA及CNAS）出具的有效期内的挂板检验报告（报告内容包括但不限于硬度、附着力、冲击强度、氙灯光老化试验≥504小时、504小时老化试验后着力,漆膜划圈实验、化学成分、180°冷弯试验、有害元素含量、邻苯二甲酸酯6P、多环芳烃、富马酸二甲酯等）。</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7、侧护板：采用竖三拼结构，钢板厚度1.0mm。。</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8、底盘通过二次折弯成型，采用≥3.0mm冷轧钢板，可分段焊接后整体组装，组装时用螺栓连接紧固，做到在外力作用下，架体无任何变形情况发生。</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提供第三方检测机构（CMA及CNAS）出具的有效期内的底盘检验报告（报告内容包括但不限于硬度、附着力、冲击强度、氙灯光老化试验≥504小时、504小时老化试验后附着力,漆膜划圈实验、化学成分、180°冷弯试验、有害元素含量、邻苯二甲酸酯6P、多环芳烃、富马酸二甲酯等）。</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9、门板：采用≥1.0mm冷轧钢板，漆面光滑。</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提供第三方检测机构（CMA及CNAS）出具的有效期内的门板检验报告（报告内容包括但不限于硬度、附着力、冲击强度、氙灯光老化试验≥504小时、504小时老化试验后附着力,漆膜划圈实验、化学成分、180°冷弯试验、有害元素含量、邻苯二甲酸酯6P、多环芳烃、富马酸二甲酯等）。</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10、顶板：采用≥1.0mm冷轧钢板，达到防尘作用。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11、制动装置，每列均装有制动装置，操作方便制动可靠。</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12、防倾倒装置，采用≥3.0mm冷轧钢板，每列均设有防倾倒装置，在底盘的下方设有防倒钩，防止架体倾倒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13、为保证档案永久性存放特点和质量要求，两列移动护板闭合中间的密封条，采用高性能抗老化橡塑密封条。</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14、在全负载的情况下，各列密集架在操纵下运行自如，不得有阻滞现象。每标准立方米手动摇力≤8N。▲15、操纵摇柄：锌合金铸压成型、圆盘式摇柄，摇柄直径350mm,内壁厚＞3mm（加筋）。摇柄移动采用双向偏心滚珠式离合器设计装置，利用偏心力带动传动装置起动，无棘钩（挂钩），避免空转、停滞等质量问题。</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▲16、传动机构中心传动轴为Φ25mm与操纵手柄连接的中心内孔Φ25mm相配套，紧密度高，定位可靠，使用时灵活轻便，达到360°联动，无空转停滞现象。边列具有止动锁定装置。</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17、传动系统主要由滚轮、传动轴、带座托架轴承、精密滚子链条、操纵手柄等部件组成。</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轴：45#钢，加工精度为3.2，经调质热处理，HB220-290。</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▲铁滚轮：采用 H20-40 铸铁铸压成型，滚轮为 12 根加强筋，经加工成型，表面镀锌处理，牢固耐用。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链轮：45#钢，经锻压加工成型，回火去除应力，加工车、滚齿、插键槽、去毛齿、齿部经高频淬火HRC60-62（GB1135）。</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轴承：E级，P204托架双排滚珠轴承。</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链条：12.7带短滚珠链，摩托车链条（GB1244）。连接管：无缝钢管，表面喷涂环保油漆。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18、工件表面处理采用乳化剂和碱性助洗脱脂、磷酸除锈、薄膜型磷化、钝化、最后粉末喷涂。涂料为不含三酸异氰肝油脂（TGIC）的环氧树脂和聚脂树脂之混合型热固性粉沫涂料，利用静电使粉沫均匀分布于工件上，工件喷涂前应去除尘埃或杂质等损害表面的物质。喷涂后，需经适当的温度及时间进行固化处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19、涂料应选用优质涂料，采用粉末喷涂。喷涂要求：涂层表面应平整光滑，色泽均匀一致，无流挂、起粒、皱皮、露底、剥落、伤痕等缺陷； </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20、通用要求：</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20.1表面处理：严格执行表面处理工艺要求及标准，各零部件在涂敷前必须进行清洗、除油、除锈、并按照规范要求进行磷化处理；每道工序必须分槽处理。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20.2制造公差：每标准立方米组装后，外廓尺寸（长，宽，高）的极限偏差为2mm；门缝间隙均匀一致，间隙在1～2mm之间。</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20.3产品金属架体及配件应采用先进的静电亚光喷塑工艺。使用优质环保涂敷材料，表面均匀光亮，色泽一致、严密、平整、无划伤。</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20.4钣金件、机加件加工后应打磨毛刺，无裂纹及划痕，所有焊接件应焊接牢固，焊痕光滑、平整。</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20.5外观应平整，无波纹、流痕、起泡、孔折痕、污点、露底、剥落、伤痕等可见性缺陷。</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20.6产品各零部件及组合件之间应具有互换性。</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21、安装质量要求包括：</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21.1密集架埋入轨道要求：每两条轨平行偏差≤1.5mm；在任何1m长度内水平偏差≤1mm，5m中≤2mm，全长≤4mm；平行度≤1.0mm/m，高低≤1.0mm，全长≤2mm，对接处高低≤0.3mm；防脱轨设计；路轨每米载荷≥1000kg。</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21.2密集架整体外观要求：架体安装调试后，要求达到横平竖直，架体摇动轻便无阻力和响声，架体干净整洁。</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21.3架体平行度：±1～2mm／列。</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21.4架体垂直度：±1～2mm／列。</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21.5架体纵向同步度：±1～2mm／列。</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21.6每标准立方米在全负载的情况下，承受沿X、Y轴两个方向额定载荷1/15的水平拉力作用、标准立方米不得翻倒。</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（2）密集架架体配置表</w:t>
      </w:r>
    </w:p>
    <w:tbl>
      <w:tblPr>
        <w:tblStyle w:val="25"/>
        <w:tblW w:w="8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930"/>
        <w:gridCol w:w="1500"/>
        <w:gridCol w:w="2502"/>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b/>
                <w:bCs/>
                <w:highlight w:val="none"/>
              </w:rPr>
            </w:pPr>
            <w:r>
              <w:rPr>
                <w:rFonts w:hint="eastAsia" w:ascii="宋体" w:hAnsi="宋体" w:cs="宋体"/>
                <w:b/>
                <w:bCs/>
                <w:highlight w:val="none"/>
              </w:rPr>
              <w:t>序号</w:t>
            </w:r>
          </w:p>
        </w:tc>
        <w:tc>
          <w:tcPr>
            <w:tcW w:w="930" w:type="dxa"/>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b/>
                <w:bCs/>
                <w:highlight w:val="none"/>
              </w:rPr>
            </w:pPr>
            <w:r>
              <w:rPr>
                <w:rFonts w:hint="eastAsia" w:ascii="宋体" w:hAnsi="宋体" w:cs="宋体"/>
                <w:b/>
                <w:bCs/>
                <w:highlight w:val="none"/>
              </w:rPr>
              <w:t>名称</w:t>
            </w:r>
          </w:p>
        </w:tc>
        <w:tc>
          <w:tcPr>
            <w:tcW w:w="1500" w:type="dxa"/>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b/>
                <w:bCs/>
                <w:highlight w:val="none"/>
              </w:rPr>
            </w:pPr>
            <w:r>
              <w:rPr>
                <w:rFonts w:hint="eastAsia" w:ascii="宋体" w:hAnsi="宋体" w:cs="宋体"/>
                <w:b/>
                <w:bCs/>
                <w:highlight w:val="none"/>
              </w:rPr>
              <w:t>部件名称</w:t>
            </w:r>
          </w:p>
        </w:tc>
        <w:tc>
          <w:tcPr>
            <w:tcW w:w="2502" w:type="dxa"/>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b/>
                <w:bCs/>
                <w:highlight w:val="none"/>
              </w:rPr>
            </w:pPr>
            <w:r>
              <w:rPr>
                <w:rFonts w:hint="eastAsia" w:ascii="宋体" w:hAnsi="宋体" w:cs="宋体"/>
                <w:b/>
                <w:bCs/>
                <w:highlight w:val="none"/>
              </w:rPr>
              <w:t>技术参数</w:t>
            </w:r>
          </w:p>
        </w:tc>
        <w:tc>
          <w:tcPr>
            <w:tcW w:w="2804" w:type="dxa"/>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b/>
                <w:bCs/>
                <w:highlight w:val="none"/>
              </w:rPr>
            </w:pPr>
            <w:r>
              <w:rPr>
                <w:rFonts w:hint="eastAsia" w:ascii="宋体" w:hAnsi="宋体" w:cs="宋体"/>
                <w:b/>
                <w:bCs/>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restart"/>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r>
              <w:rPr>
                <w:rFonts w:hint="eastAsia" w:ascii="宋体" w:hAnsi="宋体" w:cs="宋体"/>
                <w:highlight w:val="none"/>
              </w:rPr>
              <w:t>1</w:t>
            </w:r>
          </w:p>
        </w:tc>
        <w:tc>
          <w:tcPr>
            <w:tcW w:w="930" w:type="dxa"/>
            <w:vMerge w:val="restart"/>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r>
              <w:rPr>
                <w:rFonts w:hint="eastAsia" w:ascii="宋体" w:hAnsi="宋体" w:cs="宋体"/>
                <w:highlight w:val="none"/>
              </w:rPr>
              <w:t>钢制材料</w:t>
            </w:r>
          </w:p>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搁板（压筋）</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1.0mm</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立柱（压筋）</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1.5mm</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挂板（压筋）</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1.0mm</w:t>
            </w:r>
          </w:p>
        </w:tc>
        <w:tc>
          <w:tcPr>
            <w:tcW w:w="2804" w:type="dxa"/>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顶板</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1.0mm</w:t>
            </w:r>
          </w:p>
        </w:tc>
        <w:tc>
          <w:tcPr>
            <w:tcW w:w="2804" w:type="dxa"/>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侧护板</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1.0mm</w:t>
            </w:r>
          </w:p>
        </w:tc>
        <w:tc>
          <w:tcPr>
            <w:tcW w:w="2804" w:type="dxa"/>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门板、门档</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 xml:space="preserve">1.0mm </w:t>
            </w:r>
          </w:p>
        </w:tc>
        <w:tc>
          <w:tcPr>
            <w:tcW w:w="2804" w:type="dxa"/>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防尘板</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1.0mm</w:t>
            </w:r>
          </w:p>
        </w:tc>
        <w:tc>
          <w:tcPr>
            <w:tcW w:w="2804" w:type="dxa"/>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防鼠板</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1.0mm</w:t>
            </w:r>
          </w:p>
        </w:tc>
        <w:tc>
          <w:tcPr>
            <w:tcW w:w="2804" w:type="dxa"/>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底盘</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3.0mm</w:t>
            </w:r>
          </w:p>
        </w:tc>
        <w:tc>
          <w:tcPr>
            <w:tcW w:w="2804" w:type="dxa"/>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restart"/>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r>
              <w:rPr>
                <w:rFonts w:hint="eastAsia" w:ascii="宋体" w:hAnsi="宋体" w:cs="宋体"/>
                <w:highlight w:val="none"/>
              </w:rPr>
              <w:t>2</w:t>
            </w:r>
          </w:p>
        </w:tc>
        <w:tc>
          <w:tcPr>
            <w:tcW w:w="930" w:type="dxa"/>
            <w:vMerge w:val="restart"/>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r>
              <w:rPr>
                <w:rFonts w:hint="eastAsia" w:ascii="宋体" w:hAnsi="宋体" w:cs="宋体"/>
                <w:highlight w:val="none"/>
              </w:rPr>
              <w:t>轨道</w:t>
            </w: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导轨</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highlight w:val="none"/>
              </w:rPr>
              <w:t>≥</w:t>
            </w:r>
            <w:r>
              <w:rPr>
                <w:rFonts w:hint="eastAsia" w:ascii="宋体" w:hAnsi="宋体" w:cs="宋体"/>
                <w:szCs w:val="21"/>
                <w:highlight w:val="none"/>
              </w:rPr>
              <w:t>20*20实心方钢</w:t>
            </w:r>
          </w:p>
        </w:tc>
        <w:tc>
          <w:tcPr>
            <w:tcW w:w="2804" w:type="dxa"/>
            <w:vMerge w:val="restart"/>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228.1-2021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轨道座</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钢板厚度</w:t>
            </w:r>
            <w:r>
              <w:rPr>
                <w:rFonts w:hint="eastAsia" w:ascii="宋体" w:hAnsi="宋体"/>
                <w:highlight w:val="none"/>
              </w:rPr>
              <w:t>≥</w:t>
            </w:r>
            <w:r>
              <w:rPr>
                <w:rFonts w:hint="eastAsia" w:ascii="宋体" w:hAnsi="宋体" w:cs="宋体"/>
                <w:szCs w:val="21"/>
                <w:highlight w:val="none"/>
              </w:rPr>
              <w:t>3.0mm</w:t>
            </w:r>
          </w:p>
        </w:tc>
        <w:tc>
          <w:tcPr>
            <w:tcW w:w="2804"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restart"/>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r>
              <w:rPr>
                <w:rFonts w:hint="eastAsia" w:ascii="宋体" w:hAnsi="宋体" w:cs="宋体"/>
                <w:highlight w:val="none"/>
              </w:rPr>
              <w:t>3</w:t>
            </w:r>
          </w:p>
        </w:tc>
        <w:tc>
          <w:tcPr>
            <w:tcW w:w="930" w:type="dxa"/>
            <w:vMerge w:val="restart"/>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r>
              <w:rPr>
                <w:rFonts w:hint="eastAsia" w:ascii="宋体" w:hAnsi="宋体" w:cs="宋体"/>
                <w:highlight w:val="none"/>
              </w:rPr>
              <w:t>配件</w:t>
            </w: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密封胶条</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抗老化橡塑</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930" w:type="dxa"/>
            <w:vMerge w:val="continue"/>
            <w:vAlign w:val="center"/>
          </w:tcPr>
          <w:p>
            <w:pPr>
              <w:keepNext w:val="0"/>
              <w:keepLines w:val="0"/>
              <w:pageBreakBefore w:val="0"/>
              <w:suppressLineNumbers w:val="0"/>
              <w:tabs>
                <w:tab w:val="left" w:pos="1155"/>
              </w:tabs>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紧固件</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M8</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restart"/>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4</w:t>
            </w:r>
          </w:p>
        </w:tc>
        <w:tc>
          <w:tcPr>
            <w:tcW w:w="930" w:type="dxa"/>
            <w:vMerge w:val="restart"/>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传动系统</w:t>
            </w: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轴承</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P204</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230.1-2018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930"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传动轴</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优质45#钢</w:t>
            </w:r>
          </w:p>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Φ20实心钢</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1958-2017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930"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连接管</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优质无缝钢管</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8162-2018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930"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链轮</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精钢齿轮</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1958-2017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930"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铁滚轮</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高强度铸铁</w:t>
            </w:r>
          </w:p>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12根加强筋</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230.1-2018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930"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链条</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摩托车链条</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GB/T 10857-2005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930" w:type="dxa"/>
            <w:vMerge w:val="continue"/>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操纵手柄</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偏心滚珠，无挂钩</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锌合金铸压成型、圆盘式加筋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5"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5</w:t>
            </w:r>
          </w:p>
        </w:tc>
        <w:tc>
          <w:tcPr>
            <w:tcW w:w="93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表面处理</w:t>
            </w:r>
          </w:p>
        </w:tc>
        <w:tc>
          <w:tcPr>
            <w:tcW w:w="1500"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粉末</w:t>
            </w:r>
          </w:p>
        </w:tc>
        <w:tc>
          <w:tcPr>
            <w:tcW w:w="2502"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热固性粉末</w:t>
            </w:r>
          </w:p>
        </w:tc>
        <w:tc>
          <w:tcPr>
            <w:tcW w:w="2804" w:type="dxa"/>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default" w:ascii="宋体" w:hAnsi="宋体" w:cs="宋体"/>
                <w:szCs w:val="21"/>
                <w:highlight w:val="none"/>
              </w:rPr>
            </w:pPr>
            <w:r>
              <w:rPr>
                <w:rFonts w:hint="eastAsia" w:ascii="宋体" w:hAnsi="宋体" w:cs="宋体"/>
                <w:szCs w:val="21"/>
                <w:highlight w:val="none"/>
              </w:rPr>
              <w:t>/</w:t>
            </w:r>
          </w:p>
        </w:tc>
      </w:tr>
    </w:tbl>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（二）库房安防设备</w:t>
      </w:r>
    </w:p>
    <w:tbl>
      <w:tblPr>
        <w:tblStyle w:val="25"/>
        <w:tblpPr w:leftFromText="180" w:rightFromText="180" w:vertAnchor="text" w:horzAnchor="page" w:tblpX="1148" w:tblpY="658"/>
        <w:tblOverlap w:val="never"/>
        <w:tblW w:w="92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959"/>
        <w:gridCol w:w="5967"/>
        <w:gridCol w:w="912"/>
        <w:gridCol w:w="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序号</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设施名称</w:t>
            </w:r>
          </w:p>
        </w:tc>
        <w:tc>
          <w:tcPr>
            <w:tcW w:w="59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配置参数</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数量</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摄像机（半球）</w:t>
            </w:r>
          </w:p>
        </w:tc>
        <w:tc>
          <w:tcPr>
            <w:tcW w:w="5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val="en-US" w:eastAsia="zh-CN"/>
              </w:rPr>
              <w:fldChar w:fldCharType="begin"/>
            </w:r>
            <w:r>
              <w:rPr>
                <w:rFonts w:hint="eastAsia" w:ascii="宋体" w:hAnsi="宋体" w:eastAsia="宋体" w:cs="宋体"/>
                <w:sz w:val="21"/>
                <w:szCs w:val="21"/>
                <w:highlight w:val="none"/>
                <w:lang w:val="en-US" w:eastAsia="zh-CN"/>
              </w:rPr>
              <w:instrText xml:space="preserve"> HYPERLINK "" </w:instrText>
            </w:r>
            <w:r>
              <w:rPr>
                <w:rFonts w:hint="eastAsia" w:ascii="宋体" w:hAnsi="宋体" w:eastAsia="宋体" w:cs="宋体"/>
                <w:sz w:val="21"/>
                <w:szCs w:val="21"/>
                <w:highlight w:val="none"/>
                <w:lang w:val="en-US" w:eastAsia="zh-CN"/>
              </w:rPr>
              <w:fldChar w:fldCharType="separate"/>
            </w:r>
            <w:r>
              <w:rPr>
                <w:rFonts w:hint="eastAsia" w:ascii="宋体" w:hAnsi="宋体" w:eastAsia="宋体" w:cs="宋体"/>
                <w:sz w:val="21"/>
                <w:szCs w:val="21"/>
                <w:highlight w:val="none"/>
              </w:rPr>
              <w:t>主码流支持1920x1080@25fps，子码流支持640x480@25fps，第三码流支持1280x720。（</w:t>
            </w:r>
            <w:r>
              <w:rPr>
                <w:rFonts w:hint="eastAsia" w:ascii="宋体" w:hAnsi="宋体" w:eastAsia="宋体" w:cs="宋体"/>
                <w:sz w:val="21"/>
                <w:szCs w:val="21"/>
                <w:highlight w:val="none"/>
                <w:lang w:val="en-US" w:eastAsia="zh-CN"/>
              </w:rPr>
              <w:t>提供相应</w:t>
            </w:r>
            <w:r>
              <w:rPr>
                <w:rFonts w:hint="eastAsia" w:ascii="宋体" w:hAnsi="宋体" w:eastAsia="宋体" w:cs="宋体"/>
                <w:sz w:val="21"/>
                <w:szCs w:val="21"/>
                <w:highlight w:val="none"/>
              </w:rPr>
              <w:t>检验报告证明）</w:t>
            </w:r>
          </w:p>
          <w:p>
            <w:pPr>
              <w:keepNext w:val="0"/>
              <w:keepLines w:val="0"/>
              <w:pageBreakBefore w:val="0"/>
              <w:widowControl/>
              <w:suppressLineNumbers w:val="0"/>
              <w:shd w:val="clear"/>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最低照度彩色0.002lx，黑白0.0002lx。（</w:t>
            </w:r>
            <w:r>
              <w:rPr>
                <w:rFonts w:hint="eastAsia" w:ascii="宋体" w:hAnsi="宋体" w:eastAsia="宋体" w:cs="宋体"/>
                <w:sz w:val="21"/>
                <w:szCs w:val="21"/>
                <w:highlight w:val="none"/>
                <w:lang w:val="en-US" w:eastAsia="zh-CN"/>
              </w:rPr>
              <w:t>提供相应</w:t>
            </w:r>
            <w:r>
              <w:rPr>
                <w:rFonts w:hint="eastAsia" w:ascii="宋体" w:hAnsi="宋体" w:eastAsia="宋体" w:cs="宋体"/>
                <w:sz w:val="21"/>
                <w:szCs w:val="21"/>
                <w:highlight w:val="none"/>
              </w:rPr>
              <w:t>检验报告证明）</w:t>
            </w:r>
          </w:p>
          <w:p>
            <w:pPr>
              <w:keepNext w:val="0"/>
              <w:keepLines w:val="0"/>
              <w:pageBreakBefore w:val="0"/>
              <w:widowControl/>
              <w:suppressLineNumbers w:val="0"/>
              <w:shd w:val="clear"/>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内置GPU芯片，麦克风，扬声器。（</w:t>
            </w:r>
            <w:r>
              <w:rPr>
                <w:rFonts w:hint="eastAsia" w:ascii="宋体" w:hAnsi="宋体" w:eastAsia="宋体" w:cs="宋体"/>
                <w:sz w:val="21"/>
                <w:szCs w:val="21"/>
                <w:highlight w:val="none"/>
                <w:lang w:val="en-US" w:eastAsia="zh-CN"/>
              </w:rPr>
              <w:t>提供相应</w:t>
            </w:r>
            <w:r>
              <w:rPr>
                <w:rFonts w:hint="eastAsia" w:ascii="宋体" w:hAnsi="宋体" w:eastAsia="宋体" w:cs="宋体"/>
                <w:sz w:val="21"/>
                <w:szCs w:val="21"/>
                <w:highlight w:val="none"/>
              </w:rPr>
              <w:t>检验报告证明）</w:t>
            </w:r>
          </w:p>
          <w:p>
            <w:pPr>
              <w:keepNext w:val="0"/>
              <w:keepLines w:val="0"/>
              <w:pageBreakBefore w:val="0"/>
              <w:widowControl/>
              <w:suppressLineNumbers w:val="0"/>
              <w:shd w:val="clear"/>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支持白光补光、红外补光，在开启白光灯进行补光时，可输出彩色视频图像。（</w:t>
            </w:r>
            <w:r>
              <w:rPr>
                <w:rFonts w:hint="eastAsia" w:ascii="宋体" w:hAnsi="宋体" w:eastAsia="宋体" w:cs="宋体"/>
                <w:sz w:val="21"/>
                <w:szCs w:val="21"/>
                <w:highlight w:val="none"/>
                <w:lang w:val="en-US" w:eastAsia="zh-CN"/>
              </w:rPr>
              <w:t>提供相应</w:t>
            </w:r>
            <w:r>
              <w:rPr>
                <w:rFonts w:hint="eastAsia" w:ascii="宋体" w:hAnsi="宋体" w:eastAsia="宋体" w:cs="宋体"/>
                <w:sz w:val="21"/>
                <w:szCs w:val="21"/>
                <w:highlight w:val="none"/>
              </w:rPr>
              <w:t>检验报告证明）</w:t>
            </w:r>
          </w:p>
          <w:p>
            <w:pPr>
              <w:keepNext w:val="0"/>
              <w:keepLines w:val="0"/>
              <w:pageBreakBefore w:val="0"/>
              <w:widowControl/>
              <w:suppressLineNumbers w:val="0"/>
              <w:shd w:val="clear"/>
              <w:kinsoku/>
              <w:wordWrap/>
              <w:overflowPunct/>
              <w:topLinePunct w:val="0"/>
              <w:autoSpaceDE/>
              <w:autoSpaceDN/>
              <w:bidi w:val="0"/>
              <w:spacing w:before="0" w:beforeAutospacing="0" w:after="0" w:afterAutospacing="0" w:line="440" w:lineRule="exact"/>
              <w:ind w:left="0" w:right="0"/>
              <w:jc w:val="left"/>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同一静止场景相同图像质量下，设备在H.264、H.265编码方式时，开启智能编码功能和不开启智能编码相比，码率节约80%。（</w:t>
            </w:r>
            <w:r>
              <w:rPr>
                <w:rFonts w:hint="eastAsia" w:ascii="宋体" w:hAnsi="宋体" w:eastAsia="宋体" w:cs="宋体"/>
                <w:sz w:val="21"/>
                <w:szCs w:val="21"/>
                <w:highlight w:val="none"/>
                <w:lang w:val="en-US" w:eastAsia="zh-CN"/>
              </w:rPr>
              <w:t>提供相应</w:t>
            </w:r>
            <w:r>
              <w:rPr>
                <w:rFonts w:hint="eastAsia" w:ascii="宋体" w:hAnsi="宋体" w:eastAsia="宋体" w:cs="宋体"/>
                <w:sz w:val="21"/>
                <w:szCs w:val="21"/>
                <w:highlight w:val="none"/>
              </w:rPr>
              <w:t>检验报告证明）</w:t>
            </w:r>
          </w:p>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支持DC12V供电。</w:t>
            </w:r>
            <w:r>
              <w:rPr>
                <w:rFonts w:hint="eastAsia" w:ascii="宋体" w:hAnsi="宋体" w:eastAsia="宋体" w:cs="宋体"/>
                <w:sz w:val="21"/>
                <w:szCs w:val="21"/>
                <w:highlight w:val="none"/>
                <w:lang w:val="en-US" w:eastAsia="zh-CN"/>
              </w:rPr>
              <w:fldChar w:fldCharType="end"/>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硬盘录像机</w:t>
            </w:r>
          </w:p>
        </w:tc>
        <w:tc>
          <w:tcPr>
            <w:tcW w:w="5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16通道；2盘位； </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硬盘</w:t>
            </w:r>
          </w:p>
        </w:tc>
        <w:tc>
          <w:tcPr>
            <w:tcW w:w="5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存储容量：6T；</w:t>
            </w:r>
          </w:p>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规格：179.4*118.1*41.5mm</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3"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辅料配件</w:t>
            </w:r>
          </w:p>
        </w:tc>
        <w:tc>
          <w:tcPr>
            <w:tcW w:w="5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水晶头、测线器、电源插头、卡扣、对接线、开关卡槽、膨胀螺丝、压线帽、绕线管、结构胶等。</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sz w:val="21"/>
                <w:szCs w:val="21"/>
                <w:highlight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highlight w:val="none"/>
          <w:lang w:val="en-US" w:eastAsia="zh-CN"/>
        </w:rPr>
      </w:pPr>
      <w:r>
        <w:rPr>
          <w:rFonts w:hint="eastAsia" w:asciiTheme="minorHAnsi" w:hAnsiTheme="minorHAnsi" w:eastAsiaTheme="minorEastAsia" w:cstheme="minorBidi"/>
          <w:kern w:val="2"/>
          <w:sz w:val="21"/>
          <w:szCs w:val="24"/>
          <w:highlight w:val="none"/>
          <w:lang w:val="en-US" w:eastAsia="zh-CN" w:bidi="ar-SA"/>
        </w:rPr>
        <w:t>（三）</w:t>
      </w:r>
      <w:r>
        <w:rPr>
          <w:rFonts w:hint="eastAsia" w:ascii="宋体" w:hAnsi="宋体" w:eastAsia="宋体" w:cs="宋体"/>
          <w:color w:val="000000"/>
          <w:sz w:val="21"/>
          <w:szCs w:val="21"/>
          <w:highlight w:val="none"/>
          <w:lang w:val="en-US" w:eastAsia="zh-CN"/>
        </w:rPr>
        <w:t>档案推车</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1、尺寸：长 900*宽 600*高 890（mm）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2</w:t>
      </w:r>
      <w:r>
        <w:rPr>
          <w:rFonts w:hint="eastAsia" w:ascii="宋体" w:hAnsi="宋体" w:eastAsia="宋体" w:cs="宋体"/>
          <w:color w:val="000000"/>
          <w:sz w:val="21"/>
          <w:szCs w:val="21"/>
          <w:highlight w:val="none"/>
          <w:lang w:val="en-US" w:eastAsia="zh-CN"/>
        </w:rPr>
        <w:t xml:space="preserve">、静音手推车车板为优质冷轧钢板、车板上表面贴防滑橡胶垫，结实耐用。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3</w:t>
      </w:r>
      <w:r>
        <w:rPr>
          <w:rFonts w:hint="eastAsia" w:ascii="宋体" w:hAnsi="宋体" w:eastAsia="宋体" w:cs="宋体"/>
          <w:color w:val="000000"/>
          <w:sz w:val="21"/>
          <w:szCs w:val="21"/>
          <w:highlight w:val="none"/>
          <w:lang w:val="en-US" w:eastAsia="zh-CN"/>
        </w:rPr>
        <w:t xml:space="preserve">、静音车轮为重型设计防静电碳纤或高性能树脂材质，四个带刹万向轮，承重不低于 100 公斤。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4</w:t>
      </w:r>
      <w:r>
        <w:rPr>
          <w:rFonts w:hint="eastAsia" w:ascii="宋体" w:hAnsi="宋体" w:eastAsia="宋体" w:cs="宋体"/>
          <w:color w:val="000000"/>
          <w:sz w:val="21"/>
          <w:szCs w:val="21"/>
          <w:highlight w:val="none"/>
          <w:lang w:val="en-US" w:eastAsia="zh-CN"/>
        </w:rPr>
        <w:t xml:space="preserve">、可折倒把手，最大限度节省空间。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（四）档案书梯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1、尺寸：长 665*宽 490*高 1065（mm）</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2、金属三步书梯。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（五）除湿机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1、输入功率:1850W/制冷剂/加注量：R:22/800g/</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2、除湿量:150 升/日 /电源:220V/50Hz/</w:t>
      </w:r>
    </w:p>
    <w:bookmarkEnd w:id="53"/>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（六）防磁柜技术参数</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1、规格：500×570×1500</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2、根据有关消防规程规定进行绝热设计，在火灾发生 30 分钟后，现场取出，柜内温度不大于 90℃。</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3、柜内的磁场强度小于磁性记录材料矫顽弱力的 10%即当外界磁场 200GS（高斯）时， 柜内磁场不大于 5GS。</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4、柜体采用≥1.2mm 优质冷轧钢板，抽屉面板采用≥1.2mm 优质冷轧钢板，优质五金件，伸缩抽拉槽轨。底盘采用≥3.0mm 优质冷轧钢板。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5、采用整体中空门板，内衬石棉材料。</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6、门铰链采用隐蔽式铰链，门板可 180 度开启。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7、门锁采用新潮特制长锁，安全可靠。</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8、柜内采用抽屉式，6 个抽屉，抽屉内有分格，可存放光盘或硬盘，整个抽屉可以拉出。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9、外表高级喷塑处理，防锈，防蚀，且美观大方。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10、颜色：灰白。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11、承重不低于150公斤。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12、每步层距 250mm,采用 1.5mm 加厚冷轧钢板。 </w:t>
      </w:r>
    </w:p>
    <w:p>
      <w:pPr>
        <w:pStyle w:val="38"/>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四、其他要求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中标人须保证无条件配合招标人，将供货场地清理干净至具备实施条件（含现有30组档案柜搬移至本控制中心大厦内其他地方），搬移等相关费用含在投标报价中，招标人不再另行支付其他费用。</w:t>
      </w:r>
    </w:p>
    <w:p>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第五章  合同条款及格式</w:t>
      </w:r>
    </w:p>
    <w:p>
      <w:pPr>
        <w:pageBreakBefore w:val="0"/>
        <w:widowControl/>
        <w:numPr>
          <w:ilvl w:val="0"/>
          <w:numId w:val="6"/>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54"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54"/>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55" w:name="_Toc247085768"/>
      <w:bookmarkStart w:id="56" w:name="_Toc246996253"/>
      <w:bookmarkStart w:id="57" w:name="_Toc144974578"/>
      <w:bookmarkStart w:id="58" w:name="_Toc179632628"/>
      <w:bookmarkStart w:id="59" w:name="_Toc152042388"/>
      <w:bookmarkStart w:id="60" w:name="_Toc246996996"/>
      <w:bookmarkStart w:id="61" w:name="_Toc296602498"/>
      <w:bookmarkStart w:id="62" w:name="_Toc152045610"/>
      <w:bookmarkStart w:id="63" w:name="_Toc469495742"/>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64" w:name="_Toc23596"/>
      <w:r>
        <w:rPr>
          <w:rFonts w:hint="eastAsia" w:ascii="宋体" w:hAnsi="宋体" w:cs="宋体"/>
          <w:b/>
          <w:color w:val="auto"/>
          <w:sz w:val="30"/>
          <w:szCs w:val="30"/>
          <w:highlight w:val="none"/>
        </w:rPr>
        <w:t>二  合同条款</w:t>
      </w:r>
      <w:bookmarkEnd w:id="55"/>
      <w:bookmarkEnd w:id="56"/>
      <w:bookmarkEnd w:id="57"/>
      <w:bookmarkEnd w:id="58"/>
      <w:bookmarkEnd w:id="59"/>
      <w:bookmarkEnd w:id="60"/>
      <w:bookmarkEnd w:id="61"/>
      <w:bookmarkEnd w:id="62"/>
      <w:bookmarkEnd w:id="63"/>
      <w:bookmarkEnd w:id="64"/>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11"/>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11"/>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11"/>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11"/>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11"/>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11"/>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eastAsiaTheme="minorEastAsia"/>
          <w:color w:val="auto"/>
          <w:szCs w:val="21"/>
          <w:highlight w:val="none"/>
          <w:lang w:eastAsia="zh-CN"/>
        </w:rPr>
      </w:pPr>
      <w:r>
        <w:rPr>
          <w:rFonts w:hint="eastAsia" w:ascii="宋体" w:hAnsi="宋体" w:cs="宋体"/>
          <w:color w:val="auto"/>
          <w:szCs w:val="21"/>
          <w:highlight w:val="none"/>
        </w:rPr>
        <w:t>17.</w:t>
      </w:r>
      <w:r>
        <w:rPr>
          <w:rFonts w:hint="eastAsia" w:ascii="宋体" w:hAnsi="宋体" w:cs="宋体"/>
          <w:color w:val="auto"/>
          <w:szCs w:val="21"/>
          <w:highlight w:val="none"/>
          <w:lang w:val="en-US" w:eastAsia="zh-CN"/>
        </w:rPr>
        <w:t>本项目不收取</w:t>
      </w:r>
      <w:r>
        <w:rPr>
          <w:rFonts w:hint="eastAsia" w:ascii="宋体" w:hAnsi="宋体" w:cs="宋体"/>
          <w:color w:val="auto"/>
          <w:szCs w:val="21"/>
          <w:highlight w:val="none"/>
        </w:rPr>
        <w:t>履约保证金</w:t>
      </w:r>
      <w:r>
        <w:rPr>
          <w:rFonts w:hint="eastAsia" w:ascii="宋体" w:hAnsi="宋体" w:cs="宋体"/>
          <w:color w:val="auto"/>
          <w:szCs w:val="21"/>
          <w:highlight w:val="none"/>
          <w:lang w:eastAsia="zh-CN"/>
        </w:rPr>
        <w:t>。</w:t>
      </w:r>
    </w:p>
    <w:p>
      <w:pPr>
        <w:pStyle w:val="11"/>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11"/>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11"/>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第六章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65" w:name="_Toc21573"/>
      <w:bookmarkEnd w:id="65"/>
      <w:bookmarkStart w:id="66" w:name="_Toc128_WPSOffice_Level1"/>
      <w:r>
        <w:rPr>
          <w:rFonts w:hint="eastAsia" w:ascii="宋体" w:hAnsi="宋体" w:eastAsia="宋体" w:cs="宋体"/>
          <w:b/>
          <w:bCs w:val="0"/>
          <w:color w:val="000000"/>
          <w:kern w:val="0"/>
          <w:sz w:val="44"/>
          <w:szCs w:val="44"/>
          <w:highlight w:val="none"/>
          <w:u w:color="000000"/>
          <w:lang w:val="en-US" w:eastAsia="zh-CN" w:bidi="ar"/>
        </w:rPr>
        <w:t>资格证明文件</w:t>
      </w:r>
      <w:bookmarkEnd w:id="66"/>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bookmarkStart w:id="67" w:name="_Toc19336_WPSOffice_Level2"/>
      <w:bookmarkEnd w:id="67"/>
      <w:r>
        <w:rPr>
          <w:rFonts w:hint="eastAsia" w:ascii="宋体" w:hAnsi="宋体" w:eastAsia="宋体" w:cs="宋体"/>
          <w:color w:val="000000"/>
          <w:kern w:val="0"/>
          <w:sz w:val="32"/>
          <w:szCs w:val="32"/>
          <w:highlight w:val="none"/>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68" w:name="_Toc7180_WPSOffice_Level3"/>
      <w:bookmarkEnd w:id="68"/>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69" w:name="_Toc14710_WPSOffice_Level1"/>
      <w:bookmarkEnd w:id="69"/>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（3）诚信投标承诺书（格式见附件）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招标文件中要求的资信评审（评分）的支持资料；</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lang w:eastAsia="zh-CN"/>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7"/>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70" w:name="_Toc425084385"/>
      <w:bookmarkStart w:id="71" w:name="_Toc451384148"/>
      <w:r>
        <w:rPr>
          <w:rFonts w:hint="eastAsia" w:ascii="宋体" w:hAnsi="宋体"/>
          <w:color w:val="000000"/>
          <w:szCs w:val="21"/>
          <w:highlight w:val="none"/>
        </w:rPr>
        <w:t>一、将遵循公</w:t>
      </w:r>
      <w:bookmarkStart w:id="72" w:name="_Toc503196197"/>
      <w:bookmarkStart w:id="73" w:name="_Toc506107356"/>
      <w:bookmarkStart w:id="74" w:name="_Toc26598"/>
      <w:r>
        <w:rPr>
          <w:rFonts w:hint="eastAsia" w:ascii="宋体" w:hAnsi="宋体"/>
          <w:color w:val="000000"/>
          <w:szCs w:val="21"/>
          <w:highlight w:val="none"/>
        </w:rPr>
        <w:t>开、公正和诚实信用</w:t>
      </w:r>
      <w:bookmarkEnd w:id="72"/>
      <w:bookmarkEnd w:id="73"/>
      <w:r>
        <w:rPr>
          <w:rFonts w:hint="eastAsia" w:ascii="宋体" w:hAnsi="宋体"/>
          <w:color w:val="000000"/>
          <w:szCs w:val="21"/>
          <w:highlight w:val="none"/>
        </w:rPr>
        <w:t>的</w:t>
      </w:r>
      <w:bookmarkEnd w:id="74"/>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70"/>
    <w:bookmarkEnd w:id="71"/>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技术标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numPr>
          <w:ilvl w:val="0"/>
          <w:numId w:val="8"/>
        </w:num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详细的货物名称、规格、技术参数等【附技术参数响应表、货物的详细配置清单，格式见附件】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（2）样品；</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（3）项目实施方案；</w:t>
      </w:r>
    </w:p>
    <w:p>
      <w:pPr>
        <w:spacing w:line="360" w:lineRule="auto"/>
        <w:ind w:firstLine="420" w:firstLineChars="200"/>
        <w:rPr>
          <w:rFonts w:hint="default"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（4）售后服务方案；</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投标人认为需要提供的其他资信证明材料。</w:t>
      </w:r>
    </w:p>
    <w:p>
      <w:pPr>
        <w:rPr>
          <w:rFonts w:hint="eastAsia" w:ascii="宋体" w:hAnsi="宋体" w:eastAsia="宋体" w:cs="宋体"/>
          <w:b/>
          <w:bCs w:val="0"/>
          <w:color w:val="000000"/>
          <w:kern w:val="0"/>
          <w:sz w:val="28"/>
          <w:szCs w:val="28"/>
          <w:highlight w:val="none"/>
          <w:u w:color="000000"/>
          <w:lang w:val="en-US" w:eastAsia="zh-CN" w:bidi="ar"/>
        </w:rPr>
      </w:pPr>
    </w:p>
    <w:p>
      <w:pPr>
        <w:rPr>
          <w:rFonts w:hint="eastAsia" w:ascii="宋体" w:hAnsi="宋体" w:eastAsia="宋体" w:cs="宋体"/>
          <w:b/>
          <w:bCs w:val="0"/>
          <w:color w:val="000000"/>
          <w:kern w:val="0"/>
          <w:sz w:val="28"/>
          <w:szCs w:val="28"/>
          <w:highlight w:val="none"/>
          <w:u w:color="000000"/>
          <w:lang w:val="en-US" w:eastAsia="zh-CN" w:bidi="ar"/>
        </w:rPr>
      </w:pPr>
    </w:p>
    <w:p>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t>附</w:t>
      </w:r>
      <w:r>
        <w:rPr>
          <w:rFonts w:hint="eastAsia" w:ascii="宋体" w:hAnsi="宋体" w:eastAsia="宋体" w:cs="宋体"/>
          <w:b/>
          <w:bCs w:val="0"/>
          <w:color w:val="000000"/>
          <w:kern w:val="0"/>
          <w:sz w:val="28"/>
          <w:szCs w:val="28"/>
          <w:highlight w:val="none"/>
          <w:u w:color="000000"/>
          <w:lang w:val="en-US" w:eastAsia="zh-CN" w:bidi="ar"/>
        </w:rPr>
        <w:t>件</w:t>
      </w:r>
      <w:r>
        <w:rPr>
          <w:rFonts w:hint="eastAsia" w:ascii="Calibri" w:hAnsi="Calibri" w:eastAsia="宋体" w:cs="Calibri"/>
          <w:b/>
          <w:bCs w:val="0"/>
          <w:color w:val="000000"/>
          <w:kern w:val="0"/>
          <w:sz w:val="28"/>
          <w:szCs w:val="28"/>
          <w:highlight w:val="none"/>
          <w:u w:color="000000"/>
          <w:lang w:val="en-US" w:eastAsia="zh-CN" w:bidi="ar"/>
        </w:rPr>
        <w:t>4</w:t>
      </w:r>
      <w:r>
        <w:rPr>
          <w:rFonts w:hint="eastAsia" w:ascii="宋体" w:hAnsi="宋体" w:eastAsia="宋体" w:cs="宋体"/>
          <w:b/>
          <w:bCs w:val="0"/>
          <w:color w:val="000000"/>
          <w:kern w:val="0"/>
          <w:sz w:val="28"/>
          <w:szCs w:val="28"/>
          <w:highlight w:val="none"/>
          <w:u w:color="000000"/>
          <w:lang w:val="en-US" w:eastAsia="zh-CN" w:bidi="ar"/>
        </w:rPr>
        <w:t>：</w:t>
      </w:r>
    </w:p>
    <w:p>
      <w:pPr>
        <w:jc w:val="center"/>
        <w:rPr>
          <w:rFonts w:hint="eastAsia" w:ascii="宋体" w:hAnsi="宋体"/>
          <w:b/>
          <w:color w:val="auto"/>
          <w:sz w:val="30"/>
          <w:szCs w:val="30"/>
          <w:highlight w:val="none"/>
        </w:rPr>
      </w:pPr>
      <w:r>
        <w:rPr>
          <w:rFonts w:hint="eastAsia" w:ascii="宋体" w:hAnsi="宋体"/>
          <w:b/>
          <w:color w:val="auto"/>
          <w:sz w:val="30"/>
          <w:szCs w:val="30"/>
          <w:highlight w:val="none"/>
        </w:rPr>
        <w:t>技术参数响应表（格式）</w:t>
      </w:r>
    </w:p>
    <w:p>
      <w:pPr>
        <w:rPr>
          <w:rFonts w:hint="eastAsia" w:ascii="宋体" w:hAnsi="宋体"/>
          <w:color w:val="auto"/>
          <w:sz w:val="24"/>
          <w:highlight w:val="none"/>
        </w:rPr>
      </w:pPr>
    </w:p>
    <w:tbl>
      <w:tblPr>
        <w:tblStyle w:val="25"/>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1570"/>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157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tc>
        <w:tc>
          <w:tcPr>
            <w:tcW w:w="1953"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所投产品正面照片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1570"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953"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s="宋体"/>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ascii="宋体" w:hAnsi="宋体" w:cs="宋体"/>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 w:val="24"/>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default" w:ascii="宋体" w:hAnsi="宋体" w:cs="宋体"/>
                <w:color w:val="auto"/>
                <w:szCs w:val="21"/>
                <w:highlight w:val="none"/>
              </w:rPr>
              <w:t>…</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bl>
    <w:p>
      <w:pPr>
        <w:autoSpaceDE w:val="0"/>
        <w:autoSpaceDN w:val="0"/>
        <w:adjustRightInd w:val="0"/>
        <w:spacing w:line="240" w:lineRule="auto"/>
        <w:ind w:firstLine="422" w:firstLineChars="200"/>
        <w:rPr>
          <w:rFonts w:hint="eastAsia" w:ascii="宋体" w:hAnsi="宋体"/>
          <w:b/>
          <w:color w:val="auto"/>
          <w:szCs w:val="21"/>
          <w:highlight w:val="none"/>
          <w:lang w:val="zh-CN"/>
        </w:rPr>
      </w:pPr>
      <w:r>
        <w:rPr>
          <w:rFonts w:hint="eastAsia" w:ascii="宋体" w:hAnsi="宋体"/>
          <w:b/>
          <w:color w:val="auto"/>
          <w:szCs w:val="21"/>
          <w:highlight w:val="none"/>
          <w:lang w:val="zh-CN"/>
        </w:rPr>
        <w:t>注：</w:t>
      </w:r>
      <w:r>
        <w:rPr>
          <w:rFonts w:ascii="宋体" w:hAnsi="宋体"/>
          <w:b/>
          <w:color w:val="auto"/>
          <w:szCs w:val="21"/>
          <w:highlight w:val="none"/>
          <w:lang w:val="zh-CN"/>
        </w:rPr>
        <w:t>1</w:t>
      </w:r>
      <w:r>
        <w:rPr>
          <w:rFonts w:hint="eastAsia" w:ascii="宋体" w:hAnsi="宋体"/>
          <w:b/>
          <w:color w:val="auto"/>
          <w:szCs w:val="21"/>
          <w:highlight w:val="none"/>
          <w:lang w:val="zh-CN"/>
        </w:rPr>
        <w:t>.</w:t>
      </w:r>
      <w:r>
        <w:rPr>
          <w:rFonts w:hint="eastAsia" w:ascii="宋体" w:hAnsi="宋体" w:eastAsia="宋体" w:cs="Times New Roman"/>
          <w:b/>
          <w:color w:val="000000"/>
          <w:szCs w:val="21"/>
          <w:highlight w:val="none"/>
          <w:lang w:val="en-US" w:eastAsia="zh-CN"/>
        </w:rPr>
        <w:t>表格顺序请按照采购清单顺序；</w:t>
      </w:r>
    </w:p>
    <w:p>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zh-CN" w:eastAsia="zh-CN"/>
        </w:rPr>
      </w:pPr>
      <w:r>
        <w:rPr>
          <w:rFonts w:hint="eastAsia" w:ascii="宋体" w:hAnsi="宋体" w:eastAsia="宋体" w:cs="Times New Roman"/>
          <w:b/>
          <w:color w:val="000000"/>
          <w:szCs w:val="21"/>
          <w:highlight w:val="none"/>
          <w:lang w:val="en-US" w:eastAsia="zh-CN"/>
        </w:rPr>
        <w:t>2.投标人</w:t>
      </w:r>
      <w:r>
        <w:rPr>
          <w:rFonts w:hint="eastAsia" w:ascii="宋体" w:hAnsi="宋体" w:eastAsia="宋体" w:cs="Times New Roman"/>
          <w:b/>
          <w:color w:val="000000"/>
          <w:szCs w:val="21"/>
          <w:highlight w:val="none"/>
          <w:lang w:val="zh-CN" w:eastAsia="zh-CN"/>
        </w:rPr>
        <w:t>应逐一说明投标产品和服务响应；</w:t>
      </w:r>
    </w:p>
    <w:p>
      <w:pPr>
        <w:autoSpaceDE w:val="0"/>
        <w:autoSpaceDN w:val="0"/>
        <w:adjustRightInd w:val="0"/>
        <w:spacing w:line="240" w:lineRule="auto"/>
        <w:ind w:firstLine="422" w:firstLineChars="200"/>
        <w:rPr>
          <w:rFonts w:hint="eastAsia" w:ascii="宋体" w:hAnsi="宋体" w:eastAsia="宋体" w:cs="Times New Roman"/>
          <w:b/>
          <w:color w:val="000000"/>
          <w:szCs w:val="21"/>
          <w:highlight w:val="none"/>
          <w:lang w:val="en-US" w:eastAsia="zh-CN"/>
        </w:rPr>
      </w:pPr>
      <w:r>
        <w:rPr>
          <w:rFonts w:hint="eastAsia" w:ascii="宋体" w:hAnsi="宋体" w:eastAsia="宋体" w:cs="Times New Roman"/>
          <w:b/>
          <w:color w:val="000000"/>
          <w:szCs w:val="21"/>
          <w:highlight w:val="none"/>
          <w:lang w:val="en-US" w:eastAsia="zh-CN"/>
        </w:rPr>
        <w:t>3.</w:t>
      </w:r>
      <w:r>
        <w:rPr>
          <w:rFonts w:hint="eastAsia" w:ascii="宋体" w:hAnsi="宋体" w:eastAsia="宋体" w:cs="Times New Roman"/>
          <w:b/>
          <w:color w:val="000000"/>
          <w:szCs w:val="21"/>
          <w:highlight w:val="none"/>
          <w:lang w:val="zh-CN" w:eastAsia="zh-CN"/>
        </w:rPr>
        <w:t>如果行数不够，请自行增加。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spacing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货物的详细配置清单</w:t>
      </w:r>
    </w:p>
    <w:tbl>
      <w:tblPr>
        <w:tblStyle w:val="25"/>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4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1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品牌、规格型号</w:t>
            </w:r>
          </w:p>
        </w:tc>
        <w:tc>
          <w:tcPr>
            <w:tcW w:w="1153"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产地</w:t>
            </w:r>
          </w:p>
        </w:tc>
        <w:tc>
          <w:tcPr>
            <w:tcW w:w="2147" w:type="dxa"/>
            <w:noWrap w:val="0"/>
            <w:vAlign w:val="center"/>
          </w:tcPr>
          <w:p>
            <w:pPr>
              <w:keepNext w:val="0"/>
              <w:keepLines w:val="0"/>
              <w:suppressLineNumbers w:val="0"/>
              <w:spacing w:before="0" w:beforeAutospacing="0" w:after="0" w:afterAutospacing="0" w:line="360" w:lineRule="auto"/>
              <w:ind w:left="261" w:right="0"/>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508"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auto"/>
                <w:szCs w:val="21"/>
                <w:highlight w:val="none"/>
              </w:rPr>
            </w:pPr>
            <w:r>
              <w:rPr>
                <w:rFonts w:hint="eastAsia" w:ascii="宋体" w:hAnsi="宋体"/>
                <w:color w:val="auto"/>
                <w:szCs w:val="21"/>
                <w:highlight w:val="none"/>
              </w:rPr>
              <w:t>详细配置清单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pPr>
              <w:keepNext w:val="0"/>
              <w:keepLines w:val="0"/>
              <w:numPr>
                <w:ilvl w:val="0"/>
                <w:numId w:val="0"/>
              </w:numPr>
              <w:suppressLineNumbers w:val="0"/>
              <w:spacing w:before="0" w:beforeAutospacing="0" w:after="0" w:afterAutospacing="0" w:line="360" w:lineRule="auto"/>
              <w:ind w:left="0" w:leftChars="0" w:right="0"/>
              <w:rPr>
                <w:rFonts w:hint="eastAsia" w:ascii="宋体" w:hAnsi="宋体"/>
                <w:color w:val="auto"/>
                <w:szCs w:val="21"/>
                <w:highlight w:val="none"/>
              </w:rPr>
            </w:pPr>
            <w:r>
              <w:rPr>
                <w:rFonts w:hint="default" w:ascii="宋体" w:hAnsi="宋体"/>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color w:val="auto"/>
                <w:szCs w:val="21"/>
                <w:highlight w:val="none"/>
              </w:rPr>
            </w:pPr>
          </w:p>
        </w:tc>
      </w:tr>
    </w:tbl>
    <w:p>
      <w:pPr>
        <w:spacing w:line="360" w:lineRule="auto"/>
        <w:jc w:val="left"/>
        <w:rPr>
          <w:rFonts w:hint="eastAsia" w:ascii="宋体" w:hAnsi="宋体"/>
          <w:b/>
          <w:color w:val="auto"/>
          <w:sz w:val="28"/>
          <w:szCs w:val="28"/>
          <w:highlight w:val="none"/>
        </w:rPr>
      </w:pPr>
      <w:r>
        <w:rPr>
          <w:rFonts w:hint="eastAsia" w:ascii="宋体" w:hAnsi="宋体"/>
          <w:b/>
          <w:color w:val="auto"/>
          <w:sz w:val="28"/>
          <w:szCs w:val="28"/>
          <w:highlight w:val="none"/>
        </w:rPr>
        <w:t>注：</w:t>
      </w:r>
      <w:r>
        <w:rPr>
          <w:rFonts w:hint="eastAsia" w:ascii="宋体" w:hAnsi="宋体" w:eastAsia="宋体" w:cs="Times New Roman"/>
          <w:b/>
          <w:color w:val="000000"/>
          <w:szCs w:val="21"/>
          <w:highlight w:val="none"/>
          <w:lang w:val="en-US" w:eastAsia="zh-CN"/>
        </w:rPr>
        <w:t>表格顺序请按照采购清单顺序，</w:t>
      </w:r>
      <w:r>
        <w:rPr>
          <w:rFonts w:hint="eastAsia" w:ascii="宋体" w:hAnsi="宋体" w:cs="宋体"/>
          <w:color w:val="000000"/>
          <w:szCs w:val="21"/>
          <w:highlight w:val="none"/>
          <w:lang w:val="zh-CN"/>
        </w:rPr>
        <w:t>如果行数不够，请自行增加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szCs w:val="21"/>
          <w:highlight w:val="none"/>
        </w:rPr>
        <w:t>签字或签章</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pStyle w:val="2"/>
        <w:rPr>
          <w:rFonts w:hint="eastAsia"/>
          <w:highlight w:val="none"/>
          <w:lang w:val="en-US" w:eastAsia="zh-CN"/>
        </w:rPr>
      </w:pP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color w:val="000000"/>
          <w:kern w:val="0"/>
          <w:sz w:val="44"/>
          <w:szCs w:val="44"/>
          <w:highlight w:val="none"/>
          <w:u w:color="000000"/>
          <w:lang w:val="en-US" w:eastAsia="zh-CN" w:bidi="ar"/>
        </w:rPr>
      </w:pP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bookmarkStart w:id="75" w:name="_Toc27638_WPSOffice_Level2"/>
      <w:bookmarkEnd w:id="75"/>
      <w:r>
        <w:rPr>
          <w:rFonts w:hint="eastAsia" w:ascii="宋体" w:hAnsi="宋体" w:eastAsia="宋体" w:cs="宋体"/>
          <w:color w:val="000000"/>
          <w:kern w:val="0"/>
          <w:sz w:val="44"/>
          <w:szCs w:val="44"/>
          <w:highlight w:val="none"/>
          <w:u w:color="000000"/>
          <w:lang w:val="en-US" w:eastAsia="zh-CN" w:bidi="ar"/>
        </w:rPr>
        <w:t>（</w:t>
      </w:r>
      <w:r>
        <w:rPr>
          <w:rFonts w:hint="eastAsia" w:ascii="宋体" w:hAnsi="宋体" w:eastAsia="宋体" w:cs="宋体"/>
          <w:color w:val="000000"/>
          <w:kern w:val="0"/>
          <w:sz w:val="36"/>
          <w:szCs w:val="36"/>
          <w:highlight w:val="none"/>
          <w:u w:color="000000"/>
          <w:lang w:val="en-US" w:eastAsia="zh-CN" w:bidi="ar"/>
        </w:rPr>
        <w:t>投标文件三）</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highlight w:val="none"/>
          <w:lang w:val="en-US"/>
        </w:rPr>
      </w:pPr>
      <w:r>
        <w:rPr>
          <w:rFonts w:hint="eastAsia" w:ascii="宋体" w:hAnsi="宋体" w:eastAsia="宋体" w:cs="宋体"/>
          <w:color w:val="000000"/>
          <w:kern w:val="0"/>
          <w:sz w:val="36"/>
          <w:szCs w:val="36"/>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pStyle w:val="21"/>
        <w:widowControl/>
        <w:jc w:val="center"/>
        <w:rPr>
          <w:rFonts w:hint="eastAsia" w:ascii="宋体" w:hAnsi="宋体" w:eastAsia="宋体" w:cs="宋体"/>
          <w:sz w:val="44"/>
          <w:szCs w:val="44"/>
          <w:highlight w:val="none"/>
          <w:lang w:val="en-US"/>
        </w:rPr>
      </w:pPr>
      <w:r>
        <w:rPr>
          <w:rFonts w:hint="eastAsia" w:ascii="宋体" w:hAnsi="宋体" w:eastAsia="宋体" w:cs="宋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highlight w:val="none"/>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rPr>
          <w:highlight w:val="none"/>
          <w:lang w:val="en-US"/>
        </w:rPr>
      </w:pPr>
      <w:r>
        <w:rPr>
          <w:highlight w:val="none"/>
          <w:lang w:val="en-US"/>
        </w:rPr>
        <w:br w:type="page"/>
      </w: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highlight w:val="none"/>
          <w:lang w:val="en-US"/>
        </w:rPr>
      </w:pPr>
      <w:r>
        <w:rPr>
          <w:highlight w:val="none"/>
          <w:lang w:val="en-US"/>
        </w:rPr>
        <w:t xml:space="preserve"> </w:t>
      </w:r>
      <w:r>
        <w:rPr>
          <w:rFonts w:hint="eastAsia" w:ascii="宋体" w:hAnsi="宋体" w:eastAsia="宋体" w:cs="宋体"/>
          <w:b/>
          <w:bCs w:val="0"/>
          <w:color w:val="000000"/>
          <w:kern w:val="0"/>
          <w:sz w:val="44"/>
          <w:szCs w:val="44"/>
          <w:highlight w:val="none"/>
          <w:u w:color="000000"/>
          <w:lang w:val="en-US" w:eastAsia="zh-CN" w:bidi="ar"/>
        </w:rPr>
        <w:t>目</w:t>
      </w:r>
      <w:r>
        <w:rPr>
          <w:rFonts w:hint="default" w:ascii="Calibri" w:hAnsi="Calibri" w:eastAsia="宋体" w:cs="Times New Roman"/>
          <w:b/>
          <w:bCs w:val="0"/>
          <w:color w:val="000000"/>
          <w:kern w:val="0"/>
          <w:sz w:val="44"/>
          <w:szCs w:val="44"/>
          <w:highlight w:val="none"/>
          <w:u w:color="000000"/>
          <w:lang w:val="en-US" w:eastAsia="zh-CN" w:bidi="ar"/>
        </w:rPr>
        <w:t xml:space="preserve">   </w:t>
      </w:r>
      <w:r>
        <w:rPr>
          <w:rFonts w:hint="eastAsia" w:ascii="Calibri" w:hAnsi="Calibri" w:eastAsia="宋体" w:cs="宋体"/>
          <w:b/>
          <w:bCs w:val="0"/>
          <w:color w:val="000000"/>
          <w:kern w:val="0"/>
          <w:sz w:val="44"/>
          <w:szCs w:val="44"/>
          <w:highlight w:val="none"/>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w:t>
      </w:r>
      <w:r>
        <w:rPr>
          <w:rFonts w:hint="eastAsia" w:ascii="宋体" w:hAnsi="Calibri"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zCs w:val="21"/>
          <w:highlight w:val="none"/>
          <w:lang w:val="en-US" w:eastAsia="zh-CN"/>
        </w:rPr>
        <w:t>投标报价清单（</w:t>
      </w:r>
      <w:r>
        <w:rPr>
          <w:rFonts w:hint="eastAsia" w:ascii="宋体" w:hAnsi="Calibri" w:eastAsia="宋体" w:cs="宋体"/>
          <w:color w:val="000000"/>
          <w:kern w:val="0"/>
          <w:sz w:val="21"/>
          <w:szCs w:val="21"/>
          <w:highlight w:val="none"/>
          <w:u w:color="000000"/>
          <w:lang w:val="en-US" w:eastAsia="zh-CN" w:bidi="ar"/>
        </w:rPr>
        <w:t>格式见附件</w:t>
      </w:r>
      <w:r>
        <w:rPr>
          <w:rFonts w:hint="eastAsia" w:ascii="宋体" w:hAnsi="Times New Roman" w:eastAsia="宋体" w:cs="Times New Roman"/>
          <w:color w:val="auto"/>
          <w:szCs w:val="21"/>
          <w:highlight w:val="none"/>
          <w:lang w:val="en-US" w:eastAsia="zh-CN"/>
        </w:rPr>
        <w:t>）</w:t>
      </w:r>
      <w:r>
        <w:rPr>
          <w:rFonts w:hint="eastAsia" w:ascii="宋体" w:hAnsi="Calibri" w:eastAsia="宋体" w:cs="宋体"/>
          <w:color w:val="000000"/>
          <w:kern w:val="0"/>
          <w:sz w:val="21"/>
          <w:szCs w:val="21"/>
          <w:highlight w:val="none"/>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（4）投标人认为需要提供的其他材料（如有）。</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附件1</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6"/>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30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keepNext w:val="0"/>
        <w:keepLines w:val="0"/>
        <w:widowControl/>
        <w:suppressLineNumbers w:val="0"/>
        <w:spacing w:before="0" w:beforeAutospacing="0" w:after="0" w:afterAutospacing="0" w:line="360" w:lineRule="auto"/>
        <w:ind w:right="0"/>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5"/>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1368"/>
        <w:gridCol w:w="10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规格型号</w:t>
            </w:r>
          </w:p>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1368"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1098"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eastAsiaTheme="minorEastAsia"/>
                <w:color w:val="000000"/>
                <w:szCs w:val="21"/>
                <w:highlight w:val="none"/>
                <w:lang w:val="en-US" w:eastAsia="zh-CN"/>
              </w:rPr>
            </w:pPr>
            <w:r>
              <w:rPr>
                <w:rFonts w:hint="eastAsia" w:ascii="宋体" w:hAnsi="宋体"/>
                <w:color w:val="000000"/>
                <w:szCs w:val="21"/>
                <w:highlight w:val="none"/>
                <w:lang w:val="en-US" w:eastAsia="zh-CN"/>
              </w:rPr>
              <w:t>3</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lang w:val="en-US" w:eastAsia="zh-CN"/>
              </w:rPr>
            </w:pPr>
            <w:r>
              <w:rPr>
                <w:rFonts w:hint="eastAsia" w:ascii="宋体" w:hAnsi="宋体"/>
                <w:color w:val="000000"/>
                <w:szCs w:val="21"/>
                <w:highlight w:val="none"/>
                <w:lang w:val="en-US" w:eastAsia="zh-CN"/>
              </w:rPr>
              <w:t>……</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lang w:val="en-US" w:eastAsia="zh-CN"/>
              </w:rPr>
            </w:pP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11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default" w:ascii="宋体" w:hAnsi="宋体"/>
                <w:color w:val="000000"/>
                <w:szCs w:val="21"/>
                <w:highlight w:val="none"/>
                <w:lang w:val="en-US" w:eastAsia="zh-CN"/>
              </w:rPr>
            </w:pPr>
            <w:r>
              <w:rPr>
                <w:rFonts w:hint="eastAsia" w:ascii="宋体" w:hAnsi="宋体"/>
                <w:color w:val="000000"/>
                <w:szCs w:val="21"/>
                <w:highlight w:val="none"/>
                <w:lang w:val="en-US" w:eastAsia="zh-CN"/>
              </w:rPr>
              <w:t>12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3+…+11+12</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szCs w:val="21"/>
          <w:highlight w:val="none"/>
          <w:lang w:val="en-US" w:eastAsia="zh-CN"/>
        </w:rPr>
        <w:t>综合</w:t>
      </w:r>
      <w:r>
        <w:rPr>
          <w:rFonts w:hint="eastAsia" w:ascii="宋体" w:hAnsi="宋体" w:eastAsia="宋体" w:cs="宋体"/>
          <w:color w:val="000000"/>
          <w:szCs w:val="21"/>
          <w:highlight w:val="none"/>
          <w:lang w:val="zh-CN"/>
        </w:rPr>
        <w:t>单价包括</w:t>
      </w:r>
      <w:r>
        <w:rPr>
          <w:rFonts w:hint="eastAsia" w:ascii="宋体" w:hAnsi="宋体" w:eastAsia="宋体" w:cs="宋体"/>
          <w:color w:val="000000"/>
          <w:szCs w:val="21"/>
          <w:highlight w:val="none"/>
          <w:lang w:val="en-US" w:eastAsia="zh-CN"/>
        </w:rPr>
        <w:t>完成本项目全部供货及服务的一切费用：</w:t>
      </w:r>
      <w:r>
        <w:rPr>
          <w:rFonts w:hint="eastAsia" w:ascii="宋体" w:hAnsi="宋体" w:eastAsia="宋体" w:cs="宋体"/>
          <w:color w:val="000000"/>
          <w:kern w:val="0"/>
          <w:sz w:val="21"/>
          <w:szCs w:val="21"/>
          <w:highlight w:val="none"/>
          <w:u w:color="000000"/>
          <w:lang w:val="en-US" w:eastAsia="zh-CN" w:bidi="ar"/>
        </w:rPr>
        <w:t>包括但不限于材料费（含</w:t>
      </w:r>
      <w:r>
        <w:rPr>
          <w:rFonts w:hint="eastAsia"/>
          <w:highlight w:val="none"/>
          <w:lang w:val="en-US" w:eastAsia="zh-CN"/>
        </w:rPr>
        <w:t>面料、轨道、辅材）</w:t>
      </w:r>
      <w:r>
        <w:rPr>
          <w:rFonts w:hint="eastAsia" w:ascii="宋体" w:hAnsi="宋体" w:eastAsia="宋体" w:cs="宋体"/>
          <w:color w:val="000000"/>
          <w:kern w:val="0"/>
          <w:sz w:val="21"/>
          <w:szCs w:val="21"/>
          <w:highlight w:val="none"/>
          <w:u w:color="000000"/>
          <w:lang w:val="en-US" w:eastAsia="zh-CN" w:bidi="ar"/>
        </w:rPr>
        <w:t>、生产加工费、装卸费、运输费、管理费、其他费用（如包装费、仓储费、保管费、场地清理搬移相关费用</w:t>
      </w:r>
      <w:r>
        <w:rPr>
          <w:rFonts w:hint="eastAsia" w:ascii="宋体" w:hAnsi="宋体" w:eastAsia="宋体" w:cs="宋体"/>
          <w:color w:val="000000"/>
          <w:kern w:val="0"/>
          <w:sz w:val="21"/>
          <w:szCs w:val="21"/>
          <w:highlight w:val="none"/>
          <w:u w:color="000000"/>
          <w:lang w:val="en-US" w:eastAsia="zh-CN" w:bidi="ar"/>
        </w:rPr>
        <w:t>）、安装调试费、利润、招标代理费、专家评审费、售后服务费、税金、政策性文件规定及合同包含的所有风险和责任等、货物送至招标人指定地点前的各项应有费用。</w:t>
      </w:r>
      <w:r>
        <w:rPr>
          <w:rFonts w:hint="eastAsia" w:ascii="宋体" w:hAnsi="宋体" w:eastAsia="宋体" w:cs="宋体"/>
          <w:color w:val="000000"/>
          <w:szCs w:val="21"/>
          <w:highlight w:val="none"/>
          <w:lang w:val="zh-CN"/>
        </w:rPr>
        <w:t>投</w:t>
      </w:r>
      <w:r>
        <w:rPr>
          <w:rFonts w:hint="eastAsia" w:ascii="宋体" w:hAnsi="Times New Roman" w:eastAsia="宋体" w:cs="Times New Roman"/>
          <w:color w:val="000000"/>
          <w:szCs w:val="21"/>
          <w:highlight w:val="none"/>
        </w:rPr>
        <w:t>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3.所有报价须包含面料、轨道、辅材、生产加工、送货、安装调试等相关费用。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4.货物清单中的预估数量是根据图纸测算数据，最终尺寸以现场实际测量为准。</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5.采购清单</w:t>
      </w:r>
      <w:r>
        <w:rPr>
          <w:rFonts w:hint="eastAsia" w:ascii="宋体" w:hAnsi="宋体" w:cs="宋体"/>
          <w:color w:val="000000"/>
          <w:szCs w:val="21"/>
          <w:highlight w:val="none"/>
          <w:lang w:val="zh-CN" w:eastAsia="zh-CN"/>
        </w:rPr>
        <w:t>数量为预估数量，实际采购数量</w:t>
      </w:r>
      <w:r>
        <w:rPr>
          <w:rFonts w:hint="eastAsia" w:ascii="宋体" w:hAnsi="宋体" w:cs="宋体"/>
          <w:color w:val="000000"/>
          <w:szCs w:val="21"/>
          <w:highlight w:val="none"/>
          <w:lang w:val="en-US" w:eastAsia="zh-CN"/>
        </w:rPr>
        <w:t>按实结算。</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bookmarkStart w:id="77" w:name="_GoBack"/>
      <w:bookmarkEnd w:id="77"/>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24"/>
        <w:widowControl/>
        <w:spacing w:before="0" w:beforeAutospacing="0" w:after="0" w:afterAutospacing="0" w:line="375" w:lineRule="atLeast"/>
        <w:ind w:left="0" w:right="0"/>
        <w:jc w:val="center"/>
        <w:outlineLvl w:val="0"/>
        <w:rPr>
          <w:b/>
          <w:bCs w:val="0"/>
          <w:sz w:val="32"/>
          <w:szCs w:val="32"/>
          <w:highlight w:val="none"/>
          <w:lang w:val="en-US"/>
        </w:rPr>
      </w:pPr>
      <w:bookmarkStart w:id="76" w:name="_Toc6275_WPSOffice_Level1"/>
      <w:bookmarkEnd w:id="76"/>
      <w:r>
        <w:rPr>
          <w:b/>
          <w:bCs w:val="0"/>
          <w:sz w:val="32"/>
          <w:szCs w:val="32"/>
          <w:highlight w:val="none"/>
          <w:lang w:eastAsia="zh-CN"/>
        </w:rPr>
        <w:t>第</w:t>
      </w:r>
      <w:r>
        <w:rPr>
          <w:rFonts w:hint="eastAsia"/>
          <w:b/>
          <w:bCs w:val="0"/>
          <w:sz w:val="32"/>
          <w:szCs w:val="32"/>
          <w:highlight w:val="none"/>
          <w:lang w:val="en-US" w:eastAsia="zh-CN"/>
        </w:rPr>
        <w:t>七</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5"/>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滁宁城际铁路控制中心档案设备采购及安装项目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2023年8月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2023年8月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22"/>
        <w:snapToGrid w:val="0"/>
        <w:rPr>
          <w:rFonts w:hint="default" w:eastAsia="宋体"/>
          <w:b/>
          <w:bCs/>
          <w:color w:val="000000" w:themeColor="text1"/>
          <w:sz w:val="24"/>
          <w:szCs w:val="24"/>
          <w:lang w:val="en-US" w:eastAsia="zh-CN"/>
          <w14:textFill>
            <w14:solidFill>
              <w14:schemeClr w14:val="tx1"/>
            </w14:solidFill>
          </w14:textFil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3468D"/>
    <w:multiLevelType w:val="singleLevel"/>
    <w:tmpl w:val="F2A3468D"/>
    <w:lvl w:ilvl="0" w:tentative="0">
      <w:start w:val="19"/>
      <w:numFmt w:val="decimal"/>
      <w:suff w:val="space"/>
      <w:lvlText w:val="%1."/>
      <w:lvlJc w:val="left"/>
    </w:lvl>
  </w:abstractNum>
  <w:abstractNum w:abstractNumId="1">
    <w:nsid w:val="00000007"/>
    <w:multiLevelType w:val="singleLevel"/>
    <w:tmpl w:val="00000007"/>
    <w:lvl w:ilvl="0" w:tentative="0">
      <w:start w:val="1"/>
      <w:numFmt w:val="decimal"/>
      <w:suff w:val="nothing"/>
      <w:lvlText w:val="（%1）"/>
      <w:lvlJc w:val="left"/>
    </w:lvl>
  </w:abstractNum>
  <w:abstractNum w:abstractNumId="2">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037F675F"/>
    <w:multiLevelType w:val="singleLevel"/>
    <w:tmpl w:val="037F675F"/>
    <w:lvl w:ilvl="0" w:tentative="0">
      <w:start w:val="1"/>
      <w:numFmt w:val="decimal"/>
      <w:suff w:val="nothing"/>
      <w:lvlText w:val="（%1）"/>
      <w:lvlJc w:val="left"/>
    </w:lvl>
  </w:abstractNum>
  <w:abstractNum w:abstractNumId="4">
    <w:nsid w:val="181D5CA9"/>
    <w:multiLevelType w:val="singleLevel"/>
    <w:tmpl w:val="181D5CA9"/>
    <w:lvl w:ilvl="0" w:tentative="0">
      <w:start w:val="35"/>
      <w:numFmt w:val="decimal"/>
      <w:lvlText w:val="%1."/>
      <w:lvlJc w:val="left"/>
      <w:pPr>
        <w:tabs>
          <w:tab w:val="left" w:pos="312"/>
        </w:tabs>
      </w:pPr>
    </w:lvl>
  </w:abstractNum>
  <w:abstractNum w:abstractNumId="5">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35294BC1"/>
    <w:multiLevelType w:val="singleLevel"/>
    <w:tmpl w:val="35294BC1"/>
    <w:lvl w:ilvl="0" w:tentative="0">
      <w:start w:val="3"/>
      <w:numFmt w:val="chineseCounting"/>
      <w:suff w:val="space"/>
      <w:lvlText w:val="第%1章"/>
      <w:lvlJc w:val="left"/>
      <w:rPr>
        <w:rFonts w:hint="eastAsia"/>
      </w:rPr>
    </w:lvl>
  </w:abstractNum>
  <w:abstractNum w:abstractNumId="7">
    <w:nsid w:val="602EDD58"/>
    <w:multiLevelType w:val="singleLevel"/>
    <w:tmpl w:val="602EDD58"/>
    <w:lvl w:ilvl="0" w:tentative="0">
      <w:start w:val="3"/>
      <w:numFmt w:val="chineseCounting"/>
      <w:suff w:val="nothing"/>
      <w:lvlText w:val="%1、"/>
      <w:lvlJc w:val="left"/>
      <w:rPr>
        <w:rFonts w:hint="eastAsia"/>
      </w:rPr>
    </w:lvl>
  </w:abstractNum>
  <w:num w:numId="1">
    <w:abstractNumId w:val="0"/>
  </w:num>
  <w:num w:numId="2">
    <w:abstractNumId w:val="5"/>
  </w:num>
  <w:num w:numId="3">
    <w:abstractNumId w:val="4"/>
  </w:num>
  <w:num w:numId="4">
    <w:abstractNumId w:val="6"/>
  </w:num>
  <w:num w:numId="5">
    <w:abstractNumId w:val="7"/>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32031D0"/>
    <w:rsid w:val="06D54ED0"/>
    <w:rsid w:val="07C425FF"/>
    <w:rsid w:val="0AFF501E"/>
    <w:rsid w:val="0CEF01A1"/>
    <w:rsid w:val="0D4228C9"/>
    <w:rsid w:val="0EBB3464"/>
    <w:rsid w:val="0F5A3543"/>
    <w:rsid w:val="101C4945"/>
    <w:rsid w:val="11273F56"/>
    <w:rsid w:val="12431559"/>
    <w:rsid w:val="14334ED5"/>
    <w:rsid w:val="162403C8"/>
    <w:rsid w:val="1A2C0203"/>
    <w:rsid w:val="1B0B6A26"/>
    <w:rsid w:val="1DD7722D"/>
    <w:rsid w:val="1E474369"/>
    <w:rsid w:val="1FBE5586"/>
    <w:rsid w:val="2035457B"/>
    <w:rsid w:val="204506D8"/>
    <w:rsid w:val="20F63292"/>
    <w:rsid w:val="21391D2B"/>
    <w:rsid w:val="21FC6157"/>
    <w:rsid w:val="222D5B93"/>
    <w:rsid w:val="27427F5F"/>
    <w:rsid w:val="287E4991"/>
    <w:rsid w:val="32013042"/>
    <w:rsid w:val="3D7F110E"/>
    <w:rsid w:val="3D8B68BD"/>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510E11AC"/>
    <w:rsid w:val="5523352E"/>
    <w:rsid w:val="57D3727A"/>
    <w:rsid w:val="5AB972A9"/>
    <w:rsid w:val="5AC41FE9"/>
    <w:rsid w:val="5D2B5019"/>
    <w:rsid w:val="5D7002D3"/>
    <w:rsid w:val="604D11B9"/>
    <w:rsid w:val="62C47C43"/>
    <w:rsid w:val="6509245E"/>
    <w:rsid w:val="668A652A"/>
    <w:rsid w:val="6EA934B6"/>
    <w:rsid w:val="706E041E"/>
    <w:rsid w:val="72A03324"/>
    <w:rsid w:val="746C0AE0"/>
    <w:rsid w:val="75843174"/>
    <w:rsid w:val="760F0C92"/>
    <w:rsid w:val="76B7003F"/>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9"/>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33"/>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9">
    <w:name w:val="heading 3"/>
    <w:basedOn w:val="1"/>
    <w:next w:val="1"/>
    <w:qFormat/>
    <w:uiPriority w:val="0"/>
    <w:pPr>
      <w:keepNext/>
      <w:keepLines/>
      <w:outlineLvl w:val="2"/>
    </w:pPr>
    <w:rPr>
      <w:kern w:val="0"/>
      <w:sz w:val="28"/>
      <w:szCs w:val="20"/>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5"/>
    <w:link w:val="3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30"/>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5">
    <w:name w:val="Body Text First Indent"/>
    <w:basedOn w:val="6"/>
    <w:qFormat/>
    <w:uiPriority w:val="0"/>
    <w:pPr>
      <w:adjustRightInd/>
      <w:spacing w:after="120" w:line="240" w:lineRule="auto"/>
      <w:ind w:firstLine="420" w:firstLineChars="100"/>
      <w:jc w:val="both"/>
    </w:pPr>
  </w:style>
  <w:style w:type="paragraph" w:styleId="6">
    <w:name w:val="Body Text"/>
    <w:basedOn w:val="1"/>
    <w:next w:val="7"/>
    <w:qFormat/>
    <w:uiPriority w:val="0"/>
    <w:pPr>
      <w:widowControl w:val="0"/>
      <w:snapToGrid w:val="0"/>
      <w:spacing w:line="360" w:lineRule="auto"/>
    </w:pPr>
    <w:rPr>
      <w:rFonts w:ascii="Arial" w:hAnsi="Arial" w:eastAsia="仿宋_GB2312"/>
      <w:sz w:val="31"/>
    </w:rPr>
  </w:style>
  <w:style w:type="paragraph" w:customStyle="1" w:styleId="7">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0">
    <w:name w:val="toc 7"/>
    <w:basedOn w:val="1"/>
    <w:next w:val="1"/>
    <w:qFormat/>
    <w:uiPriority w:val="39"/>
    <w:pPr>
      <w:ind w:left="1260"/>
      <w:jc w:val="left"/>
    </w:pPr>
    <w:rPr>
      <w:sz w:val="18"/>
      <w:szCs w:val="18"/>
    </w:rPr>
  </w:style>
  <w:style w:type="paragraph" w:styleId="11">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2">
    <w:name w:val="annotation text"/>
    <w:basedOn w:val="1"/>
    <w:qFormat/>
    <w:uiPriority w:val="0"/>
    <w:pPr>
      <w:jc w:val="left"/>
    </w:pPr>
  </w:style>
  <w:style w:type="paragraph" w:styleId="13">
    <w:name w:val="Body Text 3"/>
    <w:basedOn w:val="1"/>
    <w:qFormat/>
    <w:uiPriority w:val="0"/>
    <w:rPr>
      <w:rFonts w:ascii="宋体" w:hAnsi="Calibri" w:eastAsia="宋体" w:cs="Times New Roman"/>
      <w:sz w:val="24"/>
      <w:szCs w:val="20"/>
    </w:rPr>
  </w:style>
  <w:style w:type="paragraph" w:styleId="14">
    <w:name w:val="toc 3"/>
    <w:basedOn w:val="1"/>
    <w:next w:val="1"/>
    <w:qFormat/>
    <w:uiPriority w:val="39"/>
    <w:pPr>
      <w:jc w:val="left"/>
    </w:pPr>
    <w:rPr>
      <w:rFonts w:ascii="Calibri" w:hAnsi="Calibri"/>
      <w:smallCaps/>
      <w:sz w:val="22"/>
      <w:szCs w:val="22"/>
    </w:rPr>
  </w:style>
  <w:style w:type="paragraph" w:styleId="15">
    <w:name w:val="Plain Text"/>
    <w:basedOn w:val="1"/>
    <w:next w:val="1"/>
    <w:link w:val="35"/>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6">
    <w:name w:val="Date"/>
    <w:basedOn w:val="1"/>
    <w:next w:val="1"/>
    <w:link w:val="3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7">
    <w:name w:val="footer"/>
    <w:basedOn w:val="1"/>
    <w:link w:val="36"/>
    <w:qFormat/>
    <w:uiPriority w:val="0"/>
    <w:pPr>
      <w:tabs>
        <w:tab w:val="center" w:pos="4153"/>
        <w:tab w:val="right" w:pos="8306"/>
      </w:tabs>
      <w:snapToGrid w:val="0"/>
      <w:jc w:val="left"/>
    </w:pPr>
    <w:rPr>
      <w:sz w:val="18"/>
    </w:rPr>
  </w:style>
  <w:style w:type="paragraph" w:styleId="18">
    <w:name w:val="envelope return"/>
    <w:basedOn w:val="1"/>
    <w:next w:val="10"/>
    <w:qFormat/>
    <w:uiPriority w:val="0"/>
    <w:pPr>
      <w:snapToGrid w:val="0"/>
    </w:pPr>
    <w:rPr>
      <w:rFonts w:ascii="Arial" w:hAnsi="Arial"/>
    </w:rPr>
  </w:style>
  <w:style w:type="paragraph" w:styleId="19">
    <w:name w:val="header"/>
    <w:basedOn w:val="1"/>
    <w:link w:val="3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39"/>
    <w:pPr>
      <w:spacing w:before="120" w:after="120"/>
      <w:jc w:val="left"/>
    </w:pPr>
    <w:rPr>
      <w:b/>
      <w:bCs/>
      <w:caps/>
      <w:sz w:val="20"/>
    </w:rPr>
  </w:style>
  <w:style w:type="paragraph" w:styleId="21">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footnote text"/>
    <w:basedOn w:val="1"/>
    <w:semiHidden/>
    <w:unhideWhenUsed/>
    <w:qFormat/>
    <w:uiPriority w:val="99"/>
    <w:pPr>
      <w:snapToGrid w:val="0"/>
      <w:jc w:val="left"/>
    </w:pPr>
    <w:rPr>
      <w:sz w:val="18"/>
    </w:rPr>
  </w:style>
  <w:style w:type="paragraph" w:styleId="23">
    <w:name w:val="Body Text 2"/>
    <w:basedOn w:val="1"/>
    <w:qFormat/>
    <w:uiPriority w:val="0"/>
    <w:rPr>
      <w:kern w:val="0"/>
      <w:sz w:val="24"/>
    </w:rPr>
  </w:style>
  <w:style w:type="paragraph" w:styleId="24">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styleId="29">
    <w:name w:val="footnote reference"/>
    <w:basedOn w:val="27"/>
    <w:semiHidden/>
    <w:unhideWhenUsed/>
    <w:qFormat/>
    <w:uiPriority w:val="99"/>
    <w:rPr>
      <w:vertAlign w:val="superscript"/>
    </w:rPr>
  </w:style>
  <w:style w:type="character" w:customStyle="1" w:styleId="30">
    <w:name w:val="正文文本缩进 Char"/>
    <w:basedOn w:val="27"/>
    <w:link w:val="3"/>
    <w:qFormat/>
    <w:uiPriority w:val="0"/>
    <w:rPr>
      <w:rFonts w:hint="default" w:ascii="Times New Roman" w:hAnsi="Times New Roman" w:eastAsia="宋体" w:cs="Times New Roman"/>
      <w:color w:val="000000"/>
      <w:kern w:val="0"/>
      <w:szCs w:val="21"/>
      <w:u w:color="000000"/>
    </w:rPr>
  </w:style>
  <w:style w:type="character" w:customStyle="1" w:styleId="31">
    <w:name w:val="正文首行缩进 2 Char"/>
    <w:basedOn w:val="30"/>
    <w:link w:val="2"/>
    <w:qFormat/>
    <w:uiPriority w:val="0"/>
    <w:rPr>
      <w:rFonts w:hint="default" w:ascii="Times New Roman" w:hAnsi="Times New Roman" w:eastAsia="宋体" w:cs="Times New Roman"/>
      <w:color w:val="000000"/>
      <w:kern w:val="0"/>
      <w:szCs w:val="21"/>
      <w:u w:color="000000"/>
    </w:rPr>
  </w:style>
  <w:style w:type="character" w:customStyle="1" w:styleId="32">
    <w:name w:val="日期 Char"/>
    <w:basedOn w:val="27"/>
    <w:link w:val="16"/>
    <w:qFormat/>
    <w:uiPriority w:val="0"/>
    <w:rPr>
      <w:rFonts w:ascii="Arial" w:hAnsi="Arial" w:eastAsia="仿宋_GB2312" w:cs="Arial"/>
      <w:color w:val="000000"/>
      <w:sz w:val="32"/>
      <w:szCs w:val="32"/>
      <w:u w:color="000000"/>
    </w:rPr>
  </w:style>
  <w:style w:type="character" w:customStyle="1" w:styleId="33">
    <w:name w:val="标题 2 Char"/>
    <w:basedOn w:val="27"/>
    <w:link w:val="8"/>
    <w:qFormat/>
    <w:uiPriority w:val="0"/>
    <w:rPr>
      <w:rFonts w:hint="default" w:ascii="Times New Roman" w:hAnsi="Times New Roman" w:eastAsia="宋体" w:cs="Times New Roman"/>
      <w:kern w:val="0"/>
      <w:sz w:val="24"/>
      <w:szCs w:val="24"/>
    </w:rPr>
  </w:style>
  <w:style w:type="character" w:customStyle="1" w:styleId="34">
    <w:name w:val="页眉 Char"/>
    <w:basedOn w:val="27"/>
    <w:link w:val="19"/>
    <w:qFormat/>
    <w:uiPriority w:val="0"/>
    <w:rPr>
      <w:rFonts w:hint="default" w:ascii="Times New Roman" w:hAnsi="Times New Roman" w:eastAsia="宋体" w:cs="Times New Roman"/>
      <w:color w:val="000000"/>
      <w:kern w:val="0"/>
      <w:sz w:val="18"/>
      <w:szCs w:val="18"/>
      <w:u w:color="000000"/>
    </w:rPr>
  </w:style>
  <w:style w:type="character" w:customStyle="1" w:styleId="35">
    <w:name w:val="纯文本 Char"/>
    <w:basedOn w:val="27"/>
    <w:link w:val="15"/>
    <w:qFormat/>
    <w:uiPriority w:val="0"/>
    <w:rPr>
      <w:rFonts w:hint="eastAsia" w:ascii="宋体" w:hAnsi="宋体" w:eastAsia="宋体" w:cs="宋体"/>
      <w:szCs w:val="21"/>
    </w:rPr>
  </w:style>
  <w:style w:type="character" w:customStyle="1" w:styleId="36">
    <w:name w:val="页脚 Char"/>
    <w:basedOn w:val="27"/>
    <w:link w:val="17"/>
    <w:qFormat/>
    <w:uiPriority w:val="0"/>
    <w:rPr>
      <w:rFonts w:hint="default" w:ascii="Times New Roman" w:hAnsi="Times New Roman" w:eastAsia="宋体" w:cs="Times New Roman"/>
      <w:color w:val="000000"/>
      <w:kern w:val="0"/>
      <w:sz w:val="18"/>
      <w:szCs w:val="18"/>
      <w:u w:color="000000"/>
    </w:rPr>
  </w:style>
  <w:style w:type="paragraph" w:customStyle="1" w:styleId="37">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8">
    <w:name w:val="List Paragraph"/>
    <w:basedOn w:val="1"/>
    <w:qFormat/>
    <w:uiPriority w:val="0"/>
    <w:pPr>
      <w:widowControl w:val="0"/>
      <w:spacing w:line="240" w:lineRule="auto"/>
      <w:ind w:firstLine="200" w:firstLineChars="200"/>
      <w:textAlignment w:val="auto"/>
    </w:pPr>
    <w:rPr>
      <w:u w:val="none" w:color="000000"/>
    </w:rPr>
  </w:style>
  <w:style w:type="character" w:customStyle="1" w:styleId="39">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0">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1">
    <w:name w:val="font51"/>
    <w:basedOn w:val="27"/>
    <w:qFormat/>
    <w:uiPriority w:val="0"/>
    <w:rPr>
      <w:rFonts w:hint="eastAsia" w:ascii="宋体" w:hAnsi="宋体" w:eastAsia="宋体" w:cs="宋体"/>
      <w:color w:val="000000"/>
      <w:sz w:val="22"/>
      <w:szCs w:val="22"/>
      <w:u w:val="none"/>
    </w:rPr>
  </w:style>
  <w:style w:type="character" w:customStyle="1" w:styleId="42">
    <w:name w:val="font31"/>
    <w:basedOn w:val="27"/>
    <w:qFormat/>
    <w:uiPriority w:val="0"/>
    <w:rPr>
      <w:rFonts w:hint="default" w:ascii="Times New Roman" w:hAnsi="Times New Roman" w:cs="Times New Roman"/>
      <w:color w:val="000000"/>
      <w:sz w:val="22"/>
      <w:szCs w:val="22"/>
      <w:u w:val="none"/>
    </w:rPr>
  </w:style>
  <w:style w:type="character" w:customStyle="1" w:styleId="43">
    <w:name w:val="font61"/>
    <w:basedOn w:val="27"/>
    <w:qFormat/>
    <w:uiPriority w:val="0"/>
    <w:rPr>
      <w:rFonts w:hint="default" w:ascii="Times New Roman" w:hAnsi="Times New Roman" w:cs="Times New Roman"/>
      <w:color w:val="000000"/>
      <w:sz w:val="21"/>
      <w:szCs w:val="21"/>
      <w:u w:val="none"/>
    </w:rPr>
  </w:style>
  <w:style w:type="character" w:customStyle="1" w:styleId="44">
    <w:name w:val="font71"/>
    <w:basedOn w:val="27"/>
    <w:qFormat/>
    <w:uiPriority w:val="0"/>
    <w:rPr>
      <w:rFonts w:hint="eastAsia" w:ascii="宋体" w:hAnsi="宋体" w:eastAsia="宋体" w:cs="宋体"/>
      <w:color w:val="000000"/>
      <w:sz w:val="21"/>
      <w:szCs w:val="21"/>
      <w:u w:val="none"/>
    </w:rPr>
  </w:style>
  <w:style w:type="character" w:customStyle="1" w:styleId="45">
    <w:name w:val="font01"/>
    <w:basedOn w:val="27"/>
    <w:qFormat/>
    <w:uiPriority w:val="0"/>
    <w:rPr>
      <w:rFonts w:hint="eastAsia" w:ascii="宋体" w:hAnsi="宋体" w:eastAsia="宋体" w:cs="宋体"/>
      <w:color w:val="000000"/>
      <w:sz w:val="22"/>
      <w:szCs w:val="22"/>
      <w:u w:val="none"/>
    </w:rPr>
  </w:style>
  <w:style w:type="character" w:customStyle="1" w:styleId="46">
    <w:name w:val="font11"/>
    <w:basedOn w:val="27"/>
    <w:qFormat/>
    <w:uiPriority w:val="0"/>
    <w:rPr>
      <w:rFonts w:hint="eastAsia" w:ascii="宋体" w:hAnsi="宋体" w:eastAsia="宋体" w:cs="宋体"/>
      <w:color w:val="000000"/>
      <w:sz w:val="21"/>
      <w:szCs w:val="21"/>
      <w:u w:val="none"/>
    </w:rPr>
  </w:style>
  <w:style w:type="character" w:customStyle="1" w:styleId="47">
    <w:name w:val="font41"/>
    <w:basedOn w:val="27"/>
    <w:qFormat/>
    <w:uiPriority w:val="0"/>
    <w:rPr>
      <w:rFonts w:hint="default" w:ascii="Times New Roman" w:hAnsi="Times New Roman" w:cs="Times New Roman"/>
      <w:color w:val="000000"/>
      <w:sz w:val="22"/>
      <w:szCs w:val="22"/>
      <w:u w:val="none"/>
    </w:rPr>
  </w:style>
  <w:style w:type="paragraph" w:customStyle="1" w:styleId="48">
    <w:name w:val="二级标题"/>
    <w:basedOn w:val="1"/>
    <w:next w:val="1"/>
    <w:qFormat/>
    <w:uiPriority w:val="0"/>
    <w:rPr>
      <w:rFonts w:hint="eastAsia" w:eastAsia="楷体"/>
    </w:rPr>
  </w:style>
  <w:style w:type="paragraph" w:customStyle="1" w:styleId="49">
    <w:name w:val="首行缩进"/>
    <w:basedOn w:val="1"/>
    <w:qFormat/>
    <w:uiPriority w:val="0"/>
    <w:pPr>
      <w:ind w:firstLine="480" w:firstLineChars="200"/>
    </w:pPr>
    <w:rPr>
      <w:rFonts w:eastAsia="楷体_GB2312"/>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26124</Words>
  <Characters>27966</Characters>
  <Lines>0</Lines>
  <Paragraphs>0</Paragraphs>
  <TotalTime>3</TotalTime>
  <ScaleCrop>false</ScaleCrop>
  <LinksUpToDate>false</LinksUpToDate>
  <CharactersWithSpaces>30767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2023-08-11T02:46:28Z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6D9A791FE09F4AF69DC46F4A104A7358</vt:lpwstr>
  </property>
</Properties>
</file>