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52"/>
          <w:szCs w:val="32"/>
          <w:highlight w:val="none"/>
          <w:u w:color="000000"/>
          <w:lang w:val="en-US" w:eastAsia="zh-CN" w:bidi="ar"/>
        </w:rPr>
        <w:t>2023年滁宁城际运营公司员工健康体检项目</w:t>
      </w:r>
    </w:p>
    <w:p>
      <w:pPr>
        <w:pStyle w:val="2"/>
        <w:rPr>
          <w:rFonts w:hint="eastAsia"/>
          <w:highlight w:val="none"/>
          <w:lang w:val="en-US" w:eastAsia="zh-CN"/>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8</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…………………………………………………………15</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评标办法…………………………………………………………………16</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采购需求…………………………………………………………………20</w:t>
      </w:r>
      <w:bookmarkStart w:id="179" w:name="_GoBack"/>
      <w:bookmarkEnd w:id="179"/>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投标文件格式……………………………………………………………34</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招标人、招标代理机构对本招标文件的确认…………………………42</w:t>
      </w:r>
    </w:p>
    <w:p>
      <w:pPr>
        <w:rPr>
          <w:rFonts w:hint="eastAsia" w:ascii="宋体" w:hAnsi="宋体" w:eastAsia="宋体" w:cs="宋体"/>
          <w:sz w:val="24"/>
          <w:szCs w:val="24"/>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pStyle w:val="17"/>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28359079"/>
      <w:bookmarkEnd w:id="6"/>
      <w:bookmarkStart w:id="7" w:name="_Toc28359002"/>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2023年滁宁城际运营公司员工健康体检项目的潜在投标人应在滁州市滁宁城际铁路开发建设有限公司网站（http://czctgs.cn/）、招投标网http://www.infobidding.com/或采购与招标网https://www.chinabidding.cn/获取招标文件，并于2023年8月16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项目名称：2023年滁宁城际运营公司员工健康体检项目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预算金额：182480元</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182480元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采购需求：2023年滁宁城际运营公司员工健康体检，详见《采购需求》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服务期：</w:t>
      </w:r>
      <w:r>
        <w:rPr>
          <w:rFonts w:hint="eastAsia" w:ascii="宋体" w:hAnsi="宋体"/>
          <w:sz w:val="24"/>
          <w:highlight w:val="none"/>
          <w:lang w:val="en-US" w:eastAsia="zh-CN"/>
        </w:rPr>
        <w:t>计划安排8月至12月。如遇特殊情况，投标人应按招标人要求调整或延长</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2.1投标人须具有独立的法人资格且具有相应服务能力；</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2.2投标人须为具备由卫生主管部门审批的有效的《医疗机构执业许可证》的一级或以上资质的医院；</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2.3投标人须具备由卫生主管部门审批的有效的《放射诊疗许可证》。</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2023年8月9日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2023年8月16日</w:t>
      </w:r>
    </w:p>
    <w:p>
      <w:pPr>
        <w:keepNext w:val="0"/>
        <w:keepLines w:val="0"/>
        <w:pageBreakBefore w:val="0"/>
        <w:kinsoku/>
        <w:overflowPunct/>
        <w:topLinePunct w:val="0"/>
        <w:autoSpaceDE/>
        <w:autoSpaceDN/>
        <w:bidi w:val="0"/>
        <w:adjustRightInd/>
        <w:snapToGrid/>
        <w:spacing w:line="480" w:lineRule="exact"/>
        <w:ind w:firstLine="54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滁州市滁宁城际铁路开发建设有限公司网站（http://czctgs.cn/）、招投标网http://www.infobidding.com/或采购与招标网https://www.chinabidding.cn/</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35393793"/>
      <w:bookmarkEnd w:id="11"/>
      <w:bookmarkStart w:id="12" w:name="_Toc28359082"/>
      <w:bookmarkEnd w:id="12"/>
      <w:bookmarkStart w:id="13" w:name="_Toc58430308"/>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2023年8月16日15时00分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地点：滁州市轨道交通运营有限公司五楼515会议室 (徽州路与扬子路交叉口东南侧)</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联系方式：0550-3352129 </w:t>
      </w:r>
      <w:bookmarkStart w:id="15" w:name="_Toc28359086"/>
      <w:bookmarkStart w:id="16" w:name="_Toc28359009"/>
    </w:p>
    <w:bookmarkEnd w:id="15"/>
    <w:bookmarkEnd w:id="16"/>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项目联系人：万吉权、周蓓蕾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      话：0550-3352129、18005505728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cs="Times New Roman"/>
                <w:bCs/>
                <w:highlight w:val="none"/>
                <w:lang w:eastAsia="zh-CN"/>
              </w:rPr>
              <w:t>2023年滁宁城际运营公司员工健康体检项目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万吉权  0550-3352129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182480元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本项目最高限价为（人民币）182480元，投标总价和单价均不得超过各最高限价，否则按无效投标处理。投标单价最高限价详见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r>
              <w:rPr>
                <w:rFonts w:hint="eastAsia" w:hAnsi="宋体" w:cs="宋体"/>
                <w:bCs/>
                <w:color w:val="000000"/>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8</w:t>
            </w:r>
            <w:r>
              <w:rPr>
                <w:rFonts w:cs="Times New Roman"/>
                <w:b w:val="0"/>
                <w:bCs w:val="0"/>
                <w:highlight w:val="none"/>
              </w:rPr>
              <w:t>月</w:t>
            </w:r>
            <w:r>
              <w:rPr>
                <w:rFonts w:hint="eastAsia" w:cs="Times New Roman"/>
                <w:b w:val="0"/>
                <w:bCs w:val="0"/>
                <w:highlight w:val="none"/>
                <w:lang w:val="en-US" w:eastAsia="zh-CN"/>
              </w:rPr>
              <w:t>13</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2023年8月14日17时后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8</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16</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开标时间：2023年8月16日15时00分（北京时间）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开标地点：滁州市轨道交通运营有限公司五楼515会议室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在本合同服务期限届满，中标人提交经招标人确认的实际参检人数,按实结算，各单价按中标价执行，招标人在收到中标人提供的符合要求的增值税发票之后30日内，向中标人支付全部结算后体检费用。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w:t>
            </w:r>
            <w:r>
              <w:rPr>
                <w:rFonts w:hint="default" w:ascii="宋体" w:hAnsi="Times New Roman" w:eastAsia="宋体" w:cs="Times New Roman"/>
                <w:color w:val="auto"/>
                <w:sz w:val="21"/>
                <w:szCs w:val="21"/>
                <w:highlight w:val="none"/>
                <w:lang w:val="en-US" w:eastAsia="zh-CN"/>
              </w:rPr>
              <w:t>①</w:t>
            </w:r>
            <w:r>
              <w:rPr>
                <w:rFonts w:hint="eastAsia" w:ascii="宋体" w:hAnsi="Times New Roman" w:eastAsia="宋体" w:cs="Times New Roman"/>
                <w:color w:val="auto"/>
                <w:sz w:val="21"/>
                <w:szCs w:val="21"/>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Times New Roman" w:eastAsia="宋体" w:cs="Times New Roman"/>
                <w:color w:val="auto"/>
                <w:sz w:val="21"/>
                <w:szCs w:val="21"/>
                <w:highlight w:val="none"/>
                <w:lang w:val="en-US" w:eastAsia="zh-CN"/>
              </w:rPr>
              <w:fldChar w:fldCharType="begin"/>
            </w:r>
            <w:r>
              <w:rPr>
                <w:rFonts w:hint="eastAsia" w:ascii="宋体" w:hAnsi="Times New Roman" w:eastAsia="宋体" w:cs="Times New Roman"/>
                <w:color w:val="auto"/>
                <w:sz w:val="21"/>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Times New Roman" w:eastAsia="宋体" w:cs="Times New Roman"/>
                <w:color w:val="auto"/>
                <w:sz w:val="21"/>
                <w:szCs w:val="21"/>
                <w:highlight w:val="none"/>
                <w:lang w:val="en-US" w:eastAsia="zh-CN"/>
              </w:rPr>
              <w:fldChar w:fldCharType="separate"/>
            </w:r>
            <w:r>
              <w:rPr>
                <w:rFonts w:hint="default" w:ascii="宋体" w:hAnsi="Times New Roman" w:eastAsia="宋体" w:cs="Times New Roman"/>
                <w:color w:val="auto"/>
                <w:sz w:val="21"/>
                <w:szCs w:val="21"/>
                <w:highlight w:val="none"/>
                <w:lang w:val="en-US" w:eastAsia="zh-CN"/>
              </w:rPr>
              <w:t>②</w:t>
            </w:r>
            <w:r>
              <w:rPr>
                <w:rFonts w:hint="eastAsia" w:ascii="宋体" w:hAnsi="Times New Roman" w:eastAsia="宋体" w:cs="Times New Roman"/>
                <w:color w:val="auto"/>
                <w:sz w:val="21"/>
                <w:szCs w:val="21"/>
                <w:highlight w:val="none"/>
                <w:lang w:val="en-US" w:eastAsia="zh-CN"/>
              </w:rPr>
              <w:t>在投标截止时间后30分钟内，将投标文件密码通过邮箱发送至滁州市城投工程咨询管理有限公司邮箱（czsctzx@163.com）</w:t>
            </w:r>
            <w:r>
              <w:rPr>
                <w:rFonts w:hint="eastAsia" w:ascii="宋体" w:hAnsi="Times New Roman" w:eastAsia="宋体" w:cs="Times New Roman"/>
                <w:color w:val="auto"/>
                <w:sz w:val="21"/>
                <w:szCs w:val="21"/>
                <w:highlight w:val="none"/>
                <w:lang w:val="en-US" w:eastAsia="zh-CN"/>
              </w:rPr>
              <w:fldChar w:fldCharType="end"/>
            </w:r>
            <w:r>
              <w:rPr>
                <w:rFonts w:hint="eastAsia" w:ascii="宋体" w:hAnsi="Times New Roman" w:eastAsia="宋体" w:cs="Times New Roman"/>
                <w:color w:val="auto"/>
                <w:sz w:val="21"/>
                <w:szCs w:val="21"/>
                <w:highlight w:val="none"/>
                <w:lang w:val="en-US" w:eastAsia="zh-CN"/>
              </w:rPr>
              <w:t>，未在规定时间内发送密码或发送的密码无法正确打开投标文件的，投标文件将被拒绝。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3、招标人对本项目执行过程中的所有争议拥有最终的裁决权，投标人应无条件地服从招标人的裁决，不得以任何理由提出增加本项目合同费用和延误本项目工期。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eastAsia="宋体"/>
                <w:highlight w:val="none"/>
                <w:lang w:val="en-US" w:eastAsia="zh-CN"/>
              </w:rPr>
            </w:pPr>
            <w:r>
              <w:rPr>
                <w:rFonts w:hint="eastAsia" w:ascii="宋体" w:hAnsi="Times New Roman" w:eastAsia="宋体" w:cs="Times New Roman"/>
                <w:color w:val="auto"/>
                <w:sz w:val="21"/>
                <w:szCs w:val="21"/>
                <w:highlight w:val="none"/>
                <w:lang w:val="en-US" w:eastAsia="zh-CN"/>
              </w:rPr>
              <w:t>4、本项目严禁非法转包，一经发现，招标人依法处理。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44974507"/>
      <w:bookmarkEnd w:id="22"/>
      <w:bookmarkStart w:id="23" w:name="_Toc152042315"/>
      <w:bookmarkEnd w:id="23"/>
      <w:bookmarkStart w:id="24" w:name="_Toc152045539"/>
      <w:bookmarkEnd w:id="24"/>
      <w:bookmarkStart w:id="25" w:name="_Toc296602429"/>
      <w:bookmarkEnd w:id="25"/>
      <w:bookmarkStart w:id="26" w:name="_Toc247527563"/>
      <w:bookmarkEnd w:id="26"/>
      <w:bookmarkStart w:id="27" w:name="_Toc247513962"/>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22.3投标报价的综合单价包括完成本项目全部服务的一切费用：</w:t>
      </w:r>
      <w:r>
        <w:rPr>
          <w:rFonts w:hint="eastAsia" w:ascii="宋体" w:hAnsi="Times New Roman" w:eastAsia="宋体" w:cs="Times New Roman"/>
          <w:color w:val="000000"/>
          <w:szCs w:val="21"/>
          <w:highlight w:val="none"/>
          <w:lang w:val="en-US" w:eastAsia="zh-CN"/>
        </w:rPr>
        <w:t>包括但不限于</w:t>
      </w:r>
      <w:r>
        <w:rPr>
          <w:rFonts w:hint="eastAsia" w:ascii="宋体" w:hAnsi="宋体" w:eastAsia="宋体" w:cs="宋体"/>
          <w:spacing w:val="0"/>
          <w:sz w:val="21"/>
          <w:szCs w:val="21"/>
          <w:highlight w:val="none"/>
          <w:lang w:val="en-US" w:eastAsia="zh-CN"/>
        </w:rPr>
        <w:t>运营公司员工体检、检后早餐等发生的所有费用、</w:t>
      </w:r>
      <w:r>
        <w:rPr>
          <w:rFonts w:hint="eastAsia" w:ascii="宋体" w:hAnsi="Times New Roman" w:eastAsia="宋体" w:cs="Times New Roman"/>
          <w:color w:val="000000"/>
          <w:szCs w:val="21"/>
          <w:highlight w:val="none"/>
          <w:lang w:val="en-US" w:eastAsia="zh-CN"/>
        </w:rPr>
        <w:t>交通费（如有）、利润、招标代理费、专家评审费、税金、政策性文件规定及合同包含的所有风险和责任等。</w:t>
      </w:r>
      <w:r>
        <w:rPr>
          <w:rFonts w:hint="eastAsia" w:ascii="宋体" w:hAnsi="宋体" w:eastAsia="宋体" w:cs="宋体"/>
          <w:bCs/>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3" w:name="_Toc6570_WPSOffice_Level3"/>
      <w:bookmarkEnd w:id="33"/>
      <w:bookmarkStart w:id="34"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30407_WPSOffice_Level3"/>
      <w:bookmarkEnd w:id="35"/>
      <w:bookmarkStart w:id="36" w:name="_Toc490"/>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2"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34.中标公示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35.评标结果异议</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default"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36.定标</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37.中标通知</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highlight w:val="none"/>
          <w:u w:color="000000"/>
          <w:lang w:val="en-US" w:eastAsia="zh-CN" w:bidi="ar"/>
        </w:rPr>
        <w:t>38.</w:t>
      </w:r>
      <w:bookmarkStart w:id="42" w:name="_Toc217446068"/>
      <w:r>
        <w:rPr>
          <w:rFonts w:hint="eastAsia" w:ascii="宋体" w:hAnsi="宋体" w:eastAsia="宋体" w:cs="宋体"/>
          <w:b/>
          <w:bCs w:val="0"/>
          <w:color w:val="000000"/>
          <w:kern w:val="0"/>
          <w:sz w:val="21"/>
          <w:szCs w:val="21"/>
          <w:highlight w:val="none"/>
          <w:u w:color="000000"/>
          <w:lang w:val="en-US" w:eastAsia="zh-CN" w:bidi="ar"/>
        </w:rPr>
        <w:t>履约保证金</w:t>
      </w:r>
      <w:bookmarkEnd w:id="42"/>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43" w:name="_Toc316_WPSOffice_Level3"/>
      <w:bookmarkEnd w:id="43"/>
      <w:bookmarkStart w:id="44" w:name="_Toc23484"/>
      <w:r>
        <w:rPr>
          <w:rFonts w:hint="eastAsia" w:ascii="宋体" w:hAnsi="Times New Roman" w:eastAsia="宋体" w:cs="Times New Roman"/>
          <w:color w:val="auto"/>
          <w:spacing w:val="0"/>
          <w:sz w:val="21"/>
          <w:szCs w:val="21"/>
          <w:highlight w:val="none"/>
          <w:lang w:val="en-US" w:eastAsia="zh-CN"/>
        </w:rPr>
        <w:t>38.1</w:t>
      </w:r>
      <w:bookmarkEnd w:id="44"/>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38.2中标人不能按本章第38.1项要求提交履约担保的，视为放弃中标，其投标保证金不予退还，给招标人造成的损失超过投标保证金数额的，中标人还应当对超过部分予以赔偿。</w:t>
      </w:r>
    </w:p>
    <w:p>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43.1投标人或者其他利害关系人认为招标投标活动违反法律、法规和规章规定的，有权向相关行政监督部门投诉。投诉应当有明确的请求和必要的证明材料。</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43.2投标人和其他利害关系人对招标文件、开标和评标结果事项投诉的，应当按照投标人须知的规定先向招标人提出异议。异议答复期间不计算在第47.1项规定的期限内。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rPr>
          <w:rFonts w:hint="eastAsia" w:ascii="宋体"/>
          <w:b/>
          <w:color w:val="auto"/>
          <w:sz w:val="32"/>
          <w:szCs w:val="32"/>
          <w:highlight w:val="none"/>
        </w:rPr>
      </w:pPr>
      <w:r>
        <w:rPr>
          <w:rFonts w:hint="eastAsia" w:ascii="宋体"/>
          <w:b/>
          <w:color w:val="auto"/>
          <w:sz w:val="32"/>
          <w:szCs w:val="32"/>
          <w:highlight w:val="none"/>
        </w:rPr>
        <w:br w:type="page"/>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lang w:val="en-US" w:eastAsia="zh-CN"/>
              </w:rPr>
              <w:t>3）投标人须为具备由卫生主管部门审批的有效的《医疗机构执业许可证》的一级或以上资质的医院</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default" w:ascii="宋体"/>
                <w:color w:val="000000"/>
                <w:szCs w:val="21"/>
                <w:highlight w:val="none"/>
                <w:lang w:val="en-US"/>
              </w:rPr>
            </w:pPr>
            <w:r>
              <w:rPr>
                <w:rFonts w:hint="eastAsia" w:ascii="宋体" w:hAnsi="宋体" w:eastAsia="宋体" w:cs="Times New Roman"/>
                <w:color w:val="000000"/>
                <w:szCs w:val="21"/>
                <w:highlight w:val="none"/>
                <w:lang w:val="en-US" w:eastAsia="zh-CN"/>
              </w:rPr>
              <w:t>由卫生主管部门审批的有效的《医疗机构执业许可证》和一级或以上资质的医院证明材料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（4）投标人须具备由卫生主管部门审批的有效的《放射诊疗许可证》</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hAnsi="宋体" w:eastAsia="宋体" w:cs="Times New Roman"/>
                <w:color w:val="000000"/>
                <w:szCs w:val="21"/>
                <w:highlight w:val="none"/>
                <w:lang w:val="en-US" w:eastAsia="zh-CN"/>
              </w:rPr>
              <w:t>由卫生主管部门审批的有效的《放射诊疗许可证》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（5）医师配备</w:t>
            </w:r>
          </w:p>
        </w:tc>
        <w:tc>
          <w:tcPr>
            <w:tcW w:w="3929" w:type="dxa"/>
            <w:noWrap w:val="0"/>
            <w:vAlign w:val="top"/>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60" w:lineRule="exact"/>
              <w:ind w:left="0" w:right="0"/>
              <w:rPr>
                <w:rFonts w:hint="default" w:ascii="宋体" w:eastAsia="仿宋"/>
                <w:b/>
                <w:color w:val="000000"/>
                <w:szCs w:val="21"/>
                <w:highlight w:val="none"/>
                <w:lang w:val="en-US" w:eastAsia="zh-CN"/>
              </w:rPr>
            </w:pPr>
            <w:r>
              <w:rPr>
                <w:rFonts w:hint="eastAsia" w:ascii="宋体" w:hAnsi="宋体" w:eastAsia="宋体" w:cs="Times New Roman"/>
                <w:color w:val="000000"/>
                <w:szCs w:val="21"/>
                <w:highlight w:val="none"/>
                <w:lang w:val="en-US" w:eastAsia="zh-CN"/>
              </w:rPr>
              <w:t>投标人拟配备医生名单（格式自拟）、投标人配备所有各科室检诊医生的职称证明文件、投标人配备主检医师的职称证明文件、承诺所有配备医生参与本次体检的承诺书（格式自拟）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（6）诚信投标承诺书</w:t>
            </w:r>
          </w:p>
        </w:tc>
        <w:tc>
          <w:tcPr>
            <w:tcW w:w="3929" w:type="dxa"/>
            <w:noWrap w:val="0"/>
            <w:vAlign w:val="top"/>
          </w:tcPr>
          <w:p>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（7）服务承诺书</w:t>
            </w:r>
          </w:p>
        </w:tc>
        <w:tc>
          <w:tcPr>
            <w:tcW w:w="3929" w:type="dxa"/>
            <w:noWrap w:val="0"/>
            <w:vAlign w:val="center"/>
          </w:tcPr>
          <w:p>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hint="eastAsia" w:ascii="Times New Roman" w:hAnsi="Times New Roman" w:eastAsia="宋体" w:cs="Times New Roman"/>
          <w:color w:val="000000"/>
          <w:highlight w:val="none"/>
        </w:rPr>
      </w:pPr>
      <w:bookmarkStart w:id="45" w:name="_Toc95223395"/>
      <w:bookmarkStart w:id="46" w:name="_Toc60061492"/>
      <w:bookmarkStart w:id="47" w:name="_Toc15058909"/>
      <w:bookmarkStart w:id="48" w:name="_Toc506107320"/>
      <w:r>
        <w:rPr>
          <w:rFonts w:hint="eastAsia" w:ascii="Times New Roman" w:hAnsi="Times New Roman" w:eastAsia="宋体" w:cs="Times New Roman"/>
          <w:color w:val="000000"/>
          <w:highlight w:val="none"/>
        </w:rPr>
        <w:t>2.审查办法</w:t>
      </w:r>
      <w:bookmarkEnd w:id="45"/>
      <w:bookmarkEnd w:id="46"/>
      <w:bookmarkEnd w:id="47"/>
      <w:bookmarkEnd w:id="48"/>
    </w:p>
    <w:p>
      <w:pPr>
        <w:adjustRightInd w:val="0"/>
        <w:snapToGrid w:val="0"/>
        <w:spacing w:line="560" w:lineRule="exact"/>
        <w:jc w:val="left"/>
        <w:rPr>
          <w:rFonts w:hint="eastAsia" w:ascii="Times New Roman" w:hAnsi="Times New Roman" w:eastAsia="宋体" w:cs="Times New Roman"/>
          <w:color w:val="000000"/>
          <w:highlight w:val="none"/>
        </w:rPr>
      </w:pPr>
      <w:bookmarkStart w:id="49" w:name="_Toc324404868"/>
      <w:bookmarkStart w:id="50" w:name="_Toc506107321"/>
      <w:bookmarkStart w:id="51" w:name="_Toc60061493"/>
      <w:bookmarkStart w:id="5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pPr>
        <w:adjustRightInd w:val="0"/>
        <w:snapToGrid w:val="0"/>
        <w:spacing w:line="560" w:lineRule="exact"/>
        <w:jc w:val="left"/>
        <w:rPr>
          <w:rFonts w:hint="eastAsia"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发送</w:t>
      </w:r>
      <w:r>
        <w:rPr>
          <w:rFonts w:hint="eastAsia" w:ascii="Times New Roman" w:hAnsi="Times New Roman" w:eastAsia="宋体" w:cs="Times New Roman"/>
          <w:color w:val="000000"/>
          <w:highlight w:val="none"/>
        </w:rPr>
        <w:t>标书或电子标书经审查不合格；</w:t>
      </w:r>
    </w:p>
    <w:p>
      <w:pPr>
        <w:adjustRightInd w:val="0"/>
        <w:snapToGrid w:val="0"/>
        <w:spacing w:line="560" w:lineRule="exact"/>
        <w:jc w:val="lef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pPr>
        <w:adjustRightInd w:val="0"/>
        <w:snapToGrid w:val="0"/>
        <w:spacing w:line="560" w:lineRule="exact"/>
        <w:jc w:val="left"/>
        <w:rPr>
          <w:rFonts w:hint="eastAsia" w:ascii="Times New Roman" w:hAnsi="Times New Roman" w:eastAsia="宋体" w:cs="Times New Roman"/>
          <w:color w:val="000000"/>
          <w:highlight w:val="none"/>
        </w:rPr>
      </w:pPr>
      <w:bookmarkStart w:id="54" w:name="_Toc324404869"/>
      <w:bookmarkStart w:id="55" w:name="_Toc60061494"/>
      <w:bookmarkStart w:id="56" w:name="_Toc95223397"/>
      <w:bookmarkStart w:id="57" w:name="_Toc15058911"/>
      <w:bookmarkStart w:id="58" w:name="_Toc506107322"/>
      <w:r>
        <w:rPr>
          <w:rFonts w:hint="eastAsia" w:ascii="Times New Roman" w:hAnsi="Times New Roman" w:eastAsia="宋体" w:cs="Times New Roman"/>
          <w:color w:val="000000"/>
          <w:highlight w:val="none"/>
        </w:rPr>
        <w:t>4.审查结果</w:t>
      </w:r>
      <w:bookmarkEnd w:id="54"/>
      <w:bookmarkEnd w:id="55"/>
      <w:bookmarkEnd w:id="56"/>
      <w:bookmarkEnd w:id="57"/>
      <w:bookmarkEnd w:id="58"/>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pPr>
        <w:pStyle w:val="2"/>
        <w:numPr>
          <w:ilvl w:val="0"/>
          <w:numId w:val="0"/>
        </w:numPr>
        <w:jc w:val="left"/>
        <w:rPr>
          <w:rFonts w:hint="default" w:eastAsia="宋体"/>
          <w:highlight w:val="none"/>
          <w:lang w:val="en-US" w:eastAsia="zh-CN"/>
        </w:rPr>
      </w:pPr>
      <w:bookmarkStart w:id="59" w:name="_Toc23254"/>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58430318"/>
            <w:bookmarkStart w:id="61" w:name="_Toc362983802"/>
            <w:bookmarkStart w:id="62" w:name="_Toc267320058"/>
            <w:bookmarkStart w:id="63" w:name="_Toc44902887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采购需求响应程度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pPr>
        <w:spacing w:line="440" w:lineRule="exact"/>
        <w:ind w:firstLine="315" w:firstLineChars="150"/>
        <w:jc w:val="left"/>
        <w:rPr>
          <w:rFonts w:hint="eastAsia" w:ascii="宋体" w:hAnsi="宋体" w:eastAsia="宋体" w:cs="宋体"/>
          <w:color w:val="000000"/>
          <w:highlight w:val="none"/>
        </w:rPr>
      </w:pPr>
      <w:bookmarkStart w:id="68" w:name="_Toc15058917"/>
      <w:bookmarkStart w:id="69"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60061501"/>
      <w:bookmarkStart w:id="71"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60061504"/>
      <w:bookmarkStart w:id="75" w:name="_Toc15058921"/>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5. 无效投标条款</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采购需求</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一、项目概况</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运营公司本次体检预估人数为198人，其中男职工131人、已婚女职工2人、未婚女职工65人，年龄均在45岁以下，其中男职工标准为880.00元，已婚女职工标准为1100.00元，未婚女职工标准为1000.00元，总预算费用为182480.00元</w:t>
      </w:r>
      <w:r>
        <w:rPr>
          <w:rFonts w:hint="eastAsia" w:ascii="宋体" w:hAnsi="宋体" w:eastAsia="宋体" w:cs="宋体"/>
          <w:sz w:val="21"/>
          <w:szCs w:val="21"/>
          <w:highlight w:val="none"/>
          <w:lang w:val="en-US" w:eastAsia="zh-CN"/>
        </w:rPr>
        <w:t>。具体体检人数以实际发生人数为准。</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2057"/>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8522" w:type="dxa"/>
            <w:gridSpan w:val="5"/>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本次员工健康体检费用最高限价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center"/>
              <w:textAlignment w:val="auto"/>
              <w:rPr>
                <w:rFonts w:hint="eastAsia" w:ascii="宋体" w:hAnsi="宋体" w:eastAsia="宋体" w:cs="宋体"/>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5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序号</w:t>
            </w:r>
          </w:p>
        </w:tc>
        <w:tc>
          <w:tcPr>
            <w:tcW w:w="20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性别</w:t>
            </w:r>
          </w:p>
        </w:tc>
        <w:tc>
          <w:tcPr>
            <w:tcW w:w="170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单价限价（元）</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人数</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5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20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男职工</w:t>
            </w:r>
          </w:p>
        </w:tc>
        <w:tc>
          <w:tcPr>
            <w:tcW w:w="170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880.00</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131</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115280.00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5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20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已婚女职工</w:t>
            </w:r>
          </w:p>
        </w:tc>
        <w:tc>
          <w:tcPr>
            <w:tcW w:w="170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1100.00</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35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20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未婚女职工</w:t>
            </w:r>
          </w:p>
        </w:tc>
        <w:tc>
          <w:tcPr>
            <w:tcW w:w="170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1000.00</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65</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6817"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最高限价：</w:t>
            </w:r>
          </w:p>
        </w:tc>
        <w:tc>
          <w:tcPr>
            <w:tcW w:w="170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182480.00</w:t>
            </w:r>
          </w:p>
        </w:tc>
      </w:tr>
    </w:tbl>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体检时间</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bookmarkStart w:id="80" w:name="_Toc21484"/>
      <w:r>
        <w:rPr>
          <w:rFonts w:hint="eastAsia" w:ascii="宋体" w:hAnsi="宋体" w:eastAsia="宋体" w:cs="宋体"/>
          <w:sz w:val="21"/>
          <w:szCs w:val="21"/>
          <w:highlight w:val="none"/>
          <w:lang w:val="en-US" w:eastAsia="zh-CN"/>
        </w:rPr>
        <w:t>计划安排8月至12月。如遇特殊情况，中标人应按招标人要求调整或延长。</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医师配备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各科室检诊医生应具备丰富的临床经验，且至少一名具备副高级职称医师以上职称，主检医师必须由高级职称医师担任（需提供职称证明文件扫描件，并且需提供承诺书，承诺参与本次体检）。</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体检项目</w:t>
      </w:r>
    </w:p>
    <w:tbl>
      <w:tblPr>
        <w:tblStyle w:val="20"/>
        <w:tblW w:w="82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6"/>
        <w:gridCol w:w="1891"/>
        <w:gridCol w:w="3103"/>
        <w:gridCol w:w="688"/>
        <w:gridCol w:w="780"/>
        <w:gridCol w:w="7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036"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1891"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体检项目</w:t>
            </w:r>
          </w:p>
        </w:tc>
        <w:tc>
          <w:tcPr>
            <w:tcW w:w="310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项目意义</w:t>
            </w:r>
          </w:p>
        </w:tc>
        <w:tc>
          <w:tcPr>
            <w:tcW w:w="688" w:type="dxa"/>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男</w:t>
            </w:r>
          </w:p>
        </w:tc>
        <w:tc>
          <w:tcPr>
            <w:tcW w:w="780" w:type="dxa"/>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女已婚</w:t>
            </w:r>
          </w:p>
        </w:tc>
        <w:tc>
          <w:tcPr>
            <w:tcW w:w="765" w:type="dxa"/>
            <w:tcBorders>
              <w:top w:val="single" w:color="auto" w:sz="4" w:space="0"/>
              <w:left w:val="single" w:color="000000"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女未婚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891"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内科</w:t>
            </w:r>
          </w:p>
        </w:tc>
        <w:tc>
          <w:tcPr>
            <w:tcW w:w="3103"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了解血压及全身一般状况</w:t>
            </w:r>
          </w:p>
        </w:tc>
        <w:tc>
          <w:tcPr>
            <w:tcW w:w="688"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外科</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身高、体重、体重指数(BMI)，检查浅表淋巴结、皮肤、甲状腺等有无异常</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眼科、耳鼻喉、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口腔科检查</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视力辨色力检查、裂隙灯检查；听力、外耳、鼻窦、鼻腔、咽、扁桃体耳鼻喉有无异常，喉及声带有无息肉，肿块等</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尿常规</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对泌尿道疾病，黄疸、糖尿病等有诊断价值</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血常规</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诊断有无感染及血液系统疾病</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肝功8项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肝脏功能情况，诊断是否有肝功能损害、胆道梗阻等</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肾功4项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肾脏的代谢、排泄功能情况是否正常</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糖化血红蛋白</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反映过去2-3月内平均血糖水平</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空腹血糖</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用于早期筛查、诊断糖尿病、糖尿病用药的监控。</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血脂4项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血脂代谢紊乱、动脉粥样硬化等危险预测与营养学评价</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同型半胱氨酸</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判断心脑血管疾病危险因素</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心肌酶谱四项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主要用于心肌损伤的检测</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男性肿瘤6项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肿瘤的筛选诊断及鉴别诊断</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女性肿瘤5项</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肿瘤的筛选诊断及鉴别诊断</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18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C13呼气实验</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通过呼气检测幽门螺旋杆菌的方法、协助诊断消化性溃疡、炎症和预测胃癌风险性（无放射性，适合所有人群）</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心电图</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诊断心律失常，对冠心病及其他心脏病有提示诊断作用</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肝胆胰脾双肾彩超</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诊断肝、胆、胰、脾及肾等器官的病变</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前列腺彩超</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检测前列腺的大小，形态，内部回声，对于前列腺肥大，前列腺肿瘤等具有诊断意义。</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子宫附件</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观察子宫，附件形态改变，诊断子宫有无增大，肌瘤，囊肿，占位等病变</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甲状腺彩超</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检测双侧甲状腺的大小形态、血流情况、有无结节、占位、周围淋巴结有无肿大。在甲亢、甲状腺腺瘤、甲状腺癌的诊断有一定价值。</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双侧乳腺彩超</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检测双侧乳腺肿块及四周的血管情况</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exac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w:t>
            </w:r>
          </w:p>
        </w:tc>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胸部CT(云胶片)</w:t>
            </w:r>
          </w:p>
        </w:tc>
        <w:tc>
          <w:tcPr>
            <w:tcW w:w="31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检查胸廓、胸腔、纵膈软组织、心脏、肺部等多种疾病</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exact"/>
          <w:jc w:val="center"/>
        </w:trPr>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w:t>
            </w:r>
          </w:p>
        </w:tc>
        <w:tc>
          <w:tcPr>
            <w:tcW w:w="1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妇检+TCT（已婚）</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宫颈癌细胞学检查技术、女性宫颈癌筛查首选</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4" w:hRule="exac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18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心脏彩超</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能动态显示心腔内结构、心脏的搏动和血液流动的、能看到异常位置的心脏伴发的各种畸形</w:t>
            </w:r>
          </w:p>
        </w:tc>
        <w:tc>
          <w:tcPr>
            <w:tcW w:w="6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9" w:hRule="exact"/>
          <w:jc w:val="center"/>
        </w:trPr>
        <w:tc>
          <w:tcPr>
            <w:tcW w:w="826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备注：以上体检条目为最低要求，投标人提供的体检必须包含以上全部内容，或可根据实际情况再此基础上增加或升级内容。</w:t>
            </w:r>
          </w:p>
        </w:tc>
      </w:tr>
    </w:tbl>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其他要求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1、体检医院须设体检专场，体检医院需要有配套的餐饮服务。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2、若中标医院体检机构所在地距招标人单位50公里以外的，须保证有能力确保车接车送（包括能提供体检车上门服务）。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3、体检场所不得为挂靠或承租，整体体检服务不得转包分包。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4、严格按照国家有关规定进行，体检质量达到国家卫生行政部门规定的体检行业标准。中标人在体检过程中造成的医检事故等，由中标人负责，招标人不负责任。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bookmarkEnd w:id="80"/>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pPr>
        <w:spacing w:line="360" w:lineRule="auto"/>
        <w:jc w:val="center"/>
        <w:rPr>
          <w:rFonts w:hint="eastAsia" w:ascii="微软雅黑" w:hAnsi="微软雅黑" w:eastAsia="微软雅黑" w:cs="微软雅黑"/>
          <w:b/>
          <w:spacing w:val="0"/>
          <w:sz w:val="28"/>
          <w:szCs w:val="28"/>
          <w:highlight w:val="none"/>
          <w:lang w:eastAsia="zh-CN"/>
        </w:rPr>
      </w:pPr>
      <w:r>
        <w:rPr>
          <w:rFonts w:hint="eastAsia" w:ascii="微软雅黑" w:hAnsi="微软雅黑" w:eastAsia="微软雅黑" w:cs="微软雅黑"/>
          <w:b/>
          <w:spacing w:val="0"/>
          <w:sz w:val="28"/>
          <w:szCs w:val="28"/>
          <w:highlight w:val="none"/>
          <w:lang w:eastAsia="zh-CN"/>
        </w:rPr>
        <w:t>技术服务合同</w:t>
      </w:r>
    </w:p>
    <w:p>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pPr>
        <w:spacing w:line="360" w:lineRule="auto"/>
        <w:ind w:firstLine="420" w:firstLineChars="200"/>
        <w:rPr>
          <w:rFonts w:hint="eastAsia" w:ascii="宋体" w:hAnsi="宋体" w:eastAsia="宋体" w:cs="宋体"/>
          <w:spacing w:val="0"/>
          <w:sz w:val="21"/>
          <w:szCs w:val="21"/>
          <w:highlight w:val="none"/>
          <w:lang w:eastAsia="zh-CN"/>
        </w:rPr>
      </w:pPr>
    </w:p>
    <w:p>
      <w:pPr>
        <w:spacing w:line="360" w:lineRule="auto"/>
        <w:rPr>
          <w:rFonts w:ascii="宋体" w:hAnsi="宋体" w:eastAsia="宋体" w:cs="宋体"/>
          <w:b/>
          <w:spacing w:val="0"/>
          <w:sz w:val="21"/>
          <w:szCs w:val="21"/>
          <w:highlight w:val="none"/>
          <w:lang w:eastAsia="zh-CN"/>
        </w:rPr>
      </w:pPr>
      <w:bookmarkStart w:id="81" w:name="_Toc152571734"/>
      <w:bookmarkStart w:id="82" w:name="_Toc376824381"/>
      <w:bookmarkStart w:id="83" w:name="_Toc376824481"/>
      <w:bookmarkStart w:id="84" w:name="_Toc376824508"/>
      <w:r>
        <w:rPr>
          <w:rFonts w:hint="eastAsia" w:ascii="宋体" w:hAnsi="宋体" w:eastAsia="宋体" w:cs="宋体"/>
          <w:b/>
          <w:spacing w:val="0"/>
          <w:sz w:val="21"/>
          <w:szCs w:val="21"/>
          <w:highlight w:val="none"/>
          <w:lang w:eastAsia="zh-CN"/>
        </w:rPr>
        <w:t>第一条  服务事项</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的技术服务，包括         等，以满足甲方              需求。】</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w:t>
      </w:r>
      <w:r>
        <w:rPr>
          <w:rFonts w:hint="eastAsia" w:ascii="宋体" w:hAnsi="宋体" w:eastAsia="宋体" w:cs="宋体"/>
          <w:spacing w:val="0"/>
          <w:sz w:val="21"/>
          <w:szCs w:val="21"/>
          <w:highlight w:val="none"/>
          <w:lang w:eastAsia="zh-CN"/>
        </w:rPr>
        <w:t>，具体服务事项以合同附件一用户需求书（</w:t>
      </w:r>
      <w:r>
        <w:rPr>
          <w:rFonts w:hint="eastAsia" w:ascii="宋体" w:hAnsi="宋体" w:eastAsia="宋体" w:cs="宋体"/>
          <w:spacing w:val="0"/>
          <w:sz w:val="21"/>
          <w:szCs w:val="21"/>
          <w:highlight w:val="none"/>
          <w:lang w:val="en-US" w:eastAsia="zh-CN"/>
        </w:rPr>
        <w:t>采购需求）</w:t>
      </w:r>
      <w:r>
        <w:rPr>
          <w:rFonts w:hint="eastAsia" w:ascii="宋体" w:hAnsi="宋体" w:eastAsia="宋体" w:cs="宋体"/>
          <w:spacing w:val="0"/>
          <w:sz w:val="21"/>
          <w:szCs w:val="21"/>
          <w:highlight w:val="none"/>
          <w:lang w:eastAsia="zh-CN"/>
        </w:rPr>
        <w:t>或甲方的书面要求为准。</w:t>
      </w:r>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pPr>
        <w:spacing w:line="360" w:lineRule="auto"/>
        <w:ind w:firstLine="536"/>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pPr>
        <w:spacing w:line="360" w:lineRule="auto"/>
        <w:rPr>
          <w:rFonts w:hint="eastAsia" w:ascii="宋体" w:hAnsi="宋体" w:eastAsia="宋体" w:cs="宋体"/>
          <w:b/>
          <w:spacing w:val="0"/>
          <w:sz w:val="21"/>
          <w:szCs w:val="21"/>
          <w:highlight w:val="none"/>
          <w:lang w:eastAsia="zh-CN"/>
        </w:rPr>
      </w:pPr>
      <w:bookmarkStart w:id="85" w:name="_Toc424651533"/>
      <w:bookmarkStart w:id="86" w:name="_Toc297806550"/>
      <w:bookmarkStart w:id="87" w:name="_Toc298258571"/>
      <w:bookmarkStart w:id="88" w:name="_Toc221503541"/>
      <w:bookmarkStart w:id="89" w:name="_Toc297806527"/>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第二条  承诺及保证</w:t>
      </w:r>
      <w:bookmarkEnd w:id="85"/>
      <w:bookmarkEnd w:id="86"/>
      <w:bookmarkEnd w:id="87"/>
      <w:bookmarkEnd w:id="88"/>
      <w:bookmarkEnd w:id="89"/>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pPr>
        <w:spacing w:line="360" w:lineRule="auto"/>
        <w:rPr>
          <w:rFonts w:hint="eastAsia" w:ascii="宋体" w:hAnsi="宋体" w:eastAsia="宋体" w:cs="宋体"/>
          <w:b/>
          <w:spacing w:val="0"/>
          <w:sz w:val="21"/>
          <w:szCs w:val="21"/>
          <w:highlight w:val="none"/>
          <w:lang w:eastAsia="zh-CN"/>
        </w:rPr>
      </w:pPr>
      <w:bookmarkStart w:id="90" w:name="_Toc297806528"/>
      <w:bookmarkStart w:id="91" w:name="_Toc297806551"/>
      <w:r>
        <w:rPr>
          <w:rFonts w:hint="eastAsia" w:ascii="宋体" w:hAnsi="宋体" w:eastAsia="宋体" w:cs="宋体"/>
          <w:b/>
          <w:spacing w:val="0"/>
          <w:sz w:val="21"/>
          <w:szCs w:val="21"/>
          <w:highlight w:val="none"/>
          <w:lang w:eastAsia="zh-CN"/>
        </w:rPr>
        <w:t>2.2 乙方承诺及保证</w:t>
      </w:r>
      <w:bookmarkEnd w:id="90"/>
      <w:bookmarkEnd w:id="91"/>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pPr>
        <w:spacing w:line="360" w:lineRule="auto"/>
        <w:ind w:firstLine="420" w:firstLineChars="200"/>
        <w:rPr>
          <w:rFonts w:hint="eastAsia" w:ascii="宋体" w:hAnsi="宋体" w:eastAsia="宋体" w:cs="宋体"/>
          <w:b/>
          <w:color w:val="auto"/>
          <w:spacing w:val="0"/>
          <w:sz w:val="21"/>
          <w:szCs w:val="21"/>
          <w:highlight w:val="none"/>
          <w:lang w:eastAsia="zh-CN"/>
        </w:rPr>
      </w:pPr>
      <w:r>
        <w:rPr>
          <w:rFonts w:hint="eastAsia" w:ascii="宋体" w:hAnsi="宋体" w:eastAsia="宋体" w:cs="宋体"/>
          <w:spacing w:val="0"/>
          <w:sz w:val="21"/>
          <w:szCs w:val="21"/>
          <w:highlight w:val="none"/>
          <w:lang w:eastAsia="zh-CN"/>
        </w:rPr>
        <w:t>5.其他承诺与保证：__________。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bookmarkStart w:id="92" w:name="_Toc298258572"/>
      <w:bookmarkStart w:id="93" w:name="_Toc424651534"/>
      <w:bookmarkStart w:id="94" w:name="_Toc297806529"/>
      <w:bookmarkStart w:id="95" w:name="_Toc297806552"/>
      <w:bookmarkStart w:id="96" w:name="_Toc221503542"/>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92"/>
      <w:bookmarkEnd w:id="93"/>
      <w:bookmarkEnd w:id="94"/>
      <w:bookmarkEnd w:id="95"/>
      <w:bookmarkEnd w:id="96"/>
    </w:p>
    <w:p>
      <w:pPr>
        <w:spacing w:line="360" w:lineRule="auto"/>
        <w:rPr>
          <w:rFonts w:hint="eastAsia" w:ascii="宋体" w:hAnsi="宋体" w:eastAsia="宋体" w:cs="宋体"/>
          <w:spacing w:val="0"/>
          <w:sz w:val="21"/>
          <w:szCs w:val="21"/>
          <w:highlight w:val="none"/>
          <w:lang w:eastAsia="zh-CN"/>
        </w:rPr>
      </w:pPr>
      <w:bookmarkStart w:id="97" w:name="_Toc297806530"/>
      <w:bookmarkStart w:id="98" w:name="_Toc297806553"/>
      <w:r>
        <w:rPr>
          <w:rFonts w:hint="eastAsia" w:ascii="宋体" w:hAnsi="宋体" w:eastAsia="宋体" w:cs="宋体"/>
          <w:spacing w:val="0"/>
          <w:sz w:val="21"/>
          <w:szCs w:val="21"/>
          <w:highlight w:val="none"/>
          <w:lang w:eastAsia="zh-CN"/>
        </w:rPr>
        <w:t>3.1 乙方项目组的核心成员为：项目负责人_____，项目经理_____，主要顾问人员_____；其他项目组成员、团队结构及资历介绍见</w:t>
      </w:r>
      <w:r>
        <w:rPr>
          <w:rFonts w:hint="eastAsia" w:ascii="宋体" w:hAnsi="宋体" w:eastAsia="宋体" w:cs="宋体"/>
          <w:spacing w:val="0"/>
          <w:sz w:val="21"/>
          <w:szCs w:val="21"/>
          <w:highlight w:val="none"/>
          <w:lang w:eastAsia="zh-CN"/>
        </w:rPr>
        <w:t>本合同附件三：项目组成员</w:t>
      </w:r>
      <w:r>
        <w:rPr>
          <w:rFonts w:hint="eastAsia" w:ascii="宋体" w:hAnsi="宋体" w:eastAsia="宋体" w:cs="宋体"/>
          <w:spacing w:val="0"/>
          <w:sz w:val="21"/>
          <w:szCs w:val="21"/>
          <w:highlight w:val="none"/>
          <w:lang w:eastAsia="zh-CN"/>
        </w:rPr>
        <w:t>。未经甲方事先书面同意，乙方不得更换、减少项目组核心成员</w:t>
      </w:r>
      <w:bookmarkEnd w:id="97"/>
      <w:bookmarkEnd w:id="98"/>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bookmarkStart w:id="99" w:name="_Toc297806531"/>
      <w:bookmarkStart w:id="100" w:name="_Toc297806554"/>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99"/>
      <w:bookmarkEnd w:id="100"/>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pPr>
        <w:spacing w:line="360" w:lineRule="auto"/>
        <w:rPr>
          <w:rFonts w:hint="eastAsia" w:ascii="宋体" w:hAnsi="宋体" w:eastAsia="宋体" w:cs="宋体"/>
          <w:spacing w:val="0"/>
          <w:sz w:val="21"/>
          <w:szCs w:val="21"/>
          <w:highlight w:val="none"/>
          <w:lang w:eastAsia="zh-CN"/>
        </w:rPr>
      </w:pPr>
    </w:p>
    <w:p>
      <w:pPr>
        <w:spacing w:line="360" w:lineRule="auto"/>
        <w:rPr>
          <w:rFonts w:ascii="宋体" w:hAnsi="宋体" w:eastAsia="宋体" w:cs="宋体"/>
          <w:b/>
          <w:spacing w:val="0"/>
          <w:sz w:val="21"/>
          <w:szCs w:val="21"/>
          <w:highlight w:val="none"/>
          <w:lang w:eastAsia="zh-CN"/>
        </w:rPr>
      </w:pPr>
      <w:bookmarkStart w:id="101" w:name="_Toc424651535"/>
      <w:bookmarkStart w:id="102" w:name="_Toc221503543"/>
      <w:bookmarkStart w:id="103" w:name="_Toc297806534"/>
      <w:bookmarkStart w:id="104" w:name="_Toc297806557"/>
      <w:bookmarkStart w:id="105" w:name="_Toc298258573"/>
      <w:r>
        <w:rPr>
          <w:rFonts w:hint="eastAsia" w:ascii="宋体" w:hAnsi="宋体" w:eastAsia="宋体" w:cs="宋体"/>
          <w:b/>
          <w:spacing w:val="0"/>
          <w:sz w:val="21"/>
          <w:szCs w:val="21"/>
          <w:highlight w:val="none"/>
          <w:lang w:eastAsia="zh-CN"/>
        </w:rPr>
        <w:t>第四条  服务费用</w:t>
      </w:r>
      <w:bookmarkEnd w:id="101"/>
      <w:bookmarkEnd w:id="102"/>
      <w:bookmarkEnd w:id="103"/>
      <w:bookmarkEnd w:id="104"/>
      <w:bookmarkEnd w:id="105"/>
      <w:r>
        <w:rPr>
          <w:rFonts w:hint="eastAsia" w:ascii="宋体" w:hAnsi="宋体" w:eastAsia="宋体" w:cs="宋体"/>
          <w:b/>
          <w:spacing w:val="0"/>
          <w:sz w:val="21"/>
          <w:szCs w:val="21"/>
          <w:highlight w:val="none"/>
          <w:lang w:eastAsia="zh-CN"/>
        </w:rPr>
        <w:t>及支付方式</w:t>
      </w:r>
    </w:p>
    <w:p>
      <w:pPr>
        <w:spacing w:line="360" w:lineRule="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4.1</w:t>
      </w:r>
      <w:r>
        <w:rPr>
          <w:rFonts w:hint="eastAsia" w:ascii="宋体" w:hAnsi="宋体" w:eastAsia="宋体" w:cs="宋体"/>
          <w:spacing w:val="0"/>
          <w:sz w:val="21"/>
          <w:szCs w:val="21"/>
          <w:highlight w:val="none"/>
          <w:lang w:eastAsia="zh-CN"/>
        </w:rPr>
        <w:t xml:space="preserve"> </w:t>
      </w:r>
      <w:r>
        <w:rPr>
          <w:rFonts w:hint="eastAsia" w:ascii="宋体" w:hAnsi="宋体" w:eastAsia="宋体" w:cs="宋体"/>
          <w:color w:val="auto"/>
          <w:spacing w:val="0"/>
          <w:sz w:val="21"/>
          <w:szCs w:val="21"/>
          <w:highlight w:val="none"/>
          <w:lang w:eastAsia="zh-CN"/>
        </w:rPr>
        <w:t>本项目服务费用总额为人民币（大写）_____元(￥_____元)（含税），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w:t>
      </w:r>
      <w:r>
        <w:rPr>
          <w:rFonts w:hint="eastAsia" w:ascii="宋体" w:hAnsi="宋体" w:eastAsia="宋体" w:cs="宋体"/>
          <w:color w:val="auto"/>
          <w:spacing w:val="0"/>
          <w:sz w:val="21"/>
          <w:szCs w:val="21"/>
          <w:highlight w:val="none"/>
          <w:lang w:eastAsia="zh-CN"/>
        </w:rPr>
        <w:t xml:space="preserve">_____元(￥_____元)，税率为____%。（以下简称“服务费用”）。 </w:t>
      </w:r>
      <w:r>
        <w:rPr>
          <w:rFonts w:hint="eastAsia" w:ascii="宋体" w:hAnsi="宋体" w:eastAsia="宋体" w:cs="宋体"/>
          <w:spacing w:val="0"/>
          <w:sz w:val="21"/>
          <w:szCs w:val="21"/>
          <w:highlight w:val="none"/>
          <w:lang w:val="en-US" w:eastAsia="zh-CN"/>
        </w:rPr>
        <w:t>合同单价详见附件二。</w:t>
      </w:r>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甲方应按下列方式向乙方支付服务费用：</w:t>
      </w:r>
      <w:r>
        <w:rPr>
          <w:rFonts w:hint="eastAsia" w:ascii="宋体" w:hAnsi="宋体" w:eastAsia="宋体" w:cs="宋体"/>
          <w:color w:val="000000"/>
          <w:kern w:val="2"/>
          <w:sz w:val="21"/>
          <w:szCs w:val="21"/>
          <w:highlight w:val="none"/>
          <w:u w:color="000000"/>
          <w:lang w:val="en-US" w:eastAsia="zh-CN" w:bidi="ar"/>
        </w:rPr>
        <w:t>在本合同服务期限届满，乙方提交经甲方确认的实际参检人数,按实结算，各单价按合同单价执行，甲方在收到乙方提供的符合要求的增值税发票之后30日内，向乙方支付全部结算后体检费用。</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4.3 </w:t>
      </w:r>
      <w:r>
        <w:rPr>
          <w:rFonts w:hint="eastAsia" w:ascii="宋体" w:hAnsi="宋体" w:eastAsia="宋体" w:cs="宋体"/>
          <w:spacing w:val="0"/>
          <w:sz w:val="21"/>
          <w:szCs w:val="21"/>
          <w:highlight w:val="none"/>
          <w:lang w:eastAsia="zh-CN"/>
        </w:rPr>
        <w:t>本合同约定的服务费用已包括乙方完成本合同规定的各项服务及提交各工作成果的全部费用（包括但不限于：</w:t>
      </w:r>
      <w:r>
        <w:rPr>
          <w:rFonts w:hint="eastAsia" w:ascii="宋体" w:hAnsi="宋体" w:eastAsia="宋体" w:cs="宋体"/>
          <w:spacing w:val="0"/>
          <w:sz w:val="21"/>
          <w:szCs w:val="21"/>
          <w:highlight w:val="none"/>
          <w:lang w:val="en-US" w:eastAsia="zh-CN"/>
        </w:rPr>
        <w:t>运营公司员工体检、检后早餐等发生的所有费用、</w:t>
      </w:r>
      <w:r>
        <w:rPr>
          <w:rFonts w:hint="eastAsia" w:ascii="宋体" w:hAnsi="Times New Roman" w:eastAsia="宋体" w:cs="Times New Roman"/>
          <w:color w:val="000000"/>
          <w:szCs w:val="21"/>
          <w:highlight w:val="none"/>
          <w:lang w:val="en-US" w:eastAsia="zh-CN"/>
        </w:rPr>
        <w:t>交通费（如有）、利润、招标代理费、专家评审费、税金、政策性文件规定及合同包含的所有风险和责任等</w:t>
      </w:r>
      <w:r>
        <w:rPr>
          <w:rFonts w:hint="eastAsia" w:ascii="宋体" w:hAnsi="宋体" w:eastAsia="宋体" w:cs="宋体"/>
          <w:spacing w:val="0"/>
          <w:sz w:val="21"/>
          <w:szCs w:val="21"/>
          <w:highlight w:val="none"/>
          <w:lang w:val="en-US" w:eastAsia="zh-CN"/>
        </w:rPr>
        <w:t>。</w:t>
      </w:r>
      <w:r>
        <w:rPr>
          <w:rFonts w:hint="eastAsia" w:ascii="宋体" w:hAnsi="宋体" w:eastAsia="宋体" w:cs="宋体"/>
          <w:spacing w:val="0"/>
          <w:sz w:val="21"/>
          <w:szCs w:val="21"/>
          <w:highlight w:val="none"/>
          <w:lang w:eastAsia="zh-CN"/>
        </w:rPr>
        <w:t>除另有约定外，甲方无需向乙方另行支付其他任何费用。</w:t>
      </w:r>
      <w:bookmarkStart w:id="106" w:name="_Toc221503544"/>
      <w:bookmarkStart w:id="107" w:name="_Toc424651536"/>
      <w:bookmarkStart w:id="108" w:name="_Toc297806535"/>
      <w:bookmarkStart w:id="109" w:name="_Toc298258574"/>
      <w:bookmarkStart w:id="110" w:name="_Toc297806558"/>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w:t>
      </w:r>
      <w:r>
        <w:rPr>
          <w:rFonts w:hint="eastAsia" w:ascii="宋体" w:hAnsi="宋体" w:eastAsia="宋体" w:cs="宋体"/>
          <w:spacing w:val="0"/>
          <w:sz w:val="21"/>
          <w:szCs w:val="21"/>
          <w:highlight w:val="none"/>
          <w:lang w:val="en-US" w:eastAsia="zh-CN"/>
        </w:rPr>
        <w:t>为</w:t>
      </w:r>
      <w:r>
        <w:rPr>
          <w:rFonts w:hint="eastAsia" w:ascii="宋体" w:hAnsi="宋体" w:eastAsia="宋体" w:cs="宋体"/>
          <w:spacing w:val="0"/>
          <w:sz w:val="21"/>
          <w:szCs w:val="21"/>
          <w:highlight w:val="none"/>
          <w:lang w:eastAsia="zh-CN"/>
        </w:rPr>
        <w:t>含税合同价款。在合同履行期间，如遇国家的税率调整或其他政策影响税率的，税率</w:t>
      </w:r>
      <w:r>
        <w:rPr>
          <w:rFonts w:hint="eastAsia" w:ascii="宋体" w:hAnsi="宋体" w:eastAsia="宋体" w:cs="宋体"/>
          <w:spacing w:val="0"/>
          <w:sz w:val="21"/>
          <w:szCs w:val="21"/>
          <w:highlight w:val="none"/>
          <w:lang w:val="en-US" w:eastAsia="zh-CN"/>
        </w:rPr>
        <w:t>随</w:t>
      </w:r>
      <w:r>
        <w:rPr>
          <w:rFonts w:hint="eastAsia" w:ascii="宋体" w:hAnsi="宋体" w:eastAsia="宋体" w:cs="宋体"/>
          <w:spacing w:val="0"/>
          <w:sz w:val="21"/>
          <w:szCs w:val="21"/>
          <w:highlight w:val="none"/>
          <w:lang w:eastAsia="zh-CN"/>
        </w:rPr>
        <w:t>变化而变化，则合同价款</w:t>
      </w:r>
      <w:r>
        <w:rPr>
          <w:rFonts w:hint="eastAsia" w:ascii="宋体" w:hAnsi="宋体" w:eastAsia="宋体" w:cs="宋体"/>
          <w:spacing w:val="0"/>
          <w:sz w:val="21"/>
          <w:szCs w:val="21"/>
          <w:highlight w:val="none"/>
          <w:lang w:val="en-US" w:eastAsia="zh-CN"/>
        </w:rPr>
        <w:t>及综合单价</w:t>
      </w:r>
      <w:r>
        <w:rPr>
          <w:rFonts w:hint="eastAsia" w:ascii="宋体" w:hAnsi="宋体" w:eastAsia="宋体" w:cs="宋体"/>
          <w:spacing w:val="0"/>
          <w:sz w:val="21"/>
          <w:szCs w:val="21"/>
          <w:highlight w:val="none"/>
          <w:lang w:eastAsia="zh-CN"/>
        </w:rPr>
        <w:t>金额</w:t>
      </w:r>
      <w:r>
        <w:rPr>
          <w:rFonts w:hint="eastAsia" w:ascii="宋体" w:hAnsi="宋体" w:eastAsia="宋体" w:cs="宋体"/>
          <w:spacing w:val="0"/>
          <w:sz w:val="21"/>
          <w:szCs w:val="21"/>
          <w:highlight w:val="none"/>
          <w:lang w:val="en-US" w:eastAsia="zh-CN"/>
        </w:rPr>
        <w:t>不做</w:t>
      </w:r>
      <w:r>
        <w:rPr>
          <w:rFonts w:hint="eastAsia" w:ascii="宋体" w:hAnsi="宋体" w:eastAsia="宋体" w:cs="宋体"/>
          <w:spacing w:val="0"/>
          <w:sz w:val="21"/>
          <w:szCs w:val="21"/>
          <w:highlight w:val="none"/>
          <w:lang w:eastAsia="zh-CN"/>
        </w:rPr>
        <w:t>调整。</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spacing w:line="360" w:lineRule="auto"/>
        <w:ind w:firstLine="210" w:firstLineChars="100"/>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11"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12"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11"/>
      <w:bookmarkEnd w:id="112"/>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乙方</w:t>
      </w:r>
      <w:r>
        <w:rPr>
          <w:rFonts w:hint="eastAsia" w:ascii="宋体" w:hAnsi="宋体" w:eastAsia="宋体" w:cs="宋体"/>
          <w:spacing w:val="0"/>
          <w:sz w:val="21"/>
          <w:szCs w:val="21"/>
          <w:highlight w:val="none"/>
          <w:lang w:eastAsia="zh-CN"/>
        </w:rPr>
        <w:t>完成合同约定全部内容，并收到甲方最后一笔付款后30天内，甲方将履约保证金无息退还给乙方。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（采用履约保证金的方式时选用）</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106"/>
      <w:bookmarkEnd w:id="107"/>
      <w:bookmarkEnd w:id="108"/>
      <w:bookmarkEnd w:id="109"/>
      <w:bookmarkEnd w:id="110"/>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13" w:name="_Toc298258575"/>
      <w:bookmarkEnd w:id="113"/>
      <w:bookmarkStart w:id="114" w:name="_Toc221503545"/>
      <w:bookmarkStart w:id="115" w:name="_Toc297806536"/>
      <w:bookmarkStart w:id="116" w:name="_Toc424651537"/>
      <w:bookmarkStart w:id="117" w:name="_Toc298258576"/>
      <w:bookmarkStart w:id="118" w:name="_Toc297806559"/>
      <w:r>
        <w:rPr>
          <w:rFonts w:hint="eastAsia" w:ascii="宋体" w:hAnsi="宋体" w:eastAsia="宋体" w:cs="宋体"/>
          <w:b/>
          <w:spacing w:val="0"/>
          <w:sz w:val="21"/>
          <w:szCs w:val="21"/>
          <w:highlight w:val="none"/>
          <w:lang w:eastAsia="zh-CN"/>
        </w:rPr>
        <w:t>第七条  乙方权利与义务</w:t>
      </w:r>
      <w:bookmarkEnd w:id="114"/>
      <w:bookmarkEnd w:id="115"/>
      <w:bookmarkEnd w:id="116"/>
      <w:bookmarkEnd w:id="117"/>
      <w:bookmarkEnd w:id="118"/>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pPr>
        <w:spacing w:line="360" w:lineRule="auto"/>
        <w:rPr>
          <w:rFonts w:hint="eastAsia" w:ascii="宋体" w:hAnsi="宋体" w:eastAsia="宋体" w:cs="宋体"/>
          <w:spacing w:val="0"/>
          <w:sz w:val="21"/>
          <w:szCs w:val="21"/>
          <w:highlight w:val="none"/>
          <w:lang w:eastAsia="zh-CN"/>
        </w:rPr>
      </w:pPr>
      <w:bookmarkStart w:id="119" w:name="_Toc297808125"/>
      <w:bookmarkEnd w:id="119"/>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乙方应当对甲方提供的资料进行核查，发现甲方提供的资料不符合本合同约定时，有权在接到上述资料或开始工作的___日内，书面通知甲方。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20" w:name="_Toc297806560"/>
      <w:bookmarkStart w:id="121" w:name="_Toc298258577"/>
      <w:bookmarkStart w:id="122" w:name="_Toc424651538"/>
      <w:bookmarkStart w:id="123" w:name="_Toc297806537"/>
      <w:bookmarkStart w:id="124" w:name="_Toc221503546"/>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20"/>
      <w:bookmarkEnd w:id="121"/>
      <w:bookmarkEnd w:id="122"/>
      <w:bookmarkEnd w:id="123"/>
      <w:bookmarkEnd w:id="124"/>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r>
        <w:rPr>
          <w:rFonts w:hint="eastAsia" w:ascii="宋体" w:hAnsi="宋体" w:eastAsia="宋体" w:cs="宋体"/>
          <w:spacing w:val="0"/>
          <w:sz w:val="21"/>
          <w:szCs w:val="21"/>
          <w:highlight w:val="none"/>
          <w:lang w:val="en-US" w:eastAsia="zh-CN"/>
        </w:rPr>
        <w:t>采购需求）</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任一服务事项连续___次验收不合格的，则视为乙方没有完成该项服务。乙方应根据合同约定承担相应违约责任。</w:t>
      </w:r>
    </w:p>
    <w:p>
      <w:pPr>
        <w:spacing w:line="360" w:lineRule="auto"/>
        <w:rPr>
          <w:rFonts w:hint="eastAsia" w:ascii="宋体" w:hAnsi="宋体" w:eastAsia="宋体" w:cs="宋体"/>
          <w:b/>
          <w:spacing w:val="0"/>
          <w:sz w:val="21"/>
          <w:szCs w:val="21"/>
          <w:highlight w:val="none"/>
          <w:lang w:eastAsia="zh-CN"/>
        </w:rPr>
      </w:pPr>
      <w:bookmarkStart w:id="125" w:name="_Toc221503547"/>
      <w:bookmarkStart w:id="126" w:name="_Toc424651539"/>
      <w:bookmarkStart w:id="127" w:name="_Toc298258578"/>
      <w:bookmarkStart w:id="128" w:name="_Toc297806561"/>
      <w:bookmarkStart w:id="129" w:name="_Toc297806538"/>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第九条  知识产权</w:t>
      </w:r>
      <w:bookmarkEnd w:id="125"/>
      <w:bookmarkEnd w:id="126"/>
      <w:bookmarkEnd w:id="127"/>
      <w:bookmarkEnd w:id="128"/>
      <w:bookmarkEnd w:id="129"/>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pPr>
        <w:spacing w:line="360" w:lineRule="auto"/>
        <w:ind w:firstLine="210" w:firstLineChars="100"/>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30" w:name="_Toc424648874"/>
      <w:bookmarkStart w:id="131" w:name="_Toc424651541"/>
      <w:r>
        <w:rPr>
          <w:rFonts w:hint="eastAsia" w:ascii="宋体" w:hAnsi="宋体" w:eastAsia="宋体" w:cs="宋体"/>
          <w:b/>
          <w:spacing w:val="0"/>
          <w:sz w:val="21"/>
          <w:szCs w:val="21"/>
          <w:highlight w:val="none"/>
          <w:lang w:eastAsia="zh-CN"/>
        </w:rPr>
        <w:t>第十条  保密</w:t>
      </w:r>
      <w:bookmarkEnd w:id="130"/>
      <w:bookmarkEnd w:id="131"/>
    </w:p>
    <w:p>
      <w:pPr>
        <w:spacing w:line="360" w:lineRule="auto"/>
        <w:rPr>
          <w:rFonts w:hint="eastAsia" w:ascii="宋体" w:hAnsi="宋体" w:eastAsia="宋体" w:cs="宋体"/>
          <w:spacing w:val="0"/>
          <w:sz w:val="21"/>
          <w:szCs w:val="21"/>
          <w:highlight w:val="none"/>
          <w:lang w:eastAsia="zh-CN"/>
        </w:rPr>
      </w:pPr>
      <w:bookmarkStart w:id="132" w:name="_Toc424648875"/>
      <w:bookmarkStart w:id="133" w:name="_Toc424651542"/>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2"/>
      <w:bookmarkEnd w:id="133"/>
    </w:p>
    <w:p>
      <w:pPr>
        <w:spacing w:line="360" w:lineRule="auto"/>
        <w:rPr>
          <w:rFonts w:hint="eastAsia" w:ascii="宋体" w:hAnsi="宋体" w:eastAsia="宋体" w:cs="宋体"/>
          <w:spacing w:val="0"/>
          <w:sz w:val="21"/>
          <w:szCs w:val="21"/>
          <w:highlight w:val="none"/>
          <w:lang w:eastAsia="zh-CN"/>
        </w:rPr>
      </w:pPr>
      <w:bookmarkStart w:id="134" w:name="_Toc424651543"/>
      <w:bookmarkStart w:id="135" w:name="_Toc424648876"/>
      <w:r>
        <w:rPr>
          <w:rFonts w:hint="eastAsia" w:ascii="宋体" w:hAnsi="宋体" w:eastAsia="宋体" w:cs="宋体"/>
          <w:spacing w:val="0"/>
          <w:sz w:val="21"/>
          <w:szCs w:val="21"/>
          <w:highlight w:val="none"/>
          <w:lang w:eastAsia="zh-CN"/>
        </w:rPr>
        <w:t>10.2 本合同规定的保密信息不包括以下信息：</w:t>
      </w:r>
      <w:bookmarkEnd w:id="134"/>
      <w:bookmarkEnd w:id="135"/>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36" w:name="_DV_C27"/>
      <w:r>
        <w:rPr>
          <w:rFonts w:hint="eastAsia" w:ascii="宋体" w:hAnsi="宋体" w:eastAsia="宋体" w:cs="宋体"/>
          <w:spacing w:val="0"/>
          <w:sz w:val="21"/>
          <w:szCs w:val="21"/>
          <w:highlight w:val="none"/>
          <w:lang w:eastAsia="zh-CN"/>
        </w:rPr>
        <w:t>对</w:t>
      </w:r>
      <w:bookmarkEnd w:id="136"/>
      <w:bookmarkStart w:id="137" w:name="_DV_M38"/>
      <w:bookmarkEnd w:id="137"/>
      <w:r>
        <w:rPr>
          <w:rFonts w:hint="eastAsia" w:ascii="宋体" w:hAnsi="宋体" w:eastAsia="宋体" w:cs="宋体"/>
          <w:spacing w:val="0"/>
          <w:sz w:val="21"/>
          <w:szCs w:val="21"/>
          <w:highlight w:val="none"/>
          <w:lang w:eastAsia="zh-CN"/>
        </w:rPr>
        <w:t>保密</w:t>
      </w:r>
      <w:bookmarkStart w:id="138" w:name="_DV_C29"/>
      <w:r>
        <w:rPr>
          <w:rFonts w:hint="eastAsia" w:ascii="宋体" w:hAnsi="宋体" w:eastAsia="宋体" w:cs="宋体"/>
          <w:spacing w:val="0"/>
          <w:sz w:val="21"/>
          <w:szCs w:val="21"/>
          <w:highlight w:val="none"/>
          <w:lang w:eastAsia="zh-CN"/>
        </w:rPr>
        <w:t>信息保密</w:t>
      </w:r>
      <w:bookmarkEnd w:id="138"/>
      <w:bookmarkStart w:id="139" w:name="_DV_M39"/>
      <w:bookmarkEnd w:id="139"/>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pPr>
        <w:spacing w:line="360" w:lineRule="auto"/>
        <w:rPr>
          <w:rFonts w:hint="eastAsia" w:ascii="宋体" w:hAnsi="宋体" w:eastAsia="宋体" w:cs="宋体"/>
          <w:b/>
          <w:spacing w:val="0"/>
          <w:sz w:val="21"/>
          <w:szCs w:val="21"/>
          <w:highlight w:val="none"/>
          <w:lang w:eastAsia="zh-CN"/>
        </w:rPr>
      </w:pPr>
      <w:bookmarkStart w:id="140" w:name="_Toc424651540"/>
      <w:bookmarkStart w:id="141" w:name="_Toc297806562"/>
      <w:bookmarkStart w:id="142" w:name="_Toc297806539"/>
      <w:bookmarkStart w:id="143" w:name="_Toc298258579"/>
      <w:r>
        <w:rPr>
          <w:rFonts w:hint="eastAsia" w:ascii="宋体" w:hAnsi="宋体" w:eastAsia="宋体" w:cs="宋体"/>
          <w:b/>
          <w:spacing w:val="0"/>
          <w:sz w:val="21"/>
          <w:szCs w:val="21"/>
          <w:highlight w:val="none"/>
          <w:lang w:eastAsia="zh-CN"/>
        </w:rPr>
        <w:t>第十一条  合同的变更和终止</w:t>
      </w:r>
      <w:bookmarkEnd w:id="140"/>
      <w:bookmarkEnd w:id="141"/>
      <w:bookmarkEnd w:id="142"/>
      <w:bookmarkEnd w:id="143"/>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44" w:name="_Toc297806563"/>
      <w:bookmarkStart w:id="145" w:name="_Toc424651544"/>
      <w:bookmarkStart w:id="146" w:name="_Toc298258580"/>
      <w:bookmarkStart w:id="147" w:name="_Toc297806540"/>
      <w:r>
        <w:rPr>
          <w:rFonts w:hint="eastAsia" w:ascii="宋体" w:hAnsi="宋体" w:eastAsia="宋体" w:cs="宋体"/>
          <w:b/>
          <w:spacing w:val="0"/>
          <w:sz w:val="21"/>
          <w:szCs w:val="21"/>
          <w:highlight w:val="none"/>
          <w:lang w:eastAsia="zh-CN"/>
        </w:rPr>
        <w:t>第十二条  违约责任</w:t>
      </w:r>
      <w:bookmarkEnd w:id="144"/>
      <w:bookmarkEnd w:id="145"/>
      <w:bookmarkEnd w:id="146"/>
      <w:bookmarkEnd w:id="147"/>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甲方未按本合同规定支付服务费用，经乙方书面催告后_</w:t>
      </w:r>
      <w:r>
        <w:rPr>
          <w:rFonts w:hint="eastAsia" w:ascii="宋体" w:hAnsi="宋体" w:eastAsia="宋体" w:cs="宋体"/>
          <w:spacing w:val="0"/>
          <w:sz w:val="21"/>
          <w:szCs w:val="21"/>
          <w:highlight w:val="none"/>
          <w:u w:val="single"/>
          <w:lang w:eastAsia="zh-CN"/>
        </w:rPr>
        <w:t>十_</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pacing w:val="0"/>
          <w:sz w:val="21"/>
          <w:szCs w:val="21"/>
          <w:highlight w:val="none"/>
          <w:u w:val="single"/>
          <w:lang w:eastAsia="zh-CN"/>
        </w:rPr>
        <w:t>三十_</w:t>
      </w:r>
      <w:r>
        <w:rPr>
          <w:rFonts w:hint="eastAsia" w:ascii="宋体" w:hAnsi="宋体" w:eastAsia="宋体" w:cs="宋体"/>
          <w:spacing w:val="0"/>
          <w:sz w:val="21"/>
          <w:szCs w:val="21"/>
          <w:highlight w:val="none"/>
          <w:lang w:eastAsia="zh-CN"/>
        </w:rPr>
        <w:t>个工作日仍未支付的，乙方有权单方解除本合同。</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w:t>
      </w:r>
      <w:r>
        <w:rPr>
          <w:rFonts w:hint="eastAsia" w:ascii="宋体" w:hAnsi="宋体" w:eastAsia="宋体" w:cs="宋体"/>
          <w:spacing w:val="0"/>
          <w:sz w:val="21"/>
          <w:szCs w:val="21"/>
          <w:highlight w:val="none"/>
          <w:lang w:eastAsia="zh-CN"/>
        </w:rPr>
        <w:t>____</w:t>
      </w:r>
      <w:r>
        <w:rPr>
          <w:rFonts w:hint="eastAsia" w:ascii="宋体" w:hAnsi="宋体" w:eastAsia="宋体" w:cs="宋体"/>
          <w:spacing w:val="0"/>
          <w:sz w:val="21"/>
          <w:szCs w:val="21"/>
          <w:highlight w:val="none"/>
          <w:lang w:eastAsia="zh-CN"/>
        </w:rPr>
        <w:t>元/每人/每次的违约金，甲方可在应付服务费中扣除该违约金；同时乙方应根据甲方要求及时调整工作人员。</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48" w:name="_Toc424651545"/>
      <w:bookmarkStart w:id="149" w:name="_Toc297806541"/>
      <w:bookmarkStart w:id="150" w:name="_Toc298258581"/>
      <w:bookmarkStart w:id="151" w:name="_Toc297806564"/>
      <w:r>
        <w:rPr>
          <w:rFonts w:hint="eastAsia" w:ascii="宋体" w:hAnsi="宋体" w:eastAsia="宋体" w:cs="宋体"/>
          <w:b/>
          <w:spacing w:val="0"/>
          <w:sz w:val="21"/>
          <w:szCs w:val="21"/>
          <w:highlight w:val="none"/>
          <w:lang w:eastAsia="zh-CN"/>
        </w:rPr>
        <w:t>第十三条  不可抗力</w:t>
      </w:r>
      <w:bookmarkEnd w:id="148"/>
      <w:bookmarkEnd w:id="149"/>
      <w:bookmarkEnd w:id="150"/>
      <w:bookmarkEnd w:id="151"/>
    </w:p>
    <w:p>
      <w:pPr>
        <w:spacing w:line="360" w:lineRule="auto"/>
        <w:rPr>
          <w:rFonts w:hint="eastAsia" w:ascii="宋体" w:hAnsi="宋体" w:eastAsia="宋体" w:cs="宋体"/>
          <w:spacing w:val="0"/>
          <w:sz w:val="21"/>
          <w:szCs w:val="21"/>
          <w:highlight w:val="none"/>
          <w:lang w:eastAsia="zh-CN"/>
        </w:rPr>
      </w:pPr>
      <w:bookmarkStart w:id="152" w:name="_Toc169968033"/>
      <w:r>
        <w:rPr>
          <w:rFonts w:hint="eastAsia" w:ascii="宋体" w:hAnsi="宋体" w:eastAsia="宋体" w:cs="宋体"/>
          <w:spacing w:val="0"/>
          <w:sz w:val="21"/>
          <w:szCs w:val="21"/>
          <w:highlight w:val="none"/>
          <w:lang w:eastAsia="zh-CN"/>
        </w:rPr>
        <w:t>13.1</w:t>
      </w:r>
      <w:bookmarkEnd w:id="152"/>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pPr>
        <w:spacing w:line="360" w:lineRule="auto"/>
        <w:rPr>
          <w:rFonts w:hint="eastAsia" w:ascii="宋体" w:hAnsi="宋体" w:eastAsia="宋体" w:cs="宋体"/>
          <w:b/>
          <w:bCs/>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pPr>
        <w:spacing w:line="360" w:lineRule="auto"/>
        <w:rPr>
          <w:rFonts w:hint="eastAsia" w:ascii="宋体" w:hAnsi="宋体" w:eastAsia="宋体" w:cs="宋体"/>
          <w:b/>
          <w:spacing w:val="0"/>
          <w:sz w:val="21"/>
          <w:szCs w:val="21"/>
          <w:highlight w:val="none"/>
          <w:lang w:eastAsia="zh-CN"/>
        </w:rPr>
      </w:pPr>
      <w:bookmarkStart w:id="153" w:name="_Toc424651546"/>
      <w:bookmarkStart w:id="154" w:name="_Toc297806565"/>
      <w:bookmarkStart w:id="155" w:name="_Toc297806542"/>
      <w:bookmarkStart w:id="156" w:name="_Toc298258582"/>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第十五条  争议解决</w:t>
      </w:r>
      <w:bookmarkEnd w:id="153"/>
      <w:bookmarkEnd w:id="154"/>
      <w:bookmarkEnd w:id="155"/>
      <w:bookmarkEnd w:id="156"/>
    </w:p>
    <w:p>
      <w:pPr>
        <w:spacing w:line="360" w:lineRule="auto"/>
        <w:rPr>
          <w:rFonts w:hint="eastAsia" w:ascii="宋体" w:hAnsi="宋体" w:eastAsia="宋体" w:cs="宋体"/>
          <w:spacing w:val="0"/>
          <w:sz w:val="21"/>
          <w:szCs w:val="21"/>
          <w:highlight w:val="none"/>
          <w:lang w:eastAsia="zh-CN"/>
        </w:rPr>
      </w:pPr>
      <w:bookmarkStart w:id="157"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57"/>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58" w:name="_Toc298258583"/>
      <w:bookmarkEnd w:id="158"/>
      <w:bookmarkStart w:id="159" w:name="_Toc298258585"/>
      <w:bookmarkEnd w:id="159"/>
      <w:bookmarkStart w:id="160" w:name="_Toc298258584"/>
      <w:bookmarkEnd w:id="160"/>
      <w:bookmarkStart w:id="161" w:name="_Toc298258586"/>
      <w:bookmarkEnd w:id="161"/>
      <w:bookmarkStart w:id="162" w:name="_Toc424651548"/>
      <w:bookmarkStart w:id="163" w:name="_Toc298258587"/>
      <w:bookmarkStart w:id="164" w:name="_Toc297806569"/>
      <w:bookmarkStart w:id="165" w:name="_Toc297806546"/>
      <w:r>
        <w:rPr>
          <w:rFonts w:hint="eastAsia" w:ascii="宋体" w:hAnsi="宋体" w:eastAsia="宋体" w:cs="宋体"/>
          <w:b/>
          <w:spacing w:val="0"/>
          <w:sz w:val="21"/>
          <w:szCs w:val="21"/>
          <w:highlight w:val="none"/>
          <w:lang w:eastAsia="zh-CN"/>
        </w:rPr>
        <w:t>第十六条  通知</w:t>
      </w:r>
      <w:bookmarkEnd w:id="162"/>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66" w:name="_Toc424651549"/>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63"/>
      <w:bookmarkEnd w:id="164"/>
      <w:bookmarkEnd w:id="165"/>
      <w:bookmarkEnd w:id="166"/>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w:t>
      </w:r>
      <w:r>
        <w:rPr>
          <w:rFonts w:hint="eastAsia" w:ascii="宋体" w:hAnsi="宋体" w:eastAsia="宋体" w:cs="宋体"/>
          <w:spacing w:val="0"/>
          <w:sz w:val="21"/>
          <w:szCs w:val="21"/>
          <w:highlight w:val="none"/>
          <w:lang w:eastAsia="zh-CN"/>
        </w:rPr>
        <w:t>（如为授权代表签名，乙方需提交法定代表人授权委托书）并加盖单位公章或者合同专用章之日起生效。</w:t>
      </w:r>
    </w:p>
    <w:p>
      <w:pPr>
        <w:pStyle w:val="12"/>
        <w:snapToGrid w:val="0"/>
        <w:spacing w:line="360" w:lineRule="auto"/>
        <w:rPr>
          <w:rFonts w:hint="eastAsia" w:hAnsi="宋体"/>
          <w:b/>
          <w:color w:val="auto"/>
          <w:spacing w:val="0"/>
          <w:sz w:val="21"/>
          <w:szCs w:val="21"/>
          <w:highlight w:val="none"/>
        </w:rPr>
      </w:pPr>
      <w:r>
        <w:rPr>
          <w:rFonts w:hint="eastAsia" w:hAnsi="宋体"/>
          <w:spacing w:val="0"/>
          <w:sz w:val="21"/>
          <w:szCs w:val="21"/>
          <w:highlight w:val="none"/>
        </w:rPr>
        <w:t>17.2 本合同的附件内容作为合同的组成部分，与本合同具有同等法律效力。未尽事宜由甲、乙双方另行协商并签订补充合同。</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81"/>
      <w:bookmarkEnd w:id="82"/>
      <w:bookmarkEnd w:id="83"/>
      <w:bookmarkEnd w:id="84"/>
    </w:p>
    <w:p>
      <w:pPr>
        <w:spacing w:line="360" w:lineRule="auto"/>
        <w:rPr>
          <w:rFonts w:hint="eastAsia" w:ascii="宋体" w:hAnsi="宋体" w:eastAsia="宋体" w:cs="宋体"/>
          <w:b/>
          <w:bCs/>
          <w:spacing w:val="0"/>
          <w:sz w:val="21"/>
          <w:szCs w:val="21"/>
          <w:highlight w:val="none"/>
          <w:lang w:eastAsia="zh-CN"/>
        </w:rPr>
      </w:pPr>
      <w:bookmarkStart w:id="167" w:name="_Hlk18249179"/>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67"/>
    <w:p>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r>
        <w:rPr>
          <w:rFonts w:hint="eastAsia" w:ascii="宋体" w:hAnsi="宋体" w:eastAsia="宋体" w:cs="宋体"/>
          <w:color w:val="000000"/>
          <w:spacing w:val="0"/>
          <w:sz w:val="21"/>
          <w:szCs w:val="21"/>
          <w:highlight w:val="none"/>
          <w:lang w:val="en-US" w:eastAsia="zh-CN"/>
        </w:rPr>
        <w:t>采购需求）</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pPr>
        <w:spacing w:line="360" w:lineRule="auto"/>
        <w:ind w:firstLine="420" w:firstLineChars="200"/>
        <w:rPr>
          <w:rFonts w:cs="宋体"/>
          <w:spacing w:val="0"/>
          <w:sz w:val="21"/>
          <w:szCs w:val="21"/>
          <w:highlight w:val="none"/>
          <w:lang w:eastAsia="zh-CN"/>
        </w:rPr>
      </w:pPr>
    </w:p>
    <w:p>
      <w:pPr>
        <w:spacing w:line="360" w:lineRule="auto"/>
        <w:ind w:firstLine="420" w:firstLineChars="200"/>
        <w:rPr>
          <w:rFonts w:cs="宋体"/>
          <w:spacing w:val="0"/>
          <w:sz w:val="21"/>
          <w:szCs w:val="21"/>
          <w:highlight w:val="none"/>
          <w:lang w:eastAsia="zh-CN"/>
        </w:rPr>
      </w:pPr>
    </w:p>
    <w:p>
      <w:pPr>
        <w:rPr>
          <w:rFonts w:cs="宋体"/>
          <w:spacing w:val="0"/>
          <w:sz w:val="21"/>
          <w:szCs w:val="21"/>
          <w:highlight w:val="none"/>
          <w:lang w:eastAsia="zh-CN"/>
        </w:rPr>
      </w:pPr>
      <w:r>
        <w:rPr>
          <w:rFonts w:cs="宋体"/>
          <w:spacing w:val="0"/>
          <w:sz w:val="21"/>
          <w:szCs w:val="21"/>
          <w:highlight w:val="none"/>
          <w:lang w:eastAsia="zh-CN"/>
        </w:rPr>
        <w:br w:type="page"/>
      </w:r>
    </w:p>
    <w:p>
      <w:pPr>
        <w:pStyle w:val="2"/>
        <w:rPr>
          <w:highlight w:val="none"/>
          <w:lang w:eastAsia="zh-CN"/>
        </w:rPr>
      </w:pPr>
    </w:p>
    <w:p>
      <w:pPr>
        <w:pStyle w:val="13"/>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pPr>
        <w:pStyle w:val="13"/>
        <w:rPr>
          <w:rFonts w:hAnsi="宋体"/>
          <w:b/>
          <w:spacing w:val="0"/>
          <w:sz w:val="21"/>
          <w:szCs w:val="21"/>
          <w:highlight w:val="none"/>
          <w:lang w:eastAsia="zh-CN"/>
        </w:rPr>
      </w:pPr>
    </w:p>
    <w:p>
      <w:pPr>
        <w:pStyle w:val="13"/>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地址：</w:t>
                            </w:r>
                          </w:p>
                          <w:p>
                            <w:pPr>
                              <w:pStyle w:val="11"/>
                              <w:tabs>
                                <w:tab w:val="left" w:pos="180"/>
                              </w:tabs>
                              <w:rPr>
                                <w:rFonts w:hAnsi="宋体"/>
                                <w:b/>
                                <w:kern w:val="2"/>
                                <w:szCs w:val="24"/>
                                <w:lang w:eastAsia="zh-CN"/>
                              </w:rPr>
                            </w:pPr>
                          </w:p>
                          <w:p>
                            <w:pPr>
                              <w:spacing w:line="360" w:lineRule="auto"/>
                              <w:rPr>
                                <w:rFonts w:hint="eastAsia" w:ascii="宋体" w:hAnsi="宋体"/>
                                <w:b/>
                                <w:lang w:eastAsia="zh-CN"/>
                              </w:rPr>
                            </w:pPr>
                            <w:r>
                              <w:rPr>
                                <w:rFonts w:hint="eastAsia" w:ascii="宋体" w:hAnsi="宋体"/>
                                <w:b/>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地址：</w:t>
                      </w:r>
                    </w:p>
                    <w:p>
                      <w:pPr>
                        <w:pStyle w:val="11"/>
                        <w:tabs>
                          <w:tab w:val="left" w:pos="180"/>
                        </w:tabs>
                        <w:rPr>
                          <w:rFonts w:hAnsi="宋体"/>
                          <w:b/>
                          <w:kern w:val="2"/>
                          <w:szCs w:val="24"/>
                          <w:lang w:eastAsia="zh-CN"/>
                        </w:rPr>
                      </w:pPr>
                    </w:p>
                    <w:p>
                      <w:pPr>
                        <w:spacing w:line="360" w:lineRule="auto"/>
                        <w:rPr>
                          <w:rFonts w:hint="eastAsia" w:ascii="宋体" w:hAnsi="宋体"/>
                          <w:b/>
                          <w:lang w:eastAsia="zh-CN"/>
                        </w:rPr>
                      </w:pPr>
                      <w:r>
                        <w:rPr>
                          <w:rFonts w:hint="eastAsia" w:ascii="宋体" w:hAnsi="宋体"/>
                          <w:b/>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pPr>
        <w:pStyle w:val="13"/>
        <w:rPr>
          <w:rFonts w:hAnsi="宋体"/>
          <w:b/>
          <w:spacing w:val="0"/>
          <w:sz w:val="21"/>
          <w:szCs w:val="21"/>
          <w:highlight w:val="none"/>
          <w:lang w:eastAsia="zh-CN"/>
        </w:rPr>
      </w:pPr>
    </w:p>
    <w:p>
      <w:pPr>
        <w:pStyle w:val="13"/>
        <w:rPr>
          <w:rFonts w:hAnsi="宋体"/>
          <w:b/>
          <w:spacing w:val="0"/>
          <w:sz w:val="21"/>
          <w:szCs w:val="21"/>
          <w:highlight w:val="none"/>
          <w:lang w:eastAsia="zh-CN"/>
        </w:rPr>
      </w:pPr>
    </w:p>
    <w:p>
      <w:pPr>
        <w:pStyle w:val="13"/>
        <w:spacing w:line="360" w:lineRule="auto"/>
        <w:rPr>
          <w:spacing w:val="0"/>
          <w:sz w:val="21"/>
          <w:highlight w:val="none"/>
          <w:lang w:eastAsia="zh-CN"/>
        </w:rPr>
        <w:sectPr>
          <w:footerReference r:id="rId4" w:type="default"/>
          <w:pgSz w:w="11906" w:h="16838"/>
          <w:pgMar w:top="1440" w:right="1247" w:bottom="1440" w:left="1247" w:header="851" w:footer="992" w:gutter="0"/>
          <w:pgNumType w:fmt="decimal" w:start="1"/>
          <w:cols w:space="720" w:num="1"/>
          <w:docGrid w:type="linesAndChars" w:linePitch="312" w:charSpace="0"/>
        </w:sect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
        <w:rPr>
          <w:rFonts w:hint="eastAsia"/>
          <w:highlight w:val="none"/>
          <w:lang w:val="en-US"/>
        </w:rPr>
      </w:pPr>
    </w:p>
    <w:p>
      <w:pPr>
        <w:pStyle w:val="17"/>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68" w:name="_Toc21573"/>
      <w:bookmarkEnd w:id="168"/>
      <w:bookmarkStart w:id="169"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169"/>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170" w:name="_Toc19336_WPSOffice_Level2"/>
      <w:bookmarkEnd w:id="170"/>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71" w:name="_Toc7180_WPSOffice_Level3"/>
      <w:bookmarkEnd w:id="171"/>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7"/>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72" w:name="_Toc14710_WPSOffice_Level1"/>
      <w:bookmarkEnd w:id="172"/>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（2）投标人有效的营业执照、税务登记证、组织机构代码证（或三合一证书）</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szCs w:val="21"/>
          <w:highlight w:val="none"/>
          <w:lang w:val="en-US" w:eastAsia="zh-CN"/>
        </w:rPr>
      </w:pPr>
      <w:r>
        <w:rPr>
          <w:rFonts w:hint="default" w:ascii="宋体"/>
          <w:szCs w:val="21"/>
          <w:highlight w:val="none"/>
          <w:lang w:val="en-US" w:eastAsia="zh-CN"/>
        </w:rPr>
        <w:t>（3）投标人须为具备由卫生主管部门审批的有效的《医疗机构执业许可证》的一级或以上资质的医院</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szCs w:val="21"/>
          <w:highlight w:val="none"/>
          <w:lang w:val="en-US" w:eastAsia="zh-CN"/>
        </w:rPr>
      </w:pPr>
      <w:r>
        <w:rPr>
          <w:rFonts w:hint="default" w:ascii="宋体"/>
          <w:szCs w:val="21"/>
          <w:highlight w:val="none"/>
          <w:lang w:val="en-US" w:eastAsia="zh-CN"/>
        </w:rPr>
        <w:t>（4）投标人须具备由卫生主管部门审批的有效的《放射诊疗许可证》</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default" w:ascii="宋体"/>
          <w:szCs w:val="21"/>
          <w:highlight w:val="none"/>
          <w:lang w:val="en-US" w:eastAsia="zh-CN"/>
        </w:rPr>
        <w:t>（5）医师配备</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6）</w:t>
      </w:r>
      <w:r>
        <w:rPr>
          <w:rFonts w:hint="eastAsia" w:ascii="宋体"/>
          <w:szCs w:val="21"/>
          <w:highlight w:val="none"/>
        </w:rPr>
        <w:t>诚信投标承诺书（格式见附件）</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7</w:t>
      </w:r>
      <w:r>
        <w:rPr>
          <w:rFonts w:hint="eastAsia" w:ascii="宋体"/>
          <w:szCs w:val="21"/>
          <w:highlight w:val="none"/>
        </w:rPr>
        <w:t>）</w:t>
      </w:r>
      <w:r>
        <w:rPr>
          <w:rFonts w:hint="eastAsia" w:ascii="宋体"/>
          <w:szCs w:val="21"/>
          <w:highlight w:val="none"/>
          <w:lang w:val="en-US" w:eastAsia="zh-CN"/>
        </w:rPr>
        <w:t>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（8）开标一览表（格式见附件）；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（9）投标函（格式见附件）；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（10）分项报价清单（格式见附件）；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11）</w:t>
      </w:r>
      <w:r>
        <w:rPr>
          <w:rFonts w:hint="eastAsia" w:ascii="宋体"/>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1"/>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73" w:name="_Toc425084385"/>
      <w:bookmarkStart w:id="174" w:name="_Toc451384148"/>
      <w:r>
        <w:rPr>
          <w:rFonts w:hint="eastAsia" w:ascii="宋体" w:hAnsi="宋体"/>
          <w:color w:val="000000"/>
          <w:szCs w:val="21"/>
          <w:highlight w:val="none"/>
        </w:rPr>
        <w:t>一、将遵循公</w:t>
      </w:r>
      <w:bookmarkStart w:id="175" w:name="_Toc506107356"/>
      <w:bookmarkStart w:id="176" w:name="_Toc503196197"/>
      <w:bookmarkStart w:id="177" w:name="_Toc26598"/>
      <w:r>
        <w:rPr>
          <w:rFonts w:hint="eastAsia" w:ascii="宋体" w:hAnsi="宋体"/>
          <w:color w:val="000000"/>
          <w:szCs w:val="21"/>
          <w:highlight w:val="none"/>
        </w:rPr>
        <w:t>开、公正和诚实信用</w:t>
      </w:r>
      <w:bookmarkEnd w:id="175"/>
      <w:bookmarkEnd w:id="176"/>
      <w:r>
        <w:rPr>
          <w:rFonts w:hint="eastAsia" w:ascii="宋体" w:hAnsi="宋体"/>
          <w:color w:val="000000"/>
          <w:szCs w:val="21"/>
          <w:highlight w:val="none"/>
        </w:rPr>
        <w:t>的</w:t>
      </w:r>
      <w:bookmarkEnd w:id="177"/>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w:t>
      </w:r>
      <w:r>
        <w:rPr>
          <w:rFonts w:hint="eastAsia" w:ascii="宋体" w:hAnsi="宋体"/>
          <w:color w:val="000000"/>
          <w:szCs w:val="21"/>
          <w:highlight w:val="none"/>
          <w:lang w:val="en-US" w:eastAsia="zh-CN"/>
        </w:rPr>
        <w:t>有</w:t>
      </w:r>
      <w:r>
        <w:rPr>
          <w:rFonts w:hint="eastAsia" w:ascii="宋体" w:hAnsi="宋体"/>
          <w:color w:val="000000"/>
          <w:szCs w:val="21"/>
          <w:highlight w:val="none"/>
        </w:rPr>
        <w:t>行贿犯罪</w:t>
      </w:r>
      <w:r>
        <w:rPr>
          <w:rFonts w:hint="eastAsia" w:ascii="宋体" w:hAnsi="宋体"/>
          <w:color w:val="000000"/>
          <w:szCs w:val="21"/>
          <w:highlight w:val="none"/>
          <w:lang w:val="en-US" w:eastAsia="zh-CN"/>
        </w:rPr>
        <w:t>行为</w:t>
      </w:r>
      <w:r>
        <w:rPr>
          <w:rFonts w:hint="eastAsia" w:ascii="宋体" w:hAnsi="宋体"/>
          <w:color w:val="000000"/>
          <w:szCs w:val="21"/>
          <w:highlight w:val="none"/>
        </w:rPr>
        <w:t>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以上内容我已仔细阅读，本公司若有违反承诺内容的行为，自愿接受取消投标或者中标资格、记入不良行为记录、投标保证金不予退还等有关处理，愿意承担法律责任，给招标人造成损失的，承担赔偿责任。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173"/>
    <w:bookmarkEnd w:id="174"/>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的投标总报价承包上述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pPr>
        <w:keepNext w:val="0"/>
        <w:keepLines w:val="0"/>
        <w:pageBreakBefore w:val="0"/>
        <w:tabs>
          <w:tab w:val="left" w:pos="840"/>
        </w:tabs>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我方已详细审核全部招标文件及有关附件，承诺招标文件及有关附件中所有条款。</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、一旦我方中标，我方保证</w:t>
      </w:r>
      <w:r>
        <w:rPr>
          <w:rFonts w:hint="eastAsia" w:ascii="宋体" w:hAnsi="宋体" w:eastAsia="宋体" w:cs="宋体"/>
          <w:b w:val="0"/>
          <w:bCs w:val="0"/>
          <w:color w:val="000000"/>
          <w:kern w:val="0"/>
          <w:sz w:val="24"/>
          <w:szCs w:val="24"/>
          <w:highlight w:val="none"/>
          <w:u w:color="000000"/>
          <w:lang w:val="en-US" w:eastAsia="zh-CN" w:bidi="ar"/>
        </w:rPr>
        <w:t>按照招标人要求完成服务。</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、如果我方中标我方将按照招标文件的规定提交履约担保。</w:t>
      </w:r>
      <w:r>
        <w:rPr>
          <w:rFonts w:hint="eastAsia" w:ascii="宋体" w:hAnsi="宋体" w:eastAsia="宋体" w:cs="宋体"/>
          <w:color w:val="000000"/>
          <w:sz w:val="24"/>
          <w:szCs w:val="24"/>
          <w:highlight w:val="none"/>
          <w:lang w:val="en-US" w:eastAsia="zh-CN"/>
        </w:rPr>
        <w:t>服务期满且服务质量</w:t>
      </w:r>
      <w:r>
        <w:rPr>
          <w:rFonts w:hint="eastAsia" w:ascii="宋体" w:hAnsi="宋体" w:eastAsia="宋体" w:cs="宋体"/>
          <w:color w:val="000000"/>
          <w:sz w:val="24"/>
          <w:szCs w:val="24"/>
          <w:highlight w:val="none"/>
        </w:rPr>
        <w:t>合格后，方可退还。</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、我方承诺在招标文件规定的投标有效期内不撤销投标文件。</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sz w:val="24"/>
          <w:szCs w:val="24"/>
          <w:highlight w:val="none"/>
          <w:lang w:val="en-US"/>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、我单位提供如下通讯地址：</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电子邮箱（地址），确认本项目相关法律文书均通过提供的以上地址送达，相关文书只要发送至以上电子邮箱（地址）即视为送达，投标人愿意承担一切法律后果。</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jc w:val="both"/>
        <w:textAlignment w:val="auto"/>
        <w:rPr>
          <w:rFonts w:hint="eastAsia" w:ascii="宋体" w:hAnsi="宋体" w:eastAsia="宋体" w:cs="宋体"/>
          <w:color w:val="000000"/>
          <w:kern w:val="0"/>
          <w:sz w:val="24"/>
          <w:szCs w:val="24"/>
          <w:highlight w:val="none"/>
          <w:u w:color="000000"/>
          <w:lang w:val="en-US" w:eastAsia="zh-CN" w:bidi="ar"/>
        </w:rPr>
      </w:pP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 xml:space="preserve"> </w:t>
      </w:r>
      <w:r>
        <w:rPr>
          <w:rFonts w:hint="eastAsia" w:ascii="宋体" w:hAnsi="宋体" w:eastAsia="宋体" w:cs="宋体"/>
          <w:b/>
          <w:bCs w:val="0"/>
          <w:color w:val="000000"/>
          <w:kern w:val="0"/>
          <w:sz w:val="30"/>
          <w:szCs w:val="30"/>
          <w:highlight w:val="none"/>
          <w:u w:color="000000"/>
          <w:lang w:val="en-US" w:eastAsia="zh-CN" w:bidi="ar"/>
        </w:rPr>
        <w:t>附件6</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7949" w:type="dxa"/>
        <w:jc w:val="center"/>
        <w:tblLayout w:type="fixed"/>
        <w:tblCellMar>
          <w:top w:w="15" w:type="dxa"/>
          <w:left w:w="15" w:type="dxa"/>
          <w:bottom w:w="15" w:type="dxa"/>
          <w:right w:w="15" w:type="dxa"/>
        </w:tblCellMar>
      </w:tblPr>
      <w:tblGrid>
        <w:gridCol w:w="749"/>
        <w:gridCol w:w="1725"/>
        <w:gridCol w:w="2595"/>
        <w:gridCol w:w="960"/>
        <w:gridCol w:w="960"/>
        <w:gridCol w:w="960"/>
      </w:tblGrid>
      <w:tr>
        <w:tblPrEx>
          <w:tblCellMar>
            <w:top w:w="15" w:type="dxa"/>
            <w:left w:w="15" w:type="dxa"/>
            <w:bottom w:w="15" w:type="dxa"/>
            <w:right w:w="15" w:type="dxa"/>
          </w:tblCellMar>
        </w:tblPrEx>
        <w:trPr>
          <w:trHeight w:val="684" w:hRule="atLeast"/>
          <w:tblHeader/>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rPr>
            </w:pPr>
            <w:r>
              <w:rPr>
                <w:rFonts w:hint="eastAsia" w:ascii="宋体" w:hAnsi="宋体" w:eastAsia="宋体" w:cs="宋体"/>
                <w:color w:val="000000"/>
                <w:spacing w:val="0"/>
                <w:kern w:val="0"/>
                <w:sz w:val="21"/>
                <w:szCs w:val="21"/>
                <w:highlight w:val="none"/>
              </w:rPr>
              <w:t>序号</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kern w:val="0"/>
                <w:sz w:val="21"/>
                <w:szCs w:val="21"/>
                <w:highlight w:val="none"/>
                <w:lang w:val="en-US" w:eastAsia="zh-CN"/>
              </w:rPr>
              <w:t>性别</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kern w:val="0"/>
                <w:sz w:val="21"/>
                <w:szCs w:val="21"/>
                <w:highlight w:val="none"/>
                <w:lang w:val="en-US" w:eastAsia="zh-CN"/>
              </w:rPr>
              <w:t>人数</w:t>
            </w:r>
          </w:p>
        </w:tc>
        <w:tc>
          <w:tcPr>
            <w:tcW w:w="96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综合单价（元）</w:t>
            </w:r>
          </w:p>
        </w:tc>
        <w:tc>
          <w:tcPr>
            <w:tcW w:w="96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合价（元）</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备注</w:t>
            </w: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1"/>
                <w:szCs w:val="21"/>
                <w:highlight w:val="none"/>
                <w:lang w:val="en-US" w:eastAsia="zh-CN"/>
              </w:rPr>
              <w:t>男职工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4"/>
                <w:szCs w:val="21"/>
                <w:highlight w:val="none"/>
                <w:vertAlign w:val="baseline"/>
                <w:lang w:val="en-US" w:eastAsia="zh-CN"/>
              </w:rPr>
              <w:t>131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1"/>
                <w:szCs w:val="21"/>
                <w:highlight w:val="none"/>
                <w:lang w:val="en-US" w:eastAsia="zh-CN"/>
              </w:rPr>
              <w:t>已婚女职工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4"/>
                <w:szCs w:val="21"/>
                <w:highlight w:val="none"/>
                <w:vertAlign w:val="baseline"/>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1"/>
                <w:szCs w:val="21"/>
                <w:highlight w:val="none"/>
                <w:lang w:val="en-US" w:eastAsia="zh-CN"/>
              </w:rPr>
              <w:t>未婚女职工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sz w:val="24"/>
                <w:szCs w:val="21"/>
                <w:highlight w:val="none"/>
                <w:vertAlign w:val="baseline"/>
                <w:lang w:val="en-US" w:eastAsia="zh-CN"/>
              </w:rPr>
              <w:t>65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注：1.所有投标只能选择一种方案，单价和合价的报价只能是唯一，且须列出详细的分项报价。（与采购清单项相一致，不得缺项，否则视同包含在其他项目。）</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2.清单中的人数是一个预估数量，具体按实际体检的人数结算；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3.本项目为单价合同，结算时单价不变，数量按实际体检的数量结算。</w:t>
      </w:r>
      <w:r>
        <w:rPr>
          <w:rFonts w:hint="eastAsia" w:ascii="宋体" w:hAnsi="Times New Roman" w:eastAsia="宋体" w:cs="Times New Roman"/>
          <w:color w:val="000000"/>
          <w:szCs w:val="21"/>
          <w:highlight w:val="none"/>
          <w:lang w:val="en-US" w:eastAsia="zh-CN"/>
        </w:rPr>
        <w:t>综合</w:t>
      </w:r>
      <w:r>
        <w:rPr>
          <w:rFonts w:hint="eastAsia" w:ascii="宋体" w:hAnsi="Times New Roman" w:eastAsia="宋体" w:cs="Times New Roman"/>
          <w:color w:val="000000"/>
          <w:szCs w:val="21"/>
          <w:highlight w:val="none"/>
          <w:lang w:val="zh-CN"/>
        </w:rPr>
        <w:t>单价包括</w:t>
      </w:r>
      <w:r>
        <w:rPr>
          <w:rFonts w:hint="eastAsia" w:ascii="宋体" w:hAnsi="Times New Roman" w:eastAsia="宋体" w:cs="Times New Roman"/>
          <w:color w:val="000000"/>
          <w:szCs w:val="21"/>
          <w:highlight w:val="none"/>
          <w:lang w:val="en-US" w:eastAsia="zh-CN"/>
        </w:rPr>
        <w:t>完成本项目采购需求的</w:t>
      </w:r>
      <w:r>
        <w:rPr>
          <w:rFonts w:hint="eastAsia" w:ascii="宋体" w:hAnsi="宋体" w:eastAsia="宋体" w:cs="宋体"/>
          <w:sz w:val="21"/>
          <w:szCs w:val="21"/>
          <w:highlight w:val="none"/>
        </w:rPr>
        <w:t>各项服务及工作内容的</w:t>
      </w:r>
      <w:r>
        <w:rPr>
          <w:rFonts w:hint="eastAsia" w:ascii="宋体" w:hAnsi="Times New Roman" w:eastAsia="宋体" w:cs="Times New Roman"/>
          <w:color w:val="000000"/>
          <w:szCs w:val="21"/>
          <w:highlight w:val="none"/>
          <w:lang w:val="en-US" w:eastAsia="zh-CN"/>
        </w:rPr>
        <w:t>一切费用：包括但不限于</w:t>
      </w:r>
      <w:r>
        <w:rPr>
          <w:rFonts w:hint="eastAsia" w:ascii="宋体" w:hAnsi="宋体" w:eastAsia="宋体" w:cs="宋体"/>
          <w:spacing w:val="0"/>
          <w:sz w:val="21"/>
          <w:szCs w:val="21"/>
          <w:highlight w:val="none"/>
          <w:lang w:val="en-US" w:eastAsia="zh-CN"/>
        </w:rPr>
        <w:t>运营公司员工体检、检后早餐等发生的所有费用、</w:t>
      </w:r>
      <w:r>
        <w:rPr>
          <w:rFonts w:hint="eastAsia" w:ascii="宋体" w:hAnsi="Times New Roman" w:eastAsia="宋体" w:cs="Times New Roman"/>
          <w:color w:val="000000"/>
          <w:szCs w:val="21"/>
          <w:highlight w:val="none"/>
          <w:lang w:val="en-US" w:eastAsia="zh-CN"/>
        </w:rPr>
        <w:t>交通费（如有）、利润、招标代理费、专家评审费、税金、政策性文件规定及合同包含的所有风险和责任等。</w:t>
      </w:r>
      <w:r>
        <w:rPr>
          <w:rFonts w:hint="eastAsia" w:ascii="宋体" w:hAnsi="Times New Roman" w:eastAsia="宋体" w:cs="Times New Roman"/>
          <w:color w:val="000000"/>
          <w:szCs w:val="21"/>
          <w:highlight w:val="none"/>
          <w:lang w:val="zh-CN"/>
        </w:rPr>
        <w:t>投</w:t>
      </w:r>
      <w:r>
        <w:rPr>
          <w:rFonts w:hint="eastAsia" w:ascii="宋体" w:hAnsi="Times New Roman" w:eastAsia="宋体" w:cs="Times New Roman"/>
          <w:color w:val="000000"/>
          <w:szCs w:val="21"/>
          <w:highlight w:val="none"/>
        </w:rPr>
        <w:t>标时投标人必须保证报价的完整性，如有漏报，则视为优惠，中标后不允许追加费用。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8"/>
        <w:widowControl/>
        <w:spacing w:before="0" w:beforeAutospacing="0" w:after="0" w:afterAutospacing="0" w:line="375" w:lineRule="atLeast"/>
        <w:ind w:left="0" w:right="0"/>
        <w:jc w:val="center"/>
        <w:outlineLvl w:val="0"/>
        <w:rPr>
          <w:b/>
          <w:bCs w:val="0"/>
          <w:sz w:val="32"/>
          <w:szCs w:val="32"/>
          <w:highlight w:val="none"/>
          <w:lang w:val="en-US"/>
        </w:rPr>
      </w:pPr>
      <w:bookmarkStart w:id="178" w:name="_Toc6275_WPSOffice_Level1"/>
      <w:bookmarkEnd w:id="178"/>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2023年滁宁城际运营公司员工健康体检项目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联系人：万吉权</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2023年8月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2023年8月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2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abstractNum w:abstractNumId="1">
    <w:nsid w:val="69BD3DF8"/>
    <w:multiLevelType w:val="singleLevel"/>
    <w:tmpl w:val="69BD3DF8"/>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4E2FDB"/>
    <w:rsid w:val="0AFF501E"/>
    <w:rsid w:val="0CEF01A1"/>
    <w:rsid w:val="0EBB3464"/>
    <w:rsid w:val="0F5A3543"/>
    <w:rsid w:val="11273F56"/>
    <w:rsid w:val="12431559"/>
    <w:rsid w:val="14102AD3"/>
    <w:rsid w:val="14334ED5"/>
    <w:rsid w:val="162403C8"/>
    <w:rsid w:val="165958AD"/>
    <w:rsid w:val="19C2340B"/>
    <w:rsid w:val="1A2C0203"/>
    <w:rsid w:val="1AFF1DF1"/>
    <w:rsid w:val="1B0B6A26"/>
    <w:rsid w:val="1B56742D"/>
    <w:rsid w:val="1BE83977"/>
    <w:rsid w:val="1DD7722D"/>
    <w:rsid w:val="1E452429"/>
    <w:rsid w:val="1E474369"/>
    <w:rsid w:val="1F093DEF"/>
    <w:rsid w:val="1FBE5586"/>
    <w:rsid w:val="2035457B"/>
    <w:rsid w:val="204506D8"/>
    <w:rsid w:val="208257F5"/>
    <w:rsid w:val="20F63292"/>
    <w:rsid w:val="21391D2B"/>
    <w:rsid w:val="214F60AF"/>
    <w:rsid w:val="21FC6157"/>
    <w:rsid w:val="222D5B93"/>
    <w:rsid w:val="223E0729"/>
    <w:rsid w:val="2309025E"/>
    <w:rsid w:val="27427F5F"/>
    <w:rsid w:val="287E4991"/>
    <w:rsid w:val="2E391725"/>
    <w:rsid w:val="35E820B0"/>
    <w:rsid w:val="379A4E56"/>
    <w:rsid w:val="39447D88"/>
    <w:rsid w:val="3CE35A45"/>
    <w:rsid w:val="3D7F110E"/>
    <w:rsid w:val="3D8B68BD"/>
    <w:rsid w:val="40585B1F"/>
    <w:rsid w:val="41C76417"/>
    <w:rsid w:val="42AB7679"/>
    <w:rsid w:val="440F4D94"/>
    <w:rsid w:val="44121234"/>
    <w:rsid w:val="45C02C36"/>
    <w:rsid w:val="46623AC8"/>
    <w:rsid w:val="47DC16A5"/>
    <w:rsid w:val="493A02D3"/>
    <w:rsid w:val="49560276"/>
    <w:rsid w:val="49D20DB3"/>
    <w:rsid w:val="4AA57A76"/>
    <w:rsid w:val="4B8A2C90"/>
    <w:rsid w:val="4C3857CB"/>
    <w:rsid w:val="4F522371"/>
    <w:rsid w:val="4FA422F6"/>
    <w:rsid w:val="510E11AC"/>
    <w:rsid w:val="51D84CC9"/>
    <w:rsid w:val="5523352E"/>
    <w:rsid w:val="55B51F78"/>
    <w:rsid w:val="577B334F"/>
    <w:rsid w:val="5AB972A9"/>
    <w:rsid w:val="5AC41FE9"/>
    <w:rsid w:val="5D13683D"/>
    <w:rsid w:val="5D2B5019"/>
    <w:rsid w:val="5D7002D3"/>
    <w:rsid w:val="604D11B9"/>
    <w:rsid w:val="62C47C43"/>
    <w:rsid w:val="6509245E"/>
    <w:rsid w:val="66527E86"/>
    <w:rsid w:val="668A652A"/>
    <w:rsid w:val="69954A88"/>
    <w:rsid w:val="6EA934B6"/>
    <w:rsid w:val="706E041E"/>
    <w:rsid w:val="75843174"/>
    <w:rsid w:val="76B7003F"/>
    <w:rsid w:val="771A30E5"/>
    <w:rsid w:val="77E03419"/>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2"/>
    <w:basedOn w:val="1"/>
    <w:next w:val="1"/>
    <w:link w:val="27"/>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6"/>
    <w:link w:val="25"/>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24"/>
    <w:qFormat/>
    <w:uiPriority w:val="0"/>
    <w:pPr>
      <w:spacing w:after="120" w:afterLines="0" w:afterAutospacing="0"/>
      <w:ind w:left="420" w:leftChars="200"/>
    </w:pPr>
  </w:style>
  <w:style w:type="paragraph" w:styleId="4">
    <w:name w:val="envelope return"/>
    <w:basedOn w:val="1"/>
    <w:next w:val="5"/>
    <w:qFormat/>
    <w:uiPriority w:val="0"/>
    <w:pPr>
      <w:snapToGrid w:val="0"/>
    </w:pPr>
    <w:rPr>
      <w:rFonts w:ascii="Arial" w:hAnsi="Arial"/>
    </w:rPr>
  </w:style>
  <w:style w:type="paragraph" w:styleId="5">
    <w:name w:val="toc 7"/>
    <w:basedOn w:val="1"/>
    <w:next w:val="1"/>
    <w:qFormat/>
    <w:uiPriority w:val="39"/>
    <w:pPr>
      <w:ind w:left="1260"/>
      <w:jc w:val="left"/>
    </w:pPr>
    <w:rPr>
      <w:sz w:val="18"/>
      <w:szCs w:val="18"/>
    </w:rPr>
  </w:style>
  <w:style w:type="paragraph" w:customStyle="1" w:styleId="6">
    <w:name w:val="正文文字 8"/>
    <w:basedOn w:val="1"/>
    <w:next w:val="1"/>
    <w:qFormat/>
    <w:uiPriority w:val="0"/>
    <w:pPr>
      <w:ind w:left="240"/>
    </w:pPr>
    <w:rPr>
      <w:sz w:val="16"/>
    </w:rPr>
  </w:style>
  <w:style w:type="paragraph" w:styleId="8">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next w:val="12"/>
    <w:qFormat/>
    <w:uiPriority w:val="0"/>
    <w:pPr>
      <w:widowControl w:val="0"/>
      <w:snapToGrid w:val="0"/>
      <w:spacing w:line="360" w:lineRule="auto"/>
    </w:pPr>
    <w:rPr>
      <w:rFonts w:ascii="Arial" w:hAnsi="Arial" w:eastAsia="仿宋_GB2312"/>
      <w:sz w:val="31"/>
    </w:rPr>
  </w:style>
  <w:style w:type="paragraph" w:customStyle="1" w:styleId="1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Plain Text"/>
    <w:basedOn w:val="1"/>
    <w:next w:val="1"/>
    <w:link w:val="29"/>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6"/>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0"/>
    <w:qFormat/>
    <w:uiPriority w:val="0"/>
    <w:pPr>
      <w:tabs>
        <w:tab w:val="center" w:pos="4153"/>
        <w:tab w:val="right" w:pos="8306"/>
      </w:tabs>
      <w:snapToGrid w:val="0"/>
      <w:jc w:val="left"/>
    </w:pPr>
    <w:rPr>
      <w:sz w:val="18"/>
    </w:rPr>
  </w:style>
  <w:style w:type="paragraph" w:styleId="16">
    <w:name w:val="header"/>
    <w:basedOn w:val="1"/>
    <w:link w:val="2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8">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9">
    <w:name w:val="Body Text First Indent"/>
    <w:basedOn w:val="11"/>
    <w:qFormat/>
    <w:uiPriority w:val="0"/>
    <w:pPr>
      <w:adjustRightInd/>
      <w:spacing w:after="120" w:line="240" w:lineRule="auto"/>
      <w:ind w:firstLine="420" w:firstLineChars="100"/>
      <w:jc w:val="both"/>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customStyle="1" w:styleId="24">
    <w:name w:val="正文文本缩进 Char"/>
    <w:basedOn w:val="22"/>
    <w:link w:val="3"/>
    <w:qFormat/>
    <w:uiPriority w:val="0"/>
    <w:rPr>
      <w:rFonts w:hint="default" w:ascii="Times New Roman" w:hAnsi="Times New Roman" w:eastAsia="宋体" w:cs="Times New Roman"/>
      <w:color w:val="000000"/>
      <w:kern w:val="0"/>
      <w:szCs w:val="21"/>
      <w:u w:color="000000"/>
    </w:rPr>
  </w:style>
  <w:style w:type="character" w:customStyle="1" w:styleId="25">
    <w:name w:val="正文首行缩进 2 Char"/>
    <w:basedOn w:val="24"/>
    <w:link w:val="2"/>
    <w:qFormat/>
    <w:uiPriority w:val="0"/>
    <w:rPr>
      <w:rFonts w:hint="default" w:ascii="Times New Roman" w:hAnsi="Times New Roman" w:eastAsia="宋体" w:cs="Times New Roman"/>
      <w:color w:val="000000"/>
      <w:kern w:val="0"/>
      <w:szCs w:val="21"/>
      <w:u w:color="000000"/>
    </w:rPr>
  </w:style>
  <w:style w:type="character" w:customStyle="1" w:styleId="26">
    <w:name w:val="日期 Char"/>
    <w:basedOn w:val="22"/>
    <w:link w:val="14"/>
    <w:qFormat/>
    <w:uiPriority w:val="0"/>
    <w:rPr>
      <w:rFonts w:ascii="Arial" w:hAnsi="Arial" w:eastAsia="仿宋_GB2312" w:cs="Arial"/>
      <w:color w:val="000000"/>
      <w:sz w:val="32"/>
      <w:szCs w:val="32"/>
      <w:u w:color="000000"/>
    </w:rPr>
  </w:style>
  <w:style w:type="character" w:customStyle="1" w:styleId="27">
    <w:name w:val="标题 2 Char"/>
    <w:basedOn w:val="22"/>
    <w:link w:val="7"/>
    <w:qFormat/>
    <w:uiPriority w:val="0"/>
    <w:rPr>
      <w:rFonts w:hint="default" w:ascii="Times New Roman" w:hAnsi="Times New Roman" w:eastAsia="宋体" w:cs="Times New Roman"/>
      <w:kern w:val="0"/>
      <w:sz w:val="24"/>
      <w:szCs w:val="24"/>
    </w:rPr>
  </w:style>
  <w:style w:type="character" w:customStyle="1" w:styleId="28">
    <w:name w:val="页眉 Char"/>
    <w:basedOn w:val="22"/>
    <w:link w:val="16"/>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Char"/>
    <w:basedOn w:val="22"/>
    <w:link w:val="13"/>
    <w:qFormat/>
    <w:uiPriority w:val="0"/>
    <w:rPr>
      <w:rFonts w:hint="eastAsia" w:ascii="宋体" w:hAnsi="宋体" w:eastAsia="宋体" w:cs="宋体"/>
      <w:szCs w:val="21"/>
    </w:rPr>
  </w:style>
  <w:style w:type="character" w:customStyle="1" w:styleId="30">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2">
    <w:name w:val="List Paragraph"/>
    <w:basedOn w:val="1"/>
    <w:qFormat/>
    <w:uiPriority w:val="0"/>
    <w:pPr>
      <w:widowControl w:val="0"/>
      <w:spacing w:line="240" w:lineRule="auto"/>
      <w:ind w:firstLine="200" w:firstLineChars="200"/>
      <w:textAlignment w:val="auto"/>
    </w:pPr>
    <w:rPr>
      <w:u w:val="none" w:color="000000"/>
    </w:rPr>
  </w:style>
  <w:style w:type="character" w:customStyle="1" w:styleId="33">
    <w:name w:val="NormalCharacter"/>
    <w:semiHidden/>
    <w:qFormat/>
    <w:uiPriority w:val="0"/>
  </w:style>
  <w:style w:type="paragraph" w:customStyle="1" w:styleId="3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51"/>
    <w:basedOn w:val="22"/>
    <w:qFormat/>
    <w:uiPriority w:val="0"/>
    <w:rPr>
      <w:rFonts w:hint="eastAsia" w:ascii="宋体" w:hAnsi="宋体" w:eastAsia="宋体" w:cs="宋体"/>
      <w:color w:val="000000"/>
      <w:sz w:val="22"/>
      <w:szCs w:val="22"/>
      <w:u w:val="none"/>
    </w:rPr>
  </w:style>
  <w:style w:type="character" w:customStyle="1" w:styleId="36">
    <w:name w:val="font31"/>
    <w:basedOn w:val="22"/>
    <w:qFormat/>
    <w:uiPriority w:val="0"/>
    <w:rPr>
      <w:rFonts w:hint="default" w:ascii="Times New Roman" w:hAnsi="Times New Roman" w:cs="Times New Roman"/>
      <w:color w:val="000000"/>
      <w:sz w:val="22"/>
      <w:szCs w:val="22"/>
      <w:u w:val="none"/>
    </w:rPr>
  </w:style>
  <w:style w:type="character" w:customStyle="1" w:styleId="37">
    <w:name w:val="font61"/>
    <w:basedOn w:val="22"/>
    <w:qFormat/>
    <w:uiPriority w:val="0"/>
    <w:rPr>
      <w:rFonts w:hint="default" w:ascii="Times New Roman" w:hAnsi="Times New Roman" w:cs="Times New Roman"/>
      <w:color w:val="000000"/>
      <w:sz w:val="21"/>
      <w:szCs w:val="21"/>
      <w:u w:val="none"/>
    </w:rPr>
  </w:style>
  <w:style w:type="character" w:customStyle="1" w:styleId="38">
    <w:name w:val="font71"/>
    <w:basedOn w:val="22"/>
    <w:qFormat/>
    <w:uiPriority w:val="0"/>
    <w:rPr>
      <w:rFonts w:hint="eastAsia" w:ascii="宋体" w:hAnsi="宋体" w:eastAsia="宋体" w:cs="宋体"/>
      <w:color w:val="000000"/>
      <w:sz w:val="21"/>
      <w:szCs w:val="21"/>
      <w:u w:val="none"/>
    </w:rPr>
  </w:style>
  <w:style w:type="character" w:customStyle="1" w:styleId="39">
    <w:name w:val="font01"/>
    <w:basedOn w:val="22"/>
    <w:qFormat/>
    <w:uiPriority w:val="0"/>
    <w:rPr>
      <w:rFonts w:hint="eastAsia" w:ascii="宋体" w:hAnsi="宋体" w:eastAsia="宋体" w:cs="宋体"/>
      <w:color w:val="000000"/>
      <w:sz w:val="22"/>
      <w:szCs w:val="22"/>
      <w:u w:val="none"/>
    </w:rPr>
  </w:style>
  <w:style w:type="character" w:customStyle="1" w:styleId="40">
    <w:name w:val="font11"/>
    <w:basedOn w:val="22"/>
    <w:qFormat/>
    <w:uiPriority w:val="0"/>
    <w:rPr>
      <w:rFonts w:hint="eastAsia" w:ascii="宋体" w:hAnsi="宋体" w:eastAsia="宋体" w:cs="宋体"/>
      <w:color w:val="000000"/>
      <w:sz w:val="21"/>
      <w:szCs w:val="21"/>
      <w:u w:val="none"/>
    </w:rPr>
  </w:style>
  <w:style w:type="character" w:customStyle="1" w:styleId="41">
    <w:name w:val="font41"/>
    <w:basedOn w:val="22"/>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qFormat/>
    <w:uiPriority w:val="0"/>
    <w:rPr>
      <w:rFonts w:hint="eastAsia" w:eastAsia="楷体"/>
    </w:rPr>
  </w:style>
  <w:style w:type="paragraph" w:customStyle="1" w:styleId="43">
    <w:name w:val="纯文本1"/>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24047</Words>
  <Characters>25631</Characters>
  <Lines>0</Lines>
  <Paragraphs>0</Paragraphs>
  <TotalTime>4</TotalTime>
  <ScaleCrop>false</ScaleCrop>
  <LinksUpToDate>false</LinksUpToDate>
  <CharactersWithSpaces>27778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2023-08-08T11:52:42Z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6D9A791FE09F4AF69DC46F4A104A7358</vt:lpwstr>
  </property>
</Properties>
</file>