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default" w:ascii="宋体" w:hAnsi="宋体" w:eastAsia="宋体" w:cs="宋体"/>
          <w:b/>
          <w:bCs w:val="0"/>
          <w:color w:val="000000"/>
          <w:kern w:val="0"/>
          <w:sz w:val="144"/>
          <w:szCs w:val="14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滁宁城际运营车辆段（含高架站）窗帘及配件采购项目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highlight w:val="none"/>
          <w:u w:color="000000"/>
          <w:lang w:val="en-US" w:eastAsia="zh-CN" w:bidi="ar"/>
        </w:rPr>
        <w:t>第三章  评标办法…………………………………………………………………14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采购需求…………………………………………………………………20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第五章  合同条款及格式…………………………………………………………21</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第六章  投标文件格式……………………………………………………………27</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第七章  招标人、招标代理机构对本招标文件的确认…………………………38</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滁宁城际运营车辆段（含高架站）窗帘及配件采购项目的潜在投标人应在滁州市滁宁城际铁路开发建设有限公司网站（http://czctgs.cn/）获取招标文件，并于2023年4月12日15时00分（北京时间）前递交投标文件。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项目名称：滁宁城际运营车辆段（含高架站）窗帘及配件采购项目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约29.96万元</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299600.00元，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采购需求：滁宁城际运营车辆段（含高架站）窗帘及配件采购</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供货期：本项目按照招标人要求分批次供货，自接到招标人订货通知起30个日历天内完成该批次供货。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2023年3月28日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2023年4月12日</w:t>
      </w:r>
    </w:p>
    <w:p>
      <w:pPr>
        <w:keepNext w:val="0"/>
        <w:keepLines w:val="0"/>
        <w:pageBreakBefore w:val="0"/>
        <w:kinsoku/>
        <w:overflowPunct/>
        <w:topLinePunct w:val="0"/>
        <w:autoSpaceDE/>
        <w:autoSpaceDN/>
        <w:bidi w:val="0"/>
        <w:adjustRightInd/>
        <w:snapToGrid/>
        <w:spacing w:line="44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28359082"/>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2023年4月12日15时00分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按采购清单提供不同的三种样品（样品尺寸的缩放比例由各投标人自行确定，以美观和便于移动为宜。），三个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每个样品须在右下角处分别标注：阳光面料卷帘或遮光布帘或金刚纱窗。</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④样品密封要求：样品需进行密封，否则样品得分按零分处理；在密封箱中放置加盖投标单位公章的样品清单，便于区分投标单位信息及后期核对样品。</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滁宁城际运营车辆段（含高架站）窗帘及配件采购项目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299600.00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299600.00</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4</w:t>
            </w:r>
            <w:r>
              <w:rPr>
                <w:rFonts w:cs="Times New Roman"/>
                <w:b w:val="0"/>
                <w:bCs w:val="0"/>
                <w:highlight w:val="none"/>
              </w:rPr>
              <w:t>月</w:t>
            </w:r>
            <w:r>
              <w:rPr>
                <w:rFonts w:hint="eastAsia" w:cs="Times New Roman"/>
                <w:b w:val="0"/>
                <w:bCs w:val="0"/>
                <w:highlight w:val="none"/>
                <w:lang w:val="en-US" w:eastAsia="zh-CN"/>
              </w:rPr>
              <w:t>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2023年4月7日17时后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开标时间：2023年4月12日15时00分（北京时间）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供货完成且经招标人验收合格后，按实际供货数量结算，一次性支付结算价的97%，</w:t>
            </w:r>
            <w:r>
              <w:rPr>
                <w:rFonts w:hint="eastAsia"/>
                <w:highlight w:val="none"/>
                <w:lang w:val="en-US" w:eastAsia="zh-CN"/>
              </w:rPr>
              <w:t>质保期满后（自验收合格之日起3年），一次性付清</w:t>
            </w:r>
            <w:r>
              <w:rPr>
                <w:rFonts w:hint="eastAsia" w:ascii="宋体" w:hAnsi="宋体" w:eastAsia="宋体" w:cs="宋体"/>
                <w:color w:val="000000"/>
                <w:kern w:val="2"/>
                <w:sz w:val="21"/>
                <w:szCs w:val="21"/>
                <w:highlight w:val="none"/>
                <w:u w:color="000000"/>
                <w:lang w:val="en-US" w:eastAsia="zh-CN" w:bidi="ar"/>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7、招标人将保留对中标人所提供的业绩等情况进行实地考察的权利，若考察发现有弄虚作假或发现工程存在质量等违约情形，将取消其中标资格，投标保证金不予退还，情节严重的提请相关部门对其进行处罚。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lang w:val="en-US" w:eastAsia="zh-CN"/>
              </w:rPr>
            </w:pPr>
            <w:r>
              <w:rPr>
                <w:rFonts w:hint="eastAsia"/>
                <w:lang w:val="en-US" w:eastAsia="zh-CN"/>
              </w:rPr>
              <w:t>8、本项目严禁非法转包，一经发现，招标人依法处理。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13962"/>
      <w:bookmarkEnd w:id="21"/>
      <w:bookmarkStart w:id="22" w:name="_Toc152045539"/>
      <w:bookmarkEnd w:id="22"/>
      <w:bookmarkStart w:id="23" w:name="_Toc247527563"/>
      <w:bookmarkEnd w:id="23"/>
      <w:bookmarkStart w:id="24" w:name="_Toc296602429"/>
      <w:bookmarkEnd w:id="24"/>
      <w:bookmarkStart w:id="25" w:name="_Toc144974507"/>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按采购清单提供不同的三种样品（样品尺寸的缩放比例由各投标人自行确定，以美观和便于移动为宜。），三个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19.2样品须使用顺丰快递密封送达至规定地点。样品邮寄地址：滁州市南谯区徽州路与扬子大道交叉口控制中心大楼5层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19.3每个样品须在右下角处分别标注：阳光面料卷帘或遮光布帘或金刚纱窗。</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19.4样品密封要求：样品需进行密封，否则样品得分按零分处理；在密封箱中放置加盖投标单位公章的样品清单，便于区分投标单位信息及后期核对样品。</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19.5未中标的投标人样品在公示期结束后由未中标人自行取回或选择邮件退回（顺丰到付），逾期招标人将不负责保管；中标人提供的样品在公示期结束后封存在招标人处。</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22.3投标报价的综合单价包括完成本项目全部供货及服务的一切费用：包括但不限于材料费（含</w:t>
      </w:r>
      <w:r>
        <w:rPr>
          <w:rFonts w:hint="eastAsia"/>
          <w:highlight w:val="none"/>
          <w:lang w:val="en-US" w:eastAsia="zh-CN"/>
        </w:rPr>
        <w:t>面料、轨道、辅材）</w:t>
      </w:r>
      <w:r>
        <w:rPr>
          <w:rFonts w:hint="eastAsia" w:ascii="宋体" w:hAnsi="宋体" w:eastAsia="宋体" w:cs="宋体"/>
          <w:color w:val="000000"/>
          <w:kern w:val="0"/>
          <w:sz w:val="21"/>
          <w:szCs w:val="21"/>
          <w:highlight w:val="none"/>
          <w:u w:color="000000"/>
          <w:lang w:val="en-US" w:eastAsia="zh-CN" w:bidi="ar"/>
        </w:rPr>
        <w:t>、生产加工费、装卸费、运输费、管理费、其他费用（如包装费、仓储费、保管费）、安装调试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35.1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numPr>
          <w:ilvl w:val="0"/>
          <w:numId w:val="4"/>
        </w:numPr>
        <w:spacing w:before="156" w:beforeLines="50" w:after="156" w:afterLines="50"/>
        <w:jc w:val="center"/>
        <w:outlineLvl w:val="0"/>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4"/>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5" w:name="_Toc14651"/>
      <w:bookmarkEnd w:id="45"/>
      <w:bookmarkStart w:id="46"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6"/>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numPr>
          <w:ilvl w:val="0"/>
          <w:numId w:val="5"/>
        </w:numPr>
        <w:spacing w:line="440" w:lineRule="exact"/>
        <w:ind w:firstLine="422" w:firstLineChars="200"/>
        <w:jc w:val="left"/>
        <w:rPr>
          <w:rFonts w:hint="eastAsia" w:ascii="黑体" w:eastAsia="黑体"/>
          <w:b/>
          <w:color w:val="auto"/>
          <w:szCs w:val="21"/>
          <w:highlight w:val="none"/>
        </w:rPr>
      </w:pPr>
      <w:r>
        <w:rPr>
          <w:rFonts w:hint="eastAsia" w:ascii="黑体" w:eastAsia="黑体"/>
          <w:b/>
          <w:color w:val="auto"/>
          <w:szCs w:val="21"/>
          <w:highlight w:val="none"/>
        </w:rPr>
        <w:t>评标委员会的职责</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5"/>
        </w:numPr>
        <w:spacing w:line="440" w:lineRule="exact"/>
        <w:ind w:firstLine="422" w:firstLineChars="200"/>
        <w:jc w:val="left"/>
        <w:rPr>
          <w:rFonts w:hint="eastAsia" w:ascii="黑体" w:eastAsia="黑体"/>
          <w:b/>
          <w:color w:val="auto"/>
          <w:szCs w:val="21"/>
          <w:highlight w:val="none"/>
        </w:rPr>
      </w:pPr>
      <w:r>
        <w:rPr>
          <w:rFonts w:hint="eastAsia" w:ascii="黑体" w:eastAsia="黑体"/>
          <w:b/>
          <w:color w:val="auto"/>
          <w:szCs w:val="21"/>
          <w:highlight w:val="none"/>
        </w:rPr>
        <w:t>评标程序</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评标先做准备工作，再进行</w:t>
      </w:r>
      <w:r>
        <w:rPr>
          <w:rFonts w:hint="eastAsia" w:ascii="宋体" w:hAnsi="宋体" w:cs="宋体"/>
          <w:color w:val="000000"/>
          <w:szCs w:val="21"/>
          <w:lang w:eastAsia="zh-CN"/>
        </w:rPr>
        <w:t>资信标</w:t>
      </w:r>
      <w:r>
        <w:rPr>
          <w:rFonts w:hint="eastAsia" w:ascii="宋体" w:hAnsi="宋体" w:cs="宋体"/>
          <w:color w:val="000000"/>
          <w:szCs w:val="21"/>
        </w:rPr>
        <w:t>评审，然后进行商务标评审。</w:t>
      </w:r>
    </w:p>
    <w:p>
      <w:pPr>
        <w:adjustRightInd w:val="0"/>
        <w:snapToGrid w:val="0"/>
        <w:spacing w:line="420" w:lineRule="exact"/>
        <w:ind w:firstLine="315" w:firstLineChars="150"/>
        <w:rPr>
          <w:rFonts w:hint="eastAsia" w:ascii="宋体" w:hAnsi="宋体" w:cs="宋体"/>
          <w:color w:val="000000"/>
          <w:szCs w:val="21"/>
        </w:rPr>
      </w:pPr>
      <w:bookmarkStart w:id="47" w:name="_Toc95223432"/>
      <w:r>
        <w:rPr>
          <w:rFonts w:hint="eastAsia" w:ascii="宋体" w:hAnsi="宋体" w:cs="宋体"/>
          <w:color w:val="000000"/>
          <w:szCs w:val="21"/>
        </w:rPr>
        <w:t>3.1评标准备工作</w:t>
      </w:r>
      <w:bookmarkEnd w:id="47"/>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评标委员会熟悉评标工作情况：</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（1）阅读由招标人或者其委托的工程代理机构编制的招标项目情况材料。</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（2）阅读、研究招标文件和相关评标资料，获取评标所需要的重要信息和数据，至少应了解和熟悉以下内容：招标项目的范围和性质，招标文件规定的主要技术要求、标准和商务条款。</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（3）熟悉招标文件规定的评标标准和评标方法及在评标过程中需要考虑的相关因素。</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（4）核对评标工作用表。</w:t>
      </w:r>
    </w:p>
    <w:p>
      <w:pPr>
        <w:adjustRightInd w:val="0"/>
        <w:snapToGrid w:val="0"/>
        <w:spacing w:line="420" w:lineRule="exact"/>
        <w:ind w:firstLine="315" w:firstLineChars="150"/>
        <w:rPr>
          <w:rFonts w:hint="eastAsia" w:ascii="宋体" w:hAnsi="宋体" w:cs="宋体"/>
          <w:color w:val="000000"/>
          <w:szCs w:val="21"/>
        </w:rPr>
      </w:pPr>
      <w:bookmarkStart w:id="48" w:name="_Toc95223433"/>
      <w:r>
        <w:rPr>
          <w:rFonts w:hint="eastAsia" w:ascii="宋体" w:hAnsi="宋体" w:cs="宋体"/>
          <w:color w:val="000000"/>
          <w:szCs w:val="21"/>
        </w:rPr>
        <w:t>3.2</w:t>
      </w:r>
      <w:r>
        <w:rPr>
          <w:rFonts w:hint="eastAsia" w:ascii="宋体" w:hAnsi="宋体" w:cs="宋体"/>
          <w:color w:val="000000"/>
          <w:szCs w:val="21"/>
          <w:lang w:eastAsia="zh-CN"/>
        </w:rPr>
        <w:t>资信标</w:t>
      </w:r>
      <w:r>
        <w:rPr>
          <w:rFonts w:hint="eastAsia" w:ascii="宋体" w:hAnsi="宋体" w:cs="宋体"/>
          <w:color w:val="000000"/>
          <w:szCs w:val="21"/>
        </w:rPr>
        <w:t>评审</w:t>
      </w:r>
      <w:bookmarkEnd w:id="48"/>
    </w:p>
    <w:p>
      <w:pPr>
        <w:adjustRightInd w:val="0"/>
        <w:snapToGrid w:val="0"/>
        <w:spacing w:line="420" w:lineRule="exact"/>
        <w:ind w:firstLine="315" w:firstLineChars="150"/>
        <w:rPr>
          <w:rFonts w:hint="eastAsia" w:ascii="宋体" w:hAnsi="宋体" w:cs="宋体"/>
          <w:color w:val="000000"/>
          <w:szCs w:val="21"/>
        </w:rPr>
      </w:pPr>
      <w:bookmarkStart w:id="49" w:name="_Toc95223434"/>
      <w:r>
        <w:rPr>
          <w:rFonts w:hint="eastAsia" w:ascii="宋体" w:hAnsi="宋体" w:cs="宋体"/>
          <w:color w:val="000000"/>
          <w:szCs w:val="21"/>
        </w:rPr>
        <w:t>详见</w:t>
      </w:r>
      <w:r>
        <w:rPr>
          <w:rFonts w:hint="eastAsia" w:ascii="宋体" w:hAnsi="宋体" w:cs="宋体"/>
          <w:color w:val="000000"/>
          <w:szCs w:val="21"/>
          <w:lang w:val="en-US" w:eastAsia="zh-CN"/>
        </w:rPr>
        <w:t>符合性审查表</w:t>
      </w:r>
      <w:r>
        <w:rPr>
          <w:rFonts w:hint="eastAsia" w:ascii="宋体" w:hAnsi="宋体" w:cs="宋体"/>
          <w:color w:val="000000"/>
          <w:szCs w:val="21"/>
        </w:rPr>
        <w:t>。</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3.3商务标评审</w:t>
      </w:r>
      <w:bookmarkEnd w:id="49"/>
    </w:p>
    <w:p>
      <w:pPr>
        <w:adjustRightInd w:val="0"/>
        <w:snapToGrid w:val="0"/>
        <w:spacing w:line="420" w:lineRule="exact"/>
        <w:ind w:firstLine="315" w:firstLineChars="150"/>
        <w:rPr>
          <w:rFonts w:hint="eastAsia" w:ascii="宋体" w:hAnsi="宋体" w:cs="宋体"/>
          <w:color w:val="000000"/>
          <w:szCs w:val="21"/>
        </w:rPr>
      </w:pPr>
      <w:r>
        <w:rPr>
          <w:rFonts w:hint="eastAsia" w:ascii="宋体" w:hAnsi="宋体" w:cs="宋体"/>
          <w:color w:val="000000"/>
          <w:szCs w:val="21"/>
        </w:rPr>
        <w:t>详见</w:t>
      </w:r>
      <w:r>
        <w:rPr>
          <w:rFonts w:hint="eastAsia" w:ascii="宋体" w:hAnsi="宋体" w:cs="宋体"/>
          <w:color w:val="000000"/>
          <w:szCs w:val="21"/>
          <w:lang w:val="en-US" w:eastAsia="zh-CN"/>
        </w:rPr>
        <w:t>符合性审查表</w:t>
      </w:r>
      <w:r>
        <w:rPr>
          <w:rFonts w:hint="eastAsia" w:ascii="宋体" w:hAnsi="宋体" w:cs="宋体"/>
          <w:color w:val="000000"/>
          <w:szCs w:val="21"/>
        </w:rPr>
        <w:t>。</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0" w:name="_Toc9092_WPSOffice_Level3"/>
      <w:bookmarkEnd w:id="50"/>
      <w:r>
        <w:rPr>
          <w:rFonts w:hint="eastAsia" w:ascii="黑体" w:hAnsi="宋体" w:eastAsia="黑体" w:cs="宋体"/>
          <w:b/>
          <w:bCs w:val="0"/>
          <w:color w:val="000000"/>
          <w:kern w:val="0"/>
          <w:sz w:val="21"/>
          <w:szCs w:val="21"/>
          <w:highlight w:val="none"/>
          <w:u w:color="000000"/>
          <w:lang w:val="en-US" w:eastAsia="zh-CN" w:bidi="ar"/>
        </w:rPr>
        <w:t>4.资格性审查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4.1评审细则</w:t>
      </w:r>
    </w:p>
    <w:tbl>
      <w:tblPr>
        <w:tblStyle w:val="20"/>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eastAsia" w:ascii="Times New Roman" w:hAnsi="Times New Roman" w:eastAsia="宋体" w:cs="Times New Roman"/>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highlight w:val="none"/>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5.符合性审查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1" w:name="_Toc4660368"/>
      <w:bookmarkEnd w:id="51"/>
      <w:r>
        <w:rPr>
          <w:rFonts w:hint="eastAsia" w:ascii="宋体" w:hAnsi="宋体" w:eastAsia="宋体" w:cs="宋体"/>
          <w:color w:val="000000"/>
          <w:kern w:val="0"/>
          <w:sz w:val="21"/>
          <w:szCs w:val="21"/>
          <w:highlight w:val="none"/>
          <w:u w:color="000000"/>
          <w:lang w:val="en-US" w:eastAsia="zh-CN" w:bidi="ar"/>
        </w:rPr>
        <w:t>5.1评审细则</w:t>
      </w:r>
    </w:p>
    <w:tbl>
      <w:tblPr>
        <w:tblStyle w:val="20"/>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5.4只有通过初审的投标人才能进入下一步程序。</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三、比较与评价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w:t>
      </w:r>
      <w:r>
        <w:rPr>
          <w:rFonts w:hint="eastAsia" w:ascii="宋体" w:hAnsi="宋体"/>
          <w:b/>
          <w:szCs w:val="21"/>
          <w:highlight w:val="none"/>
          <w:lang w:val="en-US" w:eastAsia="zh-CN"/>
        </w:rPr>
        <w:t>1资信</w:t>
      </w:r>
      <w:r>
        <w:rPr>
          <w:rFonts w:hint="eastAsia" w:ascii="宋体" w:hAnsi="宋体"/>
          <w:b/>
          <w:szCs w:val="21"/>
          <w:highlight w:val="none"/>
        </w:rPr>
        <w:t>评</w:t>
      </w:r>
      <w:r>
        <w:rPr>
          <w:rFonts w:hint="eastAsia" w:ascii="宋体" w:hAnsi="宋体"/>
          <w:b/>
          <w:szCs w:val="21"/>
          <w:highlight w:val="none"/>
          <w:lang w:val="en-US" w:eastAsia="zh-CN"/>
        </w:rPr>
        <w:t>分</w:t>
      </w:r>
      <w:r>
        <w:rPr>
          <w:rFonts w:hint="eastAsia" w:ascii="宋体" w:hAnsi="宋体"/>
          <w:b/>
          <w:szCs w:val="21"/>
          <w:highlight w:val="none"/>
        </w:rPr>
        <w:t>细则（</w:t>
      </w:r>
      <w:r>
        <w:rPr>
          <w:rFonts w:hint="eastAsia" w:ascii="宋体" w:hAnsi="宋体"/>
          <w:b/>
          <w:szCs w:val="21"/>
          <w:highlight w:val="none"/>
          <w:lang w:val="en-US" w:eastAsia="zh-CN"/>
        </w:rPr>
        <w:t>50</w:t>
      </w:r>
      <w:r>
        <w:rPr>
          <w:rFonts w:hint="eastAsia" w:ascii="宋体" w:hAnsi="宋体"/>
          <w:b/>
          <w:szCs w:val="21"/>
          <w:highlight w:val="none"/>
        </w:rPr>
        <w:t>分）</w:t>
      </w:r>
    </w:p>
    <w:tbl>
      <w:tblPr>
        <w:tblStyle w:val="20"/>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337"/>
        <w:gridCol w:w="962"/>
        <w:gridCol w:w="3527"/>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2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337"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业绩</w:t>
            </w:r>
          </w:p>
        </w:tc>
        <w:tc>
          <w:tcPr>
            <w:tcW w:w="962"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25分</w:t>
            </w:r>
          </w:p>
        </w:tc>
        <w:tc>
          <w:tcPr>
            <w:tcW w:w="3527" w:type="dxa"/>
            <w:noWrap w:val="0"/>
            <w:vAlign w:val="center"/>
          </w:tcPr>
          <w:p>
            <w:pPr>
              <w:keepNext w:val="0"/>
              <w:keepLines w:val="0"/>
              <w:widowControl/>
              <w:suppressLineNumbers w:val="0"/>
              <w:spacing w:before="0" w:beforeAutospacing="0" w:after="0" w:afterAutospacing="0"/>
              <w:ind w:left="0" w:right="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自2020年1月1日至投标截止时间（以合同签订时间为准），投标人提供一个类似窗帘或纱窗业绩且合同金额为10万元（含）以上的得25分，其他的不得分，本项满分25分。</w:t>
            </w:r>
          </w:p>
          <w:p>
            <w:pPr>
              <w:keepNext w:val="0"/>
              <w:keepLines w:val="0"/>
              <w:widowControl/>
              <w:suppressLineNumbers w:val="0"/>
              <w:spacing w:before="0" w:beforeAutospacing="0" w:after="0" w:afterAutospacing="0"/>
              <w:ind w:left="0" w:right="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注</w:t>
            </w:r>
            <w:r>
              <w:rPr>
                <w:rFonts w:hint="eastAsia" w:ascii="宋体" w:hAnsi="宋体" w:cs="宋体"/>
                <w:kern w:val="0"/>
                <w:szCs w:val="21"/>
                <w:highlight w:val="none"/>
                <w:lang w:val="zh-CN" w:eastAsia="zh-CN"/>
              </w:rPr>
              <w:t>：</w:t>
            </w:r>
            <w:r>
              <w:rPr>
                <w:rFonts w:hint="eastAsia" w:ascii="宋体" w:hAnsi="宋体" w:cs="宋体"/>
                <w:kern w:val="0"/>
                <w:szCs w:val="21"/>
                <w:highlight w:val="none"/>
                <w:lang w:val="en-US" w:eastAsia="zh-CN"/>
              </w:rPr>
              <w:t>金额以合同载明金额为准，金额不明确的还须另外提供支付证明或发票扫描件。</w:t>
            </w:r>
          </w:p>
        </w:tc>
        <w:tc>
          <w:tcPr>
            <w:tcW w:w="2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40" w:leftChars="0" w:right="0"/>
              <w:jc w:val="both"/>
              <w:textAlignment w:val="auto"/>
              <w:rPr>
                <w:rFonts w:hint="eastAsia" w:ascii="宋体" w:hAnsi="宋体" w:eastAsia="宋体" w:cs="仿宋_GB2312"/>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投标文件中须提供业绩合同扫描件，若合同反映不出业绩金额的还须</w:t>
            </w:r>
            <w:r>
              <w:rPr>
                <w:rFonts w:hint="eastAsia" w:ascii="宋体" w:hAnsi="宋体" w:cs="宋体"/>
                <w:kern w:val="0"/>
                <w:szCs w:val="21"/>
                <w:highlight w:val="none"/>
                <w:lang w:val="en-US" w:eastAsia="zh-CN"/>
              </w:rPr>
              <w:t>另外提供支付证明或发票扫描件。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337"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样品</w:t>
            </w:r>
          </w:p>
        </w:tc>
        <w:tc>
          <w:tcPr>
            <w:tcW w:w="962"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25分</w:t>
            </w:r>
          </w:p>
        </w:tc>
        <w:tc>
          <w:tcPr>
            <w:tcW w:w="3527" w:type="dxa"/>
            <w:noWrap w:val="0"/>
            <w:vAlign w:val="center"/>
          </w:tcPr>
          <w:p>
            <w:pPr>
              <w:keepNext w:val="0"/>
              <w:keepLines w:val="0"/>
              <w:widowControl/>
              <w:suppressLineNumbers w:val="0"/>
              <w:spacing w:before="0" w:beforeAutospacing="0" w:after="0" w:afterAutospacing="0"/>
              <w:ind w:left="0" w:right="0"/>
              <w:rPr>
                <w:rFonts w:hint="default" w:ascii="Calibri" w:hAnsi="Calibri" w:eastAsia="宋体" w:cs="Times New Roman"/>
                <w:color w:val="000000"/>
                <w:szCs w:val="21"/>
                <w:highlight w:val="none"/>
                <w:lang w:val="en-US" w:eastAsia="zh-CN"/>
              </w:rPr>
            </w:pPr>
            <w:r>
              <w:rPr>
                <w:rFonts w:hint="eastAsia" w:ascii="宋体" w:hAnsi="宋体" w:cs="宋体"/>
                <w:kern w:val="0"/>
                <w:szCs w:val="21"/>
                <w:highlight w:val="none"/>
                <w:lang w:val="en-US" w:eastAsia="zh-CN"/>
              </w:rPr>
              <w:t>横向比较各投标人提供的3种实物样品评分，优秀的得25分，良好的得20分，一般的15分。提供不全或未提供的不得分，本项满分25分。</w:t>
            </w:r>
          </w:p>
        </w:tc>
        <w:tc>
          <w:tcPr>
            <w:tcW w:w="2140" w:type="dxa"/>
            <w:noWrap w:val="0"/>
            <w:vAlign w:val="center"/>
          </w:tcPr>
          <w:p>
            <w:pPr>
              <w:keepNext w:val="0"/>
              <w:keepLines w:val="0"/>
              <w:pageBreakBefore w:val="0"/>
              <w:widowControl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240" w:lineRule="auto"/>
              <w:ind w:left="0" w:right="-21" w:rightChars="-10"/>
              <w:jc w:val="left"/>
              <w:textAlignment w:val="auto"/>
              <w:rPr>
                <w:rFonts w:hint="eastAsia" w:ascii="宋体" w:hAnsi="宋体" w:eastAsia="宋体" w:cs="宋体"/>
                <w:kern w:val="0"/>
                <w:szCs w:val="21"/>
                <w:highlight w:val="none"/>
              </w:rPr>
            </w:pPr>
            <w:r>
              <w:rPr>
                <w:rFonts w:hint="eastAsia" w:ascii="宋体" w:hAnsi="宋体" w:eastAsia="宋体" w:cs="宋体"/>
                <w:color w:val="auto"/>
                <w:sz w:val="21"/>
                <w:szCs w:val="21"/>
                <w:highlight w:val="none"/>
                <w:lang w:val="en-US" w:eastAsia="zh-CN"/>
              </w:rPr>
              <w:t>提供样品须能充分有效反映出本评分项内容。</w:t>
            </w:r>
          </w:p>
        </w:tc>
      </w:tr>
    </w:tbl>
    <w:p>
      <w:pPr>
        <w:spacing w:line="440" w:lineRule="exact"/>
        <w:ind w:firstLine="422" w:firstLineChars="200"/>
        <w:rPr>
          <w:rFonts w:hint="eastAsia"/>
          <w:lang w:val="en-US" w:eastAsia="zh-CN"/>
        </w:rPr>
      </w:pPr>
      <w:r>
        <w:rPr>
          <w:rFonts w:hint="eastAsia" w:ascii="Times New Roman" w:hAnsi="Times New Roman" w:eastAsia="宋体" w:cs="Times New Roman"/>
          <w:b/>
          <w:color w:val="000000"/>
          <w:szCs w:val="21"/>
          <w:highlight w:val="none"/>
          <w:lang w:val="en-US" w:eastAsia="zh-CN"/>
        </w:rPr>
        <w:t>注：各投标人资信标总得分为各评委评分的平均值为最终得分。取两位小数，小数点后第三位四舍五入。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6.2</w:t>
      </w:r>
      <w:r>
        <w:rPr>
          <w:rFonts w:hint="eastAsia" w:ascii="宋体" w:hAnsi="宋体"/>
          <w:b/>
          <w:szCs w:val="21"/>
          <w:highlight w:val="none"/>
        </w:rPr>
        <w:t>商务标评审细则</w:t>
      </w:r>
      <w:r>
        <w:rPr>
          <w:rFonts w:hint="eastAsia" w:ascii="宋体" w:hAnsi="宋体"/>
          <w:b/>
          <w:szCs w:val="21"/>
          <w:highlight w:val="none"/>
          <w:lang w:eastAsia="zh-CN"/>
        </w:rPr>
        <w:t>（</w:t>
      </w:r>
      <w:r>
        <w:rPr>
          <w:rFonts w:hint="eastAsia" w:ascii="宋体" w:hAnsi="宋体"/>
          <w:b/>
          <w:szCs w:val="21"/>
          <w:highlight w:val="none"/>
          <w:lang w:val="en-US" w:eastAsia="zh-CN"/>
        </w:rPr>
        <w:t>50</w:t>
      </w:r>
      <w:r>
        <w:rPr>
          <w:rFonts w:hint="eastAsia" w:ascii="宋体" w:hAnsi="宋体"/>
          <w:b/>
          <w:szCs w:val="21"/>
          <w:highlight w:val="none"/>
        </w:rPr>
        <w:t>分</w:t>
      </w:r>
      <w:r>
        <w:rPr>
          <w:rFonts w:hint="eastAsia" w:ascii="宋体" w:hAnsi="宋体"/>
          <w:b/>
          <w:szCs w:val="21"/>
          <w:highlight w:val="none"/>
          <w:lang w:eastAsia="zh-CN"/>
        </w:rPr>
        <w:t>）</w:t>
      </w:r>
    </w:p>
    <w:tbl>
      <w:tblPr>
        <w:tblStyle w:val="20"/>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Times New Roman"/>
                <w:color w:val="000000"/>
                <w:szCs w:val="21"/>
                <w:highlight w:val="none"/>
                <w:lang w:val="en-US" w:eastAsia="zh-CN"/>
              </w:rPr>
              <w:t>1、通过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bookmarkStart w:id="52" w:name="_Toc95223438"/>
      <w:r>
        <w:rPr>
          <w:rFonts w:hint="eastAsia" w:ascii="宋体" w:hAnsi="宋体" w:eastAsia="宋体" w:cs="宋体"/>
          <w:b/>
          <w:bCs w:val="0"/>
          <w:color w:val="000000"/>
          <w:kern w:val="0"/>
          <w:sz w:val="24"/>
          <w:szCs w:val="24"/>
          <w:highlight w:val="none"/>
          <w:u w:color="000000"/>
          <w:lang w:val="en-US" w:eastAsia="zh-CN" w:bidi="ar"/>
        </w:rPr>
        <w:t>四、推荐中标候选人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lang w:val="en-US" w:eastAsia="zh-CN"/>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highlight w:val="none"/>
        </w:rPr>
        <w:t>，以投标报价低的优先，投标报价仍相等</w:t>
      </w:r>
      <w:r>
        <w:rPr>
          <w:rFonts w:hint="eastAsia" w:ascii="宋体" w:hAnsi="Times New Roman" w:eastAsia="宋体" w:cs="Times New Roman"/>
          <w:color w:val="000000"/>
          <w:szCs w:val="21"/>
          <w:highlight w:val="none"/>
          <w:lang w:eastAsia="zh-CN"/>
        </w:rPr>
        <w:t>，</w:t>
      </w:r>
      <w:r>
        <w:rPr>
          <w:rFonts w:hint="eastAsia" w:ascii="宋体" w:hAnsi="Times New Roman" w:eastAsia="宋体" w:cs="Times New Roman"/>
          <w:color w:val="000000"/>
          <w:szCs w:val="21"/>
          <w:highlight w:val="none"/>
        </w:rPr>
        <w:t>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bookmarkEnd w:id="52"/>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未在投标截止时间前通过电子邮箱递交有效电子投标文件的，投标将被拒绝。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（4）未按规定的格式填写导致实质性内容不全以及实质上不响应，或者关键字迹模糊、无法辨认；经公共资源交易监督部门核准的。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3" w:name="_Toc95223440"/>
      <w:r>
        <w:rPr>
          <w:rFonts w:hint="eastAsia" w:ascii="宋体"/>
          <w:color w:val="auto"/>
          <w:szCs w:val="21"/>
          <w:highlight w:val="none"/>
          <w:lang w:val="en-US" w:eastAsia="zh-CN"/>
        </w:rPr>
        <w:t>10.评分标准</w:t>
      </w:r>
      <w:bookmarkEnd w:id="53"/>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四</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本项目为滁宁城际运营车辆段（含高架站）窗帘及配件采购，所有产品均须符合相关国家标准。</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二、采购清单</w:t>
      </w:r>
    </w:p>
    <w:tbl>
      <w:tblPr>
        <w:tblStyle w:val="20"/>
        <w:tblW w:w="94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9"/>
        <w:gridCol w:w="1928"/>
        <w:gridCol w:w="3231"/>
        <w:gridCol w:w="964"/>
        <w:gridCol w:w="1161"/>
        <w:gridCol w:w="1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物资名称</w:t>
            </w:r>
          </w:p>
        </w:tc>
        <w:tc>
          <w:tcPr>
            <w:tcW w:w="3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14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安装位置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阳光面料卷帘</w:t>
            </w:r>
          </w:p>
        </w:tc>
        <w:tc>
          <w:tcPr>
            <w:tcW w:w="3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开孔率：3%；</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下坠杆材质：铝合金；</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经纬密：36*24；</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重量：574g/㎡±5%。</w:t>
            </w: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平方米</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2030</w:t>
            </w:r>
          </w:p>
        </w:tc>
        <w:tc>
          <w:tcPr>
            <w:tcW w:w="14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办公楼、检修综合楼、调度楼、高架站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遮光布帘</w:t>
            </w:r>
          </w:p>
        </w:tc>
        <w:tc>
          <w:tcPr>
            <w:tcW w:w="32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甲醛含量：≤0.08mg/m3；</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色牢度：≤5；</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防紫外线、阻挡UV、环保可降解。</w:t>
            </w:r>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米</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920</w:t>
            </w:r>
          </w:p>
        </w:tc>
        <w:tc>
          <w:tcPr>
            <w:tcW w:w="14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宿舍楼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8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金刚纱窗</w:t>
            </w:r>
          </w:p>
        </w:tc>
        <w:tc>
          <w:tcPr>
            <w:tcW w:w="32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ind w:left="0" w:leftChars="0" w:right="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铝材1.0mm壁厚高清网。</w:t>
            </w:r>
            <w:bookmarkStart w:id="78" w:name="_GoBack"/>
            <w:bookmarkEnd w:id="78"/>
          </w:p>
        </w:tc>
        <w:tc>
          <w:tcPr>
            <w:tcW w:w="96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平方米</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350</w:t>
            </w:r>
          </w:p>
        </w:tc>
        <w:tc>
          <w:tcPr>
            <w:tcW w:w="14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宿舍楼</w:t>
            </w:r>
          </w:p>
        </w:tc>
      </w:tr>
    </w:tbl>
    <w:p>
      <w:pPr>
        <w:pStyle w:val="5"/>
        <w:ind w:left="0" w:leftChars="0" w:firstLine="0" w:firstLineChars="0"/>
        <w:jc w:val="both"/>
        <w:rPr>
          <w:rFonts w:hint="eastAsia" w:ascii="宋体" w:hAnsi="宋体" w:eastAsia="宋体" w:cs="宋体"/>
          <w:b/>
          <w:bCs/>
          <w:color w:val="000000"/>
          <w:sz w:val="21"/>
          <w:szCs w:val="21"/>
          <w:highlight w:val="none"/>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ind w:leftChars="100" w:right="0" w:right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注：1、所有报价须包含面料、轨道、辅材、生产加工、送货、安装调试等相关费用</w:t>
      </w:r>
      <w:r>
        <w:rPr>
          <w:rFonts w:hint="eastAsia" w:ascii="宋体" w:hAnsi="宋体" w:cs="宋体"/>
          <w:b/>
          <w:bCs/>
          <w:color w:val="000000"/>
          <w:sz w:val="21"/>
          <w:szCs w:val="21"/>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ind w:right="0" w:rightChars="0" w:firstLine="632" w:firstLineChars="3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2、货物清单中的预估数量是根据图纸测算数据，最终尺寸以现场实际测量为准。</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ind w:right="0" w:rightChars="0" w:firstLine="632" w:firstLineChars="3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3、采购清单</w:t>
      </w:r>
      <w:r>
        <w:rPr>
          <w:rFonts w:hint="eastAsia" w:ascii="宋体" w:hAnsi="宋体" w:eastAsia="宋体" w:cs="宋体"/>
          <w:b/>
          <w:bCs/>
          <w:color w:val="000000"/>
          <w:sz w:val="21"/>
          <w:szCs w:val="21"/>
          <w:highlight w:val="none"/>
          <w:lang w:val="zh-CN" w:eastAsia="zh-CN"/>
        </w:rPr>
        <w:t>数量为预估数量，实际采购数量以签订合同后招标人每次下达的《订货通知单》为准，</w:t>
      </w:r>
      <w:r>
        <w:rPr>
          <w:rFonts w:hint="eastAsia" w:ascii="宋体" w:hAnsi="宋体" w:eastAsia="宋体" w:cs="宋体"/>
          <w:b/>
          <w:bCs/>
          <w:color w:val="000000"/>
          <w:sz w:val="21"/>
          <w:szCs w:val="21"/>
          <w:highlight w:val="none"/>
          <w:lang w:val="en-US" w:eastAsia="zh-CN"/>
        </w:rPr>
        <w:t>并按实结算。</w:t>
      </w:r>
    </w:p>
    <w:p>
      <w:pPr>
        <w:pStyle w:val="5"/>
        <w:ind w:left="0" w:leftChars="0" w:firstLine="0" w:firstLineChars="0"/>
        <w:jc w:val="both"/>
        <w:rPr>
          <w:rFonts w:hint="eastAsia" w:ascii="宋体" w:hAnsi="宋体" w:eastAsia="宋体" w:cs="宋体"/>
          <w:b/>
          <w:bCs/>
          <w:color w:val="000000"/>
          <w:sz w:val="21"/>
          <w:szCs w:val="21"/>
          <w:highlight w:val="none"/>
          <w:lang w:val="en-US" w:eastAsia="zh-CN"/>
        </w:rPr>
      </w:pPr>
    </w:p>
    <w:p>
      <w:pPr>
        <w:rPr>
          <w:rFonts w:hint="eastAsia" w:ascii="宋体" w:hAnsi="Times New Roman" w:eastAsia="宋体" w:cs="Times New Roman"/>
          <w:b/>
          <w:bCs w:val="0"/>
          <w:color w:val="auto"/>
          <w:kern w:val="2"/>
          <w:sz w:val="32"/>
          <w:szCs w:val="32"/>
          <w:highlight w:val="none"/>
          <w:lang w:val="en-US" w:eastAsia="zh-CN" w:bidi="ar-SA"/>
        </w:rPr>
      </w:pPr>
      <w:bookmarkStart w:id="54" w:name="_Toc21484"/>
      <w:r>
        <w:rPr>
          <w:rFonts w:hint="eastAsia" w:ascii="宋体" w:hAnsi="Times New Roman" w:eastAsia="宋体" w:cs="Times New Roman"/>
          <w:b/>
          <w:bCs w:val="0"/>
          <w:color w:val="auto"/>
          <w:kern w:val="2"/>
          <w:sz w:val="32"/>
          <w:szCs w:val="32"/>
          <w:highlight w:val="none"/>
          <w:lang w:val="en-US" w:eastAsia="zh-CN" w:bidi="ar-SA"/>
        </w:rPr>
        <w:br w:type="page"/>
      </w:r>
    </w:p>
    <w:bookmarkEnd w:id="54"/>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p>
    <w:p>
      <w:pPr>
        <w:pageBreakBefore w:val="0"/>
        <w:widowControl/>
        <w:numPr>
          <w:ilvl w:val="0"/>
          <w:numId w:val="9"/>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5"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55"/>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56" w:name="_Toc152042388"/>
      <w:bookmarkStart w:id="57" w:name="_Toc179632628"/>
      <w:bookmarkStart w:id="58" w:name="_Toc296602498"/>
      <w:bookmarkStart w:id="59" w:name="_Toc144974578"/>
      <w:bookmarkStart w:id="60" w:name="_Toc247085768"/>
      <w:bookmarkStart w:id="61" w:name="_Toc246996996"/>
      <w:bookmarkStart w:id="62" w:name="_Toc152045610"/>
      <w:bookmarkStart w:id="63" w:name="_Toc246996253"/>
      <w:bookmarkStart w:id="64" w:name="_Toc469495742"/>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10"/>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10"/>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10"/>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5" w:name="_Toc23596"/>
      <w:r>
        <w:rPr>
          <w:rFonts w:hint="eastAsia" w:ascii="宋体" w:hAnsi="宋体" w:cs="宋体"/>
          <w:b/>
          <w:color w:val="auto"/>
          <w:sz w:val="30"/>
          <w:szCs w:val="30"/>
          <w:highlight w:val="none"/>
        </w:rPr>
        <w:t>二  合同条款</w:t>
      </w:r>
      <w:bookmarkEnd w:id="56"/>
      <w:bookmarkEnd w:id="57"/>
      <w:bookmarkEnd w:id="58"/>
      <w:bookmarkEnd w:id="59"/>
      <w:bookmarkEnd w:id="60"/>
      <w:bookmarkEnd w:id="61"/>
      <w:bookmarkEnd w:id="62"/>
      <w:bookmarkEnd w:id="63"/>
      <w:bookmarkEnd w:id="64"/>
      <w:bookmarkEnd w:id="65"/>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0"/>
        <w:overflowPunct w:val="0"/>
        <w:spacing w:line="440" w:lineRule="exact"/>
        <w:ind w:firstLine="0"/>
        <w:jc w:val="left"/>
        <w:rPr>
          <w:rFonts w:hint="default" w:eastAsia="宋体"/>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6" w:name="_Toc21573"/>
      <w:bookmarkEnd w:id="66"/>
      <w:bookmarkStart w:id="67"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7"/>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8" w:name="_Toc19336_WPSOffice_Level2"/>
      <w:bookmarkEnd w:id="68"/>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9" w:name="_Toc7180_WPSOffice_Level3"/>
      <w:bookmarkEnd w:id="69"/>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0" w:name="_Toc14710_WPSOffice_Level1"/>
      <w:bookmarkEnd w:id="70"/>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详细的货物名称、规格、技术参数等【附技术参数响应表、货物的详细配置清单，格式见附件】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lang w:eastAsia="zh-CN"/>
        </w:rPr>
        <w:t>招标文件中要求的资信评审（评分）的支持资料；</w:t>
      </w:r>
    </w:p>
    <w:p>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（7）样品；</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bookmarkStart w:id="71" w:name="_Toc425084385"/>
      <w:bookmarkStart w:id="72" w:name="_Toc451384148"/>
      <w:r>
        <w:rPr>
          <w:rFonts w:hint="eastAsia" w:ascii="宋体" w:hAnsi="宋体"/>
          <w:color w:val="000000"/>
          <w:szCs w:val="21"/>
        </w:rPr>
        <w:t>一、将遵循公</w:t>
      </w:r>
      <w:bookmarkStart w:id="73" w:name="_Toc506107356"/>
      <w:bookmarkStart w:id="74" w:name="_Toc503196197"/>
      <w:bookmarkStart w:id="75" w:name="_Toc26598"/>
      <w:r>
        <w:rPr>
          <w:rFonts w:hint="eastAsia" w:ascii="宋体" w:hAnsi="宋体"/>
          <w:color w:val="000000"/>
          <w:szCs w:val="21"/>
        </w:rPr>
        <w:t>开、公正和诚实信用</w:t>
      </w:r>
      <w:bookmarkEnd w:id="73"/>
      <w:bookmarkEnd w:id="74"/>
      <w:r>
        <w:rPr>
          <w:rFonts w:hint="eastAsia" w:ascii="宋体" w:hAnsi="宋体"/>
          <w:color w:val="000000"/>
          <w:szCs w:val="21"/>
        </w:rPr>
        <w:t>的</w:t>
      </w:r>
      <w:bookmarkEnd w:id="75"/>
      <w:r>
        <w:rPr>
          <w:rFonts w:hint="eastAsia" w:ascii="宋体" w:hAnsi="宋体"/>
          <w:color w:val="000000"/>
          <w:szCs w:val="21"/>
        </w:rPr>
        <w:t>原则自愿参加</w:t>
      </w:r>
      <w:r>
        <w:rPr>
          <w:rFonts w:hint="eastAsia" w:ascii="宋体" w:hAnsi="宋体"/>
          <w:color w:val="000000"/>
          <w:szCs w:val="21"/>
          <w:u w:val="single"/>
        </w:rPr>
        <w:t xml:space="preserve">                     （项目名称）</w:t>
      </w:r>
      <w:r>
        <w:rPr>
          <w:rFonts w:hint="eastAsia" w:ascii="宋体" w:hAnsi="宋体"/>
          <w:color w:val="000000"/>
          <w:szCs w:val="21"/>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rPr>
      </w:pPr>
      <w:r>
        <w:rPr>
          <w:rFonts w:hint="eastAsia" w:ascii="宋体" w:hAnsi="宋体"/>
          <w:color w:val="000000"/>
          <w:szCs w:val="21"/>
        </w:rPr>
        <w:t>六、</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lang w:eastAsia="zh-CN"/>
        </w:rPr>
      </w:pPr>
      <w:r>
        <w:rPr>
          <w:rFonts w:hint="eastAsia" w:ascii="宋体" w:hAnsi="宋体"/>
          <w:color w:val="000000"/>
          <w:szCs w:val="21"/>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71"/>
    <w:bookmarkEnd w:id="72"/>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4</w:t>
      </w:r>
      <w:r>
        <w:rPr>
          <w:rFonts w:hint="eastAsia" w:ascii="宋体" w:hAnsi="宋体" w:eastAsia="宋体" w:cs="宋体"/>
          <w:b/>
          <w:bCs w:val="0"/>
          <w:color w:val="000000"/>
          <w:kern w:val="0"/>
          <w:sz w:val="28"/>
          <w:szCs w:val="28"/>
          <w:highlight w:val="none"/>
          <w:u w:color="000000"/>
          <w:lang w:val="en-US" w:eastAsia="zh-CN" w:bidi="ar"/>
        </w:rPr>
        <w:t>：</w:t>
      </w:r>
    </w:p>
    <w:p>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20"/>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所投产品正面照片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default" w:ascii="宋体" w:hAnsi="宋体" w:cs="宋体"/>
                <w:color w:val="auto"/>
                <w:szCs w:val="21"/>
                <w:highlight w:val="none"/>
              </w:rPr>
              <w:t>…</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0"/>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pStyle w:val="2"/>
        <w:rPr>
          <w:rFonts w:hint="eastAsia"/>
          <w:lang w:val="en-US" w:eastAsia="zh-CN"/>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6" w:name="_Toc27638_WPSOffice_Level2"/>
      <w:bookmarkEnd w:id="7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rPr>
          <w:highlight w:val="none"/>
          <w:lang w:val="en-US"/>
        </w:rPr>
      </w:pPr>
      <w:r>
        <w:rPr>
          <w:highlight w:val="none"/>
          <w:lang w:val="en-US"/>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3</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lang w:val="en-US" w:eastAsia="zh-CN"/>
        </w:rPr>
        <w:t>完成本项目全部供货及服务的一切费用：</w:t>
      </w:r>
      <w:r>
        <w:rPr>
          <w:rFonts w:hint="eastAsia" w:ascii="宋体" w:hAnsi="宋体" w:eastAsia="宋体" w:cs="宋体"/>
          <w:color w:val="000000"/>
          <w:kern w:val="0"/>
          <w:sz w:val="21"/>
          <w:szCs w:val="21"/>
          <w:highlight w:val="none"/>
          <w:u w:color="000000"/>
          <w:lang w:val="en-US" w:eastAsia="zh-CN" w:bidi="ar"/>
        </w:rPr>
        <w:t>包括但不限于材料费（含</w:t>
      </w:r>
      <w:r>
        <w:rPr>
          <w:rFonts w:hint="eastAsia"/>
          <w:highlight w:val="none"/>
          <w:lang w:val="en-US" w:eastAsia="zh-CN"/>
        </w:rPr>
        <w:t>面料、轨道、辅材）</w:t>
      </w:r>
      <w:r>
        <w:rPr>
          <w:rFonts w:hint="eastAsia" w:ascii="宋体" w:hAnsi="宋体" w:eastAsia="宋体" w:cs="宋体"/>
          <w:color w:val="000000"/>
          <w:kern w:val="0"/>
          <w:sz w:val="21"/>
          <w:szCs w:val="21"/>
          <w:highlight w:val="none"/>
          <w:u w:color="000000"/>
          <w:lang w:val="en-US" w:eastAsia="zh-CN" w:bidi="ar"/>
        </w:rPr>
        <w:t>、生产加工费、装卸费、运输费、管理费、其他费用（如包装费、仓储费、保管费）、安装调试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3.货物清单中的预估数量是根据图纸测算数据，最终尺寸以现场实际测量为准。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4.采购清单</w:t>
      </w:r>
      <w:r>
        <w:rPr>
          <w:rFonts w:hint="eastAsia" w:ascii="宋体" w:hAnsi="宋体" w:cs="宋体"/>
          <w:color w:val="000000"/>
          <w:szCs w:val="21"/>
          <w:highlight w:val="none"/>
          <w:lang w:val="zh-CN"/>
        </w:rPr>
        <w:t>数量为预估数量，实际采购数量以签订合同后招标人每次下达的《订货通知单》为准，</w:t>
      </w:r>
      <w:r>
        <w:rPr>
          <w:rFonts w:hint="eastAsia" w:ascii="宋体" w:hAnsi="宋体" w:cs="宋体"/>
          <w:color w:val="000000"/>
          <w:szCs w:val="21"/>
          <w:highlight w:val="none"/>
          <w:lang w:val="en-US" w:eastAsia="zh-CN"/>
        </w:rPr>
        <w:t>并按实结算。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77" w:name="_Toc6275_WPSOffice_Level1"/>
      <w:bookmarkEnd w:id="77"/>
      <w:r>
        <w:rPr>
          <w:b/>
          <w:bCs w:val="0"/>
          <w:sz w:val="32"/>
          <w:szCs w:val="32"/>
          <w:highlight w:val="none"/>
          <w:lang w:eastAsia="zh-CN"/>
        </w:rPr>
        <w:t>第</w:t>
      </w:r>
      <w:r>
        <w:rPr>
          <w:rFonts w:hint="eastAsia"/>
          <w:b/>
          <w:bCs w:val="0"/>
          <w:sz w:val="32"/>
          <w:szCs w:val="32"/>
          <w:highlight w:val="none"/>
          <w:lang w:val="en-US" w:eastAsia="zh-CN"/>
        </w:rPr>
        <w:t>七</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滁宁城际运营车辆段（含高架站）窗帘及配件采购项目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66DE4"/>
    <w:multiLevelType w:val="singleLevel"/>
    <w:tmpl w:val="B9A66DE4"/>
    <w:lvl w:ilvl="0" w:tentative="0">
      <w:start w:val="1"/>
      <w:numFmt w:val="decimal"/>
      <w:lvlText w:val="%1."/>
      <w:lvlJc w:val="left"/>
      <w:pPr>
        <w:tabs>
          <w:tab w:val="left" w:pos="312"/>
        </w:tabs>
      </w:pPr>
    </w:lvl>
  </w:abstractNum>
  <w:abstractNum w:abstractNumId="1">
    <w:nsid w:val="F2A3468D"/>
    <w:multiLevelType w:val="singleLevel"/>
    <w:tmpl w:val="F2A3468D"/>
    <w:lvl w:ilvl="0" w:tentative="0">
      <w:start w:val="19"/>
      <w:numFmt w:val="decimal"/>
      <w:suff w:val="space"/>
      <w:lvlText w:val="%1."/>
      <w:lvlJc w:val="left"/>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181D5CA9"/>
    <w:multiLevelType w:val="singleLevel"/>
    <w:tmpl w:val="181D5CA9"/>
    <w:lvl w:ilvl="0" w:tentative="0">
      <w:start w:val="35"/>
      <w:numFmt w:val="decimal"/>
      <w:lvlText w:val="%1."/>
      <w:lvlJc w:val="left"/>
      <w:pPr>
        <w:tabs>
          <w:tab w:val="left" w:pos="312"/>
        </w:tabs>
      </w:pPr>
    </w:lvl>
  </w:abstractNum>
  <w:abstractNum w:abstractNumId="5">
    <w:nsid w:val="1850FA64"/>
    <w:multiLevelType w:val="singleLevel"/>
    <w:tmpl w:val="1850FA64"/>
    <w:lvl w:ilvl="0" w:tentative="0">
      <w:start w:val="1"/>
      <w:numFmt w:val="decimal"/>
      <w:lvlText w:val="%1."/>
      <w:lvlJc w:val="left"/>
      <w:pPr>
        <w:tabs>
          <w:tab w:val="left" w:pos="312"/>
        </w:tabs>
      </w:pPr>
    </w:lvl>
  </w:abstractNum>
  <w:abstractNum w:abstractNumId="6">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D689852"/>
    <w:multiLevelType w:val="singleLevel"/>
    <w:tmpl w:val="2D689852"/>
    <w:lvl w:ilvl="0" w:tentative="0">
      <w:start w:val="2"/>
      <w:numFmt w:val="decimal"/>
      <w:suff w:val="nothing"/>
      <w:lvlText w:val="%1．"/>
      <w:lvlJc w:val="left"/>
    </w:lvl>
  </w:abstractNum>
  <w:abstractNum w:abstractNumId="8">
    <w:nsid w:val="35294BC1"/>
    <w:multiLevelType w:val="singleLevel"/>
    <w:tmpl w:val="35294BC1"/>
    <w:lvl w:ilvl="0" w:tentative="0">
      <w:start w:val="3"/>
      <w:numFmt w:val="chineseCounting"/>
      <w:suff w:val="space"/>
      <w:lvlText w:val="第%1章"/>
      <w:lvlJc w:val="left"/>
      <w:rPr>
        <w:rFonts w:hint="eastAsia"/>
      </w:rPr>
    </w:lvl>
  </w:abstractNum>
  <w:abstractNum w:abstractNumId="9">
    <w:nsid w:val="610C7F8F"/>
    <w:multiLevelType w:val="singleLevel"/>
    <w:tmpl w:val="610C7F8F"/>
    <w:lvl w:ilvl="0" w:tentative="0">
      <w:start w:val="1"/>
      <w:numFmt w:val="decimal"/>
      <w:lvlText w:val="%1."/>
      <w:lvlJc w:val="left"/>
      <w:pPr>
        <w:tabs>
          <w:tab w:val="left" w:pos="312"/>
        </w:tabs>
      </w:pPr>
    </w:lvl>
  </w:abstractNum>
  <w:num w:numId="1">
    <w:abstractNumId w:val="1"/>
  </w:num>
  <w:num w:numId="2">
    <w:abstractNumId w:val="6"/>
  </w:num>
  <w:num w:numId="3">
    <w:abstractNumId w:val="4"/>
  </w:num>
  <w:num w:numId="4">
    <w:abstractNumId w:val="8"/>
  </w:num>
  <w:num w:numId="5">
    <w:abstractNumId w:val="7"/>
  </w:num>
  <w:num w:numId="6">
    <w:abstractNumId w:val="0"/>
  </w:num>
  <w:num w:numId="7">
    <w:abstractNumId w:val="9"/>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32031D0"/>
    <w:rsid w:val="06D54ED0"/>
    <w:rsid w:val="0AFF501E"/>
    <w:rsid w:val="0CEF01A1"/>
    <w:rsid w:val="0EBB3464"/>
    <w:rsid w:val="0F5A3543"/>
    <w:rsid w:val="11273F56"/>
    <w:rsid w:val="12431559"/>
    <w:rsid w:val="14334ED5"/>
    <w:rsid w:val="162403C8"/>
    <w:rsid w:val="1A2C0203"/>
    <w:rsid w:val="1B0B6A26"/>
    <w:rsid w:val="1DD7722D"/>
    <w:rsid w:val="1E474369"/>
    <w:rsid w:val="1FBE5586"/>
    <w:rsid w:val="2035457B"/>
    <w:rsid w:val="204506D8"/>
    <w:rsid w:val="20F63292"/>
    <w:rsid w:val="21391D2B"/>
    <w:rsid w:val="21FC6157"/>
    <w:rsid w:val="222D5B93"/>
    <w:rsid w:val="27427F5F"/>
    <w:rsid w:val="287E4991"/>
    <w:rsid w:val="3D7F110E"/>
    <w:rsid w:val="3D8B68BD"/>
    <w:rsid w:val="40585B1F"/>
    <w:rsid w:val="41C76417"/>
    <w:rsid w:val="42AB7679"/>
    <w:rsid w:val="42F933B2"/>
    <w:rsid w:val="440F4D94"/>
    <w:rsid w:val="44121234"/>
    <w:rsid w:val="45602117"/>
    <w:rsid w:val="46501639"/>
    <w:rsid w:val="47DC16A5"/>
    <w:rsid w:val="49560276"/>
    <w:rsid w:val="4B8A2C90"/>
    <w:rsid w:val="4C3857CB"/>
    <w:rsid w:val="4F522371"/>
    <w:rsid w:val="510E11AC"/>
    <w:rsid w:val="5523352E"/>
    <w:rsid w:val="57D3727A"/>
    <w:rsid w:val="5AB972A9"/>
    <w:rsid w:val="5AC41FE9"/>
    <w:rsid w:val="5D2B5019"/>
    <w:rsid w:val="5D7002D3"/>
    <w:rsid w:val="604D11B9"/>
    <w:rsid w:val="62C47C43"/>
    <w:rsid w:val="6509245E"/>
    <w:rsid w:val="668A652A"/>
    <w:rsid w:val="6EA934B6"/>
    <w:rsid w:val="706E041E"/>
    <w:rsid w:val="72A03324"/>
    <w:rsid w:val="746C0AE0"/>
    <w:rsid w:val="75843174"/>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20549</Words>
  <Characters>21580</Characters>
  <Lines>0</Lines>
  <Paragraphs>0</Paragraphs>
  <TotalTime>24</TotalTime>
  <ScaleCrop>false</ScaleCrop>
  <LinksUpToDate>false</LinksUpToDate>
  <CharactersWithSpaces>24197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2023-03-28T05:28:34Z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