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highlight w:val="none"/>
          <w:lang w:val="en-US"/>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滁州至南京城际铁路（滁州段）一、二期工程职业病危害预评价技术服务采购项目</w:t>
      </w:r>
      <w:r>
        <w:rPr>
          <w:rFonts w:hint="eastAsia" w:ascii="宋体" w:hAnsi="宋体" w:eastAsia="宋体" w:cs="宋体"/>
          <w:b/>
          <w:bCs w:val="0"/>
          <w:color w:val="000000"/>
          <w:kern w:val="0"/>
          <w:sz w:val="84"/>
          <w:szCs w:val="8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r>
        <w:rPr>
          <w:highlight w:val="none"/>
          <w:lang w:val="en-US"/>
        </w:rPr>
        <w:t xml:space="preserve"> </w:t>
      </w:r>
    </w:p>
    <w:p>
      <w:pPr>
        <w:pStyle w:val="20"/>
        <w:widowControl/>
        <w:rPr>
          <w:highlight w:val="none"/>
          <w:lang w:val="en-US"/>
        </w:rPr>
      </w:pPr>
    </w:p>
    <w:p>
      <w:pPr>
        <w:pStyle w:val="20"/>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pPr>
        <w:pStyle w:val="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8</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26</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29</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37</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48</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20"/>
        <w:keepNext w:val="0"/>
        <w:keepLines w:val="0"/>
        <w:pageBreakBefore w:val="0"/>
        <w:widowControl/>
        <w:kinsoku/>
        <w:overflowPunct/>
        <w:topLinePunct w:val="0"/>
        <w:autoSpaceDN/>
        <w:bidi w:val="0"/>
        <w:adjustRightInd/>
        <w:snapToGrid/>
        <w:spacing w:beforeAutospacing="0" w:afterAutospacing="0" w:line="42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58430305"/>
      <w:bookmarkEnd w:id="5"/>
      <w:bookmarkStart w:id="6" w:name="_Toc35393621"/>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滁州至南京城际铁路（滁州段）一、二期工程职业病危害预评价技术服务采购项目的潜在投标人应在滁州市滁宁城际铁路开发建设有限公司网站（http://czctgs.cn/）获取招标文件，并于2023年3月31日16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项目名称：滁州至南京城际铁路（滁州段）一、二期工程职业病危害预评价技术服务采购项目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项目预算金额：约12万元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最高限价：本项目最高限价为（人民币）120000元，投标报价不得超过最高限价，否则按无效投标处理。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服务范围：滁州至南京城际铁路（滁州段）一、二期工程工作场所及相关区域，完成工作（包含但不限于）如下：①完成职业病危害预评价及专家评审；</w:t>
      </w:r>
      <w:r>
        <w:rPr>
          <w:rFonts w:hint="default" w:ascii="宋体" w:hAnsi="宋体" w:eastAsia="宋体" w:cs="宋体"/>
          <w:color w:val="000000"/>
          <w:kern w:val="0"/>
          <w:sz w:val="21"/>
          <w:szCs w:val="21"/>
          <w:highlight w:val="none"/>
          <w:u w:color="000000"/>
          <w:lang w:val="en-US" w:eastAsia="zh-CN" w:bidi="ar"/>
        </w:rPr>
        <w:t>②</w:t>
      </w:r>
      <w:r>
        <w:rPr>
          <w:rFonts w:hint="eastAsia" w:ascii="宋体" w:hAnsi="宋体" w:eastAsia="宋体" w:cs="宋体"/>
          <w:color w:val="000000"/>
          <w:kern w:val="0"/>
          <w:sz w:val="21"/>
          <w:szCs w:val="21"/>
          <w:highlight w:val="none"/>
          <w:u w:color="000000"/>
          <w:lang w:val="en-US" w:eastAsia="zh-CN" w:bidi="ar"/>
        </w:rPr>
        <w:t xml:space="preserve">咨询指导设计部门进行职业病防护设施设计编制。 </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周期：具体项目实施时间以招标人通知为准，收到招标人通知后25个工作日内完成职业病危害预评价。取得专家评审意见，并完成该项目职业病防护设施设计咨询指导。工作节点必须满足滁州至南京城际铁路（滁州段）一、二期开通节点要求，否则全额扣除其履约保证金且取消剩余合同价款的40%。</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二、</w:t>
      </w:r>
      <w:r>
        <w:rPr>
          <w:rFonts w:hint="eastAsia" w:ascii="宋体" w:hAnsi="宋体" w:eastAsia="宋体" w:cs="宋体"/>
          <w:b/>
          <w:bCs w:val="0"/>
          <w:color w:val="000000"/>
          <w:kern w:val="0"/>
          <w:sz w:val="21"/>
          <w:szCs w:val="21"/>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1.投标人须具备相应服务能力且具有独立法人资格或事业单位法人证书。</w:t>
      </w:r>
    </w:p>
    <w:p>
      <w:pPr>
        <w:widowControl/>
        <w:autoSpaceDE w:val="0"/>
        <w:spacing w:line="42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投标人须具备卫生健康行政部门颁发的职业卫生技术服务机构资质证书（服务范围</w:t>
      </w:r>
      <w:r>
        <w:rPr>
          <w:rFonts w:hint="eastAsia" w:ascii="宋体" w:hAnsi="宋体" w:eastAsia="宋体" w:cs="宋体"/>
          <w:szCs w:val="21"/>
          <w:highlight w:val="none"/>
          <w:lang w:val="en-US" w:eastAsia="zh-CN"/>
        </w:rPr>
        <w:t>同时包</w:t>
      </w:r>
      <w:r>
        <w:rPr>
          <w:rFonts w:hint="eastAsia" w:ascii="宋体" w:hAnsi="宋体" w:eastAsia="宋体" w:cs="宋体"/>
          <w:szCs w:val="21"/>
          <w:highlight w:val="none"/>
        </w:rPr>
        <w:t>含交通运输</w:t>
      </w:r>
      <w:r>
        <w:rPr>
          <w:rFonts w:hint="eastAsia" w:ascii="宋体" w:hAnsi="宋体" w:eastAsia="宋体" w:cs="宋体"/>
          <w:szCs w:val="21"/>
          <w:highlight w:val="none"/>
          <w:lang w:val="en-US" w:eastAsia="zh-CN"/>
        </w:rPr>
        <w:t>及核技术工业应用</w:t>
      </w:r>
      <w:r>
        <w:rPr>
          <w:rFonts w:hint="eastAsia" w:ascii="宋体" w:hAnsi="宋体" w:eastAsia="宋体" w:cs="宋体"/>
          <w:szCs w:val="21"/>
          <w:highlight w:val="none"/>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u w:val="single"/>
          <w:lang w:val="en-US"/>
        </w:rPr>
      </w:pPr>
      <w:r>
        <w:rPr>
          <w:rFonts w:hint="eastAsia" w:ascii="宋体" w:hAnsi="宋体" w:eastAsia="宋体" w:cs="宋体"/>
          <w:color w:val="000000"/>
          <w:kern w:val="0"/>
          <w:sz w:val="21"/>
          <w:szCs w:val="21"/>
          <w:highlight w:val="none"/>
          <w:u w:color="000000"/>
          <w:lang w:val="en-US" w:eastAsia="zh-CN" w:bidi="ar"/>
        </w:rPr>
        <w:t>时间：</w:t>
      </w:r>
      <w:r>
        <w:rPr>
          <w:rFonts w:hint="eastAsia" w:ascii="宋体" w:hAnsi="宋体" w:eastAsia="宋体" w:cs="宋体"/>
          <w:color w:val="000000"/>
          <w:kern w:val="0"/>
          <w:sz w:val="21"/>
          <w:szCs w:val="21"/>
          <w:highlight w:val="none"/>
          <w:u w:val="single" w:color="000000"/>
          <w:lang w:val="en-US" w:eastAsia="zh-CN" w:bidi="ar"/>
        </w:rPr>
        <w:t xml:space="preserve"> 2023年3月23</w:t>
      </w:r>
      <w:bookmarkStart w:id="148" w:name="_GoBack"/>
      <w:bookmarkEnd w:id="148"/>
      <w:r>
        <w:rPr>
          <w:rFonts w:hint="eastAsia" w:ascii="宋体" w:hAnsi="宋体" w:eastAsia="宋体" w:cs="宋体"/>
          <w:color w:val="000000"/>
          <w:kern w:val="0"/>
          <w:sz w:val="21"/>
          <w:szCs w:val="21"/>
          <w:highlight w:val="none"/>
          <w:u w:val="single" w:color="000000"/>
          <w:lang w:val="en-US" w:eastAsia="zh-CN" w:bidi="ar"/>
        </w:rPr>
        <w:t>日</w:t>
      </w:r>
      <w:r>
        <w:rPr>
          <w:rFonts w:hint="eastAsia" w:ascii="宋体" w:hAnsi="宋体" w:eastAsia="宋体" w:cs="宋体"/>
          <w:color w:val="000000"/>
          <w:kern w:val="0"/>
          <w:sz w:val="21"/>
          <w:szCs w:val="21"/>
          <w:highlight w:val="none"/>
          <w:u w:color="000000"/>
          <w:lang w:val="en-US" w:eastAsia="zh-CN" w:bidi="ar"/>
        </w:rPr>
        <w:t>至</w:t>
      </w:r>
      <w:r>
        <w:rPr>
          <w:rFonts w:hint="eastAsia" w:ascii="宋体" w:hAnsi="宋体" w:eastAsia="宋体" w:cs="宋体"/>
          <w:color w:val="000000"/>
          <w:kern w:val="0"/>
          <w:sz w:val="21"/>
          <w:szCs w:val="21"/>
          <w:highlight w:val="none"/>
          <w:u w:val="single" w:color="000000"/>
          <w:lang w:val="en-US" w:eastAsia="zh-CN" w:bidi="ar"/>
        </w:rPr>
        <w:t xml:space="preserve"> 2023年3月31日</w:t>
      </w:r>
    </w:p>
    <w:p>
      <w:pPr>
        <w:keepNext w:val="0"/>
        <w:keepLines w:val="0"/>
        <w:pageBreakBefore w:val="0"/>
        <w:kinsoku/>
        <w:overflowPunct/>
        <w:topLinePunct w:val="0"/>
        <w:autoSpaceDE/>
        <w:autoSpaceDN/>
        <w:bidi w:val="0"/>
        <w:adjustRightInd/>
        <w:snapToGrid/>
        <w:spacing w:line="42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000000"/>
          <w:kern w:val="0"/>
          <w:sz w:val="21"/>
          <w:szCs w:val="21"/>
          <w:highlight w:val="none"/>
          <w:u w:color="000000"/>
          <w:lang w:val="en-US" w:eastAsia="zh-CN" w:bidi="ar"/>
        </w:rPr>
        <w:t>地点：</w:t>
      </w:r>
      <w:r>
        <w:rPr>
          <w:rFonts w:hint="eastAsia" w:ascii="宋体" w:hAnsi="宋体" w:eastAsia="宋体" w:cs="宋体"/>
          <w:color w:val="auto"/>
          <w:sz w:val="21"/>
          <w:szCs w:val="21"/>
          <w:highlight w:val="none"/>
          <w:lang w:eastAsia="zh-CN"/>
        </w:rPr>
        <w:t>滁州市滁宁城际铁路开发建设有限公司</w:t>
      </w:r>
      <w:r>
        <w:rPr>
          <w:rFonts w:hint="eastAsia" w:ascii="宋体" w:hAnsi="宋体" w:eastAsia="宋体" w:cs="宋体"/>
          <w:color w:val="auto"/>
          <w:sz w:val="21"/>
          <w:szCs w:val="21"/>
          <w:highlight w:val="none"/>
        </w:rPr>
        <w:t>网站</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http://czctgs.cn/</w:t>
      </w:r>
      <w:r>
        <w:rPr>
          <w:rFonts w:hint="eastAsia" w:ascii="宋体" w:hAnsi="宋体" w:eastAsia="宋体" w:cs="宋体"/>
          <w:color w:val="auto"/>
          <w:sz w:val="21"/>
          <w:szCs w:val="21"/>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05"/>
      <w:bookmarkEnd w:id="10"/>
      <w:bookmarkStart w:id="11" w:name="_Toc35393793"/>
      <w:bookmarkEnd w:id="11"/>
      <w:bookmarkStart w:id="12" w:name="_Toc58430308"/>
      <w:bookmarkEnd w:id="12"/>
      <w:bookmarkStart w:id="13" w:name="_Toc28359082"/>
      <w:bookmarkEnd w:id="13"/>
      <w:r>
        <w:rPr>
          <w:rFonts w:hint="eastAsia" w:ascii="宋体" w:hAnsi="宋体" w:eastAsia="宋体" w:cs="宋体"/>
          <w:b/>
          <w:color w:val="auto"/>
          <w:sz w:val="21"/>
          <w:szCs w:val="21"/>
          <w:highlight w:val="none"/>
        </w:rPr>
        <w:t>四、提交投标文件截止时间、开标时间和</w:t>
      </w:r>
      <w:r>
        <w:rPr>
          <w:rFonts w:hint="eastAsia" w:ascii="宋体" w:hAnsi="宋体" w:eastAsia="宋体" w:cs="宋体"/>
          <w:b/>
          <w:color w:val="auto"/>
          <w:sz w:val="21"/>
          <w:szCs w:val="21"/>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截止时间：</w:t>
      </w:r>
      <w:r>
        <w:rPr>
          <w:rFonts w:hint="eastAsia" w:ascii="宋体" w:hAnsi="宋体" w:eastAsia="宋体" w:cs="宋体"/>
          <w:bCs/>
          <w:color w:val="000000"/>
          <w:kern w:val="0"/>
          <w:sz w:val="21"/>
          <w:szCs w:val="21"/>
          <w:highlight w:val="none"/>
          <w:u w:val="single" w:color="000000"/>
          <w:lang w:val="en-US" w:eastAsia="zh-CN" w:bidi="ar"/>
        </w:rPr>
        <w:t>2023年3月31日16时00分</w:t>
      </w:r>
      <w:r>
        <w:rPr>
          <w:rFonts w:hint="eastAsia" w:ascii="宋体" w:hAnsi="宋体" w:eastAsia="宋体" w:cs="宋体"/>
          <w:bCs/>
          <w:color w:val="000000"/>
          <w:kern w:val="0"/>
          <w:sz w:val="21"/>
          <w:szCs w:val="21"/>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地点：滁州市滁宁城际铁路开发建设有限公司七楼会议室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1.是否要求投标人提交投标保证金：</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不要求。</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000000"/>
          <w:kern w:val="0"/>
          <w:sz w:val="21"/>
          <w:szCs w:val="21"/>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1"/>
          <w:szCs w:val="21"/>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2.</w:t>
      </w:r>
      <w:bookmarkEnd w:id="15"/>
      <w:r>
        <w:rPr>
          <w:rFonts w:hint="eastAsia" w:ascii="宋体" w:hAnsi="宋体" w:eastAsia="宋体" w:cs="宋体"/>
          <w:bCs/>
          <w:color w:val="000000"/>
          <w:kern w:val="0"/>
          <w:sz w:val="21"/>
          <w:szCs w:val="21"/>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 xml:space="preserve">电      话： </w:t>
      </w:r>
      <w:r>
        <w:rPr>
          <w:rFonts w:hint="eastAsia" w:ascii="宋体" w:hAnsi="宋体" w:eastAsia="宋体" w:cs="宋体"/>
          <w:bCs/>
          <w:color w:val="auto"/>
          <w:sz w:val="21"/>
          <w:szCs w:val="21"/>
          <w:highlight w:val="none"/>
          <w:lang w:val="en-US" w:eastAsia="zh-CN"/>
        </w:rPr>
        <w:t>18900509886</w:t>
      </w:r>
      <w:r>
        <w:rPr>
          <w:rFonts w:hint="eastAsia" w:ascii="宋体" w:hAnsi="宋体" w:eastAsia="宋体" w:cs="宋体"/>
          <w:bCs/>
          <w:color w:val="000000"/>
          <w:kern w:val="0"/>
          <w:sz w:val="21"/>
          <w:szCs w:val="21"/>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2"/>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滁州至南京城际铁路（滁州段）一、二期工程职业病危害预评价技术服务采购项目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hint="eastAsia" w:cs="Times New Roman"/>
                <w:highlight w:val="none"/>
                <w:lang w:val="en-US" w:eastAsia="zh-CN"/>
              </w:rPr>
              <w:t>编制周期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left="0" w:right="0"/>
              <w:jc w:val="left"/>
              <w:textAlignment w:val="auto"/>
              <w:rPr>
                <w:rFonts w:hint="eastAsia" w:cs="Times New Roman"/>
                <w:bCs/>
                <w:highlight w:val="none"/>
                <w:lang w:val="en-US" w:eastAsia="zh-CN"/>
              </w:rPr>
            </w:pPr>
            <w:r>
              <w:rPr>
                <w:rFonts w:hint="eastAsia" w:ascii="宋体" w:hAnsi="宋体" w:eastAsia="宋体" w:cs="宋体"/>
                <w:color w:val="000000"/>
                <w:kern w:val="0"/>
                <w:sz w:val="21"/>
                <w:szCs w:val="21"/>
                <w:highlight w:val="none"/>
                <w:u w:color="000000"/>
                <w:lang w:val="en-US" w:eastAsia="zh-CN" w:bidi="ar"/>
              </w:rPr>
              <w:t>具体项目实施时间以招标人通知为准，收到招标人通知后25个工作日内完成职业病危害预评价。取得专家评审意见，并完成该项目职业病防护设施设计咨询指导。工作节点必须满足滁州至南京城际铁路（滁州段）一、二期开通节点要求，否则全额扣除其履约保证金且取消剩余合同价款的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12万元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120000元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3</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2023年3月27日17时后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 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ˎ̥" w:hAnsi="ˎ̥"/>
                <w:color w:val="auto"/>
                <w:sz w:val="21"/>
                <w:szCs w:val="21"/>
                <w:highlight w:val="none"/>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2023年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31</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16</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开标时间：2023年3月31日16时00分（北京时间）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rPr>
            </w:pPr>
            <w:r>
              <w:rPr>
                <w:rFonts w:hint="eastAsia"/>
                <w:highlight w:val="none"/>
              </w:rPr>
              <w:t>是否收取履约担保：</w:t>
            </w:r>
            <w:r>
              <w:rPr>
                <w:rFonts w:hint="eastAsia"/>
                <w:highlight w:val="none"/>
                <w:lang w:eastAsia="zh-CN"/>
              </w:rPr>
              <w:t>☑</w:t>
            </w:r>
            <w:r>
              <w:rPr>
                <w:rFonts w:hint="eastAsia"/>
                <w:highlight w:val="none"/>
              </w:rPr>
              <w:t>收取，</w:t>
            </w:r>
            <w:r>
              <w:rPr>
                <w:rFonts w:hint="eastAsia"/>
                <w:highlight w:val="none"/>
                <w:lang w:eastAsia="zh-CN"/>
              </w:rPr>
              <w:t>□</w:t>
            </w:r>
            <w:r>
              <w:rPr>
                <w:rFonts w:hint="eastAsia"/>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rPr>
              <w:t>缴纳时限：</w:t>
            </w:r>
            <w:r>
              <w:rPr>
                <w:rFonts w:hint="eastAsia" w:ascii="Times New Roman" w:hAnsi="Times New Roman" w:eastAsia="宋体" w:cs="Times New Roman"/>
                <w:highlight w:val="none"/>
                <w:lang w:val="en-US" w:eastAsia="zh-CN"/>
              </w:rPr>
              <w:t>中标人须在领取中标通知书后，30个日历天内完成履约保证金缴纳和合同签订。否则，取消中标资格，投标保证金不予退还。</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合同生效后，招标人收到中标人发票15个工作日内，支付合同价款的10%作为预付款；完成</w:t>
            </w:r>
            <w:r>
              <w:rPr>
                <w:rFonts w:hint="eastAsia" w:ascii="宋体" w:hAnsi="宋体" w:eastAsia="宋体" w:cs="宋体"/>
                <w:color w:val="000000"/>
                <w:kern w:val="0"/>
                <w:sz w:val="21"/>
                <w:szCs w:val="21"/>
                <w:highlight w:val="none"/>
                <w:u w:color="000000"/>
                <w:lang w:val="en-US" w:eastAsia="zh-CN" w:bidi="ar"/>
              </w:rPr>
              <w:t>职业病危害预评价，</w:t>
            </w:r>
            <w:r>
              <w:rPr>
                <w:rFonts w:hint="eastAsia" w:ascii="Times New Roman" w:hAnsi="Times New Roman" w:eastAsia="宋体" w:cs="Times New Roman"/>
                <w:highlight w:val="none"/>
                <w:lang w:val="en-US" w:eastAsia="zh-CN"/>
              </w:rPr>
              <w:t>中标人向招标人出具评价报告及通过专家评审，试运营开通后，中标人提交支付申请后的30个工作日内，支付合同价款的40%；</w:t>
            </w:r>
            <w:r>
              <w:rPr>
                <w:rFonts w:hint="eastAsia" w:ascii="宋体" w:hAnsi="宋体" w:eastAsia="宋体" w:cs="宋体"/>
                <w:color w:val="000000"/>
                <w:kern w:val="0"/>
                <w:sz w:val="21"/>
                <w:szCs w:val="21"/>
                <w:highlight w:val="none"/>
                <w:u w:color="000000"/>
                <w:lang w:val="en-US" w:eastAsia="zh-CN" w:bidi="ar"/>
              </w:rPr>
              <w:t>完成该项目职业病防护设施设计咨询指导</w:t>
            </w:r>
            <w:r>
              <w:rPr>
                <w:rFonts w:hint="eastAsia" w:ascii="Times New Roman" w:hAnsi="Times New Roman" w:eastAsia="宋体" w:cs="Times New Roman"/>
                <w:highlight w:val="none"/>
                <w:lang w:val="en-US" w:eastAsia="zh-CN"/>
              </w:rPr>
              <w:t>，中标人提交支付申请后的30个工作日内，一次性无息付清余款。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pStyle w:val="7"/>
              <w:ind w:left="0" w:leftChars="0" w:firstLine="0" w:firstLineChars="0"/>
              <w:rPr>
                <w:rFonts w:hint="default"/>
                <w:highlight w:val="none"/>
                <w:lang w:val="en-US"/>
              </w:rPr>
            </w:pPr>
            <w:r>
              <w:rPr>
                <w:rFonts w:hint="eastAsia" w:asciiTheme="minorHAnsi" w:hAnsiTheme="minorHAnsi" w:eastAsiaTheme="minorEastAsia" w:cstheme="minorBidi"/>
                <w:color w:val="auto"/>
                <w:kern w:val="2"/>
                <w:sz w:val="21"/>
                <w:szCs w:val="24"/>
                <w:highlight w:val="none"/>
                <w:lang w:val="en-US" w:eastAsia="zh-CN" w:bidi="ar-SA"/>
              </w:rPr>
              <w:t>5、本项目为皖通城际铁路有限责任公司（滁州至南京城际铁路（滁州段）一期建设单位）和滁州市滁宁城际铁路开发建设有限公司（滁州至南京城际铁路（滁州段）二期建设单位）统一进行招标采购。中标单位须分别与皖通城际铁路有限责任公司和滁州市滁宁城际铁路开发建设有限公司签订项目合同和请款。</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96602429"/>
      <w:bookmarkEnd w:id="21"/>
      <w:bookmarkStart w:id="22" w:name="_Toc152045539"/>
      <w:bookmarkEnd w:id="22"/>
      <w:bookmarkStart w:id="23" w:name="_Toc144974507"/>
      <w:bookmarkEnd w:id="23"/>
      <w:bookmarkStart w:id="24" w:name="_Toc247527563"/>
      <w:bookmarkEnd w:id="24"/>
      <w:bookmarkStart w:id="25" w:name="_Toc247513962"/>
      <w:bookmarkEnd w:id="25"/>
      <w:bookmarkStart w:id="26" w:name="_Toc152042315"/>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10668_WPSOffice_Level3"/>
      <w:bookmarkEnd w:id="28"/>
      <w:bookmarkStart w:id="29" w:name="_Toc24655"/>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Times New Roman" w:eastAsia="宋体" w:cs="Times New Roman"/>
          <w:b/>
          <w:bCs/>
          <w:color w:val="000000"/>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Times New Roman" w:eastAsia="宋体" w:cs="Times New Roman"/>
          <w:b/>
          <w:bCs/>
          <w:color w:val="000000"/>
          <w:szCs w:val="21"/>
          <w:highlight w:val="none"/>
          <w:lang w:eastAsia="zh-CN"/>
        </w:rPr>
        <w:t>投标人的报价应含完成本项目</w:t>
      </w:r>
      <w:r>
        <w:rPr>
          <w:rFonts w:hint="eastAsia" w:ascii="宋体" w:hAnsi="Times New Roman" w:eastAsia="宋体" w:cs="Times New Roman"/>
          <w:b/>
          <w:bCs/>
          <w:color w:val="000000"/>
          <w:szCs w:val="21"/>
          <w:highlight w:val="none"/>
          <w:lang w:val="en-US" w:eastAsia="zh-CN"/>
        </w:rPr>
        <w:t>服务所需的服务费</w:t>
      </w:r>
      <w:r>
        <w:rPr>
          <w:rFonts w:hint="eastAsia" w:ascii="宋体" w:hAnsi="Times New Roman" w:eastAsia="宋体" w:cs="Times New Roman"/>
          <w:b/>
          <w:bCs/>
          <w:color w:val="000000"/>
          <w:szCs w:val="21"/>
          <w:highlight w:val="none"/>
        </w:rPr>
        <w:t>、</w:t>
      </w:r>
      <w:r>
        <w:rPr>
          <w:rFonts w:hint="eastAsia" w:ascii="宋体" w:hAnsi="Times New Roman" w:eastAsia="宋体" w:cs="Times New Roman"/>
          <w:b/>
          <w:bCs/>
          <w:color w:val="000000"/>
          <w:szCs w:val="21"/>
          <w:highlight w:val="none"/>
          <w:lang w:val="en-US" w:eastAsia="zh-CN"/>
        </w:rPr>
        <w:t>人员工资（含所需的人员和专家顾问的薪金、现场服务、福利、交通、食宿和通讯费用）</w:t>
      </w:r>
      <w:r>
        <w:rPr>
          <w:rFonts w:hint="eastAsia" w:ascii="宋体" w:hAnsi="Times New Roman" w:eastAsia="宋体" w:cs="Times New Roman"/>
          <w:b/>
          <w:bCs/>
          <w:color w:val="000000"/>
          <w:szCs w:val="21"/>
          <w:highlight w:val="none"/>
          <w:lang w:eastAsia="zh-CN"/>
        </w:rPr>
        <w:t>、</w:t>
      </w:r>
      <w:r>
        <w:rPr>
          <w:rFonts w:hint="eastAsia" w:ascii="宋体" w:hAnsi="Times New Roman" w:eastAsia="宋体" w:cs="Times New Roman"/>
          <w:b/>
          <w:bCs/>
          <w:color w:val="000000"/>
          <w:szCs w:val="21"/>
          <w:highlight w:val="none"/>
          <w:lang w:val="en-US" w:eastAsia="zh-CN"/>
        </w:rPr>
        <w:t>管理费、专家评审</w:t>
      </w:r>
      <w:r>
        <w:rPr>
          <w:rFonts w:hint="eastAsia" w:ascii="宋体" w:hAnsi="Times New Roman" w:eastAsia="宋体" w:cs="Times New Roman"/>
          <w:b/>
          <w:bCs/>
          <w:color w:val="000000"/>
          <w:szCs w:val="21"/>
          <w:highlight w:val="none"/>
          <w:lang w:eastAsia="zh-CN"/>
        </w:rPr>
        <w:t>费、会务费、交通费、调研费用、差旅费、保险、利润、风险费用、招标代理费、办公设备、文件制作及相应各项杂费及国家对中</w:t>
      </w:r>
      <w:r>
        <w:rPr>
          <w:rFonts w:hint="eastAsia" w:ascii="宋体" w:hAnsi="Times New Roman" w:eastAsia="宋体" w:cs="Times New Roman"/>
          <w:b/>
          <w:bCs/>
          <w:color w:val="000000"/>
          <w:szCs w:val="21"/>
          <w:highlight w:val="none"/>
        </w:rPr>
        <w:t>标单位征收的各种税费等所有一切费用。请各投标人报价时自行考虑此部分费用，投标报价今后将不作任何调整。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spacing w:line="440" w:lineRule="exact"/>
        <w:ind w:firstLine="420" w:firstLineChars="200"/>
        <w:rPr>
          <w:rFonts w:hint="eastAsia" w:ascii="宋体"/>
          <w:color w:val="auto"/>
          <w:szCs w:val="21"/>
          <w:highlight w:val="none"/>
        </w:rPr>
      </w:pPr>
      <w:bookmarkStart w:id="32" w:name="_Toc6570_WPSOffice_Level3"/>
      <w:bookmarkEnd w:id="32"/>
      <w:bookmarkStart w:id="33" w:name="_Toc26398"/>
      <w:r>
        <w:rPr>
          <w:rFonts w:hint="eastAsia" w:ascii="宋体"/>
          <w:color w:val="auto"/>
          <w:szCs w:val="21"/>
          <w:highlight w:val="none"/>
        </w:rPr>
        <w:t>24.1</w:t>
      </w:r>
      <w:r>
        <w:rPr>
          <w:rFonts w:hint="eastAsia" w:ascii="宋体" w:hAnsi="宋体" w:cs="宋体"/>
          <w:color w:val="000000"/>
          <w:szCs w:val="21"/>
          <w:highlight w:val="none"/>
        </w:rPr>
        <w:t>投标人须知前附表规定递交投标保证金的，投标人在递交投标文件的同时，应按投标人须知前附表规定的金额、担保形式规定的或者事先经过招标人认可的保证金格式递交保证金，并作为其投标文件的组成部分</w:t>
      </w:r>
      <w:r>
        <w:rPr>
          <w:rFonts w:hint="eastAsia" w:ascii="宋体"/>
          <w:color w:val="auto"/>
          <w:szCs w:val="21"/>
          <w:highlight w:val="none"/>
        </w:rPr>
        <w:t>。</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宋体" w:cs="宋体"/>
          <w:color w:val="000000"/>
          <w:szCs w:val="21"/>
          <w:highlight w:val="none"/>
        </w:rPr>
        <w:t>投标保证金有效期均应与投标有效期一致。招标人如果延长了投标有效期，则投标保证金的有效期也相应延长。</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24.2投标人不按本章第3.4.1项要求提交投标保证金的，评标委员会将否决其投标。</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24.3</w:t>
      </w:r>
      <w:r>
        <w:rPr>
          <w:rFonts w:hint="eastAsia" w:ascii="宋体" w:hAnsi="宋体" w:cs="宋体"/>
          <w:color w:val="000000"/>
          <w:szCs w:val="21"/>
          <w:highlight w:val="none"/>
        </w:rPr>
        <w:t>中标通知书发放后5个工作日内退还未中标单位的投标保证金，签订合同后5日内，退还中标单位的投标保证金。</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24.4</w:t>
      </w:r>
      <w:r>
        <w:rPr>
          <w:rFonts w:hint="eastAsia" w:ascii="宋体" w:hAnsi="宋体" w:eastAsia="宋体" w:cs="宋体"/>
          <w:color w:val="000000"/>
          <w:szCs w:val="21"/>
          <w:highlight w:val="none"/>
        </w:rPr>
        <w:t xml:space="preserve">有下列情形之一的，投标保证金将不予退还： </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（1）投标人在规定的投标有效期内撤销或修改其投标文件。因投标人原因造成投标文件未解密的，视为撤销；</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（2）中标人在收到中标通知书后，无正当理由拒签合同协议书或未按招标文件规定提交履约担保；</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（3）投标人在投标中存在弄虚作假、串通投标或视为串通投标等违法行为的；</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）发生投标人须知前附表规定的其他可以不予退还投标保证金的情形。</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34. 合同授予标准</w:t>
      </w:r>
    </w:p>
    <w:p>
      <w:pPr>
        <w:keepNext w:val="0"/>
        <w:keepLines w:val="0"/>
        <w:pageBreakBefore w:val="0"/>
        <w:widowControl w:val="0"/>
        <w:kinsoku/>
        <w:wordWrap/>
        <w:overflowPunct/>
        <w:topLinePunct w:val="0"/>
        <w:autoSpaceDE/>
        <w:autoSpaceDN/>
        <w:bidi w:val="0"/>
        <w:spacing w:line="440" w:lineRule="exact"/>
        <w:ind w:firstLine="525" w:firstLineChars="250"/>
        <w:jc w:val="left"/>
        <w:textAlignment w:val="auto"/>
        <w:rPr>
          <w:rFonts w:hint="eastAsia" w:ascii="宋体"/>
          <w:color w:val="auto"/>
          <w:szCs w:val="21"/>
          <w:highlight w:val="none"/>
        </w:rPr>
      </w:pPr>
      <w:r>
        <w:rPr>
          <w:rFonts w:hint="eastAsia" w:ascii="宋体"/>
          <w:szCs w:val="21"/>
          <w:highlight w:val="none"/>
        </w:rPr>
        <w:t>34.1 本招标项目的合同将授予按本投标须知第32</w:t>
      </w:r>
      <w:r>
        <w:rPr>
          <w:rFonts w:hint="eastAsia" w:ascii="宋体"/>
          <w:szCs w:val="21"/>
          <w:highlight w:val="none"/>
          <w:lang w:val="en-US" w:eastAsia="zh-CN"/>
        </w:rPr>
        <w:t>.1.1</w:t>
      </w:r>
      <w:r>
        <w:rPr>
          <w:rFonts w:hint="eastAsia" w:ascii="宋体"/>
          <w:szCs w:val="21"/>
          <w:highlight w:val="none"/>
        </w:rPr>
        <w:t>条规定所确定的中标人。</w:t>
      </w:r>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35. 合同协议书的签订</w:t>
      </w:r>
    </w:p>
    <w:p>
      <w:pPr>
        <w:keepNext w:val="0"/>
        <w:keepLines w:val="0"/>
        <w:pageBreakBefore w:val="0"/>
        <w:widowControl w:val="0"/>
        <w:kinsoku/>
        <w:wordWrap/>
        <w:overflowPunct/>
        <w:topLinePunct w:val="0"/>
        <w:autoSpaceDE/>
        <w:autoSpaceDN/>
        <w:bidi w:val="0"/>
        <w:spacing w:line="440" w:lineRule="exact"/>
        <w:ind w:firstLine="495" w:firstLineChars="250"/>
        <w:jc w:val="left"/>
        <w:textAlignment w:val="auto"/>
        <w:rPr>
          <w:rFonts w:hint="eastAsia" w:ascii="宋体"/>
          <w:color w:val="auto"/>
          <w:spacing w:val="-6"/>
          <w:szCs w:val="21"/>
          <w:highlight w:val="none"/>
        </w:rPr>
      </w:pPr>
      <w:r>
        <w:rPr>
          <w:rFonts w:hint="eastAsia" w:ascii="宋体"/>
          <w:color w:val="auto"/>
          <w:spacing w:val="-6"/>
          <w:szCs w:val="21"/>
          <w:highlight w:val="none"/>
        </w:rPr>
        <w:t>35.1</w:t>
      </w:r>
      <w:r>
        <w:rPr>
          <w:rFonts w:hint="eastAsia" w:ascii="宋体"/>
          <w:color w:val="auto"/>
          <w:spacing w:val="-6"/>
          <w:szCs w:val="21"/>
          <w:highlight w:val="none"/>
          <w:lang w:val="en-US" w:eastAsia="zh-CN"/>
        </w:rPr>
        <w:t xml:space="preserve"> </w:t>
      </w:r>
      <w:r>
        <w:rPr>
          <w:rFonts w:hint="eastAsia" w:ascii="宋体"/>
          <w:color w:val="auto"/>
          <w:spacing w:val="-6"/>
          <w:szCs w:val="21"/>
          <w:highlight w:val="none"/>
          <w:lang w:eastAsia="zh-CN"/>
        </w:rPr>
        <w:t>招标人</w:t>
      </w:r>
      <w:r>
        <w:rPr>
          <w:rFonts w:hint="eastAsia" w:ascii="宋体"/>
          <w:color w:val="auto"/>
          <w:spacing w:val="-6"/>
          <w:szCs w:val="21"/>
          <w:highlight w:val="none"/>
        </w:rPr>
        <w:t>与中标人将于中标通知书发出之日起30日内，按照招标文件和中标人的投标文件订立书面采购合同。</w:t>
      </w:r>
      <w:r>
        <w:rPr>
          <w:rFonts w:hint="eastAsia" w:ascii="宋体"/>
          <w:color w:val="auto"/>
          <w:spacing w:val="-6"/>
          <w:szCs w:val="21"/>
          <w:highlight w:val="none"/>
          <w:lang w:eastAsia="zh-CN"/>
        </w:rPr>
        <w:t>招标人</w:t>
      </w:r>
      <w:r>
        <w:rPr>
          <w:rFonts w:hint="eastAsia" w:ascii="宋体"/>
          <w:color w:val="auto"/>
          <w:spacing w:val="-6"/>
          <w:szCs w:val="21"/>
          <w:highlight w:val="none"/>
        </w:rPr>
        <w:t>和中标人不得再行订立背离合同实质性内容的其他协议。</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35.2 </w:t>
      </w:r>
      <w:r>
        <w:rPr>
          <w:rFonts w:hint="eastAsia" w:ascii="宋体"/>
          <w:color w:val="auto"/>
          <w:szCs w:val="21"/>
          <w:highlight w:val="none"/>
          <w:lang w:eastAsia="zh-CN"/>
        </w:rPr>
        <w:t>招标人</w:t>
      </w:r>
      <w:r>
        <w:rPr>
          <w:rFonts w:hint="eastAsia" w:ascii="宋体"/>
          <w:color w:val="auto"/>
          <w:szCs w:val="21"/>
          <w:highlight w:val="none"/>
        </w:rPr>
        <w:t>如不按本投标须知第3</w:t>
      </w:r>
      <w:r>
        <w:rPr>
          <w:rFonts w:hint="default" w:ascii="宋体"/>
          <w:color w:val="auto"/>
          <w:szCs w:val="21"/>
          <w:highlight w:val="none"/>
        </w:rPr>
        <w:t>5</w:t>
      </w:r>
      <w:r>
        <w:rPr>
          <w:rFonts w:hint="eastAsia" w:ascii="宋体"/>
          <w:color w:val="auto"/>
          <w:szCs w:val="21"/>
          <w:highlight w:val="none"/>
        </w:rPr>
        <w:t>条的规定与中标人订立合同，或者</w:t>
      </w:r>
      <w:r>
        <w:rPr>
          <w:rFonts w:hint="eastAsia" w:ascii="宋体"/>
          <w:color w:val="auto"/>
          <w:szCs w:val="21"/>
          <w:highlight w:val="none"/>
          <w:lang w:eastAsia="zh-CN"/>
        </w:rPr>
        <w:t>招标人</w:t>
      </w:r>
      <w:r>
        <w:rPr>
          <w:rFonts w:hint="eastAsia" w:ascii="宋体"/>
          <w:color w:val="auto"/>
          <w:szCs w:val="21"/>
          <w:highlight w:val="none"/>
        </w:rPr>
        <w:t>、中标人订立背离合同实质性内容的协议，</w:t>
      </w:r>
      <w:r>
        <w:rPr>
          <w:rFonts w:hint="eastAsia" w:ascii="宋体"/>
          <w:color w:val="auto"/>
          <w:szCs w:val="21"/>
          <w:highlight w:val="none"/>
          <w:lang w:eastAsia="zh-CN"/>
        </w:rPr>
        <w:t>招标人</w:t>
      </w:r>
      <w:r>
        <w:rPr>
          <w:rFonts w:hint="eastAsia" w:ascii="宋体"/>
          <w:color w:val="auto"/>
          <w:szCs w:val="21"/>
          <w:highlight w:val="none"/>
        </w:rPr>
        <w:t>应当按投标保证金的数额对投标人进行赔偿，给投标人造成的损失超过投标保证金数额的，还应当对超过部分予以赔偿，同时依法承担相应法律责任。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35.3中标人如不按本投标须知第3</w:t>
      </w:r>
      <w:r>
        <w:rPr>
          <w:rFonts w:hint="default" w:ascii="宋体"/>
          <w:color w:val="auto"/>
          <w:szCs w:val="21"/>
          <w:highlight w:val="none"/>
        </w:rPr>
        <w:t>5</w:t>
      </w:r>
      <w:r>
        <w:rPr>
          <w:rFonts w:hint="eastAsia" w:ascii="宋体"/>
          <w:color w:val="auto"/>
          <w:szCs w:val="21"/>
          <w:highlight w:val="none"/>
        </w:rPr>
        <w:t>条的规定与</w:t>
      </w:r>
      <w:r>
        <w:rPr>
          <w:rFonts w:hint="eastAsia" w:ascii="宋体"/>
          <w:color w:val="auto"/>
          <w:szCs w:val="21"/>
          <w:highlight w:val="none"/>
          <w:lang w:eastAsia="zh-CN"/>
        </w:rPr>
        <w:t>招标人</w:t>
      </w:r>
      <w:r>
        <w:rPr>
          <w:rFonts w:hint="eastAsia" w:ascii="宋体"/>
          <w:color w:val="auto"/>
          <w:szCs w:val="21"/>
          <w:highlight w:val="none"/>
        </w:rPr>
        <w:t>订立合同，则</w:t>
      </w:r>
      <w:r>
        <w:rPr>
          <w:rFonts w:hint="eastAsia" w:ascii="宋体"/>
          <w:color w:val="auto"/>
          <w:szCs w:val="21"/>
          <w:highlight w:val="none"/>
          <w:lang w:eastAsia="zh-CN"/>
        </w:rPr>
        <w:t>招标人</w:t>
      </w:r>
      <w:r>
        <w:rPr>
          <w:rFonts w:hint="eastAsia" w:ascii="宋体"/>
          <w:color w:val="auto"/>
          <w:szCs w:val="21"/>
          <w:highlight w:val="none"/>
        </w:rPr>
        <w:t>将废除授标，给</w:t>
      </w:r>
      <w:r>
        <w:rPr>
          <w:rFonts w:hint="eastAsia" w:ascii="宋体"/>
          <w:color w:val="auto"/>
          <w:szCs w:val="21"/>
          <w:highlight w:val="none"/>
          <w:lang w:eastAsia="zh-CN"/>
        </w:rPr>
        <w:t>招标人</w:t>
      </w:r>
      <w:r>
        <w:rPr>
          <w:rFonts w:hint="eastAsia" w:ascii="宋体"/>
          <w:color w:val="auto"/>
          <w:szCs w:val="21"/>
          <w:highlight w:val="none"/>
        </w:rPr>
        <w:t>造成的损失的，还应当对</w:t>
      </w:r>
      <w:r>
        <w:rPr>
          <w:rFonts w:hint="default" w:ascii="宋体"/>
          <w:color w:val="auto"/>
          <w:szCs w:val="21"/>
          <w:highlight w:val="none"/>
        </w:rPr>
        <w:t>其</w:t>
      </w:r>
      <w:r>
        <w:rPr>
          <w:rFonts w:hint="eastAsia" w:ascii="宋体"/>
          <w:color w:val="auto"/>
          <w:szCs w:val="21"/>
          <w:highlight w:val="none"/>
        </w:rPr>
        <w:t>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35.4中标人应当按照合同约定履行义务，完成中标项目，不得将中标项目转让（转包）给他人。</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s="宋体"/>
          <w:szCs w:val="21"/>
          <w:highlight w:val="none"/>
        </w:rPr>
      </w:pPr>
      <w:r>
        <w:rPr>
          <w:rFonts w:hint="eastAsia" w:ascii="宋体"/>
          <w:szCs w:val="21"/>
          <w:highlight w:val="none"/>
          <w:lang w:val="en-US" w:eastAsia="zh-CN"/>
        </w:rPr>
        <w:t>35.5</w:t>
      </w:r>
      <w:r>
        <w:rPr>
          <w:rFonts w:hint="eastAsia" w:ascii="宋体" w:hAnsi="宋体" w:cs="宋体"/>
          <w:szCs w:val="21"/>
          <w:highlight w:val="none"/>
        </w:rPr>
        <w:t>中标人放弃中标、因不可抗力提出不能履行合同，或者招标文件规定应当提交履约保证金而在规定的期限内未能提交的，或者经查实其存在弄虚作假等其他违法违规行为骗取中标的，招标人将没收其投标保证金。</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highlight w:val="none"/>
        </w:rPr>
      </w:pPr>
      <w:r>
        <w:rPr>
          <w:rFonts w:hint="eastAsia" w:ascii="宋体" w:hAnsi="宋体" w:cs="宋体"/>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spacing w:line="440" w:lineRule="exact"/>
        <w:textAlignment w:val="auto"/>
        <w:rPr>
          <w:rFonts w:hint="eastAsia" w:ascii="宋体" w:eastAsia="宋体"/>
          <w:b/>
          <w:color w:val="auto"/>
          <w:szCs w:val="21"/>
          <w:highlight w:val="none"/>
          <w:lang w:eastAsia="zh-CN"/>
        </w:rPr>
      </w:pPr>
      <w:r>
        <w:rPr>
          <w:rFonts w:hint="eastAsia" w:ascii="宋体"/>
          <w:color w:val="auto"/>
          <w:szCs w:val="21"/>
          <w:highlight w:val="none"/>
        </w:rPr>
        <w:t xml:space="preserve">    36.</w:t>
      </w:r>
      <w:bookmarkStart w:id="40" w:name="_Toc217446068"/>
      <w:r>
        <w:rPr>
          <w:rFonts w:hint="eastAsia" w:ascii="宋体"/>
          <w:color w:val="auto"/>
          <w:szCs w:val="21"/>
          <w:highlight w:val="none"/>
        </w:rPr>
        <w:t xml:space="preserve"> </w:t>
      </w:r>
      <w:r>
        <w:rPr>
          <w:rFonts w:hint="eastAsia" w:ascii="宋体"/>
          <w:b/>
          <w:color w:val="auto"/>
          <w:szCs w:val="21"/>
          <w:highlight w:val="none"/>
        </w:rPr>
        <w:t>履约</w:t>
      </w:r>
      <w:bookmarkEnd w:id="40"/>
      <w:r>
        <w:rPr>
          <w:rFonts w:hint="eastAsia" w:ascii="宋体"/>
          <w:b/>
          <w:color w:val="auto"/>
          <w:szCs w:val="21"/>
          <w:highlight w:val="none"/>
          <w:lang w:val="en-US" w:eastAsia="zh-CN"/>
        </w:rPr>
        <w:t>担保</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ascii="宋体"/>
          <w:szCs w:val="21"/>
          <w:highlight w:val="none"/>
        </w:rPr>
      </w:pPr>
      <w:r>
        <w:rPr>
          <w:rFonts w:hint="eastAsia" w:ascii="宋体"/>
          <w:szCs w:val="21"/>
          <w:highlight w:val="none"/>
        </w:rPr>
        <w:t>36.1在签订合同前，</w:t>
      </w:r>
      <w:r>
        <w:rPr>
          <w:rFonts w:hint="eastAsia" w:ascii="宋体"/>
          <w:color w:val="000000"/>
          <w:szCs w:val="21"/>
        </w:rPr>
        <w:t>中标人应按投标人须知前附表规定的担保形式、金额和招标文件第五章“合同条款及格式”规定的或者事先经过采购人书面认可的履约担保格式向采购人提交履约担保</w:t>
      </w:r>
      <w:r>
        <w:rPr>
          <w:rFonts w:hint="eastAsia" w:ascii="宋体"/>
          <w:szCs w:val="21"/>
          <w:highlight w:val="none"/>
        </w:rPr>
        <w:t>。</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color w:val="auto"/>
          <w:szCs w:val="21"/>
          <w:highlight w:val="none"/>
        </w:rPr>
      </w:pPr>
      <w:r>
        <w:rPr>
          <w:rFonts w:hint="eastAsia" w:ascii="宋体"/>
          <w:szCs w:val="21"/>
          <w:highlight w:val="none"/>
        </w:rPr>
        <w:t>36.2 中标人不能按本章第36.1项要求提交履约担保的，视为放弃中标，其投标保证金不予退还，</w:t>
      </w:r>
      <w:r>
        <w:rPr>
          <w:rFonts w:ascii="Helvetica" w:hAnsi="Helvetica" w:eastAsia="Helvetica" w:cs="Helvetica"/>
          <w:i w:val="0"/>
          <w:caps w:val="0"/>
          <w:color w:val="333333"/>
          <w:spacing w:val="0"/>
          <w:sz w:val="21"/>
          <w:szCs w:val="21"/>
          <w:shd w:val="clear" w:color="auto" w:fill="FFFFFF"/>
        </w:rPr>
        <w:t>给</w:t>
      </w:r>
      <w:r>
        <w:rPr>
          <w:rFonts w:hint="eastAsia" w:ascii="Helvetica" w:hAnsi="Helvetica" w:eastAsia="宋体" w:cs="Helvetica"/>
          <w:i w:val="0"/>
          <w:caps w:val="0"/>
          <w:color w:val="333333"/>
          <w:spacing w:val="0"/>
          <w:sz w:val="21"/>
          <w:szCs w:val="21"/>
          <w:shd w:val="clear" w:color="auto" w:fill="FFFFFF"/>
          <w:lang w:val="en-US" w:eastAsia="zh-CN"/>
        </w:rPr>
        <w:t>招标</w:t>
      </w:r>
      <w:r>
        <w:rPr>
          <w:rFonts w:hint="eastAsia" w:ascii="Helvetica" w:hAnsi="Helvetica" w:eastAsia="宋体" w:cs="Helvetica"/>
          <w:i w:val="0"/>
          <w:caps w:val="0"/>
          <w:color w:val="333333"/>
          <w:spacing w:val="0"/>
          <w:sz w:val="21"/>
          <w:szCs w:val="21"/>
          <w:shd w:val="clear" w:color="auto" w:fill="FFFFFF"/>
          <w:lang w:eastAsia="zh-CN"/>
        </w:rPr>
        <w:t>人</w:t>
      </w:r>
      <w:r>
        <w:rPr>
          <w:rFonts w:ascii="Helvetica" w:hAnsi="Helvetica" w:eastAsia="Helvetica" w:cs="Helvetica"/>
          <w:i w:val="0"/>
          <w:caps w:val="0"/>
          <w:color w:val="333333"/>
          <w:spacing w:val="0"/>
          <w:sz w:val="21"/>
          <w:szCs w:val="21"/>
          <w:shd w:val="clear" w:color="auto" w:fill="FFFFFF"/>
        </w:rPr>
        <w:t>造成损失的，依法承担民事责任</w:t>
      </w:r>
      <w:r>
        <w:rPr>
          <w:rFonts w:hint="eastAsia" w:ascii="宋体"/>
          <w:color w:val="000000"/>
          <w:szCs w:val="21"/>
        </w:rPr>
        <w:t>。</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bookmarkStart w:id="41" w:name="_Toc449028874"/>
      <w:r>
        <w:rPr>
          <w:rFonts w:hint="eastAsia" w:ascii="宋体" w:hAnsi="宋体" w:eastAsia="宋体" w:cs="宋体"/>
          <w:b/>
          <w:bCs w:val="0"/>
          <w:color w:val="000000"/>
          <w:kern w:val="0"/>
          <w:sz w:val="24"/>
          <w:szCs w:val="24"/>
          <w:highlight w:val="none"/>
          <w:u w:color="000000"/>
          <w:lang w:val="en-US" w:eastAsia="zh-CN" w:bidi="ar"/>
        </w:rPr>
        <w:t>（七）纪律和监督</w:t>
      </w:r>
      <w:bookmarkEnd w:id="41"/>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37. 对</w:t>
      </w:r>
      <w:r>
        <w:rPr>
          <w:rFonts w:hint="eastAsia" w:ascii="宋体"/>
          <w:b/>
          <w:color w:val="auto"/>
          <w:szCs w:val="21"/>
          <w:highlight w:val="none"/>
          <w:lang w:eastAsia="zh-CN"/>
        </w:rPr>
        <w:t>招标人</w:t>
      </w:r>
      <w:r>
        <w:rPr>
          <w:rFonts w:hint="eastAsia" w:ascii="宋体"/>
          <w:b/>
          <w:color w:val="auto"/>
          <w:szCs w:val="21"/>
          <w:highlight w:val="none"/>
        </w:rPr>
        <w:t xml:space="preserve">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37.1</w:t>
      </w:r>
      <w:r>
        <w:rPr>
          <w:rFonts w:hint="eastAsia" w:ascii="宋体"/>
          <w:color w:val="auto"/>
          <w:kern w:val="10"/>
          <w:szCs w:val="21"/>
          <w:highlight w:val="none"/>
          <w:lang w:eastAsia="zh-CN"/>
        </w:rPr>
        <w:t>招标人</w:t>
      </w:r>
      <w:r>
        <w:rPr>
          <w:rFonts w:hint="eastAsia" w:ascii="宋体"/>
          <w:color w:val="auto"/>
          <w:kern w:val="10"/>
          <w:szCs w:val="21"/>
          <w:highlight w:val="none"/>
        </w:rPr>
        <w:t xml:space="preserve">不得泄漏招标投标活动中应当保密的情况和资料，不得与投标人串通损害国家利益，社会公共利益或者他人合法权益。 </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 对投标人的纪律要求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w:t>
      </w:r>
      <w:r>
        <w:rPr>
          <w:rFonts w:hint="eastAsia" w:ascii="宋体"/>
          <w:color w:val="auto"/>
          <w:kern w:val="10"/>
          <w:szCs w:val="21"/>
          <w:highlight w:val="none"/>
          <w:lang w:eastAsia="zh-CN"/>
        </w:rPr>
        <w:t>招标人</w:t>
      </w:r>
      <w:r>
        <w:rPr>
          <w:rFonts w:hint="eastAsia" w:ascii="宋体"/>
          <w:color w:val="auto"/>
          <w:kern w:val="10"/>
          <w:szCs w:val="21"/>
          <w:highlight w:val="none"/>
        </w:rPr>
        <w:t>串通投标，不得向</w:t>
      </w:r>
      <w:r>
        <w:rPr>
          <w:rFonts w:hint="eastAsia" w:ascii="宋体"/>
          <w:color w:val="auto"/>
          <w:kern w:val="10"/>
          <w:szCs w:val="21"/>
          <w:highlight w:val="none"/>
          <w:lang w:eastAsia="zh-CN"/>
        </w:rPr>
        <w:t>招标人</w:t>
      </w:r>
      <w:r>
        <w:rPr>
          <w:rFonts w:hint="eastAsia" w:ascii="宋体"/>
          <w:color w:val="auto"/>
          <w:kern w:val="10"/>
          <w:szCs w:val="21"/>
          <w:highlight w:val="none"/>
        </w:rPr>
        <w:t>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 对评标委员会成员的纪律要求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w:t>
      </w:r>
      <w:r>
        <w:rPr>
          <w:rFonts w:hint="eastAsia" w:ascii="宋体" w:hAnsi="Times New Roman" w:eastAsia="宋体" w:cs="Times New Roman"/>
          <w:color w:val="auto"/>
          <w:kern w:val="10"/>
          <w:szCs w:val="21"/>
          <w:highlight w:val="none"/>
          <w:lang w:val="en-US" w:eastAsia="zh-CN"/>
        </w:rPr>
        <w:t>三</w:t>
      </w:r>
      <w:r>
        <w:rPr>
          <w:rFonts w:hint="eastAsia" w:ascii="宋体" w:hAnsi="Times New Roman" w:eastAsia="宋体" w:cs="Times New Roman"/>
          <w:color w:val="auto"/>
          <w:kern w:val="10"/>
          <w:szCs w:val="21"/>
          <w:highlight w:val="none"/>
        </w:rPr>
        <w:t>章“评标办法”没有规定的评审因素和标准进行评标。</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 对与评标活动有关的工作人员的纪律要求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pageBreakBefore w:val="0"/>
        <w:widowControl w:val="0"/>
        <w:kinsoku/>
        <w:wordWrap/>
        <w:overflowPunct/>
        <w:topLinePunct w:val="0"/>
        <w:autoSpaceDE/>
        <w:autoSpaceDN/>
        <w:bidi w:val="0"/>
        <w:adjustRightInd/>
        <w:snapToGrid/>
        <w:spacing w:line="440" w:lineRule="exact"/>
        <w:ind w:firstLine="314" w:firstLineChars="149"/>
        <w:jc w:val="left"/>
        <w:textAlignment w:val="auto"/>
        <w:rPr>
          <w:rFonts w:hint="eastAsia" w:ascii="宋体" w:hAnsi="宋体" w:eastAsia="宋体" w:cs="Times New Roman"/>
          <w:b/>
          <w:szCs w:val="21"/>
          <w:highlight w:val="none"/>
        </w:rPr>
      </w:pPr>
      <w:r>
        <w:rPr>
          <w:rFonts w:hint="eastAsia" w:ascii="宋体" w:hAnsi="宋体" w:eastAsia="宋体" w:cs="Times New Roman"/>
          <w:b/>
          <w:szCs w:val="21"/>
          <w:highlight w:val="none"/>
        </w:rPr>
        <w:t>4</w:t>
      </w:r>
      <w:r>
        <w:rPr>
          <w:rFonts w:hint="eastAsia" w:ascii="宋体" w:hAnsi="宋体" w:eastAsia="宋体" w:cs="Times New Roman"/>
          <w:b/>
          <w:szCs w:val="21"/>
          <w:highlight w:val="none"/>
          <w:lang w:val="en-US" w:eastAsia="zh-CN"/>
        </w:rPr>
        <w:t>1</w:t>
      </w:r>
      <w:r>
        <w:rPr>
          <w:rFonts w:hint="eastAsia" w:ascii="宋体" w:hAnsi="宋体" w:eastAsia="宋体" w:cs="Times New Roman"/>
          <w:b/>
          <w:szCs w:val="21"/>
          <w:highlight w:val="none"/>
        </w:rPr>
        <w:t>. 投诉</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41.2</w:t>
      </w:r>
      <w:r>
        <w:rPr>
          <w:rFonts w:hint="eastAsia" w:ascii="宋体" w:hAnsi="Times New Roman" w:eastAsia="宋体" w:cs="Times New Roman"/>
          <w:kern w:val="10"/>
          <w:szCs w:val="21"/>
        </w:rPr>
        <w:t>投标人和其他利害关系人对招标文件、开标和评标结果事项投诉的，应当按照投标人须知的规定先向招标人提出异议。异议答复期间不计算在第</w:t>
      </w: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项规定的期限内。</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440" w:lineRule="exact"/>
        <w:ind w:left="0" w:right="0" w:firstLine="450" w:firstLineChars="150"/>
        <w:jc w:val="left"/>
        <w:textAlignment w:val="auto"/>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2" w:name="_Toc23254"/>
      <w:bookmarkEnd w:id="42"/>
      <w:bookmarkStart w:id="43"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3"/>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4" w:name="_Toc14651"/>
      <w:bookmarkEnd w:id="44"/>
      <w:bookmarkStart w:id="45"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5"/>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6" w:name="_Toc9092_WPSOffice_Level3"/>
      <w:bookmarkEnd w:id="46"/>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2"/>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123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（2）投标保证金</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根据投标保证金转账回单截图现场查询投标保证金是否到账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（3）具有独立承担民事责任的能力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auto"/>
                <w:sz w:val="21"/>
                <w:szCs w:val="21"/>
                <w:highlight w:val="none"/>
                <w:lang w:val="en-US" w:eastAsia="zh-CN"/>
              </w:rPr>
              <w:t>（4）卫生健康行政部门颁发的职业卫生技术服务机构资质证书（服务范围同时包含交通运输及核技术工业应用）</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u w:color="000000"/>
                <w:lang w:val="en-US" w:eastAsia="zh-CN" w:bidi="ar"/>
              </w:rPr>
            </w:pPr>
            <w:r>
              <w:rPr>
                <w:rFonts w:hint="eastAsia" w:ascii="宋体" w:hAnsi="宋体" w:eastAsia="宋体" w:cs="宋体"/>
                <w:b/>
                <w:bCs/>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有效资质证书扫描件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（5）诚信投标承诺书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（6）服务承诺书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7" w:name="_Toc4660368"/>
      <w:bookmarkEnd w:id="47"/>
      <w:r>
        <w:rPr>
          <w:rFonts w:hint="eastAsia" w:ascii="宋体" w:hAnsi="宋体" w:eastAsia="宋体" w:cs="宋体"/>
          <w:color w:val="000000"/>
          <w:kern w:val="0"/>
          <w:sz w:val="21"/>
          <w:szCs w:val="21"/>
          <w:highlight w:val="none"/>
          <w:u w:color="000000"/>
          <w:lang w:val="en-US" w:eastAsia="zh-CN" w:bidi="ar"/>
        </w:rPr>
        <w:t>4.1评审细则</w:t>
      </w:r>
    </w:p>
    <w:tbl>
      <w:tblPr>
        <w:tblStyle w:val="22"/>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48" w:name="_Toc32210_WPSOffice_Level1"/>
      <w:bookmarkEnd w:id="48"/>
      <w:bookmarkStart w:id="49" w:name="_Toc22100_WPSOffice_Level2"/>
      <w:bookmarkStart w:id="50"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49"/>
      <w:bookmarkEnd w:id="50"/>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资信、技术</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1" w:name="_Toc16323"/>
      <w:r>
        <w:rPr>
          <w:rFonts w:hint="eastAsia" w:ascii="宋体"/>
          <w:color w:val="auto"/>
          <w:szCs w:val="21"/>
          <w:highlight w:val="none"/>
          <w:lang w:val="en-US" w:eastAsia="zh-CN"/>
        </w:rPr>
        <w:t>6.1资信标</w:t>
      </w:r>
      <w:r>
        <w:rPr>
          <w:rFonts w:hint="eastAsia" w:ascii="宋体"/>
          <w:color w:val="auto"/>
          <w:szCs w:val="21"/>
          <w:highlight w:val="none"/>
        </w:rPr>
        <w:t>评审细则（</w:t>
      </w:r>
      <w:r>
        <w:rPr>
          <w:rFonts w:hint="eastAsia" w:ascii="宋体"/>
          <w:color w:val="auto"/>
          <w:szCs w:val="21"/>
          <w:highlight w:val="none"/>
          <w:lang w:val="en-US" w:eastAsia="zh-CN"/>
        </w:rPr>
        <w:t>50</w:t>
      </w:r>
      <w:r>
        <w:rPr>
          <w:rFonts w:hint="eastAsia" w:ascii="宋体"/>
          <w:color w:val="auto"/>
          <w:szCs w:val="21"/>
          <w:highlight w:val="none"/>
        </w:rPr>
        <w:t>分）</w:t>
      </w:r>
      <w:bookmarkEnd w:id="51"/>
    </w:p>
    <w:tbl>
      <w:tblPr>
        <w:tblStyle w:val="2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line="360" w:lineRule="exact"/>
              <w:ind w:left="0" w:right="0"/>
              <w:rPr>
                <w:rFonts w:hint="default"/>
                <w:highlight w:val="none"/>
              </w:rPr>
            </w:pPr>
            <w:r>
              <w:rPr>
                <w:rFonts w:hint="eastAsia"/>
              </w:rPr>
              <w:t>投标人自2018年1月1日至投标截止时间止（以合同签订时间为准），每具有单项</w:t>
            </w:r>
            <w:r>
              <w:rPr>
                <w:rFonts w:hint="eastAsia" w:ascii="宋体" w:hAnsi="宋体" w:eastAsia="宋体" w:cs="宋体"/>
                <w:bCs/>
              </w:rPr>
              <w:t>合同额20万元（含）及以上的</w:t>
            </w:r>
            <w:r>
              <w:rPr>
                <w:rFonts w:hint="eastAsia" w:ascii="宋体" w:hAnsi="宋体" w:eastAsia="宋体" w:cs="宋体"/>
                <w:bCs/>
                <w:lang w:val="zh-CN"/>
              </w:rPr>
              <w:t>城市轨道交通</w:t>
            </w:r>
            <w:r>
              <w:rPr>
                <w:rFonts w:hint="eastAsia" w:ascii="宋体" w:hAnsi="宋体" w:eastAsia="宋体" w:cs="宋体"/>
                <w:bCs/>
              </w:rPr>
              <w:t>类职业病</w:t>
            </w:r>
            <w:r>
              <w:rPr>
                <w:rFonts w:hint="eastAsia" w:ascii="宋体" w:hAnsi="宋体" w:eastAsia="宋体" w:cs="宋体"/>
                <w:bCs/>
                <w:highlight w:val="none"/>
              </w:rPr>
              <w:t>危害评价项目</w:t>
            </w:r>
            <w:r>
              <w:rPr>
                <w:rFonts w:hint="eastAsia" w:ascii="宋体" w:hAnsi="宋体" w:eastAsia="宋体" w:cs="宋体"/>
                <w:bCs/>
                <w:highlight w:val="none"/>
                <w:lang w:val="zh-CN"/>
              </w:rPr>
              <w:t>业绩</w:t>
            </w:r>
            <w:r>
              <w:rPr>
                <w:rFonts w:hint="eastAsia"/>
                <w:highlight w:val="none"/>
              </w:rPr>
              <w:t>的得5分；未提供的不得分，本条满分10分。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default"/>
                <w:highlight w:val="none"/>
                <w:lang w:val="en-US" w:eastAsia="zh-CN"/>
              </w:rPr>
            </w:pPr>
            <w:r>
              <w:rPr>
                <w:rFonts w:hint="eastAsia"/>
                <w:highlight w:val="none"/>
              </w:rPr>
              <w:t>注</w:t>
            </w:r>
            <w:r>
              <w:rPr>
                <w:rFonts w:hint="eastAsia"/>
                <w:highlight w:val="none"/>
                <w:lang w:val="zh-CN"/>
              </w:rPr>
              <w:t>：</w:t>
            </w:r>
            <w:r>
              <w:rPr>
                <w:rFonts w:hint="eastAsia"/>
                <w:highlight w:val="none"/>
              </w:rPr>
              <w:t>①</w:t>
            </w:r>
            <w:r>
              <w:rPr>
                <w:rFonts w:hint="eastAsia"/>
                <w:highlight w:val="none"/>
                <w:lang w:val="zh-CN"/>
              </w:rPr>
              <w:t>未完成的项目不计入得分。②</w:t>
            </w:r>
            <w:r>
              <w:rPr>
                <w:rFonts w:hint="eastAsia"/>
                <w:highlight w:val="none"/>
              </w:rPr>
              <w:t>投标人业绩和</w:t>
            </w:r>
            <w:r>
              <w:rPr>
                <w:rFonts w:hint="eastAsia"/>
              </w:rPr>
              <w:t>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default" w:ascii="宋体" w:hAnsi="宋体" w:eastAsia="宋体" w:cs="宋体"/>
                <w:kern w:val="0"/>
                <w:szCs w:val="21"/>
                <w:highlight w:val="none"/>
                <w:lang w:val="en-US"/>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若合同中未体现评分内容（如业绩类型等）的还须另外提供业主证明材料扫描件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拟派项目负责人业绩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5分</w:t>
            </w:r>
          </w:p>
        </w:tc>
        <w:tc>
          <w:tcPr>
            <w:tcW w:w="3338" w:type="dxa"/>
            <w:noWrap w:val="0"/>
            <w:vAlign w:val="center"/>
          </w:tcPr>
          <w:p>
            <w:pPr>
              <w:keepNext w:val="0"/>
              <w:keepLines w:val="0"/>
              <w:suppressLineNumbers w:val="0"/>
              <w:spacing w:before="0" w:beforeAutospacing="0" w:after="0" w:afterAutospacing="0" w:line="360" w:lineRule="exact"/>
              <w:ind w:left="0" w:right="0"/>
              <w:rPr>
                <w:rFonts w:hint="default"/>
              </w:rPr>
            </w:pPr>
            <w:r>
              <w:rPr>
                <w:rFonts w:hint="eastAsia"/>
              </w:rPr>
              <w:t>投标人拟派项目负责人自2018年1月1日至投标截止时间止（以合同签</w:t>
            </w:r>
            <w:r>
              <w:rPr>
                <w:rFonts w:hint="eastAsia"/>
                <w:highlight w:val="none"/>
              </w:rPr>
              <w:t>订时间为准），具有单项</w:t>
            </w:r>
            <w:r>
              <w:rPr>
                <w:rFonts w:hint="eastAsia" w:ascii="宋体" w:hAnsi="宋体" w:eastAsia="宋体" w:cs="宋体"/>
                <w:bCs/>
                <w:highlight w:val="none"/>
              </w:rPr>
              <w:t>合同额20万元（含）及以上的</w:t>
            </w:r>
            <w:r>
              <w:rPr>
                <w:rFonts w:hint="eastAsia" w:ascii="宋体" w:hAnsi="宋体" w:eastAsia="宋体" w:cs="宋体"/>
                <w:bCs/>
                <w:highlight w:val="none"/>
                <w:lang w:val="zh-CN"/>
              </w:rPr>
              <w:t>城市轨道交通</w:t>
            </w:r>
            <w:r>
              <w:rPr>
                <w:rFonts w:hint="eastAsia" w:ascii="宋体" w:hAnsi="宋体" w:eastAsia="宋体" w:cs="宋体"/>
                <w:bCs/>
                <w:highlight w:val="none"/>
              </w:rPr>
              <w:t>类职业病</w:t>
            </w:r>
            <w:r>
              <w:rPr>
                <w:rFonts w:hint="eastAsia" w:ascii="宋体" w:hAnsi="宋体" w:eastAsia="宋体" w:cs="宋体"/>
                <w:bCs/>
                <w:highlight w:val="none"/>
                <w:lang w:val="en-US" w:eastAsia="zh-CN"/>
              </w:rPr>
              <w:t>危害</w:t>
            </w:r>
            <w:r>
              <w:rPr>
                <w:rFonts w:hint="eastAsia" w:ascii="宋体" w:hAnsi="宋体" w:eastAsia="宋体" w:cs="宋体"/>
                <w:bCs/>
                <w:highlight w:val="none"/>
              </w:rPr>
              <w:t>评价项目</w:t>
            </w:r>
            <w:r>
              <w:rPr>
                <w:rFonts w:hint="eastAsia" w:ascii="宋体" w:hAnsi="宋体" w:eastAsia="宋体" w:cs="宋体"/>
                <w:bCs/>
                <w:highlight w:val="none"/>
                <w:lang w:val="zh-CN"/>
              </w:rPr>
              <w:t>业绩</w:t>
            </w:r>
            <w:r>
              <w:rPr>
                <w:rFonts w:hint="eastAsia"/>
                <w:highlight w:val="none"/>
              </w:rPr>
              <w:t>的得5分；未提供的不得分，本条满分5分。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highlight w:val="none"/>
              </w:rPr>
              <w:t>注</w:t>
            </w:r>
            <w:r>
              <w:rPr>
                <w:rFonts w:hint="eastAsia"/>
                <w:highlight w:val="none"/>
                <w:lang w:val="zh-CN"/>
              </w:rPr>
              <w:t>：</w:t>
            </w:r>
            <w:r>
              <w:rPr>
                <w:rFonts w:hint="eastAsia"/>
                <w:highlight w:val="none"/>
              </w:rPr>
              <w:t>①</w:t>
            </w:r>
            <w:r>
              <w:rPr>
                <w:rFonts w:hint="eastAsia"/>
                <w:highlight w:val="none"/>
                <w:lang w:val="zh-CN"/>
              </w:rPr>
              <w:t>未完成的项目不计入得分。②</w:t>
            </w:r>
            <w:r>
              <w:rPr>
                <w:rFonts w:hint="eastAsia"/>
                <w:highlight w:val="none"/>
              </w:rPr>
              <w:t>投标人拟派项目负责人业绩须为在投标单位以项目负责人身份参与的业绩，在其他单位或以其他身份参与的业绩不予以认可。</w:t>
            </w:r>
            <w:r>
              <w:rPr>
                <w:rFonts w:hint="eastAsia"/>
                <w:highlight w:val="none"/>
                <w:lang w:val="zh-CN"/>
              </w:rPr>
              <w:t>③</w:t>
            </w:r>
            <w:r>
              <w:rPr>
                <w:rFonts w:hint="eastAsia"/>
                <w:highlight w:val="none"/>
              </w:rPr>
              <w:t>投标人业绩和拟派项目负责人业绩相同的仅计分一次，不重复累计计分。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eastAsia" w:ascii="宋体" w:hAnsi="宋体" w:cs="宋体"/>
                <w:kern w:val="0"/>
                <w:szCs w:val="21"/>
                <w:highlight w:val="none"/>
                <w:lang w:val="en-US" w:eastAsia="zh-CN"/>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若合同中未体现评分内容（如业绩类型、项目负责人姓名等）的还须提供业绩中标通知书或业主证明材料扫描件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cs="宋体"/>
                <w:bCs/>
                <w:szCs w:val="21"/>
                <w:highlight w:val="none"/>
                <w:lang w:val="en-US" w:eastAsia="zh-CN"/>
              </w:rPr>
              <w:t>拟派技术</w:t>
            </w:r>
            <w:r>
              <w:rPr>
                <w:rFonts w:hint="eastAsia" w:ascii="宋体" w:hAnsi="宋体" w:cs="宋体"/>
                <w:bCs/>
                <w:szCs w:val="21"/>
                <w:highlight w:val="none"/>
              </w:rPr>
              <w:t>负责人</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eastAsia="宋体" w:cs="宋体"/>
                <w:bCs/>
                <w:szCs w:val="21"/>
                <w:highlight w:val="none"/>
                <w:lang w:val="en-US" w:eastAsia="zh-CN"/>
              </w:rPr>
              <w:t>10分</w:t>
            </w:r>
          </w:p>
        </w:tc>
        <w:tc>
          <w:tcPr>
            <w:tcW w:w="3338" w:type="dxa"/>
            <w:noWrap w:val="0"/>
            <w:vAlign w:val="center"/>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ascii="宋体" w:hAnsi="宋体" w:cs="宋体"/>
                <w:bCs/>
                <w:szCs w:val="21"/>
              </w:rPr>
            </w:pPr>
            <w:r>
              <w:rPr>
                <w:rFonts w:hint="eastAsia" w:ascii="宋体" w:hAnsi="宋体" w:cs="宋体"/>
                <w:bCs/>
                <w:szCs w:val="21"/>
              </w:rPr>
              <w:t>1、投标人拟派</w:t>
            </w:r>
            <w:r>
              <w:rPr>
                <w:rFonts w:hint="eastAsia" w:ascii="宋体" w:hAnsi="宋体" w:cs="宋体"/>
                <w:bCs/>
                <w:szCs w:val="21"/>
                <w:lang w:val="en-US" w:eastAsia="zh-CN"/>
              </w:rPr>
              <w:t>技术</w:t>
            </w:r>
            <w:r>
              <w:rPr>
                <w:rFonts w:hint="eastAsia" w:ascii="宋体" w:hAnsi="宋体" w:cs="宋体"/>
                <w:bCs/>
                <w:szCs w:val="21"/>
              </w:rPr>
              <w:t>负责人具有高级或以上职称的得4分，其他的不得分，本项最高得4分。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ascii="Calibri" w:hAnsi="Calibri" w:eastAsia="宋体" w:cs="Times New Roman"/>
                <w:color w:val="000000"/>
                <w:szCs w:val="21"/>
                <w:highlight w:val="none"/>
                <w:lang w:val="en-US" w:eastAsia="zh-CN"/>
              </w:rPr>
            </w:pPr>
            <w:r>
              <w:rPr>
                <w:rFonts w:hint="eastAsia" w:ascii="宋体" w:hAnsi="宋体" w:cs="宋体"/>
                <w:bCs/>
                <w:szCs w:val="21"/>
              </w:rPr>
              <w:t>2、投标人拟派</w:t>
            </w:r>
            <w:r>
              <w:rPr>
                <w:rFonts w:hint="eastAsia" w:ascii="宋体" w:hAnsi="宋体" w:cs="宋体"/>
                <w:bCs/>
                <w:szCs w:val="21"/>
                <w:lang w:val="en-US" w:eastAsia="zh-CN"/>
              </w:rPr>
              <w:t>技术</w:t>
            </w:r>
            <w:r>
              <w:rPr>
                <w:rFonts w:hint="eastAsia" w:ascii="宋体" w:hAnsi="宋体" w:cs="宋体"/>
                <w:bCs/>
                <w:szCs w:val="21"/>
              </w:rPr>
              <w:t>负责人为国家卫生健康标准委员会委员的得6分，其他的不得分，本条满分6分。</w:t>
            </w:r>
          </w:p>
        </w:tc>
        <w:tc>
          <w:tcPr>
            <w:tcW w:w="18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40" w:leftChars="0" w:right="0"/>
              <w:jc w:val="center"/>
              <w:textAlignment w:val="auto"/>
              <w:rPr>
                <w:rFonts w:hint="eastAsia" w:ascii="宋体" w:hAnsi="宋体" w:eastAsia="宋体"/>
                <w:b w:val="0"/>
                <w:bCs/>
                <w:sz w:val="21"/>
                <w:szCs w:val="21"/>
                <w:highlight w:val="none"/>
              </w:rPr>
            </w:pPr>
            <w:r>
              <w:rPr>
                <w:rFonts w:hint="eastAsia" w:ascii="宋体" w:hAnsi="宋体" w:cs="宋体"/>
                <w:szCs w:val="21"/>
                <w:highlight w:val="none"/>
                <w:lang w:val="zh-CN"/>
              </w:rPr>
              <w:t>投标文件中</w:t>
            </w:r>
            <w:r>
              <w:rPr>
                <w:rFonts w:hint="eastAsia" w:ascii="宋体" w:hAnsi="宋体" w:cs="宋体"/>
                <w:szCs w:val="21"/>
                <w:highlight w:val="none"/>
              </w:rPr>
              <w:t>须同时</w:t>
            </w:r>
            <w:r>
              <w:rPr>
                <w:rFonts w:hint="eastAsia" w:ascii="宋体" w:hAnsi="宋体" w:cs="宋体"/>
                <w:szCs w:val="21"/>
                <w:highlight w:val="none"/>
                <w:lang w:val="zh-CN"/>
              </w:rPr>
              <w:t>提供</w:t>
            </w:r>
            <w:r>
              <w:rPr>
                <w:rFonts w:hint="eastAsia" w:ascii="宋体" w:hAnsi="宋体" w:cs="宋体"/>
                <w:szCs w:val="21"/>
                <w:highlight w:val="none"/>
                <w:lang w:val="en-US" w:eastAsia="zh-CN"/>
              </w:rPr>
              <w:t>有效</w:t>
            </w:r>
            <w:r>
              <w:rPr>
                <w:rFonts w:hint="eastAsia" w:ascii="宋体" w:hAnsi="宋体" w:cs="宋体"/>
                <w:szCs w:val="21"/>
                <w:highlight w:val="none"/>
                <w:lang w:val="zh-CN"/>
              </w:rPr>
              <w:t>身份证</w:t>
            </w:r>
            <w:r>
              <w:rPr>
                <w:rFonts w:hint="eastAsia" w:ascii="宋体" w:hAnsi="宋体" w:cs="宋体"/>
                <w:szCs w:val="21"/>
                <w:highlight w:val="none"/>
                <w:lang w:val="en-US" w:eastAsia="zh-CN"/>
              </w:rPr>
              <w:t>、相关证书和社保部门出具的本单位为其缴纳的投标前近三个月连续的养老保险证明（含官网在线打印件，证明文件两个月内有效）或投标人提供承诺已为其缴纳养老保险证明的承诺书（格式自拟）</w:t>
            </w:r>
            <w:r>
              <w:rPr>
                <w:rFonts w:hint="eastAsia" w:ascii="宋体" w:hAnsi="宋体" w:cs="宋体"/>
                <w:szCs w:val="21"/>
                <w:highlight w:val="none"/>
                <w:lang w:val="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eastAsia="宋体" w:cs="宋体"/>
                <w:bCs/>
              </w:rPr>
              <w:t>项目配备</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1、项目组成员配备不少于10人的得2分，其他的不得分，本条满分2分。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Calibri" w:hAnsi="Calibri" w:eastAsia="宋体" w:cs="Times New Roman"/>
                <w:color w:val="000000"/>
                <w:szCs w:val="21"/>
                <w:highlight w:val="none"/>
                <w:lang w:val="en-US" w:eastAsia="zh-CN"/>
              </w:rPr>
            </w:pPr>
            <w:r>
              <w:rPr>
                <w:rFonts w:hint="eastAsia" w:ascii="宋体" w:hAnsi="宋体" w:cs="宋体"/>
                <w:bCs/>
                <w:szCs w:val="21"/>
                <w:highlight w:val="none"/>
                <w:lang w:val="en-US" w:eastAsia="zh-CN"/>
              </w:rPr>
              <w:t>2、拟配备项目组成员中含国家卫生健康标准委员会委员的，每人得4分，其他的不得分，本条满分8分。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r>
              <w:rPr>
                <w:rFonts w:hint="eastAsia" w:ascii="宋体" w:hAnsi="宋体" w:cs="宋体"/>
                <w:szCs w:val="21"/>
                <w:highlight w:val="none"/>
                <w:lang w:val="zh-CN"/>
              </w:rPr>
              <w:t>投标文件中</w:t>
            </w:r>
            <w:r>
              <w:rPr>
                <w:rFonts w:hint="eastAsia" w:ascii="宋体" w:hAnsi="宋体" w:cs="宋体"/>
                <w:szCs w:val="21"/>
                <w:highlight w:val="none"/>
              </w:rPr>
              <w:t>须同时</w:t>
            </w:r>
            <w:r>
              <w:rPr>
                <w:rFonts w:hint="eastAsia" w:ascii="宋体" w:hAnsi="宋体" w:cs="宋体"/>
                <w:szCs w:val="21"/>
                <w:highlight w:val="none"/>
                <w:lang w:val="zh-CN"/>
              </w:rPr>
              <w:t>提供</w:t>
            </w:r>
            <w:r>
              <w:rPr>
                <w:rFonts w:hint="eastAsia" w:ascii="宋体" w:hAnsi="宋体" w:eastAsia="宋体" w:cs="宋体"/>
              </w:rPr>
              <w:t>人员配备名单</w:t>
            </w:r>
            <w:r>
              <w:rPr>
                <w:rFonts w:hint="eastAsia" w:ascii="宋体" w:hAnsi="宋体" w:eastAsia="宋体" w:cs="宋体"/>
                <w:lang w:eastAsia="zh-CN"/>
              </w:rPr>
              <w:t>、</w:t>
            </w:r>
            <w:r>
              <w:rPr>
                <w:rFonts w:hint="eastAsia" w:ascii="宋体" w:hAnsi="宋体" w:cs="宋体"/>
                <w:szCs w:val="21"/>
                <w:highlight w:val="none"/>
                <w:lang w:val="en-US" w:eastAsia="zh-CN"/>
              </w:rPr>
              <w:t>有效</w:t>
            </w:r>
            <w:r>
              <w:rPr>
                <w:rFonts w:hint="eastAsia" w:ascii="宋体" w:hAnsi="宋体" w:cs="宋体"/>
                <w:szCs w:val="21"/>
                <w:highlight w:val="none"/>
                <w:lang w:val="zh-CN"/>
              </w:rPr>
              <w:t>身份证</w:t>
            </w:r>
            <w:r>
              <w:rPr>
                <w:rFonts w:hint="eastAsia" w:ascii="宋体" w:hAnsi="宋体" w:cs="宋体"/>
                <w:szCs w:val="21"/>
                <w:highlight w:val="none"/>
                <w:lang w:val="en-US" w:eastAsia="zh-CN"/>
              </w:rPr>
              <w:t>、相关证书和社保部门出具的本单位为其缴纳的投标前近三个月连续的养老保险证明（含官网在线打印件，证明文件两个月内有效）或投标人提供承诺已为其缴纳养老保险证明的承诺书（格式自拟）</w:t>
            </w:r>
            <w:r>
              <w:rPr>
                <w:rFonts w:hint="eastAsia" w:ascii="宋体" w:hAnsi="宋体" w:cs="宋体"/>
                <w:szCs w:val="21"/>
                <w:highlight w:val="none"/>
                <w:lang w:val="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5</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bCs/>
                <w:lang w:val="en-US" w:eastAsia="zh-CN"/>
              </w:rPr>
              <w:t>综合实力</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line="360" w:lineRule="auto"/>
              <w:ind w:left="0" w:leftChars="0" w:right="0" w:firstLine="0" w:firstLineChars="0"/>
              <w:jc w:val="both"/>
              <w:rPr>
                <w:rFonts w:hint="default"/>
                <w:lang w:val="en-US" w:eastAsia="zh-CN"/>
              </w:rPr>
            </w:pPr>
            <w:r>
              <w:rPr>
                <w:rFonts w:hint="eastAsia"/>
                <w:lang w:val="en-US" w:eastAsia="zh-CN"/>
              </w:rPr>
              <w:t>1、</w:t>
            </w:r>
            <w:r>
              <w:rPr>
                <w:rFonts w:hint="eastAsia"/>
              </w:rPr>
              <w:t>经批准的检测项目</w:t>
            </w:r>
            <w:r>
              <w:rPr>
                <w:rFonts w:hint="eastAsia"/>
                <w:lang w:val="en-US" w:eastAsia="zh-CN"/>
              </w:rPr>
              <w:t>多于</w:t>
            </w:r>
            <w:r>
              <w:rPr>
                <w:rFonts w:hint="eastAsia"/>
              </w:rPr>
              <w:t>200</w:t>
            </w:r>
            <w:r>
              <w:rPr>
                <w:rFonts w:hint="eastAsia"/>
                <w:lang w:val="en-US" w:eastAsia="zh-CN"/>
              </w:rPr>
              <w:t>个（含）的3</w:t>
            </w:r>
            <w:r>
              <w:rPr>
                <w:rFonts w:hint="eastAsia"/>
              </w:rPr>
              <w:t>分；经批准的检测项目</w:t>
            </w:r>
            <w:r>
              <w:rPr>
                <w:rFonts w:hint="eastAsia"/>
                <w:lang w:val="en-US" w:eastAsia="zh-CN"/>
              </w:rPr>
              <w:t>多于</w:t>
            </w:r>
            <w:r>
              <w:rPr>
                <w:rFonts w:hint="eastAsia"/>
              </w:rPr>
              <w:t>100</w:t>
            </w:r>
            <w:r>
              <w:rPr>
                <w:rFonts w:hint="eastAsia"/>
                <w:lang w:val="en-US" w:eastAsia="zh-CN"/>
              </w:rPr>
              <w:t>个（含）且小于</w:t>
            </w:r>
            <w:r>
              <w:rPr>
                <w:rFonts w:hint="eastAsia"/>
              </w:rPr>
              <w:t>200</w:t>
            </w:r>
            <w:r>
              <w:rPr>
                <w:rFonts w:hint="eastAsia"/>
                <w:lang w:val="en-US" w:eastAsia="zh-CN"/>
              </w:rPr>
              <w:t>个（不含）的</w:t>
            </w:r>
            <w:r>
              <w:rPr>
                <w:rFonts w:hint="eastAsia"/>
              </w:rPr>
              <w:t>得</w:t>
            </w:r>
            <w:r>
              <w:rPr>
                <w:rFonts w:hint="eastAsia"/>
                <w:lang w:val="en-US" w:eastAsia="zh-CN"/>
              </w:rPr>
              <w:t>2</w:t>
            </w:r>
            <w:r>
              <w:rPr>
                <w:rFonts w:hint="eastAsia"/>
              </w:rPr>
              <w:t>分；经批准的检测项目</w:t>
            </w:r>
            <w:r>
              <w:rPr>
                <w:rFonts w:hint="eastAsia"/>
                <w:lang w:val="en-US" w:eastAsia="zh-CN"/>
              </w:rPr>
              <w:t>小于</w:t>
            </w:r>
            <w:r>
              <w:rPr>
                <w:rFonts w:hint="eastAsia"/>
              </w:rPr>
              <w:t>100</w:t>
            </w:r>
            <w:r>
              <w:rPr>
                <w:rFonts w:hint="eastAsia"/>
                <w:lang w:val="en-US" w:eastAsia="zh-CN"/>
              </w:rPr>
              <w:t>个（不含）的</w:t>
            </w:r>
            <w:r>
              <w:rPr>
                <w:rFonts w:hint="eastAsia"/>
              </w:rPr>
              <w:t>得</w:t>
            </w:r>
            <w:r>
              <w:rPr>
                <w:rFonts w:hint="eastAsia"/>
                <w:lang w:val="en-US" w:eastAsia="zh-CN"/>
              </w:rPr>
              <w:t>1</w:t>
            </w:r>
            <w:r>
              <w:rPr>
                <w:rFonts w:hint="eastAsia"/>
              </w:rPr>
              <w:t>分。</w:t>
            </w:r>
            <w:r>
              <w:rPr>
                <w:rFonts w:hint="eastAsia"/>
                <w:lang w:val="en-US" w:eastAsia="zh-CN"/>
              </w:rPr>
              <w:t>其他的不得分，本条满分3分。</w:t>
            </w:r>
          </w:p>
          <w:p>
            <w:pPr>
              <w:keepNext w:val="0"/>
              <w:keepLines w:val="0"/>
              <w:suppressLineNumbers w:val="0"/>
              <w:spacing w:before="0" w:beforeAutospacing="0" w:after="0" w:afterAutospacing="0" w:line="360" w:lineRule="auto"/>
              <w:ind w:left="0" w:leftChars="0" w:right="0" w:firstLine="0" w:firstLineChars="0"/>
              <w:jc w:val="both"/>
              <w:rPr>
                <w:rFonts w:hint="default"/>
              </w:rPr>
            </w:pPr>
            <w:r>
              <w:rPr>
                <w:rFonts w:hint="eastAsia"/>
                <w:lang w:val="en-US" w:eastAsia="zh-CN"/>
              </w:rPr>
              <w:t>2、具有</w:t>
            </w:r>
            <w:r>
              <w:rPr>
                <w:rFonts w:hint="eastAsia"/>
              </w:rPr>
              <w:t>CNAS认可证书</w:t>
            </w:r>
            <w:r>
              <w:rPr>
                <w:rFonts w:hint="eastAsia"/>
                <w:lang w:val="en-US" w:eastAsia="zh-CN"/>
              </w:rPr>
              <w:t>的</w:t>
            </w:r>
            <w:r>
              <w:rPr>
                <w:rFonts w:hint="eastAsia"/>
              </w:rPr>
              <w:t>得2分</w:t>
            </w:r>
            <w:r>
              <w:rPr>
                <w:rFonts w:hint="eastAsia"/>
                <w:lang w:eastAsia="zh-CN"/>
              </w:rPr>
              <w:t>，</w:t>
            </w:r>
            <w:r>
              <w:rPr>
                <w:rFonts w:hint="eastAsia"/>
                <w:lang w:val="en-US" w:eastAsia="zh-CN"/>
              </w:rPr>
              <w:t>其他的不得分，本条满分2分。</w:t>
            </w:r>
          </w:p>
          <w:p>
            <w:pPr>
              <w:keepNext w:val="0"/>
              <w:keepLines w:val="0"/>
              <w:suppressLineNumbers w:val="0"/>
              <w:spacing w:before="0" w:beforeAutospacing="0" w:after="0" w:afterAutospacing="0" w:line="360" w:lineRule="auto"/>
              <w:ind w:left="0" w:leftChars="0" w:right="0" w:firstLine="0" w:firstLineChars="0"/>
              <w:jc w:val="both"/>
              <w:rPr>
                <w:rFonts w:hint="eastAsia"/>
                <w:lang w:val="en-US" w:eastAsia="zh-CN"/>
              </w:rPr>
            </w:pPr>
            <w:r>
              <w:rPr>
                <w:rFonts w:hint="eastAsia"/>
                <w:lang w:val="en-US" w:eastAsia="zh-CN"/>
              </w:rPr>
              <w:t>3、具有</w:t>
            </w:r>
            <w:r>
              <w:rPr>
                <w:rFonts w:hint="eastAsia"/>
              </w:rPr>
              <w:t>检验检测资质认证证书（CMA）</w:t>
            </w:r>
            <w:r>
              <w:rPr>
                <w:rFonts w:hint="eastAsia"/>
                <w:lang w:val="en-US" w:eastAsia="zh-CN"/>
              </w:rPr>
              <w:t>的</w:t>
            </w:r>
            <w:r>
              <w:rPr>
                <w:rFonts w:hint="eastAsia"/>
              </w:rPr>
              <w:t>得2分</w:t>
            </w:r>
            <w:r>
              <w:rPr>
                <w:rFonts w:hint="eastAsia"/>
                <w:lang w:eastAsia="zh-CN"/>
              </w:rPr>
              <w:t>，</w:t>
            </w:r>
            <w:r>
              <w:rPr>
                <w:rFonts w:hint="eastAsia"/>
                <w:lang w:val="en-US" w:eastAsia="zh-CN"/>
              </w:rPr>
              <w:t>其他的不得分，本条满分2分。</w:t>
            </w:r>
          </w:p>
          <w:p>
            <w:pPr>
              <w:keepNext w:val="0"/>
              <w:keepLines w:val="0"/>
              <w:suppressLineNumbers w:val="0"/>
              <w:spacing w:before="0" w:beforeAutospacing="0" w:after="0" w:afterAutospacing="0" w:line="360" w:lineRule="auto"/>
              <w:ind w:left="0" w:leftChars="0" w:right="0" w:firstLine="0" w:firstLineChars="0"/>
              <w:jc w:val="both"/>
              <w:rPr>
                <w:rFonts w:hint="default" w:eastAsia="微软雅黑.〇."/>
                <w:lang w:val="en-US" w:eastAsia="zh-CN"/>
              </w:rPr>
            </w:pPr>
            <w:r>
              <w:rPr>
                <w:rFonts w:hint="eastAsia"/>
                <w:lang w:val="en-US" w:eastAsia="zh-CN"/>
              </w:rPr>
              <w:t>4、具有</w:t>
            </w:r>
            <w:r>
              <w:rPr>
                <w:rFonts w:hint="eastAsia"/>
              </w:rPr>
              <w:t>质量管理体系认证证书</w:t>
            </w:r>
            <w:r>
              <w:rPr>
                <w:rFonts w:hint="eastAsia"/>
                <w:lang w:eastAsia="zh-CN"/>
              </w:rPr>
              <w:t>、</w:t>
            </w:r>
            <w:r>
              <w:rPr>
                <w:rFonts w:hint="eastAsia"/>
              </w:rPr>
              <w:t>环境管理体系认证证书</w:t>
            </w:r>
            <w:r>
              <w:rPr>
                <w:rFonts w:hint="eastAsia"/>
                <w:lang w:eastAsia="zh-CN"/>
              </w:rPr>
              <w:t>、</w:t>
            </w:r>
            <w:r>
              <w:rPr>
                <w:rFonts w:hint="eastAsia"/>
              </w:rPr>
              <w:t>职业健康安全管理体系认证证书</w:t>
            </w:r>
            <w:r>
              <w:rPr>
                <w:rFonts w:hint="eastAsia"/>
                <w:lang w:eastAsia="zh-CN"/>
              </w:rPr>
              <w:t>，</w:t>
            </w:r>
            <w:r>
              <w:rPr>
                <w:rFonts w:hint="eastAsia"/>
                <w:lang w:val="en-US" w:eastAsia="zh-CN"/>
              </w:rPr>
              <w:t>每提供1个得1分，其他的不得分，本条满分3分。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eastAsia="宋体"/>
                <w:b w:val="0"/>
                <w:bCs/>
                <w:sz w:val="21"/>
                <w:szCs w:val="21"/>
                <w:highlight w:val="none"/>
                <w:lang w:val="en-US" w:eastAsia="zh-CN"/>
              </w:rPr>
            </w:pPr>
            <w:r>
              <w:rPr>
                <w:rFonts w:hint="eastAsia" w:ascii="宋体" w:hAnsi="宋体" w:eastAsia="宋体"/>
                <w:b w:val="0"/>
                <w:bCs/>
                <w:sz w:val="21"/>
                <w:szCs w:val="21"/>
                <w:highlight w:val="none"/>
                <w:lang w:val="en-US" w:eastAsia="zh-CN"/>
              </w:rPr>
              <w:t>投标文件中须提供</w:t>
            </w:r>
            <w:r>
              <w:rPr>
                <w:rFonts w:hint="eastAsia" w:ascii="宋体" w:hAnsi="宋体" w:eastAsia="宋体" w:cs="宋体"/>
              </w:rPr>
              <w:t>相关证明材料或证书扫描件。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6</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cs="宋体"/>
                <w:bCs/>
              </w:rPr>
              <w:t>拟投入的仪器设备</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5分</w:t>
            </w:r>
          </w:p>
        </w:tc>
        <w:tc>
          <w:tcPr>
            <w:tcW w:w="3338"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Calibri" w:hAnsi="Calibri" w:eastAsia="宋体" w:cs="Times New Roman"/>
                <w:color w:val="000000"/>
                <w:szCs w:val="21"/>
                <w:highlight w:val="none"/>
                <w:lang w:val="en-US" w:eastAsia="zh-CN"/>
              </w:rPr>
            </w:pPr>
            <w:r>
              <w:rPr>
                <w:rFonts w:hint="eastAsia" w:ascii="宋体" w:hAnsi="宋体" w:eastAsia="宋体" w:cs="宋体"/>
                <w:bCs/>
                <w:lang w:val="en-US" w:eastAsia="zh-CN"/>
              </w:rPr>
              <w:t>横向对比各投标人拟投入的设备</w:t>
            </w:r>
            <w:r>
              <w:rPr>
                <w:rFonts w:hint="eastAsia" w:ascii="宋体" w:hAnsi="宋体" w:eastAsia="宋体" w:cs="宋体"/>
                <w:bCs/>
                <w:highlight w:val="none"/>
                <w:lang w:val="en-US" w:eastAsia="zh-CN"/>
              </w:rPr>
              <w:t>数量和种类从多到少进行排序</w:t>
            </w:r>
            <w:r>
              <w:rPr>
                <w:rFonts w:hint="eastAsia" w:ascii="宋体" w:hAnsi="宋体" w:eastAsia="宋体" w:cs="宋体"/>
                <w:bCs/>
                <w:lang w:val="en-US" w:eastAsia="zh-CN"/>
              </w:rPr>
              <w:t>，排名第一的得5分；排名第二的得3分；排名第三的得1分；其他的不得分，本条满分5分。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b w:val="0"/>
                <w:bCs/>
                <w:sz w:val="21"/>
                <w:szCs w:val="21"/>
                <w:highlight w:val="none"/>
              </w:rPr>
            </w:pPr>
            <w:r>
              <w:rPr>
                <w:rFonts w:hint="eastAsia" w:ascii="宋体" w:hAnsi="宋体" w:eastAsia="宋体"/>
                <w:b w:val="0"/>
                <w:bCs/>
                <w:sz w:val="21"/>
                <w:szCs w:val="21"/>
                <w:highlight w:val="none"/>
                <w:lang w:val="en-US" w:eastAsia="zh-CN"/>
              </w:rPr>
              <w:t>投标文件中须提供</w:t>
            </w:r>
            <w:r>
              <w:rPr>
                <w:rFonts w:hint="eastAsia" w:ascii="宋体" w:hAnsi="宋体" w:eastAsia="宋体" w:cs="宋体"/>
                <w:lang w:val="en-US" w:eastAsia="zh-CN"/>
              </w:rPr>
              <w:t>拟</w:t>
            </w:r>
            <w:r>
              <w:rPr>
                <w:rFonts w:hint="eastAsia" w:ascii="宋体" w:hAnsi="宋体" w:cs="宋体"/>
                <w:bCs/>
              </w:rPr>
              <w:t>投入的仪器设备</w:t>
            </w:r>
            <w:r>
              <w:rPr>
                <w:rFonts w:hint="eastAsia" w:ascii="宋体" w:hAnsi="宋体" w:cs="宋体"/>
                <w:bCs/>
                <w:lang w:val="en-US" w:eastAsia="zh-CN"/>
              </w:rPr>
              <w:t>清单</w:t>
            </w:r>
            <w:r>
              <w:rPr>
                <w:rFonts w:hint="eastAsia" w:ascii="宋体" w:hAnsi="宋体" w:eastAsia="宋体" w:cs="宋体"/>
              </w:rPr>
              <w:t>扫描件。</w:t>
            </w:r>
          </w:p>
        </w:tc>
      </w:tr>
    </w:tbl>
    <w:p>
      <w:pPr>
        <w:spacing w:line="360" w:lineRule="auto"/>
        <w:ind w:firstLine="315" w:firstLineChars="150"/>
        <w:rPr>
          <w:rFonts w:hint="eastAsia" w:ascii="宋体"/>
          <w:szCs w:val="21"/>
          <w:highlight w:val="none"/>
        </w:rPr>
      </w:pPr>
      <w:r>
        <w:rPr>
          <w:rFonts w:hint="eastAsia" w:ascii="宋体"/>
          <w:szCs w:val="21"/>
          <w:highlight w:val="none"/>
          <w:lang w:val="en-US" w:eastAsia="zh-CN"/>
        </w:rPr>
        <w:t>注：资信</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6.2技术标评审细则（20分）</w:t>
      </w:r>
    </w:p>
    <w:tbl>
      <w:tblPr>
        <w:tblStyle w:val="2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bCs/>
              </w:rPr>
              <w:t>项目实施方案</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ind w:left="0" w:right="0"/>
              <w:rPr>
                <w:rFonts w:hint="default"/>
                <w:lang w:val="en-US" w:eastAsia="zh-CN"/>
              </w:rPr>
            </w:pPr>
            <w:r>
              <w:rPr>
                <w:rFonts w:hint="eastAsia" w:ascii="宋体" w:hAnsi="宋体" w:cs="宋体"/>
                <w:bCs/>
              </w:rPr>
              <w:t>熟悉城市轨道交通相关法规，</w:t>
            </w:r>
            <w:r>
              <w:rPr>
                <w:rFonts w:hint="eastAsia" w:ascii="宋体" w:hAnsi="宋体" w:cs="宋体"/>
                <w:bCs/>
                <w:lang w:val="en-US" w:eastAsia="zh-CN"/>
              </w:rPr>
              <w:t>重难点分析全面，</w:t>
            </w:r>
            <w:r>
              <w:rPr>
                <w:rFonts w:hint="eastAsia" w:ascii="宋体" w:hAnsi="宋体" w:cs="宋体"/>
                <w:bCs/>
              </w:rPr>
              <w:t>实施方案系统全面，科学可行的。优秀的得10分，良好的得</w:t>
            </w:r>
            <w:r>
              <w:rPr>
                <w:rFonts w:hint="eastAsia" w:ascii="宋体" w:hAnsi="宋体" w:cs="宋体"/>
                <w:bCs/>
                <w:lang w:val="en-US" w:eastAsia="zh-CN"/>
              </w:rPr>
              <w:t>9</w:t>
            </w:r>
            <w:r>
              <w:rPr>
                <w:rFonts w:hint="eastAsia" w:ascii="宋体" w:hAnsi="宋体" w:cs="宋体"/>
                <w:bCs/>
              </w:rPr>
              <w:t>分，一般的得</w:t>
            </w:r>
            <w:r>
              <w:rPr>
                <w:rFonts w:hint="eastAsia" w:ascii="宋体" w:hAnsi="宋体" w:cs="宋体"/>
                <w:bCs/>
                <w:lang w:val="en-US" w:eastAsia="zh-CN"/>
              </w:rPr>
              <w:t>8</w:t>
            </w:r>
            <w:r>
              <w:rPr>
                <w:rFonts w:hint="eastAsia" w:ascii="宋体" w:hAnsi="宋体" w:cs="宋体"/>
                <w:bCs/>
              </w:rPr>
              <w:t>分，</w:t>
            </w:r>
            <w:r>
              <w:rPr>
                <w:rFonts w:hint="eastAsia"/>
                <w:lang w:val="en-US" w:eastAsia="zh-CN"/>
              </w:rPr>
              <w:t>未提供的不得分，本条满分10分。</w:t>
            </w:r>
          </w:p>
        </w:tc>
        <w:tc>
          <w:tcPr>
            <w:tcW w:w="1830"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评审核验投标文件中的下述文件：</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ascii="宋体" w:hAnsi="宋体" w:eastAsia="宋体" w:cs="宋体"/>
                <w:kern w:val="0"/>
                <w:szCs w:val="21"/>
                <w:highlight w:val="none"/>
                <w:lang w:val="en-US"/>
              </w:rPr>
            </w:pPr>
            <w:r>
              <w:rPr>
                <w:rFonts w:hint="eastAsia" w:ascii="宋体" w:hAnsi="宋体" w:eastAsia="宋体" w:cs="宋体"/>
                <w:szCs w:val="21"/>
                <w:highlight w:val="none"/>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评价计划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及保证措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施</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suppressLineNumbers w:val="0"/>
              <w:spacing w:before="0" w:beforeAutospacing="0" w:after="0" w:afterAutospacing="0"/>
              <w:ind w:left="0" w:right="0"/>
              <w:rPr>
                <w:rFonts w:hint="eastAsia"/>
                <w:lang w:val="en-US" w:eastAsia="zh-CN"/>
              </w:rPr>
            </w:pPr>
            <w:r>
              <w:rPr>
                <w:rFonts w:hint="eastAsia" w:ascii="宋体" w:hAnsi="宋体" w:cs="宋体"/>
                <w:bCs/>
              </w:rPr>
              <w:t>项目组织及工作计划安排完整、合理、可行，咨询服务质量保障科学系统，后期跟踪服务好。</w:t>
            </w:r>
            <w:r>
              <w:rPr>
                <w:rFonts w:hint="eastAsia"/>
                <w:lang w:val="en-US" w:eastAsia="zh-CN"/>
              </w:rPr>
              <w:t>优秀的得10分；良好的得9分；一般的得8分，未提供的不得分，本条满分10分。</w:t>
            </w:r>
          </w:p>
        </w:tc>
        <w:tc>
          <w:tcPr>
            <w:tcW w:w="183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40" w:leftChars="0" w:right="0"/>
              <w:jc w:val="center"/>
              <w:textAlignment w:val="auto"/>
              <w:rPr>
                <w:rFonts w:hint="eastAsia" w:ascii="宋体" w:hAnsi="宋体" w:eastAsia="宋体"/>
                <w:b w:val="0"/>
                <w:bCs/>
                <w:sz w:val="21"/>
                <w:szCs w:val="21"/>
                <w:highlight w:val="none"/>
              </w:rPr>
            </w:pPr>
          </w:p>
        </w:tc>
      </w:tr>
    </w:tbl>
    <w:p>
      <w:pPr>
        <w:spacing w:line="360" w:lineRule="auto"/>
        <w:ind w:firstLine="315" w:firstLineChars="150"/>
        <w:rPr>
          <w:rFonts w:hint="eastAsia"/>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6.3商务标评审细则（30分）</w:t>
      </w:r>
    </w:p>
    <w:tbl>
      <w:tblPr>
        <w:tblStyle w:val="22"/>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等于评标基准价的得满分，其余投标人的报价得分按照下列公示计算：</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高于评标基准价的，投标报价得分=报价满分值-偏差率×100×</w:t>
            </w:r>
            <w:r>
              <w:rPr>
                <w:rFonts w:hint="eastAsia" w:ascii="宋体" w:hAnsi="宋体"/>
                <w:color w:val="000000"/>
                <w:szCs w:val="21"/>
                <w:highlight w:val="none"/>
                <w:lang w:val="en-US" w:eastAsia="zh-CN"/>
              </w:rPr>
              <w:t>0.2</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低于评标基准价的，投标报价得分=报价满分值-偏差率×100×0.</w:t>
            </w:r>
            <w:r>
              <w:rPr>
                <w:rFonts w:hint="eastAsia" w:ascii="宋体" w:hAnsi="宋体"/>
                <w:color w:val="000000"/>
                <w:szCs w:val="21"/>
                <w:highlight w:val="none"/>
                <w:lang w:val="en-US" w:eastAsia="zh-CN"/>
              </w:rPr>
              <w:t>1</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w:t>
            </w:r>
            <w:r>
              <w:rPr>
                <w:rFonts w:hint="eastAsia" w:ascii="宋体" w:hAnsi="宋体" w:cs="宋体"/>
                <w:color w:val="auto"/>
                <w:szCs w:val="21"/>
                <w:highlight w:val="none"/>
                <w:lang w:val="en-US" w:eastAsia="zh-CN"/>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8"/>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hint="eastAsia" w:ascii="宋体" w:hAnsi="宋体"/>
          <w:b/>
          <w:szCs w:val="21"/>
          <w:highlight w:val="none"/>
        </w:rPr>
      </w:pPr>
      <w:r>
        <w:rPr>
          <w:rFonts w:hint="eastAsia" w:ascii="宋体" w:hAnsi="宋体"/>
          <w:b/>
          <w:szCs w:val="21"/>
          <w:highlight w:val="none"/>
          <w:lang w:val="en-US" w:eastAsia="zh-CN"/>
        </w:rPr>
        <w:t>注：1</w:t>
      </w:r>
      <w:r>
        <w:rPr>
          <w:rFonts w:hint="eastAsia" w:ascii="宋体" w:hAnsi="宋体"/>
          <w:b/>
          <w:szCs w:val="21"/>
          <w:highlight w:val="none"/>
        </w:rPr>
        <w:t>、本表所称投标报价是指按招标文件规定修正后的投标总报价（多算投标报价、多报费用不扣减）。</w:t>
      </w:r>
    </w:p>
    <w:p>
      <w:pPr>
        <w:spacing w:line="440" w:lineRule="exact"/>
        <w:ind w:firstLine="422" w:firstLineChars="200"/>
        <w:rPr>
          <w:rFonts w:hint="eastAsia" w:ascii="宋体" w:hAnsi="宋体"/>
          <w:b/>
          <w:szCs w:val="21"/>
          <w:highlight w:val="none"/>
        </w:rPr>
      </w:pPr>
      <w:r>
        <w:rPr>
          <w:rFonts w:hint="eastAsia" w:ascii="宋体" w:hAnsi="宋体"/>
          <w:b/>
          <w:szCs w:val="21"/>
          <w:highlight w:val="none"/>
          <w:lang w:val="en-US" w:eastAsia="zh-CN"/>
        </w:rPr>
        <w:t>2</w:t>
      </w:r>
      <w:r>
        <w:rPr>
          <w:rFonts w:hint="eastAsia" w:ascii="宋体" w:hAnsi="宋体"/>
          <w:b/>
          <w:szCs w:val="21"/>
          <w:highlight w:val="none"/>
        </w:rPr>
        <w:t>、评标办法中的评标基准价计算出来后，除数字计算错误外，其他情况均不再调整。</w:t>
      </w:r>
    </w:p>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2" w:name="_Toc19726_WPSOffice_Level2"/>
      <w:bookmarkStart w:id="53" w:name="_Toc25521"/>
      <w:r>
        <w:rPr>
          <w:rFonts w:hint="eastAsia" w:ascii="宋体"/>
          <w:b/>
          <w:color w:val="auto"/>
          <w:sz w:val="24"/>
          <w:szCs w:val="24"/>
          <w:highlight w:val="none"/>
        </w:rPr>
        <w:t>五  推荐中标候选人</w:t>
      </w:r>
      <w:bookmarkEnd w:id="52"/>
      <w:bookmarkEnd w:id="53"/>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4"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标三部分</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4"/>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2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一、目的与意义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依据《中华人民共和国职业病防治法》、《工作场所职业卫生管理规定》（国家卫生健康委员会令第5号）、《建设项目职业病防护设施“三同时”监督管理办法》（国家安全生产监督管理总局令第90号）等法律法规、规章规范的要求，落实用人单位职业病防治主体责任，预防、控制和消除建设项目可能产生的职业病危害，提高公司职业病防治管理水平，最大限度保障劳动者身心健康。</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二、概况及工作范围</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滁州至南京城际铁路（滁州段）一、二期工程，项目建设规模全长46.45km ，建设地址位于安徽省滁州市，计划于2023年建成。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二期工程全长13.276km，其中含地下段5.703km，路基段0.252km，高架段7.321km，设站6座（预留2座），其中高架站4座，地下站2座，在技术学院站附近设置牵引变电所一座，在滁州站东部区域设置停车场一处（远期预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滁州段一期工程全长33.18km，设站8座（预留2座），均为高架站，设置车辆段、主变电所、控制中心各一座。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滁州至南京城际铁路一期调整段工程全长4.983km，设高架站1座。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ascii="宋体" w:hAnsi="宋体" w:eastAsia="宋体" w:cs="宋体"/>
          <w:sz w:val="21"/>
          <w:szCs w:val="21"/>
          <w:lang w:val="en-US" w:eastAsia="zh-CN"/>
        </w:rPr>
        <w:t>本项目车辆采用市域D型车，2动2拖四辆编组，车体为整体承载的铝合金型材焊接结构，采用交流25kV接触网供电，最高设计速度120km/h（预留140km/h）。</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（二）工作范围</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本次技术服务工作范围为滁州至南京城际铁路（滁州段）一、二期工程工作场所及相关区域，完成工作（包含但不限于）如下： </w:t>
      </w:r>
    </w:p>
    <w:p>
      <w:pPr>
        <w:keepNext w:val="0"/>
        <w:keepLines w:val="0"/>
        <w:widowControl/>
        <w:suppressLineNumbers w:val="0"/>
        <w:spacing w:line="360" w:lineRule="auto"/>
        <w:ind w:firstLine="210" w:firstLineChars="1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（1）完成职业病危害预评价</w:t>
      </w:r>
      <w:r>
        <w:rPr>
          <w:rFonts w:hint="eastAsia" w:ascii="宋体" w:hAnsi="宋体" w:cs="宋体"/>
          <w:color w:val="000000"/>
          <w:kern w:val="0"/>
          <w:sz w:val="21"/>
          <w:szCs w:val="21"/>
          <w:highlight w:val="none"/>
          <w:lang w:val="en-US" w:eastAsia="zh-CN" w:bidi="ar"/>
        </w:rPr>
        <w:t>及专家评审</w:t>
      </w:r>
      <w:r>
        <w:rPr>
          <w:rFonts w:hint="eastAsia" w:ascii="宋体" w:hAnsi="宋体" w:eastAsia="宋体" w:cs="宋体"/>
          <w:color w:val="000000"/>
          <w:kern w:val="0"/>
          <w:sz w:val="21"/>
          <w:szCs w:val="21"/>
          <w:highlight w:val="none"/>
          <w:lang w:val="en-US" w:eastAsia="zh-CN" w:bidi="ar"/>
        </w:rPr>
        <w:t xml:space="preserve">； </w:t>
      </w:r>
    </w:p>
    <w:p>
      <w:pPr>
        <w:keepNext w:val="0"/>
        <w:keepLines w:val="0"/>
        <w:widowControl/>
        <w:suppressLineNumbers w:val="0"/>
        <w:spacing w:line="360" w:lineRule="auto"/>
        <w:ind w:firstLine="210" w:firstLineChars="1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（2）咨询指导设计部门进行职业病防护设施设计编制。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三、技术要求 </w:t>
      </w:r>
    </w:p>
    <w:p>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1、人员 </w:t>
      </w:r>
    </w:p>
    <w:p>
      <w:pPr>
        <w:widowControl/>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eastAsia="宋体" w:cs="宋体"/>
          <w:color w:val="000000"/>
          <w:kern w:val="0"/>
          <w:szCs w:val="21"/>
          <w:highlight w:val="none"/>
          <w:lang w:bidi="ar"/>
        </w:rPr>
        <w:t>职业病技术服务机构投入本项目服务</w:t>
      </w:r>
      <w:r>
        <w:rPr>
          <w:rFonts w:hint="eastAsia" w:ascii="宋体" w:hAnsi="宋体" w:eastAsia="宋体" w:cs="宋体"/>
          <w:color w:val="000000"/>
          <w:kern w:val="0"/>
          <w:szCs w:val="21"/>
          <w:highlight w:val="none"/>
          <w:lang w:val="en-US" w:eastAsia="zh-CN" w:bidi="ar"/>
        </w:rPr>
        <w:t>人员</w:t>
      </w:r>
      <w:r>
        <w:rPr>
          <w:rFonts w:hint="eastAsia" w:ascii="宋体" w:hAnsi="宋体" w:eastAsia="宋体" w:cs="宋体"/>
          <w:color w:val="000000"/>
          <w:kern w:val="0"/>
          <w:szCs w:val="21"/>
          <w:highlight w:val="none"/>
          <w:lang w:eastAsia="zh-CN" w:bidi="ar"/>
        </w:rPr>
        <w:t>，</w:t>
      </w:r>
      <w:r>
        <w:rPr>
          <w:rFonts w:hint="eastAsia" w:ascii="宋体" w:hAnsi="宋体" w:eastAsia="宋体" w:cs="宋体"/>
          <w:color w:val="000000"/>
          <w:kern w:val="0"/>
          <w:szCs w:val="21"/>
          <w:highlight w:val="none"/>
          <w:lang w:bidi="ar"/>
        </w:rPr>
        <w:t>均需取得职业卫生技术服务专业技术人员证书</w:t>
      </w:r>
      <w:r>
        <w:rPr>
          <w:rFonts w:hint="eastAsia" w:ascii="宋体" w:hAnsi="宋体" w:eastAsia="宋体" w:cs="宋体"/>
          <w:color w:val="000000"/>
          <w:kern w:val="0"/>
          <w:szCs w:val="21"/>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 基本要求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 xml:space="preserve">2.1 </w:t>
      </w:r>
      <w:r>
        <w:rPr>
          <w:rFonts w:hint="eastAsia" w:ascii="宋体" w:hAnsi="宋体" w:eastAsia="宋体" w:cs="宋体"/>
          <w:color w:val="000000"/>
          <w:kern w:val="0"/>
          <w:sz w:val="21"/>
          <w:szCs w:val="21"/>
          <w:lang w:val="en-US" w:eastAsia="zh-CN" w:bidi="ar"/>
        </w:rPr>
        <w:t>职业病危害预评价成果内容及形式，应满足现行法律法规、规章制度、标准规范的有关要求，并结合安徽省、滁州市职业病防治监督管理部门有关文件，针对本项目的特点，高标准、高质量按时完成该项目工作。</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 xml:space="preserve">2.2 </w:t>
      </w:r>
      <w:r>
        <w:rPr>
          <w:rFonts w:hint="eastAsia" w:ascii="宋体" w:hAnsi="宋体" w:eastAsia="宋体" w:cs="宋体"/>
          <w:color w:val="000000"/>
          <w:kern w:val="0"/>
          <w:sz w:val="21"/>
          <w:szCs w:val="21"/>
          <w:lang w:val="en-US" w:eastAsia="zh-CN" w:bidi="ar"/>
        </w:rPr>
        <w:t>严格遵守各项安全生产管理制度，现场调研人员正确使用劳动保护用品。</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 xml:space="preserve">2.3 </w:t>
      </w:r>
      <w:r>
        <w:rPr>
          <w:rFonts w:hint="eastAsia" w:ascii="宋体" w:hAnsi="宋体" w:eastAsia="宋体" w:cs="宋体"/>
          <w:color w:val="000000"/>
          <w:kern w:val="0"/>
          <w:sz w:val="21"/>
          <w:szCs w:val="21"/>
          <w:lang w:val="en-US" w:eastAsia="zh-CN" w:bidi="ar"/>
        </w:rPr>
        <w:t xml:space="preserve">职业病危害预评价 </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 xml:space="preserve">2.3.1 </w:t>
      </w:r>
      <w:r>
        <w:rPr>
          <w:rFonts w:hint="eastAsia" w:ascii="宋体" w:hAnsi="宋体" w:eastAsia="宋体" w:cs="宋体"/>
          <w:color w:val="000000"/>
          <w:kern w:val="0"/>
          <w:sz w:val="21"/>
          <w:szCs w:val="21"/>
          <w:lang w:val="en-US" w:eastAsia="zh-CN" w:bidi="ar"/>
        </w:rPr>
        <w:t>编制职业病危害预评价报告，预评价报告应当符合职业病防治有关法律、法规、规章和标准的要求，并包括下列主要内容：</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w:t>
      </w:r>
      <w:r>
        <w:rPr>
          <w:rFonts w:hint="default" w:ascii="宋体" w:hAnsi="宋体" w:eastAsia="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）建设项目概况，主要包括项目名称、建设地点、建设内容、工作制度、岗位设置及人员数量等；</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w:t>
      </w:r>
      <w:r>
        <w:rPr>
          <w:rFonts w:hint="default" w:ascii="宋体" w:hAnsi="宋体" w:eastAsia="宋体"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）建设项目可能产生的职业病危害因素及其对工作场所、劳动者健康影响与危害程度的分析与评价；</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w:t>
      </w:r>
      <w:r>
        <w:rPr>
          <w:rFonts w:hint="default" w:ascii="宋体" w:hAnsi="宋体" w:eastAsia="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）对建设项目拟采取的职业病防护设施和防护措施进行分析、评价，并提出对策与建议；</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w:t>
      </w:r>
      <w:r>
        <w:rPr>
          <w:rFonts w:hint="default" w:ascii="宋体" w:hAnsi="宋体" w:eastAsia="宋体" w:cs="宋体"/>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）评价结论，明确建设项目的职业病危害风险类别及拟采取的职业病防护设施和防护措施是否符合职业病防治有关法律、法规、规章和标准的要求。</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2.3.2</w:t>
      </w:r>
      <w:r>
        <w:rPr>
          <w:rFonts w:hint="eastAsia" w:ascii="宋体" w:hAnsi="宋体" w:eastAsia="宋体" w:cs="宋体"/>
          <w:color w:val="000000"/>
          <w:kern w:val="0"/>
          <w:sz w:val="21"/>
          <w:szCs w:val="21"/>
          <w:lang w:val="en-US" w:eastAsia="zh-CN" w:bidi="ar"/>
        </w:rPr>
        <w:t>进行职业病危害预评价时，对建设项目可能产生的职业病危害因素及其对工作场所、劳动者健康影响与危害程度的分析与评价，可以运用工程分析、类比调查等方法。其中，类比调查数据应当采用获得资质认可的职业卫生技术服务机构出具的、与建设项目规模和工艺类似的用人单位职业病危害因素检测结果。</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2.3.3</w:t>
      </w:r>
      <w:r>
        <w:rPr>
          <w:rFonts w:hint="eastAsia" w:ascii="宋体" w:hAnsi="宋体" w:eastAsia="宋体" w:cs="宋体"/>
          <w:color w:val="000000"/>
          <w:kern w:val="0"/>
          <w:sz w:val="21"/>
          <w:szCs w:val="21"/>
          <w:lang w:val="en-US" w:eastAsia="zh-CN" w:bidi="ar"/>
        </w:rPr>
        <w:t>职业病危害预评价报告编制完成后，协助招标人组织相关专家对职业病危害预评价报告进行评审，并形成符合职业病防治有关法律、法规、规章和标准要求的评审意见。</w:t>
      </w:r>
    </w:p>
    <w:p>
      <w:pPr>
        <w:keepNext w:val="0"/>
        <w:keepLines w:val="0"/>
        <w:widowControl/>
        <w:suppressLineNumbers w:val="0"/>
        <w:spacing w:line="360" w:lineRule="auto"/>
        <w:ind w:firstLine="420" w:firstLineChars="200"/>
        <w:jc w:val="left"/>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2.3.4</w:t>
      </w:r>
      <w:r>
        <w:rPr>
          <w:rFonts w:hint="eastAsia" w:ascii="宋体" w:hAnsi="宋体" w:eastAsia="宋体" w:cs="宋体"/>
          <w:color w:val="000000"/>
          <w:kern w:val="0"/>
          <w:sz w:val="21"/>
          <w:szCs w:val="21"/>
          <w:lang w:val="en-US" w:eastAsia="zh-CN" w:bidi="ar"/>
        </w:rPr>
        <w:t>按照评审意见对职业病危害预评价报告进行修改完善，形成书面报告，并对最终的职业病危害预评价报告的真实性、客观性和合规性负责。</w:t>
      </w:r>
    </w:p>
    <w:p>
      <w:pPr>
        <w:keepNext w:val="0"/>
        <w:keepLines w:val="0"/>
        <w:widowControl/>
        <w:suppressLineNumbers w:val="0"/>
        <w:spacing w:line="360" w:lineRule="auto"/>
        <w:ind w:firstLine="420" w:firstLineChars="20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2.4按照相关法律法规和导则等指导设计部门进行职业病防护设施设计编制。</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四、服务周期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具体项目实施时间以招标人通知为准，收到招标人通知后25个工作日内完成职业病危害预评价。取得专家评审意见，并完成该项目职业病防护设施设计咨询指导。工作节点必须满足滁州至南京城际铁路（滁州段）一、二期开通节点要求，否则全额扣除其履约保证金且取消剩余合同价款的40%。</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五、考核条款</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1、招标人有权对评价机构的人员素质进行审核，对不符合要求的评价人员，有权要求调换。 </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2、招标人有权对评价人员的工作进行评价，对不能胜任合同要求或有严重渎职行为的评价人员，提出批评和整改意见，招标人有权指令评价机构限期更换。</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六、验收要求</w:t>
      </w:r>
    </w:p>
    <w:p>
      <w:pPr>
        <w:keepNext w:val="0"/>
        <w:keepLines w:val="0"/>
        <w:widowControl/>
        <w:suppressLineNumbers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严格按照《建设项目职业病防护设施“三同时”监督管理办法》的</w:t>
      </w:r>
      <w:r>
        <w:rPr>
          <w:rFonts w:hint="eastAsia" w:ascii="宋体" w:hAnsi="宋体" w:cs="宋体"/>
          <w:color w:val="000000"/>
          <w:kern w:val="0"/>
          <w:sz w:val="21"/>
          <w:szCs w:val="21"/>
          <w:lang w:val="en-US" w:eastAsia="zh-CN" w:bidi="ar"/>
        </w:rPr>
        <w:t>等</w:t>
      </w:r>
      <w:r>
        <w:rPr>
          <w:rFonts w:hint="eastAsia" w:ascii="宋体" w:hAnsi="宋体" w:eastAsia="宋体" w:cs="宋体"/>
          <w:color w:val="000000"/>
          <w:kern w:val="0"/>
          <w:sz w:val="21"/>
          <w:szCs w:val="21"/>
          <w:lang w:val="en-US" w:eastAsia="zh-CN" w:bidi="ar"/>
        </w:rPr>
        <w:t>相关规定编制职业病危害预评价报告；最终满足</w:t>
      </w:r>
      <w:r>
        <w:rPr>
          <w:rFonts w:hint="eastAsia" w:ascii="宋体" w:hAnsi="宋体" w:cs="宋体"/>
          <w:color w:val="000000"/>
          <w:kern w:val="0"/>
          <w:sz w:val="21"/>
          <w:szCs w:val="21"/>
          <w:lang w:val="en-US" w:eastAsia="zh-CN" w:bidi="ar"/>
        </w:rPr>
        <w:t>备查要求。</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七、成果需求 </w:t>
      </w:r>
    </w:p>
    <w:p>
      <w:pPr>
        <w:keepNext w:val="0"/>
        <w:keepLines w:val="0"/>
        <w:widowControl/>
        <w:suppressLineNumbers w:val="0"/>
        <w:spacing w:line="360" w:lineRule="auto"/>
        <w:ind w:firstLine="420" w:firstLineChars="200"/>
        <w:jc w:val="left"/>
        <w:rPr>
          <w:rFonts w:hint="default" w:ascii="宋体" w:hAnsi="宋体" w:eastAsia="宋体" w:cs="宋体"/>
          <w:sz w:val="21"/>
          <w:szCs w:val="21"/>
          <w:highlight w:val="none"/>
          <w:lang w:val="en-US"/>
        </w:rPr>
      </w:pPr>
      <w:r>
        <w:rPr>
          <w:rFonts w:hint="eastAsia" w:ascii="宋体" w:hAnsi="宋体" w:eastAsia="宋体" w:cs="宋体"/>
          <w:color w:val="000000"/>
          <w:kern w:val="0"/>
          <w:sz w:val="21"/>
          <w:szCs w:val="21"/>
          <w:highlight w:val="none"/>
          <w:lang w:val="en-US" w:eastAsia="zh-CN" w:bidi="ar"/>
        </w:rPr>
        <w:t>职业病危害预评价报告及配套专家评审意见，</w:t>
      </w:r>
      <w:r>
        <w:rPr>
          <w:rFonts w:hint="eastAsia" w:ascii="宋体" w:hAnsi="宋体" w:eastAsia="宋体" w:cs="宋体"/>
          <w:color w:val="000000"/>
          <w:kern w:val="0"/>
          <w:sz w:val="21"/>
          <w:szCs w:val="21"/>
          <w:highlight w:val="none"/>
          <w:u w:color="000000"/>
          <w:lang w:val="en-US" w:eastAsia="zh-CN" w:bidi="ar"/>
        </w:rPr>
        <w:t>并完成该项目职业病防护设施设计咨询指导。</w:t>
      </w:r>
    </w:p>
    <w:p>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br w:type="page"/>
      </w:r>
    </w:p>
    <w:p>
      <w:pPr>
        <w:pStyle w:val="7"/>
        <w:rPr>
          <w:rFonts w:hint="eastAsia"/>
          <w:lang w:val="en-US" w:eastAsia="zh-CN"/>
        </w:rPr>
      </w:pPr>
    </w:p>
    <w:p>
      <w:pPr>
        <w:numPr>
          <w:ilvl w:val="0"/>
          <w:numId w:val="4"/>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pStyle w:val="7"/>
        <w:rPr>
          <w:rFonts w:hint="eastAsia"/>
        </w:rPr>
      </w:pPr>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rPr>
        <w:t>委托方（甲方）：</w:t>
      </w:r>
      <w:r>
        <w:rPr>
          <w:rFonts w:hint="eastAsia" w:ascii="宋体" w:hAnsi="宋体" w:eastAsia="宋体" w:cs="宋体"/>
          <w:sz w:val="21"/>
          <w:szCs w:val="21"/>
          <w:highlight w:val="none"/>
          <w:u w:val="single"/>
          <w:lang w:eastAsia="zh-CN"/>
        </w:rPr>
        <w:t>滁州市滁宁城际铁路开发建设有限公司</w:t>
      </w:r>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受托方（乙方）：</w:t>
      </w:r>
      <w:r>
        <w:rPr>
          <w:rFonts w:hint="eastAsia" w:ascii="宋体" w:hAnsi="宋体" w:eastAsia="宋体" w:cs="宋体"/>
          <w:sz w:val="21"/>
          <w:szCs w:val="21"/>
          <w:highlight w:val="none"/>
          <w:u w:val="single"/>
        </w:rPr>
        <w:t xml:space="preserve">                      </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依据《中华人民共和国民法典》和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职业病防治法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《建设项目职业病防护设施“三同时”监督管理办法》的规定，</w:t>
      </w:r>
      <w:r>
        <w:rPr>
          <w:rFonts w:hint="eastAsia" w:ascii="宋体" w:hAnsi="宋体" w:eastAsia="宋体" w:cs="宋体"/>
          <w:sz w:val="21"/>
          <w:szCs w:val="21"/>
          <w:highlight w:val="none"/>
          <w:lang w:eastAsia="zh-CN"/>
        </w:rPr>
        <w:t>滁州市滁宁城际铁路开发建设有限公司</w:t>
      </w:r>
      <w:r>
        <w:rPr>
          <w:rFonts w:hint="eastAsia" w:ascii="宋体" w:hAnsi="宋体" w:eastAsia="宋体" w:cs="宋体"/>
          <w:sz w:val="21"/>
          <w:szCs w:val="21"/>
          <w:highlight w:val="none"/>
        </w:rPr>
        <w:t>委托乙方进行</w:t>
      </w:r>
      <w:r>
        <w:rPr>
          <w:rFonts w:hint="eastAsia" w:ascii="宋体" w:hAnsi="宋体" w:eastAsia="宋体" w:cs="宋体"/>
          <w:sz w:val="21"/>
          <w:szCs w:val="21"/>
          <w:highlight w:val="none"/>
          <w:lang w:eastAsia="zh-CN"/>
        </w:rPr>
        <w:t>滁州至南京城际铁路（滁州段）一、二期工程职业病危害预评价技术服务</w:t>
      </w:r>
      <w:r>
        <w:rPr>
          <w:rFonts w:hint="eastAsia" w:ascii="宋体" w:hAnsi="宋体" w:eastAsia="宋体" w:cs="宋体"/>
          <w:sz w:val="21"/>
          <w:szCs w:val="21"/>
          <w:highlight w:val="none"/>
        </w:rPr>
        <w:t>工作</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并支付相应的技术服务报酬。双方经过平等协商，在真实、充分地表达各自意愿的基础上，结合本工程具体情况，为明确责任，确保评估报告的质量，经双方协商一致，签订本合同，以资共同遵守。</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55" w:name="_Toc21672"/>
      <w:bookmarkStart w:id="56" w:name="_Toc9904"/>
      <w:bookmarkStart w:id="57" w:name="_Toc15044"/>
      <w:bookmarkStart w:id="58" w:name="_Toc8565"/>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项目概况</w:t>
      </w:r>
      <w:bookmarkEnd w:id="55"/>
      <w:bookmarkEnd w:id="56"/>
      <w:bookmarkEnd w:id="57"/>
      <w:bookmarkEnd w:id="58"/>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bookmarkStart w:id="59" w:name="_Toc18720"/>
      <w:r>
        <w:rPr>
          <w:rFonts w:hint="eastAsia" w:ascii="宋体" w:hAnsi="宋体" w:eastAsia="宋体" w:cs="宋体"/>
          <w:sz w:val="21"/>
          <w:szCs w:val="21"/>
          <w:highlight w:val="none"/>
          <w:lang w:val="en-US" w:eastAsia="zh-CN"/>
        </w:rPr>
        <w:t>滁州至南京城际铁路（滁州段）一、二期工程，项目建设规模全长46.45km，建设地址位于安徽省滁州市，计划于2023年建成。</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州段二期工程全长13.276km，其中含地下段5.703km，路基段0.252km，高架段7.321km，设站6座（预留2座），其中高架站4座，地下站2座，在技术学院站附近设置牵引变电所一座，在滁州站东部区域设置停车场一处（远期预留）。</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滁州段一期工程全长33.18km，设站8座（预留2座），均为高架站，设置车辆段、主变电所、控制中心各一座。</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滁州至南京城际铁路一期调整段工程全长4.983km，设高架站1座。</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本项目车辆采用市域D型车，2动2拖四辆编组，车体为整体承载的铝合金型材焊接结构，采用交流25kV接触网供电，最高设计速度120km/h（预留140km/h）。</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60" w:name="_Toc30373"/>
      <w:bookmarkStart w:id="61" w:name="_Toc4014"/>
      <w:bookmarkStart w:id="62" w:name="_Toc23083"/>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服务的要求</w:t>
      </w:r>
      <w:bookmarkEnd w:id="59"/>
      <w:bookmarkEnd w:id="60"/>
      <w:bookmarkEnd w:id="61"/>
      <w:bookmarkEnd w:id="62"/>
    </w:p>
    <w:p>
      <w:pPr>
        <w:spacing w:line="480" w:lineRule="exact"/>
        <w:ind w:firstLine="56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2.1根据国家法律、法规、行业规范和行业主管部门要求，进行该项目，</w:t>
      </w:r>
      <w:r>
        <w:rPr>
          <w:rFonts w:hint="eastAsia" w:ascii="宋体" w:hAnsi="宋体" w:eastAsia="宋体" w:cs="宋体"/>
          <w:sz w:val="21"/>
          <w:szCs w:val="21"/>
          <w:highlight w:val="none"/>
          <w:lang w:eastAsia="zh-CN"/>
        </w:rPr>
        <w:t>完成职业病危害预评价直至项目取得职业病</w:t>
      </w:r>
      <w:r>
        <w:rPr>
          <w:rFonts w:hint="eastAsia" w:ascii="宋体" w:hAnsi="宋体" w:eastAsia="宋体" w:cs="宋体"/>
          <w:sz w:val="21"/>
          <w:szCs w:val="21"/>
          <w:highlight w:val="none"/>
          <w:lang w:val="en-US" w:eastAsia="zh-CN"/>
        </w:rPr>
        <w:t>危害</w:t>
      </w:r>
      <w:r>
        <w:rPr>
          <w:rFonts w:hint="eastAsia" w:ascii="宋体" w:hAnsi="宋体" w:eastAsia="宋体" w:cs="宋体"/>
          <w:sz w:val="21"/>
          <w:szCs w:val="21"/>
          <w:highlight w:val="none"/>
          <w:lang w:eastAsia="zh-CN"/>
        </w:rPr>
        <w:t>预评价</w:t>
      </w:r>
      <w:r>
        <w:rPr>
          <w:rFonts w:hint="eastAsia" w:ascii="宋体" w:hAnsi="宋体" w:eastAsia="宋体" w:cs="宋体"/>
          <w:sz w:val="21"/>
          <w:szCs w:val="21"/>
          <w:highlight w:val="none"/>
          <w:lang w:val="en-US" w:eastAsia="zh-CN"/>
        </w:rPr>
        <w:t>报告评审意见</w:t>
      </w:r>
      <w:r>
        <w:rPr>
          <w:rFonts w:hint="eastAsia" w:ascii="宋体" w:hAnsi="宋体" w:eastAsia="宋体" w:cs="宋体"/>
          <w:sz w:val="21"/>
          <w:szCs w:val="21"/>
          <w:highlight w:val="none"/>
        </w:rPr>
        <w:t>，</w:t>
      </w:r>
      <w:r>
        <w:rPr>
          <w:rFonts w:hint="eastAsia" w:ascii="宋体" w:hAnsi="宋体" w:eastAsia="宋体" w:cs="宋体"/>
          <w:snapToGrid w:val="0"/>
          <w:color w:val="000000"/>
          <w:sz w:val="21"/>
          <w:szCs w:val="21"/>
          <w:highlight w:val="none"/>
          <w:u w:val="none"/>
          <w:lang w:val="en-US" w:eastAsia="zh-CN"/>
        </w:rPr>
        <w:t>形成最终版</w:t>
      </w:r>
      <w:r>
        <w:rPr>
          <w:rFonts w:hint="eastAsia" w:ascii="宋体" w:hAnsi="宋体" w:eastAsia="宋体" w:cs="宋体"/>
          <w:sz w:val="21"/>
          <w:szCs w:val="21"/>
          <w:highlight w:val="none"/>
          <w:u w:val="none"/>
        </w:rPr>
        <w:t>职业病危害预评价</w:t>
      </w:r>
      <w:r>
        <w:rPr>
          <w:rFonts w:hint="eastAsia" w:ascii="宋体" w:hAnsi="宋体" w:eastAsia="宋体" w:cs="宋体"/>
          <w:sz w:val="21"/>
          <w:szCs w:val="21"/>
          <w:highlight w:val="none"/>
          <w:u w:val="none"/>
          <w:lang w:val="en-US" w:eastAsia="zh-CN"/>
        </w:rPr>
        <w:t>报告</w:t>
      </w:r>
      <w:r>
        <w:rPr>
          <w:rFonts w:hint="eastAsia" w:ascii="宋体" w:hAnsi="宋体" w:eastAsia="宋体" w:cs="宋体"/>
          <w:snapToGrid w:val="0"/>
          <w:color w:val="000000"/>
          <w:sz w:val="21"/>
          <w:szCs w:val="21"/>
          <w:highlight w:val="none"/>
          <w:u w:val="none"/>
          <w:lang w:val="en-US" w:eastAsia="zh-CN"/>
        </w:rPr>
        <w:t>，</w:t>
      </w:r>
      <w:r>
        <w:rPr>
          <w:rFonts w:hint="eastAsia" w:ascii="宋体" w:hAnsi="宋体" w:eastAsia="宋体" w:cs="宋体"/>
          <w:sz w:val="21"/>
          <w:szCs w:val="21"/>
          <w:highlight w:val="none"/>
          <w:u w:val="none"/>
          <w:lang w:val="en-US" w:eastAsia="zh-CN"/>
        </w:rPr>
        <w:t>并</w:t>
      </w:r>
      <w:r>
        <w:rPr>
          <w:rFonts w:hint="eastAsia" w:ascii="宋体" w:hAnsi="宋体" w:eastAsia="宋体" w:cs="宋体"/>
          <w:sz w:val="21"/>
          <w:szCs w:val="21"/>
          <w:highlight w:val="none"/>
          <w:lang w:val="en-US" w:eastAsia="zh-CN"/>
        </w:rPr>
        <w:t>咨询指导设计部门进行滁州至南京城际铁路（滁州段）一、二期工程职业病危害防护设施设计编制</w:t>
      </w:r>
      <w:r>
        <w:rPr>
          <w:rFonts w:hint="eastAsia" w:ascii="宋体" w:hAnsi="宋体" w:eastAsia="宋体" w:cs="宋体"/>
          <w:sz w:val="21"/>
          <w:szCs w:val="21"/>
          <w:highlight w:val="none"/>
          <w:lang w:eastAsia="zh-CN"/>
        </w:rPr>
        <w:t>。</w:t>
      </w:r>
    </w:p>
    <w:p>
      <w:pPr>
        <w:spacing w:line="480" w:lineRule="exact"/>
        <w:ind w:firstLine="56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2.2开工时间：合同签订后，根据滁州至南京城际铁路（滁州段）一、二期工程前期资料立即开展现场踏勘、收集有关资料等工作。</w:t>
      </w:r>
    </w:p>
    <w:p>
      <w:pPr>
        <w:spacing w:line="480" w:lineRule="exact"/>
        <w:ind w:firstLine="56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 服务期限：</w:t>
      </w:r>
      <w:r>
        <w:rPr>
          <w:rFonts w:hint="eastAsia" w:ascii="宋体" w:hAnsi="宋体" w:eastAsia="宋体" w:cs="宋体"/>
          <w:color w:val="000000"/>
          <w:kern w:val="0"/>
          <w:sz w:val="21"/>
          <w:szCs w:val="21"/>
          <w:highlight w:val="none"/>
          <w:u w:color="000000"/>
          <w:lang w:val="en-US" w:eastAsia="zh-CN" w:bidi="ar"/>
        </w:rPr>
        <w:t>具体项目实施时间以招标人通知为准，收到招标人通知后25个工作日内完成职业病危害预评价。取得专家评审意见，并完成该项目职业病防护设施设计咨询指导。工作节点必须满足滁州至南京城际铁路（滁州段）一、二期开通节点要求，否则全额扣除其履约保证金且取消剩余合同价款的40%。</w:t>
      </w:r>
    </w:p>
    <w:p>
      <w:pPr>
        <w:pageBreakBefore w:val="0"/>
        <w:widowControl w:val="0"/>
        <w:kinsoku/>
        <w:wordWrap/>
        <w:overflowPunct/>
        <w:topLinePunct w:val="0"/>
        <w:autoSpaceDE/>
        <w:autoSpaceDN/>
        <w:bidi w:val="0"/>
        <w:adjustRightInd w:val="0"/>
        <w:snapToGrid w:val="0"/>
        <w:spacing w:line="440" w:lineRule="exact"/>
        <w:ind w:firstLine="562"/>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 滁州至南京城际铁路（滁州段）一、二期工程职业病危害预评价10份及电子版1份，评审专家组评审意见及签名表（原件）1份。评审专家组评审意见，备案表、批复（原件）须以当面交付的形式进行。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63" w:name="_Toc21709"/>
      <w:bookmarkStart w:id="64" w:name="_Toc867"/>
      <w:bookmarkStart w:id="65" w:name="_Toc18867"/>
      <w:bookmarkStart w:id="66" w:name="_Toc20221"/>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合同价款</w:t>
      </w:r>
      <w:bookmarkEnd w:id="63"/>
      <w:bookmarkEnd w:id="64"/>
      <w:bookmarkEnd w:id="65"/>
      <w:bookmarkEnd w:id="66"/>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费用合计：    元（大写：         整 ）</w:t>
      </w:r>
    </w:p>
    <w:p>
      <w:pPr>
        <w:pageBreakBefore w:val="0"/>
        <w:widowControl w:val="0"/>
        <w:kinsoku/>
        <w:wordWrap/>
        <w:overflowPunct/>
        <w:topLinePunct w:val="0"/>
        <w:autoSpaceDE/>
        <w:autoSpaceDN/>
        <w:bidi w:val="0"/>
        <w:adjustRightInd w:val="0"/>
        <w:snapToGrid w:val="0"/>
        <w:spacing w:line="440" w:lineRule="exact"/>
        <w:ind w:firstLine="480"/>
        <w:jc w:val="left"/>
        <w:rPr>
          <w:rFonts w:hint="eastAsia" w:ascii="宋体" w:hAnsi="宋体" w:eastAsia="宋体" w:cs="宋体"/>
          <w:sz w:val="21"/>
          <w:szCs w:val="21"/>
          <w:highlight w:val="red"/>
        </w:rPr>
      </w:pPr>
      <w:r>
        <w:rPr>
          <w:rFonts w:hint="eastAsia" w:ascii="宋体" w:hAnsi="宋体" w:eastAsia="宋体" w:cs="宋体"/>
          <w:sz w:val="21"/>
          <w:szCs w:val="21"/>
          <w:highlight w:val="none"/>
        </w:rPr>
        <w:t>税率：6%（如遇国家税率调整，税额进行相应调整，除税金额保持不变）</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67" w:name="_Toc19703"/>
      <w:bookmarkStart w:id="68" w:name="_Toc25987"/>
      <w:bookmarkStart w:id="69" w:name="_Toc10252"/>
      <w:bookmarkStart w:id="70" w:name="_Toc26330"/>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支付</w:t>
      </w:r>
      <w:bookmarkEnd w:id="67"/>
      <w:bookmarkEnd w:id="68"/>
      <w:bookmarkEnd w:id="69"/>
      <w:bookmarkEnd w:id="70"/>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合同</w:t>
      </w:r>
      <w:r>
        <w:rPr>
          <w:rFonts w:hint="eastAsia" w:ascii="宋体" w:hAnsi="宋体" w:eastAsia="宋体" w:cs="宋体"/>
          <w:sz w:val="21"/>
          <w:szCs w:val="21"/>
          <w:highlight w:val="none"/>
        </w:rPr>
        <w:t>价格</w:t>
      </w:r>
      <w:r>
        <w:rPr>
          <w:rFonts w:hint="eastAsia" w:ascii="宋体" w:hAnsi="Times New Roman" w:eastAsia="宋体" w:cs="Times New Roman"/>
          <w:b/>
          <w:bCs/>
          <w:color w:val="000000"/>
          <w:szCs w:val="21"/>
          <w:highlight w:val="none"/>
          <w:lang w:val="en-US" w:eastAsia="zh-CN"/>
        </w:rPr>
        <w:t>包含</w:t>
      </w:r>
      <w:r>
        <w:rPr>
          <w:rFonts w:hint="eastAsia" w:ascii="宋体" w:hAnsi="Times New Roman" w:eastAsia="宋体" w:cs="Times New Roman"/>
          <w:b/>
          <w:bCs/>
          <w:color w:val="000000"/>
          <w:szCs w:val="21"/>
          <w:highlight w:val="none"/>
          <w:lang w:eastAsia="zh-CN"/>
        </w:rPr>
        <w:t>完成本项目</w:t>
      </w:r>
      <w:r>
        <w:rPr>
          <w:rFonts w:hint="eastAsia" w:ascii="宋体" w:hAnsi="Times New Roman" w:eastAsia="宋体" w:cs="Times New Roman"/>
          <w:b/>
          <w:bCs/>
          <w:color w:val="000000"/>
          <w:szCs w:val="21"/>
          <w:highlight w:val="none"/>
          <w:lang w:val="en-US" w:eastAsia="zh-CN"/>
        </w:rPr>
        <w:t>服务所需的服务费</w:t>
      </w:r>
      <w:r>
        <w:rPr>
          <w:rFonts w:hint="eastAsia" w:ascii="宋体" w:hAnsi="Times New Roman" w:eastAsia="宋体" w:cs="Times New Roman"/>
          <w:b/>
          <w:bCs/>
          <w:color w:val="000000"/>
          <w:szCs w:val="21"/>
          <w:highlight w:val="none"/>
        </w:rPr>
        <w:t>、</w:t>
      </w:r>
      <w:r>
        <w:rPr>
          <w:rFonts w:hint="eastAsia" w:ascii="宋体" w:hAnsi="Times New Roman" w:eastAsia="宋体" w:cs="Times New Roman"/>
          <w:b/>
          <w:bCs/>
          <w:color w:val="000000"/>
          <w:szCs w:val="21"/>
          <w:highlight w:val="none"/>
          <w:lang w:val="en-US" w:eastAsia="zh-CN"/>
        </w:rPr>
        <w:t>人员工资（含所需的人员和专家顾问的薪金、现场服务、福利、交通、食宿和通讯费用）</w:t>
      </w:r>
      <w:r>
        <w:rPr>
          <w:rFonts w:hint="eastAsia" w:ascii="宋体" w:hAnsi="Times New Roman" w:eastAsia="宋体" w:cs="Times New Roman"/>
          <w:b/>
          <w:bCs/>
          <w:color w:val="000000"/>
          <w:szCs w:val="21"/>
          <w:highlight w:val="none"/>
          <w:lang w:eastAsia="zh-CN"/>
        </w:rPr>
        <w:t>、</w:t>
      </w:r>
      <w:r>
        <w:rPr>
          <w:rFonts w:hint="eastAsia" w:ascii="宋体" w:hAnsi="Times New Roman" w:eastAsia="宋体" w:cs="Times New Roman"/>
          <w:b/>
          <w:bCs/>
          <w:color w:val="000000"/>
          <w:szCs w:val="21"/>
          <w:highlight w:val="none"/>
          <w:lang w:val="en-US" w:eastAsia="zh-CN"/>
        </w:rPr>
        <w:t>管理费、专家评审</w:t>
      </w:r>
      <w:r>
        <w:rPr>
          <w:rFonts w:hint="eastAsia" w:ascii="宋体" w:hAnsi="Times New Roman" w:eastAsia="宋体" w:cs="Times New Roman"/>
          <w:b/>
          <w:bCs/>
          <w:color w:val="000000"/>
          <w:szCs w:val="21"/>
          <w:highlight w:val="none"/>
          <w:lang w:eastAsia="zh-CN"/>
        </w:rPr>
        <w:t>费、会务费、交通费、调研费用、差旅费、保险、利润、风险费用、招标代理费、办公设备、文件制作及相应各项杂费及国家对</w:t>
      </w:r>
      <w:r>
        <w:rPr>
          <w:rFonts w:hint="eastAsia" w:ascii="宋体" w:hAnsi="Times New Roman" w:eastAsia="宋体" w:cs="Times New Roman"/>
          <w:b/>
          <w:bCs/>
          <w:color w:val="000000"/>
          <w:szCs w:val="21"/>
          <w:highlight w:val="none"/>
          <w:lang w:val="en-US" w:eastAsia="zh-CN"/>
        </w:rPr>
        <w:t>乙方</w:t>
      </w:r>
      <w:r>
        <w:rPr>
          <w:rFonts w:hint="eastAsia" w:ascii="宋体" w:hAnsi="Times New Roman" w:eastAsia="宋体" w:cs="Times New Roman"/>
          <w:b/>
          <w:bCs/>
          <w:color w:val="000000"/>
          <w:szCs w:val="21"/>
          <w:highlight w:val="none"/>
        </w:rPr>
        <w:t>征收的各种税费等所有一切费用。</w:t>
      </w:r>
      <w:r>
        <w:rPr>
          <w:rFonts w:hint="eastAsia" w:ascii="宋体" w:hAnsi="Times New Roman" w:eastAsia="宋体" w:cs="Times New Roman"/>
          <w:b/>
          <w:bCs/>
          <w:color w:val="000000"/>
          <w:szCs w:val="21"/>
          <w:highlight w:val="none"/>
          <w:lang w:val="en-US" w:eastAsia="zh-CN"/>
        </w:rPr>
        <w:t>合同价款</w:t>
      </w:r>
      <w:r>
        <w:rPr>
          <w:rFonts w:hint="eastAsia" w:ascii="宋体" w:hAnsi="Times New Roman" w:eastAsia="宋体" w:cs="Times New Roman"/>
          <w:b/>
          <w:bCs/>
          <w:color w:val="000000"/>
          <w:szCs w:val="21"/>
          <w:highlight w:val="none"/>
        </w:rPr>
        <w:t>今后将不作任何调整。</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2乙方因提供服务而发生的第一条约定费用以外的实际费用应由乙方承担。</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.3.支付方式及条件</w:t>
      </w:r>
      <w:r>
        <w:rPr>
          <w:rFonts w:hint="eastAsia" w:ascii="宋体" w:hAnsi="宋体" w:eastAsia="宋体" w:cs="宋体"/>
          <w:sz w:val="21"/>
          <w:szCs w:val="21"/>
          <w:highlight w:val="none"/>
          <w:lang w:eastAsia="zh-CN"/>
        </w:rPr>
        <w:t>：</w:t>
      </w:r>
      <w:r>
        <w:rPr>
          <w:rFonts w:hint="eastAsia" w:ascii="Times New Roman" w:hAnsi="Times New Roman" w:eastAsia="宋体" w:cs="Times New Roman"/>
          <w:highlight w:val="none"/>
          <w:lang w:val="en-US" w:eastAsia="zh-CN"/>
        </w:rPr>
        <w:t>合同生效后，甲方收到乙方发票15个工作日内，支付合同价款的10%作为预付款；完成</w:t>
      </w:r>
      <w:r>
        <w:rPr>
          <w:rFonts w:hint="eastAsia" w:ascii="宋体" w:hAnsi="宋体" w:eastAsia="宋体" w:cs="宋体"/>
          <w:color w:val="000000"/>
          <w:kern w:val="0"/>
          <w:sz w:val="21"/>
          <w:szCs w:val="21"/>
          <w:highlight w:val="none"/>
          <w:u w:color="000000"/>
          <w:lang w:val="en-US" w:eastAsia="zh-CN" w:bidi="ar"/>
        </w:rPr>
        <w:t>职业病危害预评价，</w:t>
      </w:r>
      <w:r>
        <w:rPr>
          <w:rFonts w:hint="eastAsia" w:ascii="Times New Roman" w:hAnsi="Times New Roman" w:eastAsia="宋体" w:cs="Times New Roman"/>
          <w:highlight w:val="none"/>
          <w:lang w:val="en-US" w:eastAsia="zh-CN"/>
        </w:rPr>
        <w:t>乙方向甲方出具评价报告及通过专家评审，试运营开通后，乙方提交支付申请后的30个工作日内，支付合同价款的40%；</w:t>
      </w:r>
      <w:r>
        <w:rPr>
          <w:rFonts w:hint="eastAsia" w:ascii="宋体" w:hAnsi="宋体" w:eastAsia="宋体" w:cs="宋体"/>
          <w:color w:val="000000"/>
          <w:kern w:val="0"/>
          <w:sz w:val="21"/>
          <w:szCs w:val="21"/>
          <w:highlight w:val="none"/>
          <w:u w:color="000000"/>
          <w:lang w:val="en-US" w:eastAsia="zh-CN" w:bidi="ar"/>
        </w:rPr>
        <w:t>完成该项目职业病防护设施设计咨询指导</w:t>
      </w:r>
      <w:r>
        <w:rPr>
          <w:rFonts w:hint="eastAsia" w:ascii="Times New Roman" w:hAnsi="Times New Roman" w:eastAsia="宋体" w:cs="Times New Roman"/>
          <w:highlight w:val="none"/>
          <w:lang w:val="en-US" w:eastAsia="zh-CN"/>
        </w:rPr>
        <w:t>，乙方提交支付申请后的30个工作日内，一次性无息付清余款。</w:t>
      </w:r>
    </w:p>
    <w:p>
      <w:pPr>
        <w:pageBreakBefore w:val="0"/>
        <w:widowControl w:val="0"/>
        <w:kinsoku/>
        <w:wordWrap/>
        <w:overflowPunct/>
        <w:topLinePunct w:val="0"/>
        <w:autoSpaceDE/>
        <w:autoSpaceDN/>
        <w:bidi w:val="0"/>
        <w:adjustRightInd w:val="0"/>
        <w:snapToGrid w:val="0"/>
        <w:spacing w:line="440" w:lineRule="exact"/>
        <w:ind w:firstLine="480"/>
        <w:contextualSpacing/>
        <w:jc w:val="left"/>
        <w:rPr>
          <w:rFonts w:hint="eastAsia" w:ascii="宋体" w:hAnsi="宋体" w:eastAsia="宋体" w:cs="宋体"/>
          <w:sz w:val="21"/>
          <w:szCs w:val="21"/>
          <w:highlight w:val="none"/>
        </w:rPr>
      </w:pPr>
      <w:bookmarkStart w:id="71" w:name="_Toc6285"/>
      <w:bookmarkStart w:id="72" w:name="_Toc17485"/>
      <w:bookmarkStart w:id="73" w:name="_Toc7556"/>
      <w:bookmarkStart w:id="74" w:name="_Toc17635"/>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技术规范</w:t>
      </w:r>
      <w:bookmarkEnd w:id="71"/>
      <w:bookmarkEnd w:id="72"/>
      <w:bookmarkEnd w:id="73"/>
      <w:bookmarkEnd w:id="74"/>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5.1执行标准</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本项目执行（但不限于）下列有关标准、规范、规程和规定。当出现不同标准或规范</w:t>
      </w:r>
      <w:r>
        <w:rPr>
          <w:rFonts w:hint="eastAsia" w:ascii="宋体" w:hAnsi="宋体" w:eastAsia="宋体" w:cs="宋体"/>
          <w:sz w:val="21"/>
          <w:szCs w:val="21"/>
          <w:highlight w:val="none"/>
          <w:lang w:val="en-US" w:eastAsia="zh-CN"/>
        </w:rPr>
        <w:t>与其</w:t>
      </w:r>
      <w:r>
        <w:rPr>
          <w:rFonts w:hint="eastAsia" w:ascii="宋体" w:hAnsi="宋体" w:eastAsia="宋体" w:cs="宋体"/>
          <w:sz w:val="21"/>
          <w:szCs w:val="21"/>
          <w:highlight w:val="none"/>
        </w:rPr>
        <w:t>不一致时，应按</w:t>
      </w:r>
      <w:r>
        <w:rPr>
          <w:rFonts w:hint="eastAsia" w:ascii="宋体" w:hAnsi="宋体" w:eastAsia="宋体" w:cs="宋体"/>
          <w:sz w:val="21"/>
          <w:szCs w:val="21"/>
          <w:highlight w:val="none"/>
          <w:lang w:val="en-US" w:eastAsia="zh-CN"/>
        </w:rPr>
        <w:t>最新</w:t>
      </w:r>
      <w:r>
        <w:rPr>
          <w:rFonts w:hint="eastAsia" w:ascii="宋体" w:hAnsi="宋体" w:eastAsia="宋体" w:cs="宋体"/>
          <w:sz w:val="21"/>
          <w:szCs w:val="21"/>
          <w:highlight w:val="none"/>
        </w:rPr>
        <w:t>的标准执行。</w:t>
      </w:r>
    </w:p>
    <w:p>
      <w:pPr>
        <w:spacing w:line="360" w:lineRule="auto"/>
        <w:ind w:firstLine="48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《中华人民共和国职业病防治法》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《建设项目职业病防护设施“三同时”监督管理办法》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《建设项目职业病危害分类管理办法》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《职业病危害因素分类目录》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《职业病目录》</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《工业企业职工听力保护规范》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《工业企业设计卫生标准》</w:t>
      </w:r>
    </w:p>
    <w:p>
      <w:pPr>
        <w:spacing w:line="360" w:lineRule="auto"/>
        <w:ind w:firstLine="384" w:firstLineChars="183"/>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《建设项目职业病危害评价规范》）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《劳动保护用品分配标准》</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《职业健康监护技术规范》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《工业企业噪声控制设计规范》</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《工业场所有害因素职业接触限值第2部分：物理因素》</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《建设项目职业病危害预评价技术导则》</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《建筑照明设计标准》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《个体防护装备选用规则》</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《呼吸防护用品的选择、使用与维护》</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《工作场所防止职业中毒卫生工程防护措施规范》</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5.2工作范围及要求</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5.2.1 </w:t>
      </w:r>
      <w:r>
        <w:rPr>
          <w:rFonts w:hint="eastAsia" w:ascii="宋体" w:hAnsi="宋体" w:eastAsia="宋体" w:cs="宋体"/>
          <w:sz w:val="21"/>
          <w:szCs w:val="21"/>
          <w:highlight w:val="none"/>
        </w:rPr>
        <w:t>完成</w:t>
      </w:r>
      <w:r>
        <w:rPr>
          <w:rFonts w:hint="eastAsia" w:ascii="宋体" w:hAnsi="宋体" w:eastAsia="宋体" w:cs="宋体"/>
          <w:sz w:val="21"/>
          <w:szCs w:val="21"/>
          <w:highlight w:val="none"/>
          <w:lang w:eastAsia="zh-CN"/>
        </w:rPr>
        <w:t>滁州至南京城际铁路（滁州段）一、二期工程</w:t>
      </w:r>
      <w:r>
        <w:rPr>
          <w:rFonts w:hint="eastAsia" w:ascii="宋体" w:hAnsi="宋体" w:eastAsia="宋体" w:cs="宋体"/>
          <w:sz w:val="21"/>
          <w:szCs w:val="21"/>
          <w:highlight w:val="none"/>
        </w:rPr>
        <w:t>职业病危害预评价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组织召开评审会，负责邀请专家、汇总材料等，组织专家组进行评审，根据评审意见进行修改完善，出具专家评审意见，形成最终版职业病危害预评价报告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咨询指导设计部门职业病防护设施设计专篇编制</w:t>
      </w:r>
      <w:r>
        <w:rPr>
          <w:rFonts w:hint="eastAsia" w:ascii="宋体" w:hAnsi="宋体" w:eastAsia="宋体" w:cs="宋体"/>
          <w:sz w:val="21"/>
          <w:szCs w:val="21"/>
          <w:highlight w:val="none"/>
        </w:rPr>
        <w:t>。</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5.2.2 </w:t>
      </w:r>
      <w:r>
        <w:rPr>
          <w:rFonts w:hint="eastAsia" w:ascii="宋体" w:hAnsi="宋体" w:eastAsia="宋体" w:cs="宋体"/>
          <w:sz w:val="21"/>
          <w:szCs w:val="21"/>
          <w:highlight w:val="none"/>
        </w:rPr>
        <w:t>依据合同约定的工作范围及要求，提供符合相应评价导则及行业主管部门要求的《</w:t>
      </w:r>
      <w:r>
        <w:rPr>
          <w:rFonts w:hint="eastAsia" w:ascii="宋体" w:hAnsi="宋体" w:eastAsia="宋体" w:cs="宋体"/>
          <w:sz w:val="21"/>
          <w:szCs w:val="21"/>
          <w:highlight w:val="none"/>
          <w:lang w:eastAsia="zh-CN"/>
        </w:rPr>
        <w:t>滁州至南京城际铁路（滁州段）一、二期工程</w:t>
      </w:r>
      <w:r>
        <w:rPr>
          <w:rFonts w:hint="eastAsia" w:ascii="宋体" w:hAnsi="宋体" w:eastAsia="宋体" w:cs="宋体"/>
          <w:sz w:val="21"/>
          <w:szCs w:val="21"/>
          <w:highlight w:val="none"/>
        </w:rPr>
        <w:t>职业病危害预评价报告》。</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5.2.3</w:t>
      </w:r>
      <w:r>
        <w:rPr>
          <w:rFonts w:hint="eastAsia" w:ascii="宋体" w:hAnsi="宋体" w:eastAsia="宋体" w:cs="宋体"/>
          <w:sz w:val="21"/>
          <w:szCs w:val="21"/>
          <w:highlight w:val="none"/>
        </w:rPr>
        <w:t>对《</w:t>
      </w:r>
      <w:r>
        <w:rPr>
          <w:rFonts w:hint="eastAsia" w:ascii="宋体" w:hAnsi="宋体" w:eastAsia="宋体" w:cs="宋体"/>
          <w:sz w:val="21"/>
          <w:szCs w:val="21"/>
          <w:highlight w:val="none"/>
          <w:lang w:eastAsia="zh-CN"/>
        </w:rPr>
        <w:t>滁州至南京城际铁路（滁州段）一、二期工程</w:t>
      </w:r>
      <w:r>
        <w:rPr>
          <w:rFonts w:hint="eastAsia" w:ascii="宋体" w:hAnsi="宋体" w:eastAsia="宋体" w:cs="宋体"/>
          <w:sz w:val="21"/>
          <w:szCs w:val="21"/>
          <w:highlight w:val="none"/>
        </w:rPr>
        <w:t>职业病危害预评价的真实性负责，并完成报告评审过程中的有关事宜。</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5.2.4 </w:t>
      </w:r>
      <w:r>
        <w:rPr>
          <w:rFonts w:hint="eastAsia" w:ascii="宋体" w:hAnsi="宋体" w:eastAsia="宋体" w:cs="宋体"/>
          <w:sz w:val="21"/>
          <w:szCs w:val="21"/>
          <w:highlight w:val="none"/>
        </w:rPr>
        <w:t>完成职业病危害预评价报告评价工作。</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5.2.5工作范围清单：</w:t>
      </w:r>
    </w:p>
    <w:tbl>
      <w:tblPr>
        <w:tblStyle w:val="22"/>
        <w:tblpPr w:leftFromText="180" w:rightFromText="180" w:vertAnchor="text" w:horzAnchor="page" w:tblpX="1805" w:tblpY="405"/>
        <w:tblOverlap w:val="never"/>
        <w:tblW w:w="0" w:type="auto"/>
        <w:tblInd w:w="0" w:type="dxa"/>
        <w:tblLayout w:type="fixed"/>
        <w:tblCellMar>
          <w:top w:w="0" w:type="dxa"/>
          <w:left w:w="108" w:type="dxa"/>
          <w:bottom w:w="0" w:type="dxa"/>
          <w:right w:w="108" w:type="dxa"/>
        </w:tblCellMar>
      </w:tblPr>
      <w:tblGrid>
        <w:gridCol w:w="786"/>
        <w:gridCol w:w="4447"/>
        <w:gridCol w:w="900"/>
        <w:gridCol w:w="625"/>
        <w:gridCol w:w="2375"/>
      </w:tblGrid>
      <w:tr>
        <w:tblPrEx>
          <w:tblCellMar>
            <w:top w:w="0" w:type="dxa"/>
            <w:left w:w="108" w:type="dxa"/>
            <w:bottom w:w="0" w:type="dxa"/>
            <w:right w:w="108" w:type="dxa"/>
          </w:tblCellMar>
        </w:tblPrEx>
        <w:trPr>
          <w:trHeight w:val="416" w:hRule="atLeast"/>
        </w:trPr>
        <w:tc>
          <w:tcPr>
            <w:tcW w:w="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序号</w:t>
            </w:r>
          </w:p>
        </w:tc>
        <w:tc>
          <w:tcPr>
            <w:tcW w:w="444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内容</w:t>
            </w:r>
          </w:p>
        </w:tc>
        <w:tc>
          <w:tcPr>
            <w:tcW w:w="9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单位</w:t>
            </w:r>
          </w:p>
        </w:tc>
        <w:tc>
          <w:tcPr>
            <w:tcW w:w="62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数量</w:t>
            </w:r>
          </w:p>
        </w:tc>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overflowPunct w:val="0"/>
              <w:topLinePunct/>
              <w:spacing w:before="0" w:beforeAutospacing="0" w:after="0" w:afterAutospacing="0" w:line="360" w:lineRule="auto"/>
              <w:ind w:left="0" w:right="11"/>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备注</w:t>
            </w:r>
          </w:p>
        </w:tc>
      </w:tr>
      <w:tr>
        <w:tblPrEx>
          <w:tblCellMar>
            <w:top w:w="0" w:type="dxa"/>
            <w:left w:w="108" w:type="dxa"/>
            <w:bottom w:w="0" w:type="dxa"/>
            <w:right w:w="108" w:type="dxa"/>
          </w:tblCellMar>
        </w:tblPrEx>
        <w:trPr>
          <w:trHeight w:val="480" w:hRule="atLeast"/>
        </w:trPr>
        <w:tc>
          <w:tcPr>
            <w:tcW w:w="786" w:type="dxa"/>
            <w:tcBorders>
              <w:top w:val="nil"/>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1</w:t>
            </w:r>
          </w:p>
        </w:tc>
        <w:tc>
          <w:tcPr>
            <w:tcW w:w="4447" w:type="dxa"/>
            <w:tcBorders>
              <w:top w:val="nil"/>
              <w:left w:val="nil"/>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auto"/>
              <w:ind w:left="0" w:leftChars="0" w:right="0" w:firstLine="0" w:firstLineChars="0"/>
              <w:contextualSpacing/>
              <w:jc w:val="left"/>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sz w:val="21"/>
                <w:szCs w:val="21"/>
                <w:highlight w:val="none"/>
              </w:rPr>
              <w:t>编制《</w:t>
            </w:r>
            <w:r>
              <w:rPr>
                <w:rFonts w:hint="eastAsia" w:ascii="宋体" w:hAnsi="宋体" w:eastAsia="宋体" w:cs="宋体"/>
                <w:sz w:val="21"/>
                <w:szCs w:val="21"/>
                <w:highlight w:val="none"/>
                <w:lang w:eastAsia="zh-CN"/>
              </w:rPr>
              <w:t>滁州至南京城际铁路（滁州段）一、二期工程</w:t>
            </w:r>
            <w:r>
              <w:rPr>
                <w:rFonts w:hint="eastAsia" w:ascii="宋体" w:hAnsi="宋体" w:eastAsia="宋体" w:cs="宋体"/>
                <w:sz w:val="21"/>
                <w:szCs w:val="21"/>
                <w:highlight w:val="none"/>
              </w:rPr>
              <w:t>职业病危害预评价</w:t>
            </w:r>
            <w:r>
              <w:rPr>
                <w:rFonts w:hint="eastAsia" w:ascii="宋体" w:hAnsi="宋体" w:eastAsia="宋体" w:cs="宋体"/>
                <w:sz w:val="21"/>
                <w:szCs w:val="21"/>
                <w:highlight w:val="none"/>
                <w:lang w:eastAsia="zh-CN"/>
              </w:rPr>
              <w:t>报告</w:t>
            </w:r>
            <w:r>
              <w:rPr>
                <w:rFonts w:hint="eastAsia" w:ascii="宋体" w:hAnsi="宋体" w:eastAsia="宋体" w:cs="宋体"/>
                <w:sz w:val="21"/>
                <w:szCs w:val="21"/>
                <w:highlight w:val="none"/>
              </w:rPr>
              <w:t>》，组织召开评审会，负责邀请专家、汇总材料等，组织专家组进行评审，根据评审意见进行修改完善，出具专家评审意见，形成最终版职业病危害预评价报告</w:t>
            </w:r>
          </w:p>
        </w:tc>
        <w:tc>
          <w:tcPr>
            <w:tcW w:w="900" w:type="dxa"/>
            <w:tcBorders>
              <w:top w:val="nil"/>
              <w:left w:val="nil"/>
              <w:bottom w:val="single" w:color="auto" w:sz="4" w:space="0"/>
              <w:right w:val="single" w:color="auto" w:sz="4" w:space="0"/>
            </w:tcBorders>
            <w:shd w:val="clear" w:color="000000" w:fill="FFFFFF"/>
            <w:noWrap w:val="0"/>
            <w:vAlign w:val="center"/>
          </w:tcPr>
          <w:p>
            <w:pPr>
              <w:keepNext w:val="0"/>
              <w:keepLines w:val="0"/>
              <w:suppressLineNumbers w:val="0"/>
              <w:spacing w:before="0" w:beforeAutospacing="0" w:after="0" w:afterAutospacing="0" w:line="360" w:lineRule="auto"/>
              <w:ind w:left="0" w:right="0" w:firstLine="0" w:firstLineChars="0"/>
              <w:contextualSpacing/>
              <w:jc w:val="left"/>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sz w:val="21"/>
                <w:szCs w:val="21"/>
                <w:highlight w:val="none"/>
              </w:rPr>
              <w:t>项</w:t>
            </w:r>
          </w:p>
        </w:tc>
        <w:tc>
          <w:tcPr>
            <w:tcW w:w="62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firstLine="0" w:firstLineChars="0"/>
              <w:contextualSpacing/>
              <w:jc w:val="left"/>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sz w:val="21"/>
                <w:szCs w:val="21"/>
                <w:highlight w:val="none"/>
              </w:rPr>
              <w:t>1</w:t>
            </w:r>
          </w:p>
        </w:tc>
        <w:tc>
          <w:tcPr>
            <w:tcW w:w="2375"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firstLine="420" w:firstLineChars="200"/>
              <w:contextualSpacing/>
              <w:jc w:val="left"/>
              <w:rPr>
                <w:rFonts w:hint="eastAsia" w:ascii="宋体" w:hAnsi="宋体" w:eastAsia="宋体" w:cs="宋体"/>
                <w:kern w:val="2"/>
                <w:sz w:val="21"/>
                <w:szCs w:val="21"/>
                <w:highlight w:val="none"/>
                <w:u w:val="none"/>
                <w:lang w:val="en-US" w:eastAsia="zh-CN" w:bidi="ar-SA"/>
              </w:rPr>
            </w:pPr>
          </w:p>
        </w:tc>
      </w:tr>
      <w:tr>
        <w:tblPrEx>
          <w:tblCellMar>
            <w:top w:w="0" w:type="dxa"/>
            <w:left w:w="108" w:type="dxa"/>
            <w:bottom w:w="0" w:type="dxa"/>
            <w:right w:w="108" w:type="dxa"/>
          </w:tblCellMar>
        </w:tblPrEx>
        <w:trPr>
          <w:trHeight w:val="480" w:hRule="atLeast"/>
        </w:trPr>
        <w:tc>
          <w:tcPr>
            <w:tcW w:w="78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overflowPunct w:val="0"/>
              <w:topLinePunct/>
              <w:spacing w:before="0" w:beforeAutospacing="0" w:after="0" w:afterAutospacing="0" w:line="360" w:lineRule="auto"/>
              <w:ind w:left="0" w:leftChars="0" w:right="11" w:firstLine="0" w:firstLineChars="0"/>
              <w:jc w:val="left"/>
              <w:outlineLvl w:val="0"/>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2</w:t>
            </w:r>
          </w:p>
        </w:tc>
        <w:tc>
          <w:tcPr>
            <w:tcW w:w="44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auto"/>
              <w:ind w:left="0" w:leftChars="0" w:right="0" w:firstLine="0" w:firstLineChars="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咨询指导设计部门进行职业病防护设施设计编制</w:t>
            </w:r>
          </w:p>
        </w:tc>
        <w:tc>
          <w:tcPr>
            <w:tcW w:w="90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keepNext w:val="0"/>
              <w:keepLines w:val="0"/>
              <w:suppressLineNumbers w:val="0"/>
              <w:spacing w:before="0" w:beforeAutospacing="0" w:after="0" w:afterAutospacing="0" w:line="360" w:lineRule="auto"/>
              <w:ind w:left="0" w:right="0" w:firstLine="0" w:firstLineChars="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w:t>
            </w:r>
          </w:p>
        </w:tc>
        <w:tc>
          <w:tcPr>
            <w:tcW w:w="6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firstLine="0" w:firstLineChars="0"/>
              <w:contextualSpacing/>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2375"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leftChars="0" w:right="0" w:firstLine="0" w:firstLineChars="0"/>
              <w:contextualSpacing/>
              <w:jc w:val="left"/>
              <w:rPr>
                <w:rFonts w:hint="eastAsia" w:ascii="宋体" w:hAnsi="宋体" w:eastAsia="宋体" w:cs="宋体"/>
                <w:kern w:val="2"/>
                <w:sz w:val="21"/>
                <w:szCs w:val="21"/>
                <w:highlight w:val="none"/>
                <w:u w:val="none"/>
                <w:lang w:val="en-US" w:eastAsia="zh-CN" w:bidi="ar-SA"/>
              </w:rPr>
            </w:pPr>
            <w:r>
              <w:rPr>
                <w:rFonts w:hint="eastAsia" w:ascii="宋体" w:hAnsi="宋体" w:eastAsia="宋体" w:cs="宋体"/>
                <w:kern w:val="2"/>
                <w:sz w:val="21"/>
                <w:szCs w:val="21"/>
                <w:highlight w:val="none"/>
                <w:u w:val="none"/>
                <w:lang w:val="en-US" w:eastAsia="zh-CN" w:bidi="ar-SA"/>
              </w:rPr>
              <w:t>线上沟通指导2次，审核1次</w:t>
            </w:r>
          </w:p>
        </w:tc>
      </w:tr>
    </w:tbl>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注:本项目报价</w:t>
      </w:r>
      <w:r>
        <w:rPr>
          <w:rFonts w:hint="eastAsia" w:ascii="宋体" w:hAnsi="宋体" w:eastAsia="宋体" w:cs="宋体"/>
          <w:sz w:val="21"/>
          <w:szCs w:val="21"/>
          <w:highlight w:val="none"/>
          <w:lang w:val="en-US" w:eastAsia="zh-CN"/>
        </w:rPr>
        <w:t>包含</w:t>
      </w:r>
      <w:r>
        <w:rPr>
          <w:rFonts w:hint="eastAsia" w:ascii="宋体" w:hAnsi="宋体" w:eastAsia="宋体" w:cs="宋体"/>
          <w:sz w:val="21"/>
          <w:szCs w:val="21"/>
          <w:highlight w:val="none"/>
          <w:lang w:eastAsia="zh-CN"/>
        </w:rPr>
        <w:t>完成本项目</w:t>
      </w:r>
      <w:r>
        <w:rPr>
          <w:rFonts w:hint="eastAsia" w:ascii="宋体" w:hAnsi="宋体" w:eastAsia="宋体" w:cs="宋体"/>
          <w:sz w:val="21"/>
          <w:szCs w:val="21"/>
          <w:highlight w:val="none"/>
          <w:lang w:val="en-US" w:eastAsia="zh-CN"/>
        </w:rPr>
        <w:t>服务所需的服务费</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人员工资（含所需的人员和专家顾问的薪金、现场服务、福利、交通、食宿和通讯费用）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管理费、专家评审</w:t>
      </w:r>
      <w:r>
        <w:rPr>
          <w:rFonts w:hint="eastAsia" w:ascii="宋体" w:hAnsi="宋体" w:eastAsia="宋体" w:cs="宋体"/>
          <w:sz w:val="21"/>
          <w:szCs w:val="21"/>
          <w:highlight w:val="none"/>
          <w:lang w:eastAsia="zh-CN"/>
        </w:rPr>
        <w:t>费、会务费、交通费、调研费用、差旅费、保险、利润、风险费用、招标代理费、办公设备、文件制作及相应各项杂费及国家对</w:t>
      </w:r>
      <w:r>
        <w:rPr>
          <w:rFonts w:hint="eastAsia" w:ascii="宋体" w:hAnsi="宋体" w:eastAsia="宋体" w:cs="宋体"/>
          <w:sz w:val="21"/>
          <w:szCs w:val="21"/>
          <w:highlight w:val="none"/>
          <w:lang w:val="en-US" w:eastAsia="zh-CN"/>
        </w:rPr>
        <w:t>乙方</w:t>
      </w:r>
      <w:r>
        <w:rPr>
          <w:rFonts w:hint="eastAsia" w:ascii="宋体" w:hAnsi="宋体" w:eastAsia="宋体" w:cs="宋体"/>
          <w:sz w:val="21"/>
          <w:szCs w:val="21"/>
          <w:highlight w:val="none"/>
        </w:rPr>
        <w:t>征收的各种税费等所有一切费用。</w:t>
      </w:r>
      <w:r>
        <w:rPr>
          <w:rFonts w:hint="eastAsia" w:ascii="宋体" w:hAnsi="宋体" w:eastAsia="宋体" w:cs="宋体"/>
          <w:sz w:val="21"/>
          <w:szCs w:val="21"/>
          <w:highlight w:val="none"/>
          <w:lang w:val="en-US" w:eastAsia="zh-CN"/>
        </w:rPr>
        <w:t>合同价款</w:t>
      </w:r>
      <w:r>
        <w:rPr>
          <w:rFonts w:hint="eastAsia" w:ascii="宋体" w:hAnsi="宋体" w:eastAsia="宋体" w:cs="宋体"/>
          <w:sz w:val="21"/>
          <w:szCs w:val="21"/>
          <w:highlight w:val="none"/>
        </w:rPr>
        <w:t>今后将不作任何调整，不再产生额外费用。</w:t>
      </w:r>
    </w:p>
    <w:p>
      <w:pPr>
        <w:pageBreakBefore w:val="0"/>
        <w:widowControl w:val="0"/>
        <w:numPr>
          <w:ilvl w:val="0"/>
          <w:numId w:val="5"/>
        </w:numPr>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75" w:name="_Toc10289"/>
      <w:bookmarkStart w:id="76" w:name="_Toc24165"/>
      <w:bookmarkStart w:id="77" w:name="_Toc18939"/>
      <w:bookmarkStart w:id="78" w:name="_Toc1075"/>
      <w:r>
        <w:rPr>
          <w:rFonts w:hint="eastAsia" w:ascii="宋体" w:hAnsi="宋体" w:eastAsia="宋体" w:cs="宋体"/>
          <w:sz w:val="21"/>
          <w:szCs w:val="21"/>
          <w:highlight w:val="none"/>
          <w:lang w:val="en-US" w:eastAsia="zh-CN"/>
        </w:rPr>
        <w:t>履约担保</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形式：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银行转账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银行保函（见索即付无条件保函）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担保保函</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商业保险</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第三方担保（无条件担保）</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金额：中标合同金额×</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%，取整到千位；</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收款单位：另行通知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开户银行：另行通知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银行帐号：另行通知</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缴纳时限：</w:t>
      </w:r>
      <w:r>
        <w:rPr>
          <w:rFonts w:hint="eastAsia" w:ascii="宋体" w:hAnsi="宋体" w:eastAsia="宋体" w:cs="宋体"/>
          <w:sz w:val="21"/>
          <w:szCs w:val="21"/>
          <w:highlight w:val="none"/>
          <w:lang w:val="en-US" w:eastAsia="zh-CN"/>
        </w:rPr>
        <w:t>中标人须在领取中标通知书后，30个日历天内完成履约保证金缴纳和合同签订。否则，取消中标资格，投标保证金不予退还。</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退还时限：</w:t>
      </w:r>
      <w:r>
        <w:rPr>
          <w:rFonts w:hint="eastAsia" w:ascii="宋体" w:hAnsi="宋体" w:eastAsia="宋体" w:cs="宋体"/>
          <w:sz w:val="21"/>
          <w:szCs w:val="21"/>
          <w:highlight w:val="none"/>
          <w:lang w:val="en-US" w:eastAsia="zh-CN"/>
        </w:rPr>
        <w:t>合同履行期满7日内</w:t>
      </w:r>
      <w:r>
        <w:rPr>
          <w:rFonts w:hint="eastAsia" w:ascii="宋体" w:hAnsi="宋体" w:eastAsia="宋体" w:cs="宋体"/>
          <w:sz w:val="21"/>
          <w:szCs w:val="21"/>
          <w:highlight w:val="none"/>
        </w:rPr>
        <w:t>。</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注：履约保函格式应按照《住房和城乡建设部关于印发工程保函示范文本的通知》（建市〔2021〕11号）执行。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7.双方的合作性义务</w:t>
      </w:r>
      <w:bookmarkEnd w:id="75"/>
      <w:bookmarkEnd w:id="76"/>
      <w:bookmarkEnd w:id="77"/>
      <w:bookmarkEnd w:id="78"/>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在本协议有效期内，乙方将按照甲方的要求提供服务。</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在本协议有效期内，甲方保证其向乙方提供所需的数据、文件和信息以及其他必要帮助以保证乙方按时并准确地提供服务。</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79" w:name="_Toc7888"/>
      <w:bookmarkStart w:id="80" w:name="_Toc191"/>
      <w:bookmarkStart w:id="81" w:name="_Toc7797"/>
      <w:bookmarkStart w:id="82" w:name="_Toc3904"/>
      <w:r>
        <w:rPr>
          <w:rFonts w:hint="eastAsia" w:ascii="宋体" w:hAnsi="宋体" w:eastAsia="宋体" w:cs="宋体"/>
          <w:sz w:val="21"/>
          <w:szCs w:val="21"/>
          <w:highlight w:val="none"/>
          <w:lang w:val="en-US" w:eastAsia="zh-CN"/>
        </w:rPr>
        <w:t>8. 甲方的权利</w:t>
      </w:r>
      <w:bookmarkEnd w:id="79"/>
      <w:bookmarkEnd w:id="80"/>
      <w:bookmarkEnd w:id="81"/>
      <w:bookmarkEnd w:id="82"/>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享有对</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的服务工作进行指导、监督、考评的权利。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享有依法或依本合同约定，解除本服务合同的权利。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83" w:name="_Toc11221"/>
      <w:bookmarkStart w:id="84" w:name="_Toc15159"/>
      <w:bookmarkStart w:id="85" w:name="_Toc7882"/>
      <w:bookmarkStart w:id="86" w:name="_Toc32598"/>
      <w:r>
        <w:rPr>
          <w:rFonts w:hint="eastAsia" w:ascii="宋体" w:hAnsi="宋体" w:eastAsia="宋体" w:cs="宋体"/>
          <w:sz w:val="21"/>
          <w:szCs w:val="21"/>
          <w:highlight w:val="none"/>
          <w:lang w:val="en-US" w:eastAsia="zh-CN"/>
        </w:rPr>
        <w:t>9. 甲方的义务</w:t>
      </w:r>
      <w:bookmarkEnd w:id="83"/>
      <w:bookmarkEnd w:id="84"/>
      <w:bookmarkEnd w:id="85"/>
      <w:bookmarkEnd w:id="86"/>
      <w:r>
        <w:rPr>
          <w:rFonts w:hint="eastAsia" w:ascii="宋体" w:hAnsi="宋体" w:eastAsia="宋体" w:cs="宋体"/>
          <w:sz w:val="21"/>
          <w:szCs w:val="21"/>
          <w:highlight w:val="none"/>
          <w:lang w:val="en-US" w:eastAsia="zh-CN"/>
        </w:rPr>
        <w:t xml:space="preserve">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根据本合同和相关规定向乙方支付费用。</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bookmarkStart w:id="87" w:name="_Toc251886136"/>
      <w:r>
        <w:rPr>
          <w:rFonts w:hint="eastAsia" w:ascii="宋体" w:hAnsi="宋体" w:eastAsia="宋体" w:cs="宋体"/>
          <w:sz w:val="21"/>
          <w:szCs w:val="21"/>
          <w:highlight w:val="none"/>
        </w:rPr>
        <w:t>9.2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甲方负责指导、监督、评价乙方工作，定期或不定期检查乙方工作情况，如因乙方管理不善，造成重大经济损失或管理失误，甲方有权对其进行处罚乃至解除本合同。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88" w:name="_Toc26991"/>
      <w:bookmarkStart w:id="89" w:name="_Toc28599"/>
      <w:bookmarkStart w:id="90" w:name="_Toc14242"/>
      <w:bookmarkStart w:id="91" w:name="_Toc764"/>
      <w:r>
        <w:rPr>
          <w:rFonts w:hint="eastAsia" w:ascii="宋体" w:hAnsi="宋体" w:eastAsia="宋体" w:cs="宋体"/>
          <w:sz w:val="21"/>
          <w:szCs w:val="21"/>
          <w:highlight w:val="none"/>
          <w:lang w:val="en-US" w:eastAsia="zh-CN"/>
        </w:rPr>
        <w:t>10. 乙方的权利</w:t>
      </w:r>
      <w:bookmarkEnd w:id="87"/>
      <w:bookmarkEnd w:id="88"/>
      <w:bookmarkEnd w:id="89"/>
      <w:bookmarkEnd w:id="90"/>
      <w:bookmarkEnd w:id="91"/>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享有按照本合同约定向甲方收取相关费用的权利。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享有在遵守国家电力法律、法规、行业规范的前提下，对</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开展相关工作的权利。</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92" w:name="_Toc26091"/>
      <w:bookmarkStart w:id="93" w:name="_Toc20544"/>
      <w:bookmarkStart w:id="94" w:name="_Toc15300"/>
      <w:bookmarkStart w:id="95" w:name="_Toc915"/>
      <w:r>
        <w:rPr>
          <w:rFonts w:hint="eastAsia" w:ascii="宋体" w:hAnsi="宋体" w:eastAsia="宋体" w:cs="宋体"/>
          <w:sz w:val="21"/>
          <w:szCs w:val="21"/>
          <w:highlight w:val="none"/>
          <w:lang w:val="en-US" w:eastAsia="zh-CN"/>
        </w:rPr>
        <w:t>11. 乙方的义务</w:t>
      </w:r>
      <w:bookmarkEnd w:id="92"/>
      <w:bookmarkEnd w:id="93"/>
      <w:bookmarkEnd w:id="94"/>
      <w:bookmarkEnd w:id="95"/>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乙方应按照甲方关于</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运行管理的有关规定，做好</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的相关工作，及时处理</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的运行问题，确保</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安全可靠运行。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严格按照国家现行规范及相关要求做好本项目工作；</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按照合同约定的范围和内容严格进行本项目工作，不得漏项；</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11.3</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乙方应对甲方提出与报告相关的问题及时进行答复；</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11.4</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乙方负责按照相关部门和甲方的意见对项目报告进行必要的补充、修改和完善，期间不再向甲方另行追加费用。</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96" w:name="_Toc18913"/>
      <w:bookmarkStart w:id="97" w:name="_Toc9209"/>
      <w:bookmarkStart w:id="98" w:name="_Toc31214"/>
      <w:bookmarkStart w:id="99" w:name="_Toc11879"/>
      <w:r>
        <w:rPr>
          <w:rFonts w:hint="eastAsia" w:ascii="宋体" w:hAnsi="宋体" w:eastAsia="宋体" w:cs="宋体"/>
          <w:sz w:val="21"/>
          <w:szCs w:val="21"/>
          <w:highlight w:val="none"/>
          <w:lang w:val="en-US" w:eastAsia="zh-CN"/>
        </w:rPr>
        <w:t>12. 违约处理</w:t>
      </w:r>
      <w:bookmarkEnd w:id="96"/>
      <w:bookmarkEnd w:id="97"/>
      <w:bookmarkEnd w:id="98"/>
      <w:bookmarkEnd w:id="99"/>
      <w:r>
        <w:rPr>
          <w:rFonts w:hint="eastAsia" w:ascii="宋体" w:hAnsi="宋体" w:eastAsia="宋体" w:cs="宋体"/>
          <w:sz w:val="21"/>
          <w:szCs w:val="21"/>
          <w:highlight w:val="none"/>
          <w:lang w:val="en-US" w:eastAsia="zh-CN"/>
        </w:rPr>
        <w:t xml:space="preserve">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12.1任何一方不履行本合同义务或者履行义务不符合约定的，应向守约方承担继续履行、赔偿损失和/或支付违约金等责任。</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12.2乙方未按照约定时间提交项目报告，每逾期一天给付甲方合同价款金额0.1%的违约金。超过 10 天仍未能提交的，甲方有权解除合同。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12.3乙方按合同约定应支付的违约金低于给甲方造成的损失的，还应就差额部分向甲方进行赔偿，且乙方承担的赔偿金额不以合同价格为限。</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12.4在合同履行期间，如乙方要求中途停止或解除合同，乙方应向甲方支付本合同费用总额作为赔偿金。</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00" w:name="_Toc22605"/>
      <w:bookmarkStart w:id="101" w:name="_Toc6960"/>
      <w:bookmarkStart w:id="102" w:name="_Toc7752"/>
      <w:bookmarkStart w:id="103" w:name="_Toc11440"/>
      <w:r>
        <w:rPr>
          <w:rFonts w:hint="eastAsia" w:ascii="宋体" w:hAnsi="宋体" w:eastAsia="宋体" w:cs="宋体"/>
          <w:sz w:val="21"/>
          <w:szCs w:val="21"/>
          <w:highlight w:val="none"/>
          <w:lang w:val="en-US" w:eastAsia="zh-CN"/>
        </w:rPr>
        <w:t>13.通知</w:t>
      </w:r>
      <w:bookmarkEnd w:id="100"/>
      <w:bookmarkEnd w:id="101"/>
      <w:bookmarkEnd w:id="102"/>
      <w:bookmarkEnd w:id="103"/>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根据本合同需要，一方向另一方发出的全部通知以及双方的文件往来等，必须用书面形式，可采用邮件、书信、传真、电报、当面送交等方式传递。以上方式无法送达的，方可采取公告送达的方式。</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一方变更名称、电话、通讯地址或其他资料，应自变更之日起7日内，以书面形式通知对方；否则，由未通知方承担由此而引起的相关责任。</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04" w:name="_Toc12180"/>
      <w:bookmarkStart w:id="105" w:name="_Toc15417"/>
      <w:bookmarkStart w:id="106" w:name="_Toc6443"/>
      <w:bookmarkStart w:id="107" w:name="_Toc22810"/>
      <w:r>
        <w:rPr>
          <w:rFonts w:hint="eastAsia" w:ascii="宋体" w:hAnsi="宋体" w:eastAsia="宋体" w:cs="宋体"/>
          <w:sz w:val="21"/>
          <w:szCs w:val="21"/>
          <w:highlight w:val="none"/>
          <w:lang w:val="en-US" w:eastAsia="zh-CN"/>
        </w:rPr>
        <w:t>14.保密</w:t>
      </w:r>
      <w:bookmarkEnd w:id="104"/>
      <w:bookmarkEnd w:id="105"/>
      <w:bookmarkEnd w:id="106"/>
      <w:bookmarkEnd w:id="107"/>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14.1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10年，自双方知悉保密内容之日起。</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14.2保密条款独立于合同其他条款，合同其他条款的效力，不影响保密条款的效力。</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08" w:name="_Toc1166"/>
      <w:bookmarkStart w:id="109" w:name="_Toc20671"/>
      <w:bookmarkStart w:id="110" w:name="_Toc13852"/>
      <w:bookmarkStart w:id="111" w:name="_Toc3941"/>
      <w:r>
        <w:rPr>
          <w:rFonts w:hint="eastAsia" w:ascii="宋体" w:hAnsi="宋体" w:eastAsia="宋体" w:cs="宋体"/>
          <w:sz w:val="21"/>
          <w:szCs w:val="21"/>
          <w:highlight w:val="none"/>
          <w:lang w:val="en-US" w:eastAsia="zh-CN"/>
        </w:rPr>
        <w:t>15.补充与附件</w:t>
      </w:r>
      <w:bookmarkEnd w:id="108"/>
      <w:bookmarkEnd w:id="109"/>
      <w:bookmarkEnd w:id="110"/>
      <w:bookmarkEnd w:id="111"/>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15.1本合同未尽事宜，依照有关法律、法规执行，法律、法规未作规定的，双方可以达成书面补充合同。本合同的附件和补充合同均为本合同不可分割的组成部分，与本合同具有同等的法律效力。</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12" w:name="_Toc9776"/>
      <w:bookmarkStart w:id="113" w:name="_Toc11497"/>
      <w:bookmarkStart w:id="114" w:name="_Toc26077"/>
      <w:bookmarkStart w:id="115" w:name="_Toc27821"/>
      <w:r>
        <w:rPr>
          <w:rFonts w:hint="eastAsia" w:ascii="宋体" w:hAnsi="宋体" w:eastAsia="宋体" w:cs="宋体"/>
          <w:sz w:val="21"/>
          <w:szCs w:val="21"/>
          <w:highlight w:val="none"/>
          <w:lang w:val="en-US" w:eastAsia="zh-CN"/>
        </w:rPr>
        <w:t>16.合同的解除</w:t>
      </w:r>
      <w:bookmarkEnd w:id="112"/>
      <w:bookmarkEnd w:id="113"/>
      <w:bookmarkEnd w:id="114"/>
      <w:bookmarkEnd w:id="115"/>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16.1 双方可以通过书面协议解除本合同；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16.2 因不可抗力致使合同目的不能实现的，合同双方可以协商解除合同；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16.3 当事人一方明确表示或以自己的行为表明不履行合同主要义务的，另一方可以解除合同；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16.4 当事人一方迟延履行合同主要义务，经催告后在合理期限内仍未履行，另一方可以解除合同；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16.5 当事人一方有其他违约或违法行为致使合同目的不能实现的，另一方可以解除合同； </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16.6 甲方可以随时解除合同，但应支付乙方实际发生的工作费用，支付数额按照乙方实际服务期限与合同期限的比例计算。</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16.7</w:t>
      </w:r>
      <w:r>
        <w:rPr>
          <w:rFonts w:hint="eastAsia" w:ascii="宋体" w:hAnsi="宋体" w:eastAsia="宋体" w:cs="宋体"/>
          <w:sz w:val="21"/>
          <w:szCs w:val="21"/>
          <w:highlight w:val="none"/>
        </w:rPr>
        <w:t>双方当事人因上述16.3、16.4、16.5、16.6款原因解除合同的，应提前5个工作日通知对方，自通知到达对方时合同解除。</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16" w:name="_Toc29230"/>
      <w:bookmarkStart w:id="117" w:name="_Toc19481"/>
      <w:bookmarkStart w:id="118" w:name="_Toc2394"/>
      <w:bookmarkStart w:id="119" w:name="_Toc16169"/>
      <w:r>
        <w:rPr>
          <w:rFonts w:hint="eastAsia" w:ascii="宋体" w:hAnsi="宋体" w:eastAsia="宋体" w:cs="宋体"/>
          <w:sz w:val="21"/>
          <w:szCs w:val="21"/>
          <w:highlight w:val="none"/>
          <w:lang w:val="en-US" w:eastAsia="zh-CN"/>
        </w:rPr>
        <w:t>17.合同的变更</w:t>
      </w:r>
      <w:bookmarkEnd w:id="116"/>
      <w:bookmarkEnd w:id="117"/>
      <w:bookmarkEnd w:id="118"/>
      <w:bookmarkEnd w:id="119"/>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17.1本合同履行期间，发生特殊情况时，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20" w:name="_Toc9911"/>
      <w:bookmarkStart w:id="121" w:name="_Toc7020"/>
      <w:bookmarkStart w:id="122" w:name="_Toc20845"/>
      <w:bookmarkStart w:id="123" w:name="_Toc31905"/>
      <w:r>
        <w:rPr>
          <w:rFonts w:hint="eastAsia" w:ascii="宋体" w:hAnsi="宋体" w:eastAsia="宋体" w:cs="宋体"/>
          <w:sz w:val="21"/>
          <w:szCs w:val="21"/>
          <w:highlight w:val="none"/>
          <w:lang w:val="en-US" w:eastAsia="zh-CN"/>
        </w:rPr>
        <w:t>18.合同的转让</w:t>
      </w:r>
      <w:bookmarkEnd w:id="120"/>
      <w:bookmarkEnd w:id="121"/>
      <w:bookmarkEnd w:id="122"/>
      <w:bookmarkEnd w:id="123"/>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18.1除合同中另有规定外或经双方协商同意外，本合同所规定双方的任何权利和义务，任何一方在未经征得另一方书面同意之前，不得转让给第三者。任何转让，未经另一方书面明确同意，均属无效。</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24" w:name="_Toc25892"/>
      <w:bookmarkStart w:id="125" w:name="_Toc10893"/>
      <w:bookmarkStart w:id="126" w:name="_Toc4211"/>
      <w:bookmarkStart w:id="127" w:name="_Toc14338"/>
      <w:r>
        <w:rPr>
          <w:rFonts w:hint="eastAsia" w:ascii="宋体" w:hAnsi="宋体" w:eastAsia="宋体" w:cs="宋体"/>
          <w:sz w:val="21"/>
          <w:szCs w:val="21"/>
          <w:highlight w:val="none"/>
          <w:lang w:val="en-US" w:eastAsia="zh-CN"/>
        </w:rPr>
        <w:t>19.争议的处理</w:t>
      </w:r>
      <w:bookmarkEnd w:id="124"/>
      <w:bookmarkEnd w:id="125"/>
      <w:bookmarkEnd w:id="126"/>
      <w:bookmarkEnd w:id="127"/>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合同双方应通过友好协商解决因解释﹑执行本合同所发生的和本合同有关的一切争议，经协商仍不能解决的，任何一方均有权向甲方所在地有管辖权的人民法院提起诉讼解决。</w:t>
      </w:r>
    </w:p>
    <w:p>
      <w:pPr>
        <w:spacing w:line="360" w:lineRule="auto"/>
        <w:ind w:firstLine="48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w:t>
      </w:r>
      <w:r>
        <w:rPr>
          <w:rFonts w:hint="eastAsia" w:ascii="宋体" w:hAnsi="宋体" w:eastAsia="宋体" w:cs="宋体"/>
          <w:sz w:val="21"/>
          <w:szCs w:val="21"/>
          <w:highlight w:val="none"/>
          <w:lang w:val="en-US" w:eastAsia="zh-CN"/>
        </w:rPr>
        <w:t>所有</w:t>
      </w:r>
      <w:r>
        <w:rPr>
          <w:rFonts w:hint="eastAsia" w:ascii="宋体" w:hAnsi="宋体" w:eastAsia="宋体" w:cs="宋体"/>
          <w:sz w:val="21"/>
          <w:szCs w:val="21"/>
          <w:highlight w:val="none"/>
        </w:rPr>
        <w:t>正本</w:t>
      </w:r>
      <w:r>
        <w:rPr>
          <w:rFonts w:hint="eastAsia" w:ascii="宋体" w:hAnsi="宋体" w:eastAsia="宋体" w:cs="宋体"/>
          <w:sz w:val="21"/>
          <w:szCs w:val="21"/>
          <w:highlight w:val="none"/>
          <w:lang w:val="en-US" w:eastAsia="zh-CN"/>
        </w:rPr>
        <w:t>及副本</w:t>
      </w:r>
      <w:r>
        <w:rPr>
          <w:rFonts w:hint="eastAsia" w:ascii="宋体" w:hAnsi="宋体" w:eastAsia="宋体" w:cs="宋体"/>
          <w:sz w:val="21"/>
          <w:szCs w:val="21"/>
          <w:highlight w:val="none"/>
        </w:rPr>
        <w:t>具有同等法律效力</w:t>
      </w:r>
      <w:r>
        <w:rPr>
          <w:rFonts w:hint="eastAsia" w:ascii="宋体" w:hAnsi="宋体" w:eastAsia="宋体" w:cs="宋体"/>
          <w:sz w:val="21"/>
          <w:szCs w:val="21"/>
          <w:highlight w:val="none"/>
          <w:lang w:eastAsia="zh-CN"/>
        </w:rPr>
        <w:t>。</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本合同双方签字并加盖公章或合同专用章之日起生效，双方当事人应全面履行合同约定的义务，任何一方不得擅自变更或解除。</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本合同执行日期：在合同生效后，即开始执行。</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28" w:name="_Toc16208"/>
      <w:bookmarkStart w:id="129" w:name="_Toc18887"/>
      <w:bookmarkStart w:id="130" w:name="_Toc15435"/>
      <w:bookmarkStart w:id="131" w:name="_Toc19998"/>
      <w:r>
        <w:rPr>
          <w:rFonts w:hint="eastAsia" w:ascii="宋体" w:hAnsi="宋体" w:eastAsia="宋体" w:cs="宋体"/>
          <w:sz w:val="21"/>
          <w:szCs w:val="21"/>
          <w:highlight w:val="none"/>
          <w:lang w:val="en-US" w:eastAsia="zh-CN"/>
        </w:rPr>
        <w:t>20.不可抗力</w:t>
      </w:r>
      <w:bookmarkEnd w:id="128"/>
      <w:bookmarkEnd w:id="129"/>
      <w:bookmarkEnd w:id="130"/>
      <w:bookmarkEnd w:id="131"/>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20.1 如果本合同任何一方因受不可抗力事件影响而未能履行其在本合同下的全部或部分义务，该义务的履行在不可抗力事件妨碍其履行期间应予中止。</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20.2 声称受到不可抗力事件影响的一方应尽可能在不可抗力发生后最短的时间内（最长不超过15日）通过书面形式将不可抗力事件的发生通知另一方，并在该不可抗力事件发生后15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20.3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且遭遇不可抗力一方无须为此承担责任。当事人迟延履行后发生不可抗力的，不能免除责任。</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20.4 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32" w:name="_Toc26211"/>
      <w:bookmarkStart w:id="133" w:name="_Toc27073"/>
      <w:bookmarkStart w:id="134" w:name="_Toc6624"/>
      <w:bookmarkStart w:id="135" w:name="_Toc32391"/>
      <w:r>
        <w:rPr>
          <w:rFonts w:hint="eastAsia" w:ascii="宋体" w:hAnsi="宋体" w:eastAsia="宋体" w:cs="宋体"/>
          <w:sz w:val="21"/>
          <w:szCs w:val="21"/>
          <w:highlight w:val="none"/>
          <w:lang w:val="en-US" w:eastAsia="zh-CN"/>
        </w:rPr>
        <w:t>21.附加条款</w:t>
      </w:r>
      <w:bookmarkEnd w:id="132"/>
      <w:bookmarkEnd w:id="133"/>
      <w:bookmarkEnd w:id="134"/>
      <w:bookmarkEnd w:id="135"/>
      <w:r>
        <w:rPr>
          <w:rFonts w:hint="eastAsia" w:ascii="宋体" w:hAnsi="宋体" w:eastAsia="宋体" w:cs="宋体"/>
          <w:sz w:val="21"/>
          <w:szCs w:val="21"/>
          <w:highlight w:val="none"/>
          <w:lang w:val="en-US" w:eastAsia="zh-CN"/>
        </w:rPr>
        <w:t>　</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21.1</w:t>
      </w:r>
      <w:r>
        <w:rPr>
          <w:rFonts w:hint="eastAsia" w:ascii="宋体" w:hAnsi="宋体" w:eastAsia="宋体" w:cs="宋体"/>
          <w:sz w:val="21"/>
          <w:szCs w:val="21"/>
          <w:highlight w:val="none"/>
        </w:rPr>
        <w:t>双方已就本合同的上述条款完全达成共识，任何一方的口头要求均不能影响本合同条款的效力。</w:t>
      </w:r>
    </w:p>
    <w:p>
      <w:pPr>
        <w:pageBreakBefore w:val="0"/>
        <w:widowControl w:val="0"/>
        <w:kinsoku/>
        <w:wordWrap/>
        <w:overflowPunct/>
        <w:topLinePunct w:val="0"/>
        <w:autoSpaceDE/>
        <w:autoSpaceDN/>
        <w:bidi w:val="0"/>
        <w:adjustRightInd w:val="0"/>
        <w:snapToGrid w:val="0"/>
        <w:spacing w:line="440" w:lineRule="exact"/>
        <w:ind w:firstLine="480"/>
        <w:contextualSpacing/>
        <w:jc w:val="left"/>
        <w:textAlignment w:val="auto"/>
        <w:rPr>
          <w:rFonts w:hint="eastAsia" w:ascii="宋体" w:hAnsi="宋体" w:eastAsia="宋体" w:cs="宋体"/>
          <w:sz w:val="21"/>
          <w:szCs w:val="21"/>
          <w:highlight w:val="none"/>
          <w:lang w:val="en-US" w:eastAsia="zh-CN"/>
        </w:rPr>
      </w:pPr>
      <w:bookmarkStart w:id="136" w:name="_Toc16576"/>
      <w:bookmarkStart w:id="137" w:name="_Toc2344"/>
      <w:bookmarkStart w:id="138" w:name="_Toc5101"/>
      <w:bookmarkStart w:id="139" w:name="_Toc13333"/>
      <w:r>
        <w:rPr>
          <w:rFonts w:hint="eastAsia" w:ascii="宋体" w:hAnsi="宋体" w:eastAsia="宋体" w:cs="宋体"/>
          <w:sz w:val="21"/>
          <w:szCs w:val="21"/>
          <w:highlight w:val="none"/>
          <w:lang w:val="en-US" w:eastAsia="zh-CN"/>
        </w:rPr>
        <w:t>22.合同的效力</w:t>
      </w:r>
      <w:bookmarkEnd w:id="136"/>
      <w:bookmarkEnd w:id="137"/>
      <w:bookmarkEnd w:id="138"/>
      <w:bookmarkEnd w:id="139"/>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22.1</w:t>
      </w:r>
      <w:r>
        <w:rPr>
          <w:rFonts w:hint="eastAsia" w:ascii="宋体" w:hAnsi="宋体" w:eastAsia="宋体" w:cs="宋体"/>
          <w:sz w:val="21"/>
          <w:szCs w:val="21"/>
          <w:highlight w:val="none"/>
        </w:rPr>
        <w:t>本合同自双方或双方法定代表人或其授权代表人签字并加盖单位公章或合同专用章之日起生效。</w:t>
      </w:r>
    </w:p>
    <w:p>
      <w:pPr>
        <w:spacing w:line="360" w:lineRule="auto"/>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22.2</w:t>
      </w:r>
      <w:r>
        <w:rPr>
          <w:rFonts w:hint="eastAsia" w:ascii="宋体" w:hAnsi="宋体" w:eastAsia="宋体" w:cs="宋体"/>
          <w:sz w:val="21"/>
          <w:szCs w:val="21"/>
          <w:highlight w:val="none"/>
        </w:rPr>
        <w:t>本合同一式</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份，其中正本2份，甲乙双方各执1份，副本</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份，甲方</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份，乙方</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份。正副本具有同等法律效力，本合同由甲乙双方授权代表签字并加盖双方公章后生效，至甲乙双方在本合同项下的权利义务及与本合同有关的债权、债务履行完毕之日止。</w:t>
      </w:r>
    </w:p>
    <w:p>
      <w:pPr>
        <w:ind w:firstLine="48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以下空白</w:t>
      </w:r>
    </w:p>
    <w:p>
      <w:pPr>
        <w:spacing w:line="480" w:lineRule="exact"/>
        <w:ind w:firstLine="422" w:firstLineChars="200"/>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签 署 页</w:t>
      </w:r>
    </w:p>
    <w:tbl>
      <w:tblPr>
        <w:tblStyle w:val="22"/>
        <w:tblpPr w:leftFromText="180" w:rightFromText="180" w:vertAnchor="text" w:horzAnchor="page" w:tblpX="1521" w:tblpY="464"/>
        <w:tblOverlap w:val="never"/>
        <w:tblW w:w="0" w:type="auto"/>
        <w:tblInd w:w="0" w:type="dxa"/>
        <w:tblLayout w:type="fixed"/>
        <w:tblCellMar>
          <w:top w:w="0" w:type="dxa"/>
          <w:left w:w="108" w:type="dxa"/>
          <w:bottom w:w="0" w:type="dxa"/>
          <w:right w:w="108" w:type="dxa"/>
        </w:tblCellMar>
      </w:tblPr>
      <w:tblGrid>
        <w:gridCol w:w="4595"/>
        <w:gridCol w:w="4603"/>
      </w:tblGrid>
      <w:tr>
        <w:tblPrEx>
          <w:tblCellMar>
            <w:top w:w="0" w:type="dxa"/>
            <w:left w:w="108" w:type="dxa"/>
            <w:bottom w:w="0" w:type="dxa"/>
            <w:right w:w="108" w:type="dxa"/>
          </w:tblCellMar>
        </w:tblPrEx>
        <w:trPr>
          <w:cantSplit/>
          <w:trHeight w:val="1642"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甲方：</w:t>
            </w:r>
            <w:r>
              <w:rPr>
                <w:rFonts w:hint="eastAsia" w:ascii="宋体" w:hAnsi="宋体" w:eastAsia="宋体" w:cs="宋体"/>
                <w:sz w:val="21"/>
                <w:szCs w:val="21"/>
                <w:highlight w:val="none"/>
                <w:lang w:eastAsia="zh-CN"/>
              </w:rPr>
              <w:t>滁州市滁宁城际铁路开发建设有限公司</w:t>
            </w:r>
          </w:p>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（盖章）</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乙方：</w:t>
            </w:r>
          </w:p>
          <w:p>
            <w:pPr>
              <w:keepNext w:val="0"/>
              <w:keepLines w:val="0"/>
              <w:suppressLineNumbers w:val="0"/>
              <w:spacing w:before="0" w:beforeAutospacing="0" w:after="0" w:afterAutospacing="0" w:line="480" w:lineRule="exact"/>
              <w:ind w:left="0" w:right="0" w:firstLine="315" w:firstLineChars="1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（盖章）</w:t>
            </w:r>
          </w:p>
        </w:tc>
      </w:tr>
      <w:tr>
        <w:tblPrEx>
          <w:tblCellMar>
            <w:top w:w="0" w:type="dxa"/>
            <w:left w:w="108" w:type="dxa"/>
            <w:bottom w:w="0" w:type="dxa"/>
            <w:right w:w="108" w:type="dxa"/>
          </w:tblCellMar>
        </w:tblPrEx>
        <w:trPr>
          <w:cantSplit/>
          <w:trHeight w:val="1453" w:hRule="exact"/>
        </w:trPr>
        <w:tc>
          <w:tcPr>
            <w:tcW w:w="4595" w:type="dxa"/>
            <w:noWrap w:val="0"/>
            <w:vAlign w:val="top"/>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法定代表人(负责人)或</w:t>
            </w:r>
          </w:p>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授权代理人（签字）：</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top"/>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法定代表人（负责人）或</w:t>
            </w:r>
          </w:p>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授权代理人（签字）：</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1"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签订日期：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签订日期：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1014"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Email:</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Email：</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466"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r>
        <w:tblPrEx>
          <w:tblCellMar>
            <w:top w:w="0" w:type="dxa"/>
            <w:left w:w="108" w:type="dxa"/>
            <w:bottom w:w="0" w:type="dxa"/>
            <w:right w:w="108" w:type="dxa"/>
          </w:tblCellMar>
        </w:tblPrEx>
        <w:trPr>
          <w:cantSplit/>
          <w:trHeight w:val="998" w:hRule="exact"/>
        </w:trPr>
        <w:tc>
          <w:tcPr>
            <w:tcW w:w="4595"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c>
          <w:tcPr>
            <w:tcW w:w="4603" w:type="dxa"/>
            <w:noWrap w:val="0"/>
            <w:vAlign w:val="center"/>
          </w:tcPr>
          <w:p>
            <w:pPr>
              <w:keepNext w:val="0"/>
              <w:keepLines w:val="0"/>
              <w:suppressLineNumbers w:val="0"/>
              <w:spacing w:before="0" w:beforeAutospacing="0" w:after="0" w:afterAutospacing="0" w:line="480" w:lineRule="exact"/>
              <w:ind w:left="0" w:right="0" w:firstLine="56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税号：</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rPr>
              <w:t xml:space="preserve"> </w:t>
            </w:r>
          </w:p>
        </w:tc>
      </w:tr>
    </w:tbl>
    <w:p>
      <w:pPr>
        <w:ind w:left="2" w:firstLine="480"/>
        <w:jc w:val="left"/>
        <w:rPr>
          <w:rFonts w:hint="eastAsia" w:ascii="宋体" w:hAnsi="宋体" w:eastAsia="宋体" w:cs="宋体"/>
          <w:sz w:val="21"/>
          <w:szCs w:val="21"/>
          <w:highlight w:val="none"/>
        </w:rPr>
      </w:pPr>
    </w:p>
    <w:p>
      <w:pPr>
        <w:ind w:left="2" w:firstLine="480"/>
        <w:jc w:val="left"/>
        <w:rPr>
          <w:rFonts w:hint="eastAsia" w:ascii="宋体" w:hAnsi="宋体" w:eastAsia="宋体" w:cs="宋体"/>
          <w:sz w:val="21"/>
          <w:szCs w:val="21"/>
          <w:highlight w:val="none"/>
        </w:rPr>
      </w:pPr>
    </w:p>
    <w:p>
      <w:pPr>
        <w:ind w:left="2" w:firstLine="480"/>
        <w:jc w:val="left"/>
        <w:rPr>
          <w:rFonts w:hint="eastAsia" w:ascii="宋体" w:hAnsi="宋体" w:eastAsia="宋体" w:cs="宋体"/>
          <w:sz w:val="21"/>
          <w:szCs w:val="21"/>
          <w:highlight w:val="none"/>
        </w:rPr>
      </w:pPr>
    </w:p>
    <w:p>
      <w:pPr>
        <w:ind w:firstLine="0" w:firstLineChars="0"/>
        <w:jc w:val="left"/>
        <w:rPr>
          <w:rFonts w:hint="eastAsia" w:ascii="宋体" w:hAnsi="宋体" w:eastAsia="宋体" w:cs="宋体"/>
          <w:sz w:val="21"/>
          <w:szCs w:val="21"/>
          <w:highlight w:val="none"/>
        </w:rPr>
      </w:pPr>
    </w:p>
    <w:p>
      <w:pPr>
        <w:spacing w:before="120" w:beforeLines="50" w:after="120" w:afterLines="50"/>
        <w:ind w:firstLine="0" w:firstLineChars="0"/>
        <w:jc w:val="left"/>
        <w:rPr>
          <w:rFonts w:hint="eastAsia" w:ascii="宋体" w:hAnsi="宋体" w:eastAsia="宋体" w:cs="宋体"/>
          <w:sz w:val="21"/>
          <w:szCs w:val="21"/>
          <w:highlight w:val="none"/>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280" w:firstLineChars="100"/>
        <w:jc w:val="center"/>
        <w:textAlignment w:val="auto"/>
        <w:rPr>
          <w:rFonts w:hint="eastAsia" w:ascii="宋体" w:hAnsi="宋体" w:eastAsia="宋体" w:cs="宋体"/>
          <w:color w:val="auto"/>
          <w:kern w:val="2"/>
          <w:sz w:val="28"/>
          <w:szCs w:val="28"/>
          <w:highlight w:val="none"/>
          <w:u w:color="auto"/>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280" w:firstLineChars="100"/>
        <w:jc w:val="center"/>
        <w:textAlignment w:val="auto"/>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40" w:name="_Toc21573"/>
      <w:bookmarkEnd w:id="140"/>
      <w:bookmarkStart w:id="141"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141"/>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142" w:name="_Toc19336_WPSOffice_Level2"/>
      <w:bookmarkEnd w:id="142"/>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43" w:name="_Toc7180_WPSOffice_Level3"/>
      <w:bookmarkEnd w:id="143"/>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44" w:name="_Toc14710_WPSOffice_Level1"/>
      <w:bookmarkEnd w:id="144"/>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w:t>
      </w:r>
      <w:r>
        <w:rPr>
          <w:rFonts w:hint="eastAsia" w:ascii="宋体"/>
          <w:szCs w:val="21"/>
          <w:highlight w:val="none"/>
          <w:lang w:val="en-US" w:eastAsia="zh-CN"/>
        </w:rPr>
        <w:t>2</w:t>
      </w:r>
      <w:r>
        <w:rPr>
          <w:rFonts w:hint="eastAsia" w:ascii="宋体"/>
          <w:szCs w:val="21"/>
          <w:highlight w:val="none"/>
        </w:rPr>
        <w:t>）</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宋体" w:hAnsi="宋体" w:cs="宋体-18030" w:eastAsiaTheme="minorEastAsia"/>
          <w:szCs w:val="21"/>
          <w:highlight w:val="none"/>
          <w:lang w:val="en-US" w:eastAsia="zh-CN"/>
        </w:rPr>
      </w:pPr>
      <w:r>
        <w:rPr>
          <w:rFonts w:hint="eastAsia" w:ascii="宋体" w:hAnsi="宋体" w:cs="宋体-18030"/>
          <w:szCs w:val="21"/>
          <w:highlight w:val="none"/>
        </w:rPr>
        <w:t>（</w:t>
      </w:r>
      <w:r>
        <w:rPr>
          <w:rFonts w:hint="eastAsia" w:ascii="宋体" w:hAnsi="宋体" w:cs="宋体-18030"/>
          <w:szCs w:val="21"/>
          <w:highlight w:val="none"/>
          <w:lang w:val="en-US" w:eastAsia="zh-CN"/>
        </w:rPr>
        <w:t>3</w:t>
      </w:r>
      <w:r>
        <w:rPr>
          <w:rFonts w:hint="eastAsia" w:ascii="宋体" w:hAnsi="宋体" w:cs="宋体-18030"/>
          <w:szCs w:val="21"/>
          <w:highlight w:val="none"/>
        </w:rPr>
        <w:t>）</w:t>
      </w:r>
      <w:r>
        <w:rPr>
          <w:rFonts w:hint="eastAsia" w:ascii="宋体" w:hAnsi="宋体" w:cs="宋体-18030"/>
          <w:szCs w:val="21"/>
          <w:highlight w:val="none"/>
          <w:lang w:val="en-US" w:eastAsia="zh-CN"/>
        </w:rPr>
        <w:t>投标人有效资质证书；</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Calibri" w:hAnsi="宋体" w:eastAsia="宋体" w:cs="Times New Roman"/>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Calibri" w:hAnsi="宋体" w:eastAsia="宋体" w:cs="Times New Roman"/>
          <w:color w:val="auto"/>
          <w:szCs w:val="21"/>
          <w:highlight w:val="none"/>
          <w:lang w:val="en-US" w:eastAsia="zh-CN"/>
        </w:rPr>
        <w:t>）</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w:t>
      </w:r>
      <w:r>
        <w:rPr>
          <w:rFonts w:hint="eastAsia" w:ascii="Calibri" w:hAnsi="宋体" w:eastAsia="宋体" w:cs="Times New Roman"/>
          <w:color w:val="auto"/>
          <w:szCs w:val="21"/>
          <w:highlight w:val="none"/>
        </w:rPr>
        <w:t>（格式见附件）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6）资信评分所需材料；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7）</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4"/>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145" w:name="_Toc6019_WPSOffice_Level1"/>
      <w:bookmarkEnd w:id="145"/>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（含</w:t>
      </w:r>
      <w:r>
        <w:rPr>
          <w:rFonts w:hint="eastAsia" w:ascii="宋体" w:hAnsi="宋体"/>
          <w:color w:val="000000"/>
          <w:sz w:val="24"/>
          <w:highlight w:val="none"/>
        </w:rPr>
        <w:t>采购需求</w:t>
      </w:r>
      <w:r>
        <w:rPr>
          <w:rFonts w:hint="eastAsia" w:ascii="宋体" w:hAnsi="宋体"/>
          <w:color w:val="000000"/>
          <w:sz w:val="24"/>
          <w:highlight w:val="none"/>
          <w:lang w:eastAsia="zh-CN"/>
        </w:rPr>
        <w:t>）</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0"/>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rFonts w:hint="eastAsia"/>
          <w:highlight w:val="none"/>
          <w:lang w:val="en-US" w:eastAsia="zh-CN"/>
        </w:rPr>
      </w:pPr>
    </w:p>
    <w:p>
      <w:pPr>
        <w:rPr>
          <w:rFonts w:hint="eastAsia"/>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cs="宋体"/>
          <w:bCs/>
          <w:lang w:val="en-US" w:eastAsia="zh-CN"/>
        </w:rPr>
      </w:pPr>
      <w:r>
        <w:rPr>
          <w:rFonts w:hint="eastAsia" w:ascii="宋体" w:hAnsi="宋体" w:eastAsia="宋体" w:cs="宋体"/>
          <w:color w:val="000000"/>
          <w:kern w:val="0"/>
          <w:sz w:val="21"/>
          <w:szCs w:val="21"/>
          <w:highlight w:val="none"/>
          <w:u w:color="000000"/>
          <w:lang w:val="en-US" w:eastAsia="zh-CN" w:bidi="ar"/>
        </w:rPr>
        <w:t>（1）</w:t>
      </w:r>
      <w:r>
        <w:rPr>
          <w:rFonts w:hint="eastAsia" w:ascii="宋体" w:hAnsi="宋体" w:cs="宋体"/>
          <w:bCs/>
        </w:rPr>
        <w:t>项目实施方案</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cs="宋体"/>
          <w:bCs/>
          <w:lang w:val="en-US" w:eastAsia="zh-CN"/>
        </w:rPr>
      </w:pPr>
      <w:r>
        <w:rPr>
          <w:rFonts w:hint="eastAsia" w:ascii="宋体" w:hAnsi="宋体" w:cs="宋体"/>
          <w:bCs/>
          <w:lang w:val="en-US" w:eastAsia="zh-CN"/>
        </w:rPr>
        <w:t>（2）评价计划及保证措施；</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rPr>
          <w:rFonts w:hint="eastAsia" w:ascii="宋体" w:hAnsi="Times New Roman" w:eastAsia="宋体" w:cs="宋体"/>
          <w:b/>
          <w:bCs/>
          <w:color w:val="000000"/>
          <w:kern w:val="0"/>
          <w:sz w:val="28"/>
          <w:szCs w:val="28"/>
          <w:highlight w:val="none"/>
          <w:u w:color="000000"/>
          <w:lang w:val="en-US" w:eastAsia="zh-CN" w:bidi="ar"/>
        </w:rPr>
      </w:pPr>
      <w:r>
        <w:rPr>
          <w:rFonts w:hint="eastAsia" w:ascii="宋体" w:hAnsi="Times New Roman" w:eastAsia="宋体" w:cs="宋体"/>
          <w:b/>
          <w:bCs/>
          <w:color w:val="000000"/>
          <w:kern w:val="0"/>
          <w:sz w:val="28"/>
          <w:szCs w:val="28"/>
          <w:highlight w:val="none"/>
          <w:u w:color="000000"/>
          <w:lang w:val="en-US" w:eastAsia="zh-CN" w:bidi="ar"/>
        </w:rPr>
        <w:br w:type="page"/>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146" w:name="_Toc27638_WPSOffice_Level2"/>
      <w:bookmarkEnd w:id="146"/>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20"/>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8"/>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5"/>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7"/>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总投标价\编制周期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编制周期：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147" w:name="_Toc6275_WPSOffice_Level1"/>
      <w:bookmarkEnd w:id="147"/>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2"/>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滁州至南京城际铁路（滁州段）一、二期工程职业病危害预评价技术服务采购项目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8"/>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15"/>
    <w:multiLevelType w:val="singleLevel"/>
    <w:tmpl w:val="00000015"/>
    <w:lvl w:ilvl="0" w:tentative="0">
      <w:start w:val="6"/>
      <w:numFmt w:val="decimal"/>
      <w:suff w:val="space"/>
      <w:lvlText w:val="%1."/>
      <w:lvlJc w:val="left"/>
    </w:lvl>
  </w:abstractNum>
  <w:abstractNum w:abstractNumId="2">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D27CC57"/>
    <w:multiLevelType w:val="singleLevel"/>
    <w:tmpl w:val="6D27CC57"/>
    <w:lvl w:ilvl="0" w:tentative="0">
      <w:start w:val="6"/>
      <w:numFmt w:val="decimal"/>
      <w:lvlText w:val="%1."/>
      <w:lvlJc w:val="left"/>
      <w:pPr>
        <w:tabs>
          <w:tab w:val="left" w:pos="312"/>
        </w:tabs>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6049CE"/>
    <w:rsid w:val="069267F0"/>
    <w:rsid w:val="06D54ED0"/>
    <w:rsid w:val="0A48129E"/>
    <w:rsid w:val="0AFF501E"/>
    <w:rsid w:val="0CEF01A1"/>
    <w:rsid w:val="0EBB3464"/>
    <w:rsid w:val="12AD709E"/>
    <w:rsid w:val="14334ED5"/>
    <w:rsid w:val="16C05D7A"/>
    <w:rsid w:val="1B933F29"/>
    <w:rsid w:val="1DB7563A"/>
    <w:rsid w:val="1E474369"/>
    <w:rsid w:val="1FBE5586"/>
    <w:rsid w:val="1FC02A69"/>
    <w:rsid w:val="21FC6157"/>
    <w:rsid w:val="222D5B93"/>
    <w:rsid w:val="287E4991"/>
    <w:rsid w:val="28B77689"/>
    <w:rsid w:val="2B8B115D"/>
    <w:rsid w:val="30AF4D49"/>
    <w:rsid w:val="30C14EDD"/>
    <w:rsid w:val="39536F5E"/>
    <w:rsid w:val="40585B1F"/>
    <w:rsid w:val="41C76417"/>
    <w:rsid w:val="42AB7679"/>
    <w:rsid w:val="440F4D94"/>
    <w:rsid w:val="44121234"/>
    <w:rsid w:val="47DC16A5"/>
    <w:rsid w:val="495425A7"/>
    <w:rsid w:val="4A1F7700"/>
    <w:rsid w:val="4B8A2C90"/>
    <w:rsid w:val="4C3857CB"/>
    <w:rsid w:val="4F522371"/>
    <w:rsid w:val="598A078C"/>
    <w:rsid w:val="5AB972A9"/>
    <w:rsid w:val="5AC41FE9"/>
    <w:rsid w:val="5D7002D3"/>
    <w:rsid w:val="5F9E7D53"/>
    <w:rsid w:val="5FBE0C60"/>
    <w:rsid w:val="604D11B9"/>
    <w:rsid w:val="61D9152B"/>
    <w:rsid w:val="62C47C43"/>
    <w:rsid w:val="646A3CFA"/>
    <w:rsid w:val="6509245E"/>
    <w:rsid w:val="668A652A"/>
    <w:rsid w:val="6D196BC8"/>
    <w:rsid w:val="6EA934B6"/>
    <w:rsid w:val="6F855927"/>
    <w:rsid w:val="706E041E"/>
    <w:rsid w:val="75843174"/>
    <w:rsid w:val="75B607A9"/>
    <w:rsid w:val="762E3128"/>
    <w:rsid w:val="76B7003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30"/>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3">
    <w:name w:val="toc 2"/>
    <w:basedOn w:val="1"/>
    <w:next w:val="1"/>
    <w:qFormat/>
    <w:uiPriority w:val="39"/>
    <w:pPr>
      <w:ind w:left="420" w:leftChars="200"/>
    </w:pPr>
  </w:style>
  <w:style w:type="paragraph" w:styleId="6">
    <w:name w:val="toc 7"/>
    <w:basedOn w:val="1"/>
    <w:next w:val="1"/>
    <w:qFormat/>
    <w:uiPriority w:val="39"/>
    <w:pPr>
      <w:ind w:left="1260"/>
      <w:jc w:val="left"/>
    </w:pPr>
    <w:rPr>
      <w:sz w:val="18"/>
      <w:szCs w:val="18"/>
    </w:rPr>
  </w:style>
  <w:style w:type="paragraph" w:styleId="7">
    <w:name w:val="Normal Indent"/>
    <w:basedOn w:val="1"/>
    <w:next w:val="8"/>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Body Text First Indent 2"/>
    <w:basedOn w:val="9"/>
    <w:next w:val="1"/>
    <w:link w:val="28"/>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9">
    <w:name w:val="Body Text Indent"/>
    <w:basedOn w:val="1"/>
    <w:next w:val="10"/>
    <w:link w:val="27"/>
    <w:qFormat/>
    <w:uiPriority w:val="0"/>
    <w:pPr>
      <w:spacing w:after="120" w:afterLines="0" w:afterAutospacing="0"/>
      <w:ind w:left="420" w:leftChars="200"/>
    </w:pPr>
  </w:style>
  <w:style w:type="paragraph" w:styleId="10">
    <w:name w:val="envelope return"/>
    <w:basedOn w:val="1"/>
    <w:next w:val="6"/>
    <w:qFormat/>
    <w:uiPriority w:val="0"/>
    <w:pPr>
      <w:snapToGrid w:val="0"/>
    </w:pPr>
    <w:rPr>
      <w:rFonts w:ascii="Arial" w:hAnsi="Arial"/>
    </w:rPr>
  </w:style>
  <w:style w:type="paragraph" w:styleId="11">
    <w:name w:val="Document Map"/>
    <w:basedOn w:val="1"/>
    <w:next w:val="1"/>
    <w:semiHidden/>
    <w:qFormat/>
    <w:uiPriority w:val="0"/>
    <w:pPr>
      <w:widowControl/>
      <w:shd w:val="clear" w:color="000000" w:fill="000080"/>
      <w:spacing w:line="357" w:lineRule="atLeast"/>
    </w:pPr>
    <w:rPr>
      <w:color w:val="000000"/>
    </w:rPr>
  </w:style>
  <w:style w:type="paragraph" w:styleId="12">
    <w:name w:val="Body Text 3"/>
    <w:basedOn w:val="1"/>
    <w:qFormat/>
    <w:uiPriority w:val="0"/>
    <w:rPr>
      <w:rFonts w:ascii="宋体" w:hAnsi="Calibri" w:eastAsia="宋体" w:cs="Times New Roman"/>
      <w:sz w:val="24"/>
      <w:szCs w:val="20"/>
    </w:rPr>
  </w:style>
  <w:style w:type="paragraph" w:styleId="13">
    <w:name w:val="Body Text"/>
    <w:basedOn w:val="1"/>
    <w:next w:val="14"/>
    <w:qFormat/>
    <w:uiPriority w:val="0"/>
    <w:pPr>
      <w:widowControl w:val="0"/>
      <w:snapToGrid w:val="0"/>
      <w:spacing w:line="360" w:lineRule="auto"/>
    </w:pPr>
    <w:rPr>
      <w:rFonts w:ascii="Arial" w:hAnsi="Arial" w:eastAsia="仿宋_GB2312"/>
      <w:sz w:val="31"/>
    </w:rPr>
  </w:style>
  <w:style w:type="paragraph" w:customStyle="1" w:styleId="14">
    <w:name w:val="xl27"/>
    <w:basedOn w:val="1"/>
    <w:next w:val="15"/>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15">
    <w:name w:val="A正文"/>
    <w:basedOn w:val="1"/>
    <w:qFormat/>
    <w:uiPriority w:val="0"/>
    <w:pPr>
      <w:widowControl/>
      <w:overflowPunct w:val="0"/>
      <w:autoSpaceDE w:val="0"/>
      <w:autoSpaceDN w:val="0"/>
      <w:jc w:val="left"/>
      <w:textAlignment w:val="baseline"/>
    </w:pPr>
  </w:style>
  <w:style w:type="paragraph" w:styleId="16">
    <w:name w:val="Plain Text"/>
    <w:basedOn w:val="1"/>
    <w:next w:val="1"/>
    <w:link w:val="32"/>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7">
    <w:name w:val="Date"/>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8">
    <w:name w:val="footer"/>
    <w:basedOn w:val="1"/>
    <w:link w:val="33"/>
    <w:qFormat/>
    <w:uiPriority w:val="0"/>
    <w:pPr>
      <w:tabs>
        <w:tab w:val="center" w:pos="4153"/>
        <w:tab w:val="right" w:pos="8306"/>
      </w:tabs>
      <w:snapToGrid w:val="0"/>
      <w:jc w:val="left"/>
    </w:pPr>
    <w:rPr>
      <w:sz w:val="18"/>
    </w:rPr>
  </w:style>
  <w:style w:type="paragraph" w:styleId="19">
    <w:name w:val="header"/>
    <w:basedOn w:val="1"/>
    <w:link w:val="3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二级标题"/>
    <w:basedOn w:val="1"/>
    <w:next w:val="1"/>
    <w:qFormat/>
    <w:uiPriority w:val="0"/>
    <w:rPr>
      <w:rFonts w:hint="eastAsia" w:eastAsia="楷体"/>
    </w:rPr>
  </w:style>
  <w:style w:type="paragraph" w:customStyle="1" w:styleId="26">
    <w:name w:val="正文文字 8"/>
    <w:basedOn w:val="1"/>
    <w:next w:val="1"/>
    <w:qFormat/>
    <w:uiPriority w:val="0"/>
    <w:pPr>
      <w:ind w:left="240"/>
    </w:pPr>
    <w:rPr>
      <w:sz w:val="16"/>
    </w:rPr>
  </w:style>
  <w:style w:type="character" w:customStyle="1" w:styleId="27">
    <w:name w:val="正文文本缩进 Char"/>
    <w:basedOn w:val="24"/>
    <w:link w:val="9"/>
    <w:qFormat/>
    <w:uiPriority w:val="0"/>
    <w:rPr>
      <w:rFonts w:hint="default" w:ascii="Times New Roman" w:hAnsi="Times New Roman" w:eastAsia="宋体" w:cs="Times New Roman"/>
      <w:color w:val="000000"/>
      <w:kern w:val="0"/>
      <w:szCs w:val="21"/>
      <w:u w:color="000000"/>
    </w:rPr>
  </w:style>
  <w:style w:type="character" w:customStyle="1" w:styleId="28">
    <w:name w:val="正文首行缩进 2 Char"/>
    <w:basedOn w:val="27"/>
    <w:link w:val="8"/>
    <w:qFormat/>
    <w:uiPriority w:val="0"/>
    <w:rPr>
      <w:rFonts w:hint="default" w:ascii="Times New Roman" w:hAnsi="Times New Roman" w:eastAsia="宋体" w:cs="Times New Roman"/>
      <w:color w:val="000000"/>
      <w:kern w:val="0"/>
      <w:szCs w:val="21"/>
      <w:u w:color="000000"/>
    </w:rPr>
  </w:style>
  <w:style w:type="character" w:customStyle="1" w:styleId="29">
    <w:name w:val="日期 Char"/>
    <w:basedOn w:val="24"/>
    <w:link w:val="17"/>
    <w:qFormat/>
    <w:uiPriority w:val="0"/>
    <w:rPr>
      <w:rFonts w:ascii="Arial" w:hAnsi="Arial" w:eastAsia="仿宋_GB2312" w:cs="Arial"/>
      <w:color w:val="000000"/>
      <w:sz w:val="32"/>
      <w:szCs w:val="32"/>
      <w:u w:color="000000"/>
    </w:rPr>
  </w:style>
  <w:style w:type="character" w:customStyle="1" w:styleId="30">
    <w:name w:val="标题 2 Char"/>
    <w:basedOn w:val="24"/>
    <w:link w:val="5"/>
    <w:qFormat/>
    <w:uiPriority w:val="0"/>
    <w:rPr>
      <w:rFonts w:hint="default" w:ascii="Times New Roman" w:hAnsi="Times New Roman" w:eastAsia="宋体" w:cs="Times New Roman"/>
      <w:kern w:val="0"/>
      <w:sz w:val="24"/>
      <w:szCs w:val="24"/>
    </w:rPr>
  </w:style>
  <w:style w:type="character" w:customStyle="1" w:styleId="31">
    <w:name w:val="页眉 Char"/>
    <w:basedOn w:val="24"/>
    <w:link w:val="19"/>
    <w:qFormat/>
    <w:uiPriority w:val="0"/>
    <w:rPr>
      <w:rFonts w:hint="default" w:ascii="Times New Roman" w:hAnsi="Times New Roman" w:eastAsia="宋体" w:cs="Times New Roman"/>
      <w:color w:val="000000"/>
      <w:kern w:val="0"/>
      <w:sz w:val="18"/>
      <w:szCs w:val="18"/>
      <w:u w:color="000000"/>
    </w:rPr>
  </w:style>
  <w:style w:type="character" w:customStyle="1" w:styleId="32">
    <w:name w:val="纯文本 Char"/>
    <w:basedOn w:val="24"/>
    <w:link w:val="16"/>
    <w:qFormat/>
    <w:uiPriority w:val="0"/>
    <w:rPr>
      <w:rFonts w:hint="eastAsia" w:ascii="宋体" w:hAnsi="宋体" w:eastAsia="宋体" w:cs="宋体"/>
      <w:szCs w:val="21"/>
    </w:rPr>
  </w:style>
  <w:style w:type="character" w:customStyle="1" w:styleId="33">
    <w:name w:val="页脚 Char"/>
    <w:basedOn w:val="24"/>
    <w:link w:val="18"/>
    <w:qFormat/>
    <w:uiPriority w:val="0"/>
    <w:rPr>
      <w:rFonts w:hint="default" w:ascii="Times New Roman" w:hAnsi="Times New Roman" w:eastAsia="宋体" w:cs="Times New Roman"/>
      <w:color w:val="000000"/>
      <w:kern w:val="0"/>
      <w:sz w:val="18"/>
      <w:szCs w:val="18"/>
      <w:u w:color="000000"/>
    </w:rPr>
  </w:style>
  <w:style w:type="paragraph" w:customStyle="1" w:styleId="34">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5">
    <w:name w:val="List Paragraph"/>
    <w:basedOn w:val="1"/>
    <w:qFormat/>
    <w:uiPriority w:val="0"/>
    <w:pPr>
      <w:widowControl w:val="0"/>
      <w:spacing w:line="240" w:lineRule="auto"/>
      <w:ind w:firstLine="200" w:firstLineChars="200"/>
      <w:textAlignment w:val="auto"/>
    </w:pPr>
    <w:rPr>
      <w:u w:val="none" w:color="000000"/>
    </w:rPr>
  </w:style>
  <w:style w:type="character" w:customStyle="1" w:styleId="36">
    <w:name w:val="NormalCharacter"/>
    <w:semiHidden/>
    <w:qFormat/>
    <w:uiPriority w:val="0"/>
  </w:style>
  <w:style w:type="paragraph" w:customStyle="1" w:styleId="37">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8">
    <w:name w:val="font51"/>
    <w:basedOn w:val="24"/>
    <w:qFormat/>
    <w:uiPriority w:val="0"/>
    <w:rPr>
      <w:rFonts w:hint="eastAsia" w:ascii="宋体" w:hAnsi="宋体" w:eastAsia="宋体" w:cs="宋体"/>
      <w:color w:val="000000"/>
      <w:sz w:val="22"/>
      <w:szCs w:val="22"/>
      <w:u w:val="none"/>
    </w:rPr>
  </w:style>
  <w:style w:type="character" w:customStyle="1" w:styleId="39">
    <w:name w:val="font31"/>
    <w:basedOn w:val="24"/>
    <w:qFormat/>
    <w:uiPriority w:val="0"/>
    <w:rPr>
      <w:rFonts w:hint="default" w:ascii="Times New Roman" w:hAnsi="Times New Roman" w:cs="Times New Roman"/>
      <w:color w:val="000000"/>
      <w:sz w:val="22"/>
      <w:szCs w:val="22"/>
      <w:u w:val="none"/>
    </w:rPr>
  </w:style>
  <w:style w:type="character" w:customStyle="1" w:styleId="40">
    <w:name w:val="font61"/>
    <w:basedOn w:val="24"/>
    <w:qFormat/>
    <w:uiPriority w:val="0"/>
    <w:rPr>
      <w:rFonts w:hint="default" w:ascii="Times New Roman" w:hAnsi="Times New Roman" w:cs="Times New Roman"/>
      <w:color w:val="000000"/>
      <w:sz w:val="21"/>
      <w:szCs w:val="21"/>
      <w:u w:val="none"/>
    </w:rPr>
  </w:style>
  <w:style w:type="character" w:customStyle="1" w:styleId="41">
    <w:name w:val="font71"/>
    <w:basedOn w:val="24"/>
    <w:qFormat/>
    <w:uiPriority w:val="0"/>
    <w:rPr>
      <w:rFonts w:hint="eastAsia" w:ascii="宋体" w:hAnsi="宋体" w:eastAsia="宋体" w:cs="宋体"/>
      <w:color w:val="000000"/>
      <w:sz w:val="21"/>
      <w:szCs w:val="21"/>
      <w:u w:val="none"/>
    </w:rPr>
  </w:style>
  <w:style w:type="character" w:customStyle="1" w:styleId="42">
    <w:name w:val="font01"/>
    <w:basedOn w:val="24"/>
    <w:qFormat/>
    <w:uiPriority w:val="0"/>
    <w:rPr>
      <w:rFonts w:hint="eastAsia" w:ascii="宋体" w:hAnsi="宋体" w:eastAsia="宋体" w:cs="宋体"/>
      <w:color w:val="000000"/>
      <w:sz w:val="22"/>
      <w:szCs w:val="22"/>
      <w:u w:val="none"/>
    </w:rPr>
  </w:style>
  <w:style w:type="paragraph" w:customStyle="1" w:styleId="43">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4">
    <w:name w:val="正文 New"/>
    <w:next w:val="45"/>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45">
    <w:name w:val="正文缩进1"/>
    <w:basedOn w:val="1"/>
    <w:next w:val="11"/>
    <w:qFormat/>
    <w:uiPriority w:val="0"/>
    <w:pPr>
      <w:spacing w:line="360" w:lineRule="atLeast"/>
      <w:ind w:firstLine="482"/>
    </w:pPr>
    <w:rPr>
      <w:sz w:val="24"/>
    </w:rPr>
  </w:style>
  <w:style w:type="paragraph" w:styleId="46">
    <w:name w:val="No Spacing"/>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25023</Words>
  <Characters>26509</Characters>
  <Lines>0</Lines>
  <Paragraphs>0</Paragraphs>
  <TotalTime>13</TotalTime>
  <ScaleCrop>false</ScaleCrop>
  <LinksUpToDate>false</LinksUpToDate>
  <CharactersWithSpaces>28771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2023-03-23T03:29:09Z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6D9A791FE09F4AF69DC46F4A104A7358</vt:lpwstr>
  </property>
</Properties>
</file>