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2023年滁宁城际铁路办公劳保用品采购项目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pStyle w:val="2"/>
        <w:rPr>
          <w:rFonts w:hint="eastAsia"/>
          <w:lang w:val="en-US" w:eastAsia="zh-CN"/>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highlight w:val="none"/>
          <w:u w:color="000000"/>
          <w:lang w:val="en-US" w:eastAsia="zh-CN" w:bidi="ar"/>
        </w:rPr>
        <w:t>第四章  评标办法…………………………………………………………………16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合同条款及格式…………………………………………………………33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第七章  投标文件格式……………………………………………………………40第八章  招标人、招标代理机构对本招标文件的确认…………………………48</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58430305"/>
      <w:bookmarkEnd w:id="6"/>
      <w:bookmarkStart w:id="7" w:name="_Toc28359079"/>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2023年滁宁城际铁路办公劳保用品采购项目的潜在投标人应在滁州市滁宁城际铁路开发建设有限公司网站（http://czctgs.cn/）获取招标文件，并于2023年3月29日15时00分（北京时间）前递交投标文件。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项目名称：2023年滁宁城际铁路办公劳保用品采购项目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项目预算金额：约299900.00元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299900.00元，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采购需求：2023年滁宁城际铁路办公劳保用品采购，详见《采购需求》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供货期：本项目按照招标人要求分批次供货，自接到招标人订货通知起30个日历天内完成该批次供货。</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具有独立的法人资格且具有相应供货服务能力。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2023年3月21日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2023年3月29日</w:t>
      </w:r>
    </w:p>
    <w:p>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58430308"/>
      <w:bookmarkEnd w:id="10"/>
      <w:bookmarkStart w:id="11" w:name="_Toc35393793"/>
      <w:bookmarkEnd w:id="11"/>
      <w:bookmarkStart w:id="12" w:name="_Toc28359082"/>
      <w:bookmarkEnd w:id="12"/>
      <w:bookmarkStart w:id="13" w:name="_Toc28359005"/>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2023年3月29日15时00分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2023年滁宁城际铁路办公劳保用品采购项目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约</w:t>
            </w:r>
            <w:r>
              <w:rPr>
                <w:rFonts w:hint="eastAsia" w:cs="宋体"/>
                <w:bCs/>
                <w:color w:val="000000"/>
                <w:szCs w:val="21"/>
                <w:highlight w:val="none"/>
                <w:lang w:val="en-US" w:eastAsia="zh-CN"/>
              </w:rPr>
              <w:t>299900.00元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299900.00元</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2</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2023年2月27日17时后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29</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开标时间：2023年3月29日15时00分（北京时间）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cs="宋体"/>
                <w:color w:val="auto"/>
                <w:szCs w:val="21"/>
                <w:highlight w:val="none"/>
                <w:lang w:val="en-US" w:eastAsia="zh-CN"/>
              </w:rPr>
              <w:t>本项目按批次供货，每批次清单</w:t>
            </w:r>
            <w:r>
              <w:rPr>
                <w:rFonts w:hint="eastAsia" w:ascii="宋体" w:hAnsi="宋体" w:cs="宋体"/>
                <w:color w:val="auto"/>
                <w:szCs w:val="21"/>
                <w:highlight w:val="none"/>
              </w:rPr>
              <w:t>供货完毕</w:t>
            </w:r>
            <w:r>
              <w:rPr>
                <w:rFonts w:hint="eastAsia" w:ascii="宋体" w:hAnsi="宋体" w:cs="宋体"/>
                <w:color w:val="auto"/>
                <w:szCs w:val="21"/>
                <w:highlight w:val="none"/>
                <w:lang w:val="en-US" w:eastAsia="zh-CN"/>
              </w:rPr>
              <w:t>且</w:t>
            </w:r>
            <w:r>
              <w:rPr>
                <w:rFonts w:hint="eastAsia" w:ascii="宋体" w:hAnsi="宋体" w:cs="宋体"/>
                <w:color w:val="auto"/>
                <w:szCs w:val="21"/>
                <w:highlight w:val="none"/>
              </w:rPr>
              <w:t>经</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验收合格后，按实际发放</w:t>
            </w:r>
            <w:r>
              <w:rPr>
                <w:rFonts w:hint="eastAsia" w:ascii="宋体" w:hAnsi="宋体" w:cs="宋体"/>
                <w:color w:val="auto"/>
                <w:szCs w:val="21"/>
                <w:highlight w:val="none"/>
                <w:lang w:val="en-US" w:eastAsia="zh-CN"/>
              </w:rPr>
              <w:t>数量和中标综合单价</w:t>
            </w:r>
            <w:r>
              <w:rPr>
                <w:rFonts w:hint="eastAsia" w:ascii="宋体" w:hAnsi="宋体" w:cs="宋体"/>
                <w:color w:val="auto"/>
                <w:szCs w:val="21"/>
                <w:highlight w:val="none"/>
              </w:rPr>
              <w:t>结算，一次性付</w:t>
            </w:r>
            <w:r>
              <w:rPr>
                <w:rFonts w:hint="eastAsia" w:ascii="宋体" w:hAnsi="宋体" w:cs="宋体"/>
                <w:color w:val="auto"/>
                <w:szCs w:val="21"/>
                <w:highlight w:val="none"/>
                <w:lang w:val="en-US" w:eastAsia="zh-CN"/>
              </w:rPr>
              <w:t>清该批次结算价</w:t>
            </w:r>
            <w:r>
              <w:rPr>
                <w:rFonts w:hint="eastAsia" w:ascii="宋体" w:hAnsi="宋体" w:cs="宋体"/>
                <w:color w:val="auto"/>
                <w:szCs w:val="21"/>
                <w:highlight w:val="none"/>
              </w:rPr>
              <w:t>款</w:t>
            </w:r>
            <w:r>
              <w:rPr>
                <w:rFonts w:hint="eastAsia" w:ascii="宋体" w:hAnsi="宋体" w:eastAsia="宋体" w:cs="宋体"/>
                <w:bCs/>
                <w:color w:val="auto"/>
                <w:kern w:val="2"/>
                <w:sz w:val="21"/>
                <w:szCs w:val="21"/>
                <w:highlight w:val="none"/>
                <w:u w:val="none" w:color="auto"/>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4、系统中提供的表格（或格式文件）与招标文件中不一致时，以招标文件中提供的为准；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5、按本款前述规定仍不能形成结论的，由招标人负责解释。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lang w:val="en-US" w:eastAsia="zh-CN"/>
              </w:rPr>
              <w:t>7、招标人将保留对中标人所提供的业绩等情况进行实地考察的权利，若考察发现有弄虚作假或发现工程存在质量等违约情形，将取消其中标资格，投标保证金不予退还，情节严重的提请相关部门对其进行处罚。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lang w:val="en-US" w:eastAsia="zh-CN"/>
              </w:rPr>
            </w:pPr>
            <w:r>
              <w:rPr>
                <w:rFonts w:hint="eastAsia"/>
                <w:lang w:val="en-US" w:eastAsia="zh-CN"/>
              </w:rPr>
              <w:t>8、本项目严禁非法转包，一经发现，招标人依法处理。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247513962"/>
      <w:bookmarkEnd w:id="22"/>
      <w:bookmarkStart w:id="23" w:name="_Toc144974507"/>
      <w:bookmarkEnd w:id="23"/>
      <w:bookmarkStart w:id="24" w:name="_Toc296602429"/>
      <w:bookmarkEnd w:id="24"/>
      <w:bookmarkStart w:id="25" w:name="_Toc152042315"/>
      <w:bookmarkEnd w:id="25"/>
      <w:bookmarkStart w:id="26" w:name="_Toc247527563"/>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numPr>
          <w:ilvl w:val="0"/>
          <w:numId w:val="1"/>
        </w:numPr>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装卸费、运输费、管理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bookmarkStart w:id="32" w:name="_Toc6570_WPSOffice_Level3"/>
      <w:bookmarkEnd w:id="32"/>
      <w:bookmarkStart w:id="33" w:name="_Toc26398"/>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47.1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lang w:val="en-US" w:eastAsia="zh-CN"/>
        </w:rPr>
        <w:t>1.</w:t>
      </w:r>
      <w:r>
        <w:rPr>
          <w:rFonts w:hint="eastAsia"/>
          <w:color w:val="000000"/>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noWrap w:val="0"/>
            <w:vAlign w:val="top"/>
          </w:tcPr>
          <w:p>
            <w:pPr>
              <w:keepNext w:val="0"/>
              <w:keepLines w:val="0"/>
              <w:suppressLineNumbers w:val="0"/>
              <w:spacing w:before="0" w:beforeAutospacing="0" w:after="0" w:afterAutospacing="0" w:line="360" w:lineRule="exact"/>
              <w:ind w:left="0" w:right="0"/>
              <w:rPr>
                <w:rFonts w:hint="eastAsia"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rPr>
      </w:pPr>
      <w:bookmarkStart w:id="44" w:name="_Toc506107320"/>
      <w:bookmarkStart w:id="45" w:name="_Toc60061492"/>
      <w:bookmarkStart w:id="46" w:name="_Toc15058909"/>
      <w:bookmarkStart w:id="47" w:name="_Toc95223395"/>
      <w:r>
        <w:rPr>
          <w:rFonts w:hint="eastAsia" w:ascii="Times New Roman" w:hAnsi="Times New Roman" w:eastAsia="宋体" w:cs="Times New Roman"/>
          <w:color w:val="000000"/>
        </w:rPr>
        <w:t>2.审查办法</w:t>
      </w:r>
      <w:bookmarkEnd w:id="44"/>
      <w:bookmarkEnd w:id="45"/>
      <w:bookmarkEnd w:id="46"/>
      <w:bookmarkEnd w:id="47"/>
    </w:p>
    <w:p>
      <w:pPr>
        <w:adjustRightInd w:val="0"/>
        <w:snapToGrid w:val="0"/>
        <w:spacing w:line="560" w:lineRule="exact"/>
        <w:jc w:val="left"/>
        <w:rPr>
          <w:rFonts w:hint="eastAsia" w:ascii="Times New Roman" w:hAnsi="Times New Roman" w:eastAsia="宋体" w:cs="Times New Roman"/>
          <w:color w:val="000000"/>
        </w:rPr>
      </w:pPr>
      <w:bookmarkStart w:id="48" w:name="_Toc15058910"/>
      <w:bookmarkStart w:id="49" w:name="_Toc60061493"/>
      <w:bookmarkStart w:id="50" w:name="_Toc506107321"/>
      <w:bookmarkStart w:id="51" w:name="_Toc324404868"/>
      <w:r>
        <w:rPr>
          <w:rFonts w:hint="eastAsia" w:ascii="Times New Roman" w:hAnsi="Times New Roman" w:eastAsia="宋体" w:cs="Times New Roman"/>
          <w:color w:val="000000"/>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rPr>
      </w:pPr>
      <w:bookmarkStart w:id="52" w:name="_Toc95223396"/>
      <w:r>
        <w:rPr>
          <w:rFonts w:hint="eastAsia" w:ascii="Times New Roman" w:hAnsi="Times New Roman" w:eastAsia="宋体" w:cs="Times New Roman"/>
          <w:color w:val="000000"/>
        </w:rPr>
        <w:t>3.资格审查委员会和审查标准</w:t>
      </w:r>
      <w:bookmarkEnd w:id="48"/>
      <w:bookmarkEnd w:id="49"/>
      <w:bookmarkEnd w:id="50"/>
      <w:bookmarkEnd w:id="51"/>
      <w:bookmarkEnd w:id="52"/>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（1）未</w:t>
      </w:r>
      <w:r>
        <w:rPr>
          <w:rFonts w:hint="eastAsia" w:ascii="Times New Roman" w:hAnsi="Times New Roman" w:eastAsia="宋体" w:cs="Times New Roman"/>
          <w:color w:val="000000"/>
          <w:lang w:val="en-US" w:eastAsia="zh-CN"/>
        </w:rPr>
        <w:t>发送</w:t>
      </w:r>
      <w:r>
        <w:rPr>
          <w:rFonts w:hint="eastAsia" w:ascii="Times New Roman" w:hAnsi="Times New Roman" w:eastAsia="宋体" w:cs="Times New Roman"/>
          <w:color w:val="000000"/>
        </w:rPr>
        <w:t>标书或电子标书经审查不合格；</w:t>
      </w:r>
    </w:p>
    <w:p>
      <w:pPr>
        <w:adjustRightInd w:val="0"/>
        <w:snapToGrid w:val="0"/>
        <w:spacing w:line="560" w:lineRule="exact"/>
        <w:jc w:val="left"/>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rPr>
        <w:t>（2）电子标书</w:t>
      </w:r>
      <w:r>
        <w:rPr>
          <w:rFonts w:hint="eastAsia" w:ascii="Times New Roman" w:hAnsi="Times New Roman" w:eastAsia="宋体" w:cs="Times New Roman"/>
          <w:color w:val="000000"/>
          <w:lang w:val="en-US" w:eastAsia="zh-CN"/>
        </w:rPr>
        <w:t>无法打开。</w:t>
      </w:r>
    </w:p>
    <w:p>
      <w:pPr>
        <w:adjustRightInd w:val="0"/>
        <w:snapToGrid w:val="0"/>
        <w:spacing w:line="560" w:lineRule="exact"/>
        <w:jc w:val="left"/>
        <w:rPr>
          <w:rFonts w:hint="eastAsia" w:ascii="Times New Roman" w:hAnsi="Times New Roman" w:eastAsia="宋体" w:cs="Times New Roman"/>
          <w:color w:val="000000"/>
        </w:rPr>
      </w:pPr>
      <w:bookmarkStart w:id="53" w:name="_Toc506107322"/>
      <w:bookmarkStart w:id="54" w:name="_Toc324404869"/>
      <w:bookmarkStart w:id="55" w:name="_Toc15058911"/>
      <w:bookmarkStart w:id="56" w:name="_Toc60061494"/>
      <w:bookmarkStart w:id="57" w:name="_Toc95223397"/>
      <w:r>
        <w:rPr>
          <w:rFonts w:hint="eastAsia" w:ascii="Times New Roman" w:hAnsi="Times New Roman" w:eastAsia="宋体" w:cs="Times New Roman"/>
          <w:color w:val="000000"/>
        </w:rPr>
        <w:t>4.审查结果</w:t>
      </w:r>
      <w:bookmarkEnd w:id="53"/>
      <w:bookmarkEnd w:id="54"/>
      <w:bookmarkEnd w:id="55"/>
      <w:bookmarkEnd w:id="56"/>
      <w:bookmarkEnd w:id="57"/>
    </w:p>
    <w:p>
      <w:pPr>
        <w:adjustRightInd w:val="0"/>
        <w:snapToGrid w:val="0"/>
        <w:spacing w:line="560" w:lineRule="exact"/>
        <w:jc w:val="left"/>
        <w:rPr>
          <w:rFonts w:hint="eastAsia" w:ascii="Times New Roman" w:hAnsi="Times New Roman" w:eastAsia="宋体" w:cs="Times New Roman"/>
          <w:color w:val="000000"/>
        </w:rPr>
      </w:pPr>
      <w:r>
        <w:rPr>
          <w:rFonts w:hint="eastAsia" w:ascii="Times New Roman" w:hAnsi="Times New Roman" w:eastAsia="宋体" w:cs="Times New Roman"/>
          <w:color w:val="000000"/>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2"/>
        <w:numPr>
          <w:ilvl w:val="0"/>
          <w:numId w:val="0"/>
        </w:numPr>
        <w:jc w:val="left"/>
        <w:rPr>
          <w:rFonts w:hint="default" w:eastAsia="宋体"/>
          <w:lang w:val="en-US" w:eastAsia="zh-CN"/>
        </w:rPr>
      </w:pPr>
      <w:bookmarkStart w:id="58" w:name="_Toc23254"/>
      <w:bookmarkEnd w:id="58"/>
      <w:r>
        <w:rPr>
          <w:rFonts w:hint="eastAsia"/>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267320058"/>
            <w:bookmarkStart w:id="60" w:name="_Toc58430318"/>
            <w:bookmarkStart w:id="61" w:name="_Toc362983802"/>
            <w:bookmarkStart w:id="62" w:name="_Toc449028878"/>
            <w:bookmarkStart w:id="63"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符合第</w:t>
            </w:r>
            <w:r>
              <w:rPr>
                <w:rFonts w:hint="eastAsia" w:ascii="宋体" w:hAnsi="宋体" w:cs="宋体"/>
                <w:color w:val="000000"/>
                <w:szCs w:val="21"/>
                <w:lang w:val="en-US" w:eastAsia="zh-CN"/>
              </w:rPr>
              <w:t>七</w:t>
            </w:r>
            <w:r>
              <w:rPr>
                <w:rFonts w:hint="eastAsia" w:ascii="宋体" w:hAnsi="宋体" w:cs="宋体"/>
                <w:color w:val="000000"/>
                <w:szCs w:val="21"/>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lang w:val="en-US" w:eastAsia="zh-CN"/>
              </w:rPr>
              <w:t>供货</w:t>
            </w:r>
            <w:r>
              <w:rPr>
                <w:rFonts w:hint="eastAsia" w:ascii="宋体" w:hAnsi="宋体" w:cs="宋体"/>
                <w:color w:val="000000"/>
                <w:szCs w:val="21"/>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rPr>
            </w:pPr>
            <w:r>
              <w:rPr>
                <w:rFonts w:hint="eastAsia" w:ascii="宋体" w:hAnsi="宋体" w:cs="宋体"/>
                <w:color w:val="000000"/>
                <w:szCs w:val="21"/>
              </w:rPr>
              <w:t>投标总价评审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lang w:eastAsia="zh-CN"/>
              </w:rPr>
            </w:pPr>
            <w:r>
              <w:rPr>
                <w:rFonts w:hint="eastAsia" w:ascii="宋体" w:hAnsi="宋体" w:cs="宋体"/>
                <w:color w:val="000000"/>
                <w:spacing w:val="-6"/>
                <w:szCs w:val="21"/>
              </w:rPr>
              <w:t>不得高于最高投标限价</w:t>
            </w:r>
            <w:r>
              <w:rPr>
                <w:rFonts w:hint="eastAsia" w:ascii="宋体" w:hAnsi="宋体" w:cs="宋体"/>
                <w:color w:val="000000"/>
                <w:spacing w:val="-6"/>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rPr>
            </w:pPr>
            <w:r>
              <w:rPr>
                <w:rFonts w:hint="eastAsia" w:ascii="宋体" w:hAnsi="宋体" w:cs="宋体"/>
                <w:color w:val="000000"/>
                <w:szCs w:val="21"/>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rPr>
            </w:pPr>
            <w:r>
              <w:rPr>
                <w:rFonts w:hint="eastAsia" w:ascii="宋体" w:cs="仿宋_GB2312"/>
                <w:color w:val="000000"/>
                <w:szCs w:val="21"/>
                <w:highlight w:val="none"/>
                <w:lang w:val="zh-CN"/>
              </w:rPr>
              <w:t>完全响应或优于招标文件要求。</w:t>
            </w:r>
          </w:p>
        </w:tc>
      </w:tr>
    </w:tbl>
    <w:p>
      <w:pPr>
        <w:spacing w:line="440" w:lineRule="exact"/>
        <w:ind w:firstLine="316" w:firstLineChars="150"/>
        <w:jc w:val="left"/>
        <w:rPr>
          <w:rFonts w:hint="default" w:ascii="宋体" w:eastAsia="宋体"/>
          <w:b/>
          <w:color w:val="000000"/>
          <w:szCs w:val="21"/>
          <w:highlight w:val="none"/>
          <w:lang w:val="en-US" w:eastAsia="zh-CN"/>
        </w:rPr>
      </w:pPr>
      <w:r>
        <w:rPr>
          <w:rFonts w:hint="eastAsia" w:ascii="宋体"/>
          <w:b/>
          <w:color w:val="000000"/>
          <w:szCs w:val="21"/>
          <w:highlight w:val="none"/>
        </w:rPr>
        <w:t xml:space="preserve"> 1. </w:t>
      </w:r>
      <w:r>
        <w:rPr>
          <w:rFonts w:hint="eastAsia" w:ascii="宋体"/>
          <w:b/>
          <w:color w:val="000000"/>
          <w:szCs w:val="21"/>
          <w:highlight w:val="none"/>
          <w:lang w:val="en-US" w:eastAsia="zh-CN"/>
        </w:rPr>
        <w:t>评标方法</w:t>
      </w:r>
    </w:p>
    <w:p>
      <w:pPr>
        <w:widowControl/>
        <w:adjustRightInd w:val="0"/>
        <w:snapToGrid w:val="0"/>
        <w:spacing w:line="560" w:lineRule="exact"/>
        <w:ind w:firstLine="420" w:firstLineChars="200"/>
        <w:jc w:val="left"/>
        <w:rPr>
          <w:rFonts w:hint="eastAsia" w:ascii="宋体" w:hAnsi="宋体" w:cs="宋体"/>
          <w:b/>
          <w:color w:val="000000"/>
          <w:kern w:val="0"/>
          <w:sz w:val="24"/>
          <w:highlight w:val="none"/>
        </w:rPr>
      </w:pPr>
      <w:r>
        <w:rPr>
          <w:rFonts w:hint="eastAsia" w:ascii="宋体"/>
          <w:color w:val="000000"/>
          <w:szCs w:val="21"/>
          <w:highlight w:val="none"/>
        </w:rPr>
        <w:t>1.1</w:t>
      </w:r>
      <w:r>
        <w:rPr>
          <w:rFonts w:hint="eastAsia" w:ascii="宋体"/>
          <w:b/>
          <w:color w:val="000000"/>
          <w:szCs w:val="21"/>
          <w:highlight w:val="none"/>
        </w:rPr>
        <w:t>本次评标采用最低评标价</w:t>
      </w:r>
      <w:r>
        <w:rPr>
          <w:rFonts w:ascii="宋体"/>
          <w:b/>
          <w:color w:val="000000"/>
          <w:szCs w:val="21"/>
          <w:highlight w:val="none"/>
        </w:rPr>
        <w:t>法</w:t>
      </w:r>
      <w:r>
        <w:rPr>
          <w:rFonts w:ascii="宋体"/>
          <w:color w:val="000000"/>
          <w:szCs w:val="21"/>
          <w:highlight w:val="none"/>
        </w:rPr>
        <w:t>，</w:t>
      </w:r>
      <w:r>
        <w:rPr>
          <w:rFonts w:hint="eastAsia" w:ascii="宋体" w:hAnsi="宋体" w:cs="宋体"/>
          <w:b/>
          <w:color w:val="000000"/>
          <w:szCs w:val="21"/>
        </w:rPr>
        <w:t>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lang w:val="en-US" w:eastAsia="zh-CN"/>
        </w:rPr>
        <w:t>2.1</w:t>
      </w:r>
      <w:r>
        <w:rPr>
          <w:rFonts w:hint="eastAsia" w:ascii="宋体" w:hAnsi="宋体" w:eastAsia="宋体" w:cs="宋体"/>
          <w:color w:val="000000"/>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rPr>
      </w:pPr>
      <w:r>
        <w:rPr>
          <w:rFonts w:hint="eastAsia" w:ascii="宋体" w:hAnsi="宋体" w:eastAsia="宋体" w:cs="宋体"/>
          <w:color w:val="000000"/>
          <w:lang w:val="en-US" w:eastAsia="zh-CN"/>
        </w:rPr>
        <w:t>2.2</w:t>
      </w:r>
      <w:r>
        <w:rPr>
          <w:rFonts w:hint="eastAsia" w:ascii="宋体" w:hAnsi="宋体" w:eastAsia="宋体" w:cs="宋体"/>
          <w:color w:val="000000"/>
        </w:rPr>
        <w:t>评标委员会应加</w:t>
      </w:r>
      <w:r>
        <w:rPr>
          <w:rFonts w:hint="eastAsia" w:ascii="Times New Roman" w:hAnsi="Times New Roman" w:eastAsia="宋体" w:cs="Times New Roman"/>
          <w:color w:val="000000"/>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评标先做准备工作，再进行</w:t>
      </w:r>
      <w:r>
        <w:rPr>
          <w:rFonts w:hint="eastAsia" w:ascii="宋体" w:hAnsi="宋体" w:eastAsia="宋体" w:cs="宋体"/>
          <w:color w:val="000000"/>
          <w:lang w:val="en-US" w:eastAsia="zh-CN"/>
        </w:rPr>
        <w:t>资格审查</w:t>
      </w:r>
      <w:r>
        <w:rPr>
          <w:rFonts w:hint="eastAsia" w:ascii="宋体" w:hAnsi="宋体" w:eastAsia="宋体" w:cs="宋体"/>
          <w:color w:val="000000"/>
        </w:rPr>
        <w:t>，然后进行</w:t>
      </w:r>
      <w:r>
        <w:rPr>
          <w:rFonts w:hint="eastAsia" w:ascii="宋体" w:hAnsi="宋体" w:eastAsia="宋体" w:cs="宋体"/>
          <w:color w:val="000000"/>
          <w:lang w:val="en-US" w:eastAsia="zh-CN"/>
        </w:rPr>
        <w:t>投标文件</w:t>
      </w:r>
      <w:r>
        <w:rPr>
          <w:rFonts w:hint="eastAsia" w:ascii="宋体" w:hAnsi="宋体" w:eastAsia="宋体" w:cs="宋体"/>
          <w:color w:val="000000"/>
        </w:rPr>
        <w:t>评审。</w:t>
      </w:r>
    </w:p>
    <w:p>
      <w:pPr>
        <w:spacing w:line="440" w:lineRule="exact"/>
        <w:ind w:firstLine="315" w:firstLineChars="150"/>
        <w:jc w:val="left"/>
        <w:rPr>
          <w:rFonts w:hint="eastAsia" w:ascii="宋体" w:hAnsi="宋体" w:eastAsia="宋体" w:cs="宋体"/>
          <w:color w:val="000000"/>
        </w:rPr>
      </w:pPr>
      <w:bookmarkStart w:id="64" w:name="_Toc95223402"/>
      <w:r>
        <w:rPr>
          <w:rFonts w:hint="eastAsia" w:ascii="宋体" w:hAnsi="宋体" w:eastAsia="宋体" w:cs="宋体"/>
          <w:color w:val="000000"/>
        </w:rPr>
        <w:t>3</w:t>
      </w:r>
      <w:r>
        <w:rPr>
          <w:rFonts w:hint="eastAsia" w:ascii="宋体" w:hAnsi="宋体" w:eastAsia="宋体" w:cs="宋体"/>
          <w:color w:val="000000"/>
          <w:lang w:eastAsia="zh-CN"/>
        </w:rPr>
        <w:t>.</w:t>
      </w:r>
      <w:r>
        <w:rPr>
          <w:rFonts w:hint="eastAsia" w:ascii="宋体" w:hAnsi="宋体" w:eastAsia="宋体" w:cs="宋体"/>
          <w:color w:val="000000"/>
          <w:lang w:val="en-US" w:eastAsia="zh-CN"/>
        </w:rPr>
        <w:t>1</w:t>
      </w:r>
      <w:r>
        <w:rPr>
          <w:rFonts w:hint="eastAsia" w:ascii="宋体" w:hAnsi="宋体" w:eastAsia="宋体" w:cs="宋体"/>
          <w:color w:val="000000"/>
        </w:rPr>
        <w:t>评标准备工作</w:t>
      </w:r>
      <w:bookmarkEnd w:id="64"/>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评标委员会熟悉评标工作情况：</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（1）阅读由招标人或者其委</w:t>
      </w:r>
      <w:bookmarkStart w:id="65" w:name="_Toc60061499"/>
      <w:bookmarkStart w:id="66" w:name="_Toc15058916"/>
      <w:r>
        <w:rPr>
          <w:rFonts w:hint="eastAsia" w:ascii="宋体" w:hAnsi="宋体" w:eastAsia="宋体" w:cs="宋体"/>
          <w:color w:val="000000"/>
        </w:rPr>
        <w:t>托的代理机构编</w:t>
      </w:r>
      <w:bookmarkEnd w:id="65"/>
      <w:bookmarkEnd w:id="66"/>
      <w:r>
        <w:rPr>
          <w:rFonts w:hint="eastAsia" w:ascii="宋体" w:hAnsi="宋体" w:eastAsia="宋体" w:cs="宋体"/>
          <w:color w:val="000000"/>
        </w:rPr>
        <w:t>制的招标项目情况材料。</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rPr>
      </w:pPr>
      <w:r>
        <w:rPr>
          <w:rFonts w:hint="eastAsia" w:ascii="宋体" w:hAnsi="宋体" w:eastAsia="宋体" w:cs="宋体"/>
          <w:color w:val="000000"/>
        </w:rPr>
        <w:t>（4）核对评标工作用表。</w:t>
      </w:r>
    </w:p>
    <w:p>
      <w:pPr>
        <w:spacing w:line="440" w:lineRule="exact"/>
        <w:ind w:firstLine="315" w:firstLineChars="150"/>
        <w:jc w:val="left"/>
        <w:rPr>
          <w:rFonts w:hint="eastAsia" w:ascii="宋体" w:hAnsi="宋体" w:eastAsia="宋体" w:cs="宋体"/>
          <w:color w:val="000000"/>
        </w:rPr>
      </w:pPr>
      <w:bookmarkStart w:id="67" w:name="_Toc60061500"/>
      <w:bookmarkStart w:id="68" w:name="_Toc15058917"/>
      <w:r>
        <w:rPr>
          <w:rFonts w:hint="eastAsia" w:ascii="宋体" w:hAnsi="宋体" w:eastAsia="宋体" w:cs="宋体"/>
          <w:color w:val="000000"/>
        </w:rPr>
        <w:t>3.</w:t>
      </w:r>
      <w:r>
        <w:rPr>
          <w:rFonts w:hint="eastAsia" w:ascii="宋体" w:hAnsi="宋体" w:eastAsia="宋体" w:cs="宋体"/>
          <w:color w:val="000000"/>
          <w:lang w:val="en-US" w:eastAsia="zh-CN"/>
        </w:rPr>
        <w:t>2</w:t>
      </w:r>
      <w:r>
        <w:rPr>
          <w:rFonts w:hint="eastAsia" w:ascii="宋体" w:hAnsi="宋体" w:eastAsia="宋体" w:cs="宋体"/>
          <w:color w:val="000000"/>
        </w:rPr>
        <w:t>推荐中标候</w:t>
      </w:r>
      <w:bookmarkEnd w:id="67"/>
      <w:bookmarkEnd w:id="68"/>
      <w:r>
        <w:rPr>
          <w:rFonts w:hint="eastAsia" w:ascii="宋体" w:hAnsi="宋体" w:eastAsia="宋体" w:cs="宋体"/>
          <w:color w:val="000000"/>
        </w:rPr>
        <w:t>选人</w:t>
      </w:r>
    </w:p>
    <w:p>
      <w:pPr>
        <w:spacing w:line="440" w:lineRule="exact"/>
        <w:ind w:firstLine="315" w:firstLineChars="150"/>
        <w:jc w:val="left"/>
        <w:rPr>
          <w:rFonts w:hint="eastAsia" w:ascii="宋体" w:hAnsi="宋体" w:cs="宋体"/>
          <w:color w:val="000000"/>
          <w:szCs w:val="21"/>
        </w:rPr>
      </w:pPr>
      <w:r>
        <w:rPr>
          <w:rFonts w:hint="eastAsia" w:ascii="宋体" w:hAnsi="宋体" w:cs="宋体"/>
          <w:color w:val="000000"/>
          <w:szCs w:val="21"/>
          <w:lang w:val="en-US" w:eastAsia="zh-CN"/>
        </w:rPr>
        <w:t>资格审查</w:t>
      </w:r>
      <w:r>
        <w:rPr>
          <w:rFonts w:hint="eastAsia" w:ascii="宋体" w:hAnsi="宋体" w:cs="宋体"/>
          <w:color w:val="000000"/>
          <w:szCs w:val="21"/>
        </w:rPr>
        <w:t>、</w:t>
      </w:r>
      <w:bookmarkStart w:id="69" w:name="_Toc60061501"/>
      <w:bookmarkStart w:id="70" w:name="_Toc15058918"/>
      <w:r>
        <w:rPr>
          <w:rFonts w:hint="eastAsia" w:ascii="宋体" w:hAnsi="宋体" w:cs="宋体"/>
          <w:color w:val="000000"/>
          <w:szCs w:val="21"/>
          <w:lang w:val="en-US" w:eastAsia="zh-CN"/>
        </w:rPr>
        <w:t>投标文件</w:t>
      </w:r>
      <w:r>
        <w:rPr>
          <w:rFonts w:hint="eastAsia" w:ascii="宋体" w:hAnsi="宋体" w:cs="宋体"/>
          <w:color w:val="000000"/>
          <w:szCs w:val="21"/>
        </w:rPr>
        <w:t>评审</w:t>
      </w:r>
      <w:bookmarkEnd w:id="69"/>
      <w:bookmarkEnd w:id="70"/>
      <w:r>
        <w:rPr>
          <w:rFonts w:hint="eastAsia" w:ascii="宋体" w:hAnsi="宋体" w:cs="宋体"/>
          <w:color w:val="000000"/>
          <w:szCs w:val="21"/>
        </w:rPr>
        <w:t>后，推荐中标候选人，并标明排序。</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pPr>
        <w:spacing w:line="440" w:lineRule="exact"/>
        <w:ind w:firstLine="315" w:firstLineChars="150"/>
        <w:jc w:val="left"/>
        <w:rPr>
          <w:rFonts w:hint="eastAsia" w:ascii="宋体" w:hAnsi="宋体" w:eastAsia="宋体" w:cs="宋体"/>
          <w:color w:val="000000"/>
          <w:szCs w:val="21"/>
        </w:rPr>
      </w:pPr>
      <w:bookmarkStart w:id="72" w:name="_Toc95223407"/>
      <w:r>
        <w:rPr>
          <w:rFonts w:hint="eastAsia" w:ascii="宋体" w:hAnsi="宋体" w:eastAsia="宋体" w:cs="宋体"/>
          <w:color w:val="000000"/>
          <w:szCs w:val="21"/>
        </w:rPr>
        <w:t>4.</w:t>
      </w:r>
      <w:r>
        <w:rPr>
          <w:rFonts w:hint="eastAsia" w:ascii="宋体" w:hAnsi="宋体" w:eastAsia="宋体" w:cs="宋体"/>
          <w:color w:val="000000"/>
          <w:szCs w:val="21"/>
          <w:lang w:val="en-US" w:eastAsia="zh-CN"/>
        </w:rPr>
        <w:t>1投标文件</w:t>
      </w:r>
      <w:r>
        <w:rPr>
          <w:rFonts w:hint="eastAsia" w:ascii="宋体" w:hAnsi="宋体" w:eastAsia="宋体" w:cs="宋体"/>
          <w:color w:val="000000"/>
          <w:szCs w:val="21"/>
        </w:rPr>
        <w:t>评审</w:t>
      </w:r>
      <w:bookmarkEnd w:id="72"/>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只有通过</w:t>
      </w:r>
      <w:r>
        <w:rPr>
          <w:rFonts w:hint="eastAsia" w:ascii="宋体" w:hAnsi="宋体" w:eastAsia="宋体" w:cs="宋体"/>
          <w:color w:val="000000"/>
          <w:szCs w:val="21"/>
          <w:lang w:val="en-US" w:eastAsia="zh-CN"/>
        </w:rPr>
        <w:t>资格审查</w:t>
      </w:r>
      <w:r>
        <w:rPr>
          <w:rFonts w:hint="eastAsia" w:ascii="宋体" w:hAnsi="宋体" w:eastAsia="宋体" w:cs="宋体"/>
          <w:color w:val="000000"/>
          <w:szCs w:val="21"/>
        </w:rPr>
        <w:t>的投标才能够进入本阶段评审。</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.1</w:t>
      </w:r>
      <w:bookmarkStart w:id="73" w:name="_Toc60061504"/>
      <w:bookmarkStart w:id="74" w:name="_Toc15058921"/>
      <w:r>
        <w:rPr>
          <w:rFonts w:hint="eastAsia" w:ascii="宋体" w:hAnsi="宋体" w:eastAsia="宋体" w:cs="宋体"/>
          <w:color w:val="000000"/>
          <w:szCs w:val="21"/>
        </w:rPr>
        <w:t>形式性评审标准：</w:t>
      </w:r>
      <w:bookmarkEnd w:id="73"/>
      <w:bookmarkEnd w:id="74"/>
      <w:r>
        <w:rPr>
          <w:rFonts w:hint="eastAsia" w:ascii="宋体" w:hAnsi="宋体" w:eastAsia="宋体" w:cs="宋体"/>
          <w:color w:val="000000"/>
          <w:szCs w:val="21"/>
        </w:rPr>
        <w:t>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.2响应性评审标准：见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rPr>
      </w:pPr>
      <w:r>
        <w:rPr>
          <w:rFonts w:hint="eastAsia" w:ascii="宋体" w:hAnsi="宋体" w:eastAsia="宋体" w:cs="宋体"/>
          <w:color w:val="000000"/>
          <w:szCs w:val="21"/>
        </w:rPr>
        <w:t>4.</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.3详细评审标准：见</w:t>
      </w:r>
      <w:r>
        <w:rPr>
          <w:rFonts w:hint="eastAsia" w:ascii="宋体" w:hAnsi="宋体" w:eastAsia="宋体" w:cs="宋体"/>
          <w:color w:val="000000"/>
          <w:szCs w:val="21"/>
          <w:lang w:val="en-US" w:eastAsia="zh-CN"/>
        </w:rPr>
        <w:t>报价</w:t>
      </w:r>
      <w:r>
        <w:rPr>
          <w:rFonts w:hint="eastAsia" w:ascii="宋体" w:hAnsi="宋体" w:eastAsia="宋体" w:cs="宋体"/>
          <w:color w:val="000000"/>
          <w:szCs w:val="21"/>
        </w:rPr>
        <w:t>评审表。</w:t>
      </w:r>
    </w:p>
    <w:bookmarkEnd w:id="59"/>
    <w:bookmarkEnd w:id="60"/>
    <w:bookmarkEnd w:id="61"/>
    <w:bookmarkEnd w:id="62"/>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3"/>
    <w:bookmarkEnd w:id="75"/>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本项目为2023年滁宁城际铁路办公劳保用品采购，所有产品均须符合相关国家标准。</w:t>
      </w:r>
    </w:p>
    <w:p>
      <w:pPr>
        <w:keepNext w:val="0"/>
        <w:keepLines w:val="0"/>
        <w:pageBreakBefore w:val="0"/>
        <w:numPr>
          <w:ilvl w:val="0"/>
          <w:numId w:val="5"/>
        </w:numPr>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采购清单</w:t>
      </w:r>
    </w:p>
    <w:tbl>
      <w:tblPr>
        <w:tblStyle w:val="20"/>
        <w:tblpPr w:leftFromText="180" w:rightFromText="180" w:vertAnchor="text" w:horzAnchor="page" w:tblpX="797" w:tblpY="860"/>
        <w:tblOverlap w:val="never"/>
        <w:tblW w:w="105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1273"/>
        <w:gridCol w:w="1814"/>
        <w:gridCol w:w="4952"/>
        <w:gridCol w:w="821"/>
        <w:gridCol w:w="1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27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物资编码</w:t>
            </w:r>
          </w:p>
        </w:tc>
        <w:tc>
          <w:tcPr>
            <w:tcW w:w="181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物资名称</w:t>
            </w:r>
          </w:p>
        </w:tc>
        <w:tc>
          <w:tcPr>
            <w:tcW w:w="49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82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BG0001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HB铅笔（办公）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硬度HB、木质六角杆、长度17厘米以上；参照或相当于中华牌101HB铅笔、晨光AWP30411HB铅笔、得力S9081HB铅笔或同档次及以上。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BG0002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圆珠笔（办公）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线幅0.7mm、书写顺滑、碳化钨或不锈钢球珠；参照或相当于得力6546、晨光优客ABP88402、齐心BP102R圆珠笔或同档次及以上。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BG0003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0.5mm签字笔（黑色）（办公）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Style w:val="35"/>
                <w:lang w:val="en-US" w:eastAsia="zh-CN" w:bidi="ar"/>
              </w:rPr>
              <w:t>按动式、有笔夹、线幅0.5mm、书写顺滑、碳化钨或不锈钢球珠、黑色；</w:t>
            </w:r>
            <w:r>
              <w:rPr>
                <w:rFonts w:hint="eastAsia" w:ascii="宋体" w:hAnsi="宋体" w:eastAsia="宋体" w:cs="宋体"/>
                <w:b/>
                <w:bCs/>
                <w:i w:val="0"/>
                <w:iCs w:val="0"/>
                <w:color w:val="000000"/>
                <w:kern w:val="0"/>
                <w:sz w:val="22"/>
                <w:szCs w:val="22"/>
                <w:u w:val="none"/>
                <w:lang w:val="en-US" w:eastAsia="zh-CN" w:bidi="ar"/>
              </w:rPr>
              <w:t>参照或相当于得力S01、晨光AGP87901、齐心K35或同档次及以上。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BG0005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白板笔（办公）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可擦、高级油墨、书写顺滑、含笔帽、笔幅2.8mm；参照或相当于得力6817、晨光AWMY2201、齐心WB701白板笔或同档次及以上。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BG0006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签字笔芯（办公）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线幅0.5mm、书写顺滑、碳化钨或不锈钢球珠、黑色，可同BG0003搭配使用；参照或相当于得力6906、晨光G-5、齐心R929或同档次及以上。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BG0007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红蓝铅笔（办公）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双色蜡芯或铅芯、长度176mm左右、横截面长度9毫米左右，木质六角笔杆，安全不易断。</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BG0008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纤维笔头、油性墨水、书写顺滑、三色可选、粗细双头；参照或相当于得力6824、晨光2130、齐心MK804油性记号笔或同档次及以上。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BG0011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文件夹(单)（办公）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PP材质、单夹；参照或相当于得力5301、晨光ADM95088、齐心A603单夹文件夹或同档次及以上。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BG0012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文件夹(30页)（办公）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PP材质、30页；参照或相当于得力5003、晨光ADM94526、齐心PF30AK文件夹或同档次及以上。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BG0013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文件夹(60页)（办公）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PP材质、60页；参照或相当于得力5005、晨光ADM94528、齐心PF60AK文件夹或同档次及以上。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BG0015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文件架（办公）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三联、PP材质；参照或相当于得力9845、晨光ADM94739、齐心B2173三联文件架或同档次及以上。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BG0016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快劳夹（办公）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规格：A4、3寸；参照或相当于得力5481、晨光ADM94746、齐心A106N快劳夹或同档次及以上。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BG0017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直尺（办公）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塑料直尺、测量范围：0~30cm、刻度精准；参照或相当于得力6230、晨光ARL96005、齐心B3203直尺或同档次及以上。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BG0018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易擦、易清理、柔韧；参照或相当于得力7536、晨光AXP96318、齐心B2551橡皮擦或同档次及以上。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拉杆夹（办公）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PP材质、A4；参照或相当于得力5538、晨光ADM94521、齐心Q310抽杆夹或同档次及以上。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按扣袋（办公）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PVC材质、A4；参照或相当于得力8313、晨光ADM94517、齐心C330按扣袋或同档次及以上。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拉边袋（办公）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PVC材质、A4；参照或相当于得力5654、晨光94506、齐心F56拉边袋或同档次及以上。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小网眼拉边袋（办公）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PVC材质、B6；参照或相当于得力、晨光、齐心或同档次及以上。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中网眼拉边袋（办公）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PVC材质、B6；参照或相当于得力、晨光、齐心或同档次及以上。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大网纹拉边袋（办公）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PVC材质、A4；参照或相当于得力、晨光、齐心或同档次及以上。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A4不干贴（办公）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规格：A4；参照或相当于创易CY6719、乐标YM、鑫腾达JAS-K160光面不干胶或同档次及以上。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口取纸（办公）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不干胶材质，一页多个，规格：10张以上/包。</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BG0029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电池(1#)（办公）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1.5V；参照或相当于双鹿、南孚、超霸一号电池或同档次及以上。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BG0030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纽扣电池（3.2mm）（办公）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3V；参照或相当于超霸、南孚、松下 CR2032纽扣电池或同档次及以上。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BG0031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书立（办公）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金属材质、烤漆、7寸、高170mm以上；参照或相当于得力9272、晨光ABS91707、齐心A1101书立或同档次及以上。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BG0032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电池(7#)（办公）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1.5V，碱性电池；参照或相当于双鹿、南孚、超霸或同档次及以上。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BG0034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A4垫纸板（办公）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规格：A4，PP材质；参照或相当于得力9353、晨光ADB98304、齐心A7774垫纸板或同档次及以上。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BG0037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卷笔刀（办公）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金属卷笔刀；参照或相当于得力0596、晨光APS91255、齐心0596金属卷笔刀或同档次及以上。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BG0038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美工刀（办公）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金属美工刀；参照或相当于得力2053、晨光APS91255、齐心B2806金属美工刀或同档次及以上。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BG0039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起钉器小（办公）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有安全锁锁定锐利尖端，尺寸55*21*31mm左右，适用开启24/6、26/6订书钉；参照或相当于得力0231、晨光ABS91635、齐心B3064起钉器或同档次及以上。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图钉（办公）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规格：100枚/盒；参照或相当于得力0020、晨光ABS92603、齐心B3537图钉或同档次及以上。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大订书针（办公）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规格：1000枚/盒，23/13，可订80页；参照或相当于得力0013、晨光ABS92625、齐心B3057或同档次及以上。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小订书针（办公）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规格：1000枚/盒，24/6，可订25页；参照或相当于得力0012、晨光ABS92616、齐心B3058小订书针或同档次及以上。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回形针（办公）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规格：28mm，100枚/盒；参照或相当于得力0018、晨光ABS91696、齐心B3500回形针或同档次及以上。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大头针（办公）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规格：24mm，50g/盒；参照或相当于得力0016、晨光ABS92602、齐心B3536大头针或同档次及以上。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海绵缸（办公）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透明、简易；参照或相当于得力9102、晨光ASC99301、齐心B2090海绵缸或同档次及以上。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小胶水（办公）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规格：35ml/瓶；参照或相当于得力7301、晨光MF-7001、齐心B2670小胶水或同档次及以上。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剪刀(小)（办公）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长约160mm；参照或相当于得力6034、晨光91334、齐心B2714办公剪刀或同档次及以上。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剪刀(大)（办公）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长约200mm；参照或相当于得力6010、晨光ASS91312、齐心B2717办公剪刀或同档次及以上。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BG0049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原子油（办公）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规格：10ml/瓶；参照或相当于得力9873、晨光AYZ97508、齐心B3712原子油或同档次及以上。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印台（办公）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红色圆形；参照或相当于得力9863、晨光AYZ97519、齐心B3748印台或同档次及以上。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印章垫子（办公）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180*130*4mm；参照或相当于得力9878、卓联2003、齐心B2265印章垫或同档次及以上。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告示贴（办公）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76*76mm，100张/本；参照或相当于得力7156、晨光YS-10、齐心D6002告示贴或同档次及以上。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A4板夹（办公）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规格：A4；参照或相当于得力9226、晨光ADM94510、齐心A724 A4板夹或同档次及以上。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白板擦（办公）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磁性白板擦；参照或相当于得力7840、晨光ASC99364、齐心BB7633白板擦或同档次及以上。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规格：100g/包；参照或相当于得力3215、晨光ASC99334、齐心B3514牛皮筋或同档次及以上。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磁条（办公）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20cm，磁力强劲均匀，表面附有刻度，可做白板磁尺用途。</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磁吸（办公）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30mm；参照或相当于得力8725、晨光ASC99366、齐心B2383磁吸或同档次及以上。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BG0059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软面抄（办公）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规格：A5，30页，胶钉式装订；参照或相当于青联A5、晨光M40、齐心C4502软面抄或同档次及以上。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小皮面笔记本（办公）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规格：仿皮封面，32K，80页；参照或相当于得力7902、晨光APY1AK78、三木1317小皮面笔记本或同档次及以上。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收发文登记本（办公）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规格：16K，50张/本；参照或相当于亚特兰16开、浩立信、盛泰ST-B-19收发文登记本或同档次及以上。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规格：180mm*10y，白色，单层厚度80μm。</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封箱带（办公）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规格：60mm*60y，透明。</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透明胶带（办公）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规格：12mm*30y。</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泡沫双面胶（办公）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规格：2.5mm*24mm*5y，白色。</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长尾夹51㎜（办公）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规格：51mm，黑色；参照或相当于得力、晨光、齐心或同档次及以上。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BG0069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长尾夹19㎜（办公）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规格：19mm，黑色；参照或相当于得力、晨光、齐心或同档次及以上。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BG0070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彩色长尾夹19mm（办公）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规格：19mm，彩色；参照或相当于得力、晨光、齐心或同档次及以上。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BG0071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长尾夹32mm（办公）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规格：32mm，彩色；参照或相当于得力、晨光、齐心或同档次及以上。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BG0072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长尾夹25mm（办公）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规格：25mm，彩色；参照或相当于得力、晨光、齐心或同档次及以上。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BG0085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白板60*90（办公）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规格：60*90cm；参照或相当于得力7844、晨光ADB98354、齐心BB7613白板或同档次及以上。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BG0088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接线板（办公）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规格：10A，6插位以上（两眼、三眼各三个以上），带开关，线长≥1.8m；参照或相当于公牛、航嘉Huntkey、飞利浦或同档次及以上。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BG0089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鼠标垫（办公）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规格：250*200*3mm，材质：橡胶，底部防滑。</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订书机（办公）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省力型；参照或相当于得力0371、齐心B3017N、晨光ABS92723或同档次及以上。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大订书机（办公）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可装订100页及以上；参照或相当于得力0399、晨光ABS92771、齐心B3061大订书机或同档次及以上。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函数计算器（办公）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12位函数计算器；参照或相当于得力D82ES、晨光ADG98110、齐心C83MS函数计算器或同档次及以上。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普通计算器（办公）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双电源，12位LCD显示屏；参照或相当于得力837ES、晨光ADG98837、齐心C-837C或同档次及以上。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档案盒（办公）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规格：A4，背厚5-5.5cm；参照或相当于得力5623、晨光ADM94814、齐心A1249档案盒或同档次及以上。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纸制档案袋（办公）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规格：240*340*30mm，牛皮纸档案袋；参照或相当于得力5953、晨光APYRA609-20、齐心AP-117或同档次及以上。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牛皮纸信封（办公）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规格：5号，220*110mm；参照或相当于得力3423、晨信、科星牛皮纸信封或同档次及以上。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BG0099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打孔器（办公）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二孔打孔器，金属材质，孔距80mm，孔径6mm，入孔深度：10mm；参照或相当于得力0104、晨光ABS92647、齐心B2915或同档次及以上。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BG0101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席卡（办公）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V型亚克力桌牌，透明度高，尺寸约10*20cm，可以放置10*20cm内页；参照或相当于梦多福、晨光、正彩或同档次及以上。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BG0102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两面袋（办公）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规格：A4，透明PP材质；参照或相当于得力5706、晨光ADM94515、齐心E310或同档次及以上。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BG0109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卷尺（办公）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规格：5米，钢制；参照或相当于得力8206、晨光99108、齐心L1500卷尺或同档次及以上。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BG0110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激光笔（办公）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电源：可充电锂电池，电池容量≥300mAh，最大遥控距离：100m，PPT翻页、激光投影；参照或相当于得力2801、晨光ADG98927、齐心B1056激光笔或同档次及以上。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BG0121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电池9伏（办公）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规格：9V，碳性电池6F22；参照或相当于超霸、双鹿、南孚或同档次及以上。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BG0126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文件夹(双夹)（办公）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规格：A4，PP材质；参照或相当于得力5302、晨光94533、齐心A605双夹文件夹或同档次及以上。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BG0128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财务计算器（办公）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12位数大字显示器，可开根号财务计算器，自动双电源驱动，耐用塑胶按键，尺寸200*150*35mm左右，语音发声；参照或相当于信诺DN-6870、卡西欧GY120、得力1557或同档次及以上。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BG0131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标贴（办公）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规格：44*12mm，五色，5*20张/本；参照或相当于得力9060、晨光AS23O50702、齐心D7012荧光标贴或同档次及以上。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BG0132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百事贴（办公）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规格：76*19mm，四色，4*100张/本；参照或相当于得力7730、晨光YS138、齐心D6015百事贴或同档次及以上。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BG0141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印泥油（办公）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规格：10ml；参照或相当于得力9873、晨光97508、齐心B3712印泥油或同档次及以上。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BG0147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验钞机（办公）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智能语音，支持最新版人民币点验，每分钟点钞不低于700张，符合国标GB16999-2010，LED显示，6种以上鉴伪技术；参照或相当于康亿E788B、诺贝T16B类、得力3926智能银行点钞机或同档次及以上。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BG0151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钥匙柜（100位）（办公）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100位及以上；参照或相当于得力9326、杰丽斯8604、云广898-100钥匙柜或同档次及以上。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BG0169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签字笔（红色）（办公）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按动式、有笔夹、线幅0.7mm、书写顺滑、碳化钨或不锈钢球珠、红色；参照或相当于得力S01、晨光AGP87901、齐心K35或同档次及以上。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BG0170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牛皮纸信封（7号）（办公）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7号牛皮纸信封；参照或相当于得力3426、晨信、科星牛皮纸信封或同档次及以上。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BG0171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电池(5#)（办公）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5号，碱性电池；参照或相当于双鹿、南孚、超霸或同档次及以上。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BG0173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纽扣电池（2.5mm）（办公）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规格：CR2025 3V；参照或相当于超霸、双鹿、南孚或同档次及以上。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BG0191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橡皮筋(10斤装)（站务专用）</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黄色，直径5cm，宽度厚1.5mm，材质为天然橡胶，延展性好，不易断，10斤/包。</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BG0200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拉链袋（A4）（办公）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规格：A4；参照或相当于得力5841、晨光ADM94880、齐心A2154拉链袋或同档次及以上。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BG0201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拉链袋（A5）（办公）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规格：A5；参照或相当于得力5843、晨光ADM94899、齐心A2156拉链袋或同档次及以上。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BG0205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拉链袋（B5）（办公）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规格：B5；参照或相当于得力5842、晨光ADM94879、齐心A2155拉链袋或同档次及以上。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BG0209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装订夹（双孔）（办公）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两孔、金属材质、间距80mm；参照或相当于得力5549、创易、齐心B3749装订夹或同档次及以上。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BG0253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笔筒</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金属材质、多功能组合笔筒；参照或相当于齐心B2061/B2002/8902、得力9200、晨光ABT98404笔筒或同档次及以上。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BG0257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公文篮</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规格：324*240*85mm；参照或相当于得力929、齐心B2119、晨光ADM95083或同档次及以上。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BG0271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A4打印纸70g（办公）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规格：A4，克重：70g/㎡，500张/包；参照或相当于得力、齐心、达伯埃或同档次及以上。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BG0272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A3打印纸70g（办公）</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规格：A3，克重：70g/㎡，500张/包；参照或相当于得力、齐心、达伯埃或同档次及以上。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BG0276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干部人事档案盒（3.5厘米）</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符合中组部最新人事档案盒标准，内壳尺寸31*22.5cm，外壳尺寸31.5*22.5cm，脊背厚度3.5cm，牛皮纸，不锈钢三柱蛇簧夹。</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BG0291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干部人事档案盒（4.5厘米）</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符合中组部最新人事档案盒标准，内壳尺寸31*22.5cm，外壳尺寸31.5*22.5cm，脊背厚度4.5cm，牛皮纸，不锈钢三柱蛇簧夹。</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BG0292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职工档案袋</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无酸纸牛皮纸，尺寸33.5*22.5cm，厚度2cm，需看样定制。</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BG0326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A4彩色打印纸</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A4，80g，100张/包，混色（10色）。</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GH0026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一次性尿垫</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60*90cm，10片*2包。</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GH0070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婴儿换衣垫</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53*80cm。</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GH0071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斜插式国旗</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5号纳米防水国旗；尺寸：96*64cm，带PVC旗杆+PVC底座。</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GH0073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灯笼款式1</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尺寸：展开直径80cm，展开高度66cm，收起高度92cm，加粗钢管，双线加密流苏，pvc镀金盖，配S型铁挂钩，无字。</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GH0074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中国结</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中号，带流苏，无字无图案；总宽52cm；工艺：浮雕镀金；材质：高级绒布。</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GH0075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窗花</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直径：30cm，多种样式适合新年场景；材质：PE静电底质，大红植绒图案。</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GH0076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桌摆国旗</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银色，金属电镀材质，主杆33cm，圆形底座直径7cm；8号涤纶国旗，尺寸：21*14cm。</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GH0078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婴儿护理垫套</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83*55cm。</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GL0004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40尘推（管理）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40cm尘推、杆身不锈钢或铝合金材质、布套式；参照或相当于广州白云、鑫威特、欧思家或同档次及以上。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GL0009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不锈钢水瓶（管理）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2L鸭嘴不锈钢保温瓶，含1内胆；参照或相当于蓝宝、清水、红日牌  或同等档次品牌及以上。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GL0010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大垃圾桶（管理）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容量150L及以上、铁柄、加厚、全新料、蓝色、带盖提手、圆桶形、不易变形、不易腐蚀、高密度聚乙烯材质垃圾桶；重量5kg（±0.1kg）；参照或相当于羽佳150L、双峰160L、诗欧莱150L或同档次及以上。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GL0013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电风扇(落地扇)（管理）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摇头、遥控、塔式、低噪音，风力三档以上，功率36瓦及以上，静音无叶落地扇，立式塔扇。高106CM及以上；参照或相当于格力FL-09S61Bha、美的ZAC10BR、艾美特FT41R或同档次及以上。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GL0016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小推车(普通型)（管理）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橡胶轮胎或尼龙轮胎，静音耐磨，规格为50cm*80cm，载重150kg以上，材料为尼龙板，把手为金属，质量好；参照或相当于玲珑、上海鹏程、连和牌或同档次及以上。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GL0024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货架（管理）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组装货架，尺寸高2米，长1.5米，宽0.6米，4层，每层有板子，层板材料钢厚度0.5mm，每层承重至少150KG，角钢材质，防腐抗锈处理，横梁和立柱材料厚度约1mm，需免费安装。</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GL0031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小工具箱（管理）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家用五金工具套装组合工具箱、高强度材质、带手柄；件数≥16件；重量≥2KG；参照或相当于得力工具DL1016G、厚政HZ-610125A、宝工PK-2030五金工具套装或同档次及以上。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GL0032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医药箱（管理）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13寸铝合金医药箱，抗压、防潮、双层格局；参照或相当于剑云牌、双盛牌、苏宏牌或同档次及以上。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1"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GL0034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警戒绳（管理）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黄白相间LIMIT LINE字样盒装警示带，非一次性警示带、警戒线(可重复使用)，黄白相间，100米/卷，规格：5cmX100米；高密度涤纶布，字体有：警戒线 LIMIT LINE；盘状，盒式包装，盒体外印有凸型文字：**专用警戒带！</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GL0044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小铜锁（管理）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短梁，高35mm左右，宽25mm左右，独立钥匙，纯黄铜材质，盒装。</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GL0051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推雪铲（劳保）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长木柄全钢板加厚，钢板长56cm，宽29cm，厚约1mm，用途：冬天推雪，要求质量好，一体铲裤，锰钢淬火。</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GL0058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拖把桶（微力达）（管理）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高效拖把桶（12L以上）+拖把套装；参照或相当于微力达高效拖把桶+拖把套装、茶花1519拖把桶+拖把套装、艾妻双驱动旋转拖把桶+拖把套装或同档次及以上。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GL0071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录音笔（管理）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LED中文显示屏，16G及以上，录音时长50小时以上，A-B复读功能，远距降噪录音，黑色；参照或相当于纽曼PD61、联想B750、锐族K61或同档次及以上。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GL0074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钥匙盘（管理）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优质不锈钢板、防腐蚀耐磨、厚度1mm以上，椭圆形，边角圆滑不伤手，36位钥匙盘，钥匙牌带标签。</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GL0076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钥匙牌（管理）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24个以上、可书写、带钩或带环；参照或相当于得力9330、特沃、锦玛钥匙牌或同档次及以上。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GL0094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大白板架（管理）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可调式、全钢材质、可架起90*180cm大白板；参照或相当于得力7830、索顿90120、齐心BJ0101-X大白板架或同档次及以上。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GL0110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意见箱（管理）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带锁、可挂壁、防潮防水、结实耐用，尺寸约：250*120*330mm；参照或相当于齐心B2172、金隆兴F01、鑫福尼NO.G-A2011意见箱或同档次及以上。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GL0240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清洁拖把（管理）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规格：杆长110cm，拖把头长28cm，拖布材质：无纺布，不掉毛屑，强力吸水，金属杆，可悬挂；参照或相当于思高RB1、妙洁神奇拖把、微力达拖把或同档次及以上。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GL0247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扩音器（管理）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手持式喊话器，可录音充电，带外接话筒，可充电；参照或相当于西湖牌8S-4、雷公王CR-87、陆声EP50喊话器/扩音器或同档次及以上。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GL0249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塑料简凳（管理）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PP材质，高40cm以上，至少承重150kg，质量好，中方凳；参照或相当于茶花A0838P、博跃1098、菲尼奇简凳或同档次及以上。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GL0252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电水壶（1.7L）（管理）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1.7L或以上电热水壶、电烧水壶，自动断电；材质：304食品接触用不锈钢；参照或相当于美的17S18K2C、苏泊尔SWF17E18A、九阳K17-S66电水壶或同档次及以上。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GL0273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无线扩音器（管理）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无线主机，附话筒和发射器、电池连续使用3小时以上、最大输出功率35瓦以上；参照或相当于先科N-212、索爱S-518、十度S510无线扩音器或同档次及以上。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GL0295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电蚊拍（管理）</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可充电、三层电网、防过充自动断电保护电蚊拍；参照或相当于雅格YG-5621、久量、芭菲BF-201或同档次及以上。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GL0317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净水壶</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PP食品级材质，多层过滤，有效减少重金属、水垢及杂质，有上盖，总容积2L以上；参照或相当于德国碧然德、飞利浦、意大利莱卡或同档次及以上。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GL0318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净水壶滤芯</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与GL0317净水壶配套滤芯，多层过滤，使用寿命三个月以上。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LB0001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透明皂（劳保）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天然椰子油，透明皂100-150克，去污效果好；参照或相当于雕牌、隆力奇、立白透明洗衣皂或同档次及以上。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LB0002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简装抽纸（劳保）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抽取式面巾纸，无香，120抽以上/包，3层以上，180mm*130mm以上；参照或相当于洁柔FACE天然无香抽纸、心相印DT32120茶语抽纸、清风原木抽纸或同档次及以上。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LB0003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卷纸（劳保）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纸张规格：四层，100mm×138mm以上，270段/卷以上，140克/卷以上；参照或相当于清风、洁柔、维达卷纸或同档次及以上。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LB0006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帆布手套（劳保）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4*4，白甲全衬24线，双层全棉，加厚加衬；参照或相当于固一、三帆、安工或同档次及以上。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LB0007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胶手套（劳保）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高级乳胶手套，加厚耐酸碱，中号，环保材质，长度：28-32CM，非拼接；参照或相当于牛牌、守卫安、洁明雅或同等档次及以上。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LB0008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纱手套（劳保）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棉纱手套、A级棉，螺纹口彩色边，60g/付，外部不应有线头裸露，每股8至10针，中指长度7.5cm（±0.5cm），每副手套尺码一致，橡胶线白色；参照或相当于巧手牌、运腾、新丰或同等档次及以上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LB0009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无捻提缎面巾，约34cm×70cm，一等品，吸水性：5s-10s，加厚，120g以上，一等品；参照或相当于金号毛巾GA1020、孚日洁玉FR03-092-1、双灯3009或同档次及以上。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LB0012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杀虫剂（劳保）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600ml/瓶，气雾杀虫剂，按压式；参照或相当于全无敌、雷达、枪手杀虫气雾剂或同档次及以上。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LB0014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84消毒液（劳保）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450-500ml/瓶，除菌除臭漂白功能；参照或相当于红石牌、威猛先生、爱特福或同档次及以上。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LB0015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塑料盆（劳保）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PP材质，新料，加厚，尺寸不低于35cm(直径)×13cm（高）；参照或相当于茶花、清清玉露、宅一起或同档次及以上。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LB0016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洁厕灵（劳保）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500ml/瓶，除臭、除垢；参照或相当于蓝月亮、威猛先生、爱特福洁厕灵或同档次及以上。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LB0017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洗衣粉（劳保）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260g/包，速溶、高效、无磷、去渍、去油洗衣粉；参照或相当于白猫威煌洗衣粉260g清新柚子香型、汰渍洗衣粉260g去渍、加佳低泡加酶洗衣粉或同档次及以上。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LB0018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白毛巾（劳保）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70%棉，尺寸不低于35cm×75cm，重量不低于80g；参照或相当于思晴、欧旭毛巾厂、尊客或同档次及以上。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LB0019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洗洁精（劳保）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去污、去油渍、不伤手、易冲洗、无磷洗洁精，450ml/瓶以上；参照或相当于加佳高效柠檬洗洁精、雕牌洗洁精、白猫洗洁精或同档次及以上。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LB0021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蚊香（劳保）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无烟型、大盘，清新怡人、持久灭蚊、每盒10盘以上；参照或相当于全无敌、雷达、枪手蚊香或同档次及以上。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LB0022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电热蚊香片（带加热器）</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无味、无灰、无明火；60片/盒，带加热器；参照或相当于超威、枪手、雷达电热电热蚊香片或同档次及以上。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LB0024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簸箕（劳保）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新料、PP材质、带柄、带扣、簸箕（不含扫把），簸箕尺寸：斗宽约25cm、斗高约25cm、柄长约80cm；参照或相当于金燕、双虎、午马或同等档次品牌及以上。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LB0025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塑料扫把（劳保）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新料PP材质，普通扫把，可拆卸，刷毛长约8cm，柄长约60cm；参照或相当于茶花、英派、新华或同等档次品牌及以上。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LB0026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拖把（劳保）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全棉布条，桉木木柄规格，总长约135CM，把长约105CM，布长约30CM，双道铁丝加固，经久耐用，质量要好，不掉布条，吸水性好，易清洗。</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LB0027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塑料水桶（劳保）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新料，PP材质，加厚，尺寸约30cm（直径）×25cm（高度），带把手，结实耐用、抗压耐摔；参照或相当于茶花0210、居家家、龙士达水桶或同档次及以上。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LB0028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洗手液(瓶)（劳保）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500g/瓶，抑菌、爽肤、温和不刺激；参照或相当于蓝月亮、威露士、滴露洗手液或同档次及以上。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LB0035</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矿泉水（农夫山泉）（劳保）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24瓶/箱；每瓶容量不低于330ML；参照或相当于农夫山泉380ml、雀巢深泉天然矿泉水330ml、怡宝矿泉水350ml或同档次及以上。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LB0040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长统胶靴（劳保）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鞋帮高度：高筒（普通雨靴），橡胶材质， 全棉衬布，防滑耐磨，遇冷不变硬，抗酸碱加厚黄色牛筋底。</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LB0048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一次性PE手套，加厚型，材质：PE 不含任何天然乳胶成份，100只/包；参照或相当于惠友、保卫康、华西或同等档次及以上。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LB0049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汗布手套（劳保）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全棉，白色，100%针织绵，无漏孔、无破损，防滑耐磨，抗酸碱，缝制均匀无脱线，无抽纱，重量15-35克/付。</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LB0054</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草垫（劳保）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80cm*50cm，加厚，厚1.5CM以及上，编织紧密，草编，不易松散。</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LB0059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抹布（劳保）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全绵，吸水性和吸油性好，长度60cm以上，不掉毛，不掉色，易清洗，重量≥50g，一等品。</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LB0062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驱蚊液（劳保）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喷雾式驱蚊液，驱蚊效果好，不伤皮肤，气味清新，每瓶100ML以上；参照或相当于六神、隆力奇、亚美或同档次及以上。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LB0066</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自粘勾（劳保）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自粘强力无痕挂勾，PVC+钢制挂钩，尺寸约7cm*7cm，承重5KG以上；参照或相当于茶花、妙高、双庆  或同等档次品牌及以上。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LB0070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大竹扫把（劳保）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竹柄扫把长约1.4m，扫把头宽约60-70cm且分支茂密，结实耐用、金属捆扎牢固不易松散。</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LB0077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一次性口罩（劳保）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50个/盒、三层以上、加厚抗菌、无纺布、防尘透气、展开后贴合脸部轮廓立体防护、符合医疗行业标准。</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LB0089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铁锹（劳保）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木柄、钢头、方头、锹头尺寸约25*30*40mm，全长约1.5-1.8米、重量1kg以上。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LB0098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套装雨衣（劳保）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分体式雨衣，面料190T涤塔夫，涂层PVC环保新料复核，内衬涤塔夫。倒插口袋，袖口可收紧，背后有反光荧光条，裤腰松紧带，型号：165-180；参照或相当于红豆牌、非洲豹、天堂或同等档次品牌及以上。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LB0099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大垃圾袋（劳保）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PE材质，新料，高强度加厚，宽90cm（周长为180cm），高110cm，无味，黑色，产品执行国家标准：GB/T24454-2009；参照或相当于鑫帮洁、优偌、洁明雅或同等档次及以上。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LB0131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纸篓（劳保）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新料PP材质网格纸篓、带压环、直径25cm以上、高25cm以上质量好；参照或相当于茶花、英派、新华或同等档次品牌及以上。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LB0141</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小垃圾袋（劳保）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50*60cm、每米克重9克以上、产品执行国家标准：GB/T24454-2009、PE材质、50只/包、厚实、不易破漏；参照或相当于鑫帮洁、优偌、洁明雅或同等档次及以上。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LB0178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小竹扫把（劳保）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通用型扫把，长1.2m以上，扫把头宽40cm以上且分支茂密，结实耐用、金属捆扎牢固不易松散。</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LB0213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推雪铲（劳保）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长木柄全钢板加厚，钢板长56cm，宽29cm，厚约1mm，用途：冬天推雪，要求质量好，一体铲裤，锰钢淬火。</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7"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LB0239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防滑垫（地胶板）（劳保）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耐磨加厚防水防滑地胶，PVC材料，耐磨无味，厚度约4mm，防滑垫正面皮革纹，反面防滑纹，中间为发泡层，有韧性；参照或相当于3G牌、宝丽美牌、3M牌或同等档次品牌及以上。</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LB0283</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一次性纸杯（340ML）（劳保）</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定制：印有单位LOGO，340ML，高11，下口直径5.3，上口直径8CM，材料：食品级木浆纸+食品级PE薄膜耐高温不渗漏，315白卡纸，50个/包。</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LB0292</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金属垃圾篓</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金属网面，上直径26cm，下直径21cm，高28cm，高温烤漆；黑色。</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LB0367</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布鞋（男冬款）</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黑色鞋帮，加绒内里，防滑耐磨橡胶鞋底。</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LB0368</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布鞋（女冬款）</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黑色鞋帮，加绒内里，防滑耐磨橡胶鞋底。</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LB0369</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布鞋（男夏款）</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黑色鞋帮，采用全棉布料，耐磨橡胶鞋底。</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4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127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LB0370</w:t>
            </w:r>
          </w:p>
        </w:tc>
        <w:tc>
          <w:tcPr>
            <w:tcW w:w="181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布鞋（女夏款）</w:t>
            </w:r>
          </w:p>
        </w:tc>
        <w:tc>
          <w:tcPr>
            <w:tcW w:w="49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黑色鞋帮，采用全棉布料，耐磨橡胶鞋底。</w:t>
            </w:r>
          </w:p>
        </w:tc>
        <w:tc>
          <w:tcPr>
            <w:tcW w:w="82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1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bl>
    <w:p>
      <w:pPr>
        <w:pStyle w:val="5"/>
        <w:ind w:left="0" w:leftChars="0" w:firstLine="0" w:firstLineChars="0"/>
        <w:jc w:val="both"/>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注：1、采购清单中的技术规格以及参照的品牌或型号、推荐品牌仅起说明作用，并没有任何限制性。投标人在投标过程中可以选用替代标准、品牌/型号，但这些替代要实质上满足或者优于采购清单的相关要求。</w:t>
      </w:r>
    </w:p>
    <w:p>
      <w:pPr>
        <w:pStyle w:val="5"/>
        <w:ind w:left="0" w:leftChars="0" w:firstLine="0" w:firstLineChars="0"/>
        <w:jc w:val="both"/>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2、采购清单</w:t>
      </w:r>
      <w:r>
        <w:rPr>
          <w:rFonts w:hint="eastAsia" w:ascii="宋体" w:hAnsi="宋体" w:eastAsia="宋体" w:cs="宋体"/>
          <w:b/>
          <w:bCs/>
          <w:color w:val="000000"/>
          <w:sz w:val="21"/>
          <w:szCs w:val="21"/>
          <w:highlight w:val="none"/>
          <w:lang w:val="zh-CN" w:eastAsia="zh-CN"/>
        </w:rPr>
        <w:t>数量为预估数量，实际采购数量以签订合同后招标人每次下达的《订货通知单》为准，</w:t>
      </w:r>
      <w:r>
        <w:rPr>
          <w:rFonts w:hint="eastAsia" w:ascii="宋体" w:hAnsi="宋体" w:eastAsia="宋体" w:cs="宋体"/>
          <w:b/>
          <w:bCs/>
          <w:color w:val="000000"/>
          <w:sz w:val="21"/>
          <w:szCs w:val="21"/>
          <w:highlight w:val="none"/>
          <w:lang w:val="en-US" w:eastAsia="zh-CN"/>
        </w:rPr>
        <w:t>并按实结算。</w:t>
      </w:r>
    </w:p>
    <w:p>
      <w:pPr>
        <w:pStyle w:val="5"/>
        <w:ind w:left="0" w:leftChars="0" w:firstLine="0" w:firstLineChars="0"/>
        <w:jc w:val="both"/>
        <w:rPr>
          <w:rFonts w:hint="eastAsia" w:ascii="宋体" w:hAnsi="宋体" w:eastAsia="宋体" w:cs="宋体"/>
          <w:b/>
          <w:bCs/>
          <w:color w:val="000000"/>
          <w:sz w:val="21"/>
          <w:szCs w:val="21"/>
          <w:highlight w:val="yellow"/>
          <w:lang w:val="en-US" w:eastAsia="zh-CN"/>
        </w:rPr>
      </w:pPr>
    </w:p>
    <w:p>
      <w:pPr>
        <w:pStyle w:val="2"/>
        <w:rPr>
          <w:rFonts w:hint="eastAsia"/>
          <w:lang w:val="en-US" w:eastAsia="zh-CN"/>
        </w:rPr>
      </w:pPr>
    </w:p>
    <w:p>
      <w:pPr>
        <w:rPr>
          <w:rFonts w:hint="eastAsia" w:ascii="宋体" w:hAnsi="Times New Roman" w:eastAsia="宋体" w:cs="Times New Roman"/>
          <w:b/>
          <w:bCs w:val="0"/>
          <w:color w:val="auto"/>
          <w:kern w:val="2"/>
          <w:sz w:val="32"/>
          <w:szCs w:val="32"/>
          <w:highlight w:val="none"/>
          <w:lang w:val="en-US" w:eastAsia="zh-CN" w:bidi="ar-SA"/>
        </w:rPr>
      </w:pPr>
      <w:bookmarkStart w:id="79" w:name="_Toc21484"/>
      <w:r>
        <w:rPr>
          <w:rFonts w:hint="eastAsia" w:ascii="宋体" w:hAnsi="Times New Roman" w:eastAsia="宋体" w:cs="Times New Roman"/>
          <w:b/>
          <w:bCs w:val="0"/>
          <w:color w:val="auto"/>
          <w:kern w:val="2"/>
          <w:sz w:val="32"/>
          <w:szCs w:val="32"/>
          <w:highlight w:val="none"/>
          <w:lang w:val="en-US" w:eastAsia="zh-CN" w:bidi="ar-SA"/>
        </w:rPr>
        <w:br w:type="page"/>
      </w:r>
    </w:p>
    <w:bookmarkEnd w:id="79"/>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pageBreakBefore w:val="0"/>
        <w:widowControl/>
        <w:numPr>
          <w:ilvl w:val="0"/>
          <w:numId w:val="6"/>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80"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80"/>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81" w:name="_Toc246996996"/>
      <w:bookmarkStart w:id="82" w:name="_Toc152045610"/>
      <w:bookmarkStart w:id="83" w:name="_Toc144974578"/>
      <w:bookmarkStart w:id="84" w:name="_Toc246996253"/>
      <w:bookmarkStart w:id="85" w:name="_Toc469495742"/>
      <w:bookmarkStart w:id="86" w:name="_Toc152042388"/>
      <w:bookmarkStart w:id="87" w:name="_Toc179632628"/>
      <w:bookmarkStart w:id="88" w:name="_Toc247085768"/>
      <w:bookmarkStart w:id="89" w:name="_Toc296602498"/>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90" w:name="_Toc23596"/>
      <w:r>
        <w:rPr>
          <w:rFonts w:hint="eastAsia" w:ascii="宋体" w:hAnsi="宋体" w:cs="宋体"/>
          <w:b/>
          <w:color w:val="auto"/>
          <w:sz w:val="30"/>
          <w:szCs w:val="30"/>
          <w:highlight w:val="none"/>
        </w:rPr>
        <w:t>二  合同条款</w:t>
      </w:r>
      <w:bookmarkEnd w:id="81"/>
      <w:bookmarkEnd w:id="82"/>
      <w:bookmarkEnd w:id="83"/>
      <w:bookmarkEnd w:id="84"/>
      <w:bookmarkEnd w:id="85"/>
      <w:bookmarkEnd w:id="86"/>
      <w:bookmarkEnd w:id="87"/>
      <w:bookmarkEnd w:id="88"/>
      <w:bookmarkEnd w:id="89"/>
      <w:bookmarkEnd w:id="90"/>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10"/>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0"/>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10"/>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10"/>
        <w:overflowPunct w:val="0"/>
        <w:spacing w:line="440" w:lineRule="exact"/>
        <w:ind w:firstLine="0"/>
        <w:jc w:val="left"/>
        <w:rPr>
          <w:rFonts w:hint="default" w:eastAsia="宋体"/>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17.履约保证金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宋体" w:hAnsi="宋体" w:cs="宋体"/>
          <w:color w:val="auto"/>
          <w:sz w:val="21"/>
          <w:szCs w:val="21"/>
          <w:highlight w:val="none"/>
          <w:u w:val="none" w:color="000000"/>
        </w:rPr>
        <w:t>(1)</w:t>
      </w:r>
      <w:r>
        <w:rPr>
          <w:rFonts w:hint="eastAsia" w:ascii="Times New Roman" w:hAnsi="Times New Roman" w:eastAsia="宋体" w:cs="Times New Roman"/>
          <w:highlight w:val="none"/>
        </w:rPr>
        <w:t>形式：</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lang w:val="en-US" w:eastAsia="zh-CN"/>
        </w:rPr>
      </w:pPr>
      <w:r>
        <w:rPr>
          <w:rFonts w:hint="eastAsia" w:ascii="Times New Roman" w:hAnsi="Times New Roman" w:eastAsia="宋体" w:cs="Times New Roman"/>
          <w:highlight w:val="none"/>
          <w:lang w:val="en-US" w:eastAsia="zh-CN"/>
        </w:rPr>
        <w:t>采用担保保</w:t>
      </w:r>
      <w:r>
        <w:rPr>
          <w:rFonts w:hint="eastAsia" w:ascii="宋体" w:hAnsi="宋体" w:cs="宋体"/>
          <w:color w:val="auto"/>
          <w:sz w:val="21"/>
          <w:szCs w:val="21"/>
          <w:highlight w:val="none"/>
          <w:u w:val="none" w:color="000000"/>
          <w:lang w:val="en-US" w:eastAsia="zh-CN"/>
        </w:rPr>
        <w:t>函、商业保险、第三方担保具体要求：须在本地的（滁州市）保险（或担保）公司或在本地（滁州市）的分支机构的保险公司（或担保公司）开具。保函或保险格式须经招标人认可。</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注：履约保函格式应按照《住房和城乡建设部关于印发工程保函示范文本的通知》（建市〔2021〕11号）执行。</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(2)如果卖方未能履行合同规定的任何义务，买方有权从履约保证金中取得补偿。</w:t>
      </w:r>
    </w:p>
    <w:p>
      <w:pPr>
        <w:pStyle w:val="10"/>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1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1" w:name="_Toc21573"/>
      <w:bookmarkEnd w:id="91"/>
      <w:bookmarkStart w:id="92"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2"/>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3" w:name="_Toc19336_WPSOffice_Level2"/>
      <w:bookmarkEnd w:id="93"/>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94" w:name="_Toc7180_WPSOffice_Level3"/>
      <w:bookmarkEnd w:id="94"/>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5" w:name="_Toc14710_WPSOffice_Level1"/>
      <w:bookmarkEnd w:id="95"/>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rPr>
      </w:pPr>
      <w:r>
        <w:rPr>
          <w:rFonts w:hint="eastAsia" w:ascii="宋体" w:hAnsi="Calibri" w:eastAsia="宋体" w:cs="宋体"/>
          <w:color w:val="000000"/>
          <w:kern w:val="0"/>
          <w:sz w:val="21"/>
          <w:szCs w:val="21"/>
          <w:highlight w:val="none"/>
          <w:u w:color="000000"/>
          <w:lang w:val="en-US" w:eastAsia="zh-CN" w:bidi="ar"/>
        </w:rPr>
        <w:t>（6）投标函（格式见附件）；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0"/>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bookmarkStart w:id="96" w:name="_Toc425084385"/>
      <w:bookmarkStart w:id="97" w:name="_Toc451384148"/>
      <w:r>
        <w:rPr>
          <w:rFonts w:hint="eastAsia" w:ascii="宋体" w:hAnsi="宋体"/>
          <w:color w:val="000000"/>
          <w:szCs w:val="21"/>
        </w:rPr>
        <w:t>一、将遵循公</w:t>
      </w:r>
      <w:bookmarkStart w:id="98" w:name="_Toc506107356"/>
      <w:bookmarkStart w:id="99" w:name="_Toc503196197"/>
      <w:bookmarkStart w:id="100" w:name="_Toc26598"/>
      <w:r>
        <w:rPr>
          <w:rFonts w:hint="eastAsia" w:ascii="宋体" w:hAnsi="宋体"/>
          <w:color w:val="000000"/>
          <w:szCs w:val="21"/>
        </w:rPr>
        <w:t>开、公正和诚实信用</w:t>
      </w:r>
      <w:bookmarkEnd w:id="98"/>
      <w:bookmarkEnd w:id="99"/>
      <w:r>
        <w:rPr>
          <w:rFonts w:hint="eastAsia" w:ascii="宋体" w:hAnsi="宋体"/>
          <w:color w:val="000000"/>
          <w:szCs w:val="21"/>
        </w:rPr>
        <w:t>的</w:t>
      </w:r>
      <w:bookmarkEnd w:id="100"/>
      <w:r>
        <w:rPr>
          <w:rFonts w:hint="eastAsia" w:ascii="宋体" w:hAnsi="宋体"/>
          <w:color w:val="000000"/>
          <w:szCs w:val="21"/>
        </w:rPr>
        <w:t>原则自愿参加</w:t>
      </w:r>
      <w:r>
        <w:rPr>
          <w:rFonts w:hint="eastAsia" w:ascii="宋体" w:hAnsi="宋体"/>
          <w:color w:val="000000"/>
          <w:szCs w:val="21"/>
          <w:u w:val="single"/>
        </w:rPr>
        <w:t xml:space="preserve">                     （项目名称）</w:t>
      </w:r>
      <w:r>
        <w:rPr>
          <w:rFonts w:hint="eastAsia" w:ascii="宋体" w:hAnsi="宋体"/>
          <w:color w:val="000000"/>
          <w:szCs w:val="21"/>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rPr>
      </w:pPr>
      <w:r>
        <w:rPr>
          <w:rFonts w:hint="eastAsia" w:ascii="宋体" w:hAnsi="宋体"/>
          <w:color w:val="000000"/>
          <w:szCs w:val="21"/>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rPr>
      </w:pPr>
      <w:r>
        <w:rPr>
          <w:rFonts w:hint="eastAsia" w:ascii="宋体" w:hAnsi="宋体"/>
          <w:color w:val="000000"/>
          <w:szCs w:val="21"/>
        </w:rPr>
        <w:t>六、</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rPr>
      </w:pPr>
      <w:r>
        <w:rPr>
          <w:rFonts w:hint="eastAsia" w:ascii="宋体" w:hAnsi="宋体"/>
          <w:color w:val="000000"/>
          <w:szCs w:val="21"/>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lang w:eastAsia="zh-CN"/>
        </w:rPr>
      </w:pPr>
      <w:r>
        <w:rPr>
          <w:rFonts w:hint="eastAsia" w:ascii="宋体" w:hAnsi="宋体"/>
          <w:color w:val="000000"/>
          <w:szCs w:val="21"/>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xml:space="preserve"> 以上内容我已仔细阅读，本公司若有违反承诺内容的行为，自愿接受取消投标或者中标资格、记入不良行为记录、投标保证金不予退还等有关处理，愿意承担法律责任，给招标人造成损失的，承担赔偿责任。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rPr>
      </w:pPr>
      <w:r>
        <w:rPr>
          <w:rFonts w:hint="eastAsia" w:ascii="宋体" w:hAnsi="宋体" w:eastAsia="宋体" w:cs="Times New Roman"/>
          <w:color w:val="000000"/>
          <w:szCs w:val="21"/>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96"/>
    <w:bookmarkEnd w:id="97"/>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rPr>
        <w:t>根据你方招</w:t>
      </w:r>
      <w:bookmarkStart w:id="101" w:name="_Toc60061591"/>
      <w:r>
        <w:rPr>
          <w:rFonts w:hint="eastAsia" w:ascii="宋体" w:hAnsi="宋体" w:eastAsia="宋体" w:cs="宋体"/>
          <w:color w:val="000000"/>
          <w:sz w:val="24"/>
          <w:szCs w:val="24"/>
        </w:rPr>
        <w:t>标项目编号为</w:t>
      </w:r>
      <w:r>
        <w:rPr>
          <w:rFonts w:hint="eastAsia" w:ascii="宋体" w:hAnsi="宋体" w:eastAsia="宋体" w:cs="宋体"/>
          <w:color w:val="000000"/>
          <w:sz w:val="24"/>
          <w:szCs w:val="24"/>
          <w:u w:val="single"/>
        </w:rPr>
        <w:t xml:space="preserve">  </w:t>
      </w:r>
      <w:bookmarkEnd w:id="101"/>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的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lang w:val="en-US" w:eastAsia="zh-CN"/>
        </w:rPr>
        <w:t>采购</w:t>
      </w:r>
      <w:r>
        <w:rPr>
          <w:rFonts w:hint="eastAsia" w:ascii="宋体" w:hAnsi="宋体" w:eastAsia="宋体" w:cs="宋体"/>
          <w:color w:val="000000"/>
          <w:sz w:val="24"/>
          <w:szCs w:val="24"/>
        </w:rPr>
        <w:t>清单和其他有关文件后，我方愿以 （币种，金额、单位）</w:t>
      </w:r>
      <w:r>
        <w:rPr>
          <w:rFonts w:hint="eastAsia" w:ascii="宋体" w:hAnsi="宋体" w:eastAsia="宋体" w:cs="宋体"/>
          <w:color w:val="000000"/>
          <w:sz w:val="24"/>
          <w:szCs w:val="24"/>
          <w:u w:val="single"/>
        </w:rPr>
        <w:t xml:space="preserve"> 人民币           元</w:t>
      </w:r>
      <w:r>
        <w:rPr>
          <w:rFonts w:hint="eastAsia" w:ascii="宋体" w:hAnsi="宋体" w:eastAsia="宋体" w:cs="宋体"/>
          <w:color w:val="000000"/>
          <w:sz w:val="24"/>
          <w:szCs w:val="24"/>
        </w:rPr>
        <w:t>的投标总报价承包上述</w:t>
      </w:r>
      <w:r>
        <w:rPr>
          <w:rFonts w:hint="eastAsia" w:ascii="宋体" w:hAnsi="宋体" w:eastAsia="宋体" w:cs="宋体"/>
          <w:color w:val="000000"/>
          <w:sz w:val="24"/>
          <w:szCs w:val="24"/>
          <w:lang w:val="en-US" w:eastAsia="zh-CN"/>
        </w:rPr>
        <w:t>项目</w:t>
      </w:r>
      <w:r>
        <w:rPr>
          <w:rFonts w:hint="eastAsia" w:ascii="宋体" w:hAnsi="宋体" w:eastAsia="宋体" w:cs="宋体"/>
          <w:color w:val="000000"/>
          <w:sz w:val="24"/>
          <w:szCs w:val="24"/>
        </w:rPr>
        <w:t>，并承担任何质量缺陷保修责任。</w:t>
      </w:r>
    </w:p>
    <w:p>
      <w:pPr>
        <w:tabs>
          <w:tab w:val="left" w:pos="840"/>
        </w:tabs>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bookmarkStart w:id="103" w:name="_GoBack"/>
      <w:bookmarkEnd w:id="103"/>
      <w:r>
        <w:rPr>
          <w:rFonts w:hint="eastAsia" w:ascii="宋体" w:hAnsi="宋体" w:eastAsia="宋体" w:cs="宋体"/>
          <w:color w:val="000000"/>
          <w:sz w:val="24"/>
          <w:szCs w:val="24"/>
        </w:rPr>
        <w:t>我方已详细审核全部招标文件及有关附件，承诺招标文件及有关附件中所有条款。</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按照招标人要求分批次供货，自接到招标人订货通知起</w:t>
      </w:r>
      <w:r>
        <w:rPr>
          <w:rFonts w:hint="eastAsia" w:ascii="宋体" w:hAnsi="宋体" w:eastAsia="宋体" w:cs="宋体"/>
          <w:b w:val="0"/>
          <w:bCs w:val="0"/>
          <w:color w:val="000000"/>
          <w:kern w:val="0"/>
          <w:sz w:val="24"/>
          <w:szCs w:val="24"/>
          <w:highlight w:val="none"/>
          <w:u w:val="single" w:color="auto"/>
          <w:lang w:val="en-US" w:eastAsia="zh-CN" w:bidi="ar"/>
        </w:rPr>
        <w:t xml:space="preserve">            </w:t>
      </w:r>
      <w:r>
        <w:rPr>
          <w:rFonts w:hint="eastAsia" w:ascii="宋体" w:hAnsi="宋体" w:eastAsia="宋体" w:cs="宋体"/>
          <w:b w:val="0"/>
          <w:bCs w:val="0"/>
          <w:color w:val="000000"/>
          <w:kern w:val="0"/>
          <w:sz w:val="24"/>
          <w:szCs w:val="24"/>
          <w:highlight w:val="none"/>
          <w:u w:color="000000"/>
          <w:lang w:val="en-US" w:eastAsia="zh-CN" w:bidi="ar"/>
        </w:rPr>
        <w:t>个日历天内完成该批次供货。</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随本投标书，我方同时按照招标文件的要求提交投标保证金。如果我方在本投标书有效期内撤销投标书，或在招标文件规定时间内未能或拒绝签订合同书，或自行转标，贵单位有权不予退还投标保证金，并另选中标单位。</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5、如果我方中标我方将按照招标文件的规定提交履约担保。工程验收合格后，方可退还。</w:t>
      </w:r>
    </w:p>
    <w:p>
      <w:pPr>
        <w:spacing w:line="500" w:lineRule="exact"/>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6、我方承诺在招标文件规定的投标有效期内不撤销投标文件。</w:t>
      </w:r>
    </w:p>
    <w:p>
      <w:pPr>
        <w:spacing w:line="500" w:lineRule="exact"/>
        <w:ind w:firstLine="480" w:firstLineChars="200"/>
        <w:jc w:val="left"/>
        <w:rPr>
          <w:rFonts w:hint="eastAsia" w:ascii="宋体" w:hAnsi="宋体" w:eastAsia="宋体" w:cs="宋体"/>
          <w:sz w:val="24"/>
          <w:szCs w:val="24"/>
          <w:highlight w:val="none"/>
          <w:lang w:val="en-US"/>
        </w:rPr>
      </w:pPr>
      <w:r>
        <w:rPr>
          <w:rFonts w:hint="eastAsia" w:ascii="宋体" w:hAnsi="宋体" w:eastAsia="宋体" w:cs="宋体"/>
          <w:color w:val="000000"/>
          <w:sz w:val="24"/>
          <w:szCs w:val="24"/>
        </w:rPr>
        <w:t>7、我单位提供如下通讯地址：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电子邮箱（地址），确认本项目相关法律文书均通过提供的以上地址送达，相关文书只要发送至以上电子邮箱（地址）即视为送达，投标人愿意承担一切法律后果。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right="0"/>
        <w:jc w:val="both"/>
        <w:rPr>
          <w:rFonts w:hint="eastAsia" w:ascii="宋体" w:hAnsi="宋体" w:eastAsia="宋体" w:cs="宋体"/>
          <w:color w:val="000000"/>
          <w:kern w:val="0"/>
          <w:sz w:val="24"/>
          <w:szCs w:val="24"/>
          <w:highlight w:val="none"/>
          <w:u w:color="000000"/>
          <w:lang w:val="en-US" w:eastAsia="zh-CN" w:bidi="ar"/>
        </w:rPr>
      </w:pPr>
    </w:p>
    <w:p>
      <w:pPr>
        <w:keepNext w:val="0"/>
        <w:keepLines w:val="0"/>
        <w:widowControl/>
        <w:suppressLineNumbers w:val="0"/>
        <w:spacing w:before="0" w:beforeAutospacing="0" w:after="0" w:afterAutospacing="0" w:line="440" w:lineRule="exact"/>
        <w:ind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right="0"/>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177+178</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lang w:val="zh-CN"/>
        </w:rPr>
        <w:t>单价包括</w:t>
      </w:r>
      <w:r>
        <w:rPr>
          <w:rFonts w:hint="eastAsia" w:ascii="宋体" w:hAnsi="宋体" w:eastAsia="宋体" w:cs="宋体"/>
          <w:color w:val="000000"/>
          <w:szCs w:val="21"/>
          <w:highlight w:val="none"/>
          <w:lang w:val="en-US" w:eastAsia="zh-CN"/>
        </w:rPr>
        <w:t>完成本项目全部供货及服务的一切费用：</w:t>
      </w:r>
      <w:r>
        <w:rPr>
          <w:rFonts w:hint="eastAsia" w:ascii="宋体" w:hAnsi="Times New Roman" w:eastAsia="宋体" w:cs="Times New Roman"/>
          <w:color w:val="000000"/>
          <w:szCs w:val="21"/>
          <w:highlight w:val="none"/>
          <w:lang w:val="en-US" w:eastAsia="zh-CN"/>
        </w:rPr>
        <w:t>包括但不限于材料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color w:val="000000"/>
          <w:szCs w:val="21"/>
          <w:highlight w:val="none"/>
          <w:lang w:val="zh-CN"/>
        </w:rPr>
        <w:t>投</w:t>
      </w:r>
      <w:r>
        <w:rPr>
          <w:rFonts w:hint="eastAsia" w:ascii="宋体" w:hAnsi="Times New Roman" w:eastAsia="宋体" w:cs="Times New Roman"/>
          <w:color w:val="000000"/>
          <w:szCs w:val="21"/>
          <w:highlight w:val="none"/>
        </w:rPr>
        <w:t>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3.采购清单</w:t>
      </w:r>
      <w:r>
        <w:rPr>
          <w:rFonts w:hint="eastAsia" w:ascii="宋体" w:hAnsi="宋体" w:eastAsia="宋体" w:cs="宋体"/>
          <w:color w:val="000000"/>
          <w:szCs w:val="21"/>
          <w:highlight w:val="none"/>
          <w:lang w:val="zh-CN"/>
        </w:rPr>
        <w:t>数量为预估数量，实际采购数量以签订合同后招标人每次下达的《订货通知单》为准，</w:t>
      </w:r>
      <w:r>
        <w:rPr>
          <w:rFonts w:hint="eastAsia" w:ascii="宋体" w:hAnsi="宋体" w:eastAsia="宋体" w:cs="宋体"/>
          <w:color w:val="000000"/>
          <w:szCs w:val="21"/>
          <w:highlight w:val="none"/>
          <w:lang w:val="en-US" w:eastAsia="zh-CN"/>
        </w:rPr>
        <w:t>并按实结算。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102" w:name="_Toc6275_WPSOffice_Level1"/>
      <w:bookmarkEnd w:id="102"/>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2023年滁宁城际铁路办公劳保用品采购项目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385A4"/>
    <w:multiLevelType w:val="singleLevel"/>
    <w:tmpl w:val="DA1385A4"/>
    <w:lvl w:ilvl="0" w:tentative="0">
      <w:start w:val="2"/>
      <w:numFmt w:val="chineseCounting"/>
      <w:suff w:val="nothing"/>
      <w:lvlText w:val="%1、"/>
      <w:lvlJc w:val="left"/>
      <w:pPr>
        <w:ind w:left="-2"/>
      </w:pPr>
      <w:rPr>
        <w:rFonts w:hint="eastAsia"/>
      </w:rPr>
    </w:lvl>
  </w:abstractNum>
  <w:abstractNum w:abstractNumId="1">
    <w:nsid w:val="F2A3468D"/>
    <w:multiLevelType w:val="singleLevel"/>
    <w:tmpl w:val="F2A3468D"/>
    <w:lvl w:ilvl="0" w:tentative="0">
      <w:start w:val="19"/>
      <w:numFmt w:val="decimal"/>
      <w:suff w:val="space"/>
      <w:lvlText w:val="%1."/>
      <w:lvlJc w:val="left"/>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00000007"/>
    <w:multiLevelType w:val="singleLevel"/>
    <w:tmpl w:val="00000007"/>
    <w:lvl w:ilvl="0" w:tentative="0">
      <w:start w:val="1"/>
      <w:numFmt w:val="decimal"/>
      <w:suff w:val="nothing"/>
      <w:lvlText w:val="（%1）"/>
      <w:lvlJc w:val="left"/>
    </w:lvl>
  </w:abstractNum>
  <w:abstractNum w:abstractNumId="4">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181D5CA9"/>
    <w:multiLevelType w:val="singleLevel"/>
    <w:tmpl w:val="181D5CA9"/>
    <w:lvl w:ilvl="0" w:tentative="0">
      <w:start w:val="35"/>
      <w:numFmt w:val="decimal"/>
      <w:lvlText w:val="%1."/>
      <w:lvlJc w:val="left"/>
      <w:pPr>
        <w:tabs>
          <w:tab w:val="left" w:pos="312"/>
        </w:tabs>
      </w:pPr>
    </w:lvl>
  </w:abstractNum>
  <w:abstractNum w:abstractNumId="6">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6"/>
  </w:num>
  <w:num w:numId="3">
    <w:abstractNumId w:val="5"/>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FF501E"/>
    <w:rsid w:val="0CEF01A1"/>
    <w:rsid w:val="0EBB3464"/>
    <w:rsid w:val="0F5A3543"/>
    <w:rsid w:val="11273F56"/>
    <w:rsid w:val="12431559"/>
    <w:rsid w:val="14334ED5"/>
    <w:rsid w:val="162403C8"/>
    <w:rsid w:val="1A2C0203"/>
    <w:rsid w:val="1B0B6A26"/>
    <w:rsid w:val="1BE83977"/>
    <w:rsid w:val="1DD7722D"/>
    <w:rsid w:val="1E474369"/>
    <w:rsid w:val="1FBE5586"/>
    <w:rsid w:val="2035457B"/>
    <w:rsid w:val="204506D8"/>
    <w:rsid w:val="20F63292"/>
    <w:rsid w:val="21391D2B"/>
    <w:rsid w:val="21FC6157"/>
    <w:rsid w:val="222D5B93"/>
    <w:rsid w:val="27427F5F"/>
    <w:rsid w:val="287E4991"/>
    <w:rsid w:val="2E391725"/>
    <w:rsid w:val="379A4E56"/>
    <w:rsid w:val="3D7F110E"/>
    <w:rsid w:val="3D8B68BD"/>
    <w:rsid w:val="40585B1F"/>
    <w:rsid w:val="41C76417"/>
    <w:rsid w:val="42AB7679"/>
    <w:rsid w:val="440F4D94"/>
    <w:rsid w:val="44121234"/>
    <w:rsid w:val="47DC16A5"/>
    <w:rsid w:val="49560276"/>
    <w:rsid w:val="4B8A2C90"/>
    <w:rsid w:val="4C3857CB"/>
    <w:rsid w:val="4F522371"/>
    <w:rsid w:val="510E11AC"/>
    <w:rsid w:val="5523352E"/>
    <w:rsid w:val="5AB972A9"/>
    <w:rsid w:val="5AC41FE9"/>
    <w:rsid w:val="5D2B5019"/>
    <w:rsid w:val="5D7002D3"/>
    <w:rsid w:val="604D11B9"/>
    <w:rsid w:val="62C47C43"/>
    <w:rsid w:val="6509245E"/>
    <w:rsid w:val="668A652A"/>
    <w:rsid w:val="69954A88"/>
    <w:rsid w:val="6EA934B6"/>
    <w:rsid w:val="706E041E"/>
    <w:rsid w:val="75843174"/>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3"/>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qFormat/>
    <w:uiPriority w:val="39"/>
    <w:pPr>
      <w:ind w:left="1260"/>
      <w:jc w:val="left"/>
    </w:pPr>
    <w:rPr>
      <w:sz w:val="18"/>
      <w:szCs w:val="18"/>
    </w:rPr>
  </w:style>
  <w:style w:type="paragraph" w:styleId="10">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29"/>
    <w:qFormat/>
    <w:uiPriority w:val="0"/>
    <w:pPr>
      <w:tabs>
        <w:tab w:val="center" w:pos="4153"/>
        <w:tab w:val="right" w:pos="8306"/>
      </w:tabs>
      <w:snapToGrid w:val="0"/>
      <w:jc w:val="left"/>
    </w:pPr>
    <w:rPr>
      <w:sz w:val="18"/>
    </w:rPr>
  </w:style>
  <w:style w:type="paragraph" w:styleId="16">
    <w:name w:val="envelope return"/>
    <w:basedOn w:val="1"/>
    <w:next w:val="9"/>
    <w:qFormat/>
    <w:uiPriority w:val="0"/>
    <w:pPr>
      <w:snapToGrid w:val="0"/>
    </w:pPr>
    <w:rPr>
      <w:rFonts w:ascii="Arial" w:hAnsi="Arial"/>
    </w:rPr>
  </w:style>
  <w:style w:type="paragraph" w:styleId="17">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2"/>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2"/>
    <w:link w:val="14"/>
    <w:qFormat/>
    <w:uiPriority w:val="0"/>
    <w:rPr>
      <w:rFonts w:ascii="Arial" w:hAnsi="Arial" w:eastAsia="仿宋_GB2312" w:cs="Arial"/>
      <w:color w:val="000000"/>
      <w:sz w:val="32"/>
      <w:szCs w:val="32"/>
      <w:u w:color="000000"/>
    </w:rPr>
  </w:style>
  <w:style w:type="character" w:customStyle="1" w:styleId="26">
    <w:name w:val="标题 2 Char"/>
    <w:basedOn w:val="22"/>
    <w:link w:val="8"/>
    <w:qFormat/>
    <w:uiPriority w:val="0"/>
    <w:rPr>
      <w:rFonts w:hint="default" w:ascii="Times New Roman" w:hAnsi="Times New Roman" w:eastAsia="宋体" w:cs="Times New Roman"/>
      <w:kern w:val="0"/>
      <w:sz w:val="24"/>
      <w:szCs w:val="24"/>
    </w:rPr>
  </w:style>
  <w:style w:type="character" w:customStyle="1" w:styleId="27">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2"/>
    <w:link w:val="13"/>
    <w:qFormat/>
    <w:uiPriority w:val="0"/>
    <w:rPr>
      <w:rFonts w:hint="eastAsia" w:ascii="宋体" w:hAnsi="宋体" w:eastAsia="宋体" w:cs="宋体"/>
      <w:szCs w:val="21"/>
    </w:rPr>
  </w:style>
  <w:style w:type="character" w:customStyle="1" w:styleId="29">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font51"/>
    <w:basedOn w:val="22"/>
    <w:qFormat/>
    <w:uiPriority w:val="0"/>
    <w:rPr>
      <w:rFonts w:hint="eastAsia" w:ascii="宋体" w:hAnsi="宋体" w:eastAsia="宋体" w:cs="宋体"/>
      <w:color w:val="000000"/>
      <w:sz w:val="22"/>
      <w:szCs w:val="22"/>
      <w:u w:val="none"/>
    </w:rPr>
  </w:style>
  <w:style w:type="character" w:customStyle="1" w:styleId="35">
    <w:name w:val="font31"/>
    <w:basedOn w:val="22"/>
    <w:qFormat/>
    <w:uiPriority w:val="0"/>
    <w:rPr>
      <w:rFonts w:hint="default" w:ascii="Times New Roman" w:hAnsi="Times New Roman" w:cs="Times New Roman"/>
      <w:color w:val="000000"/>
      <w:sz w:val="22"/>
      <w:szCs w:val="22"/>
      <w:u w:val="none"/>
    </w:rPr>
  </w:style>
  <w:style w:type="character" w:customStyle="1" w:styleId="36">
    <w:name w:val="font61"/>
    <w:basedOn w:val="22"/>
    <w:qFormat/>
    <w:uiPriority w:val="0"/>
    <w:rPr>
      <w:rFonts w:hint="default" w:ascii="Times New Roman" w:hAnsi="Times New Roman" w:cs="Times New Roman"/>
      <w:color w:val="000000"/>
      <w:sz w:val="21"/>
      <w:szCs w:val="21"/>
      <w:u w:val="none"/>
    </w:rPr>
  </w:style>
  <w:style w:type="character" w:customStyle="1" w:styleId="37">
    <w:name w:val="font71"/>
    <w:basedOn w:val="22"/>
    <w:qFormat/>
    <w:uiPriority w:val="0"/>
    <w:rPr>
      <w:rFonts w:hint="eastAsia" w:ascii="宋体" w:hAnsi="宋体" w:eastAsia="宋体" w:cs="宋体"/>
      <w:color w:val="000000"/>
      <w:sz w:val="21"/>
      <w:szCs w:val="21"/>
      <w:u w:val="none"/>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eastAsia" w:ascii="宋体" w:hAnsi="宋体" w:eastAsia="宋体" w:cs="宋体"/>
      <w:color w:val="000000"/>
      <w:sz w:val="21"/>
      <w:szCs w:val="21"/>
      <w:u w:val="none"/>
    </w:rPr>
  </w:style>
  <w:style w:type="character" w:customStyle="1" w:styleId="40">
    <w:name w:val="font41"/>
    <w:basedOn w:val="22"/>
    <w:qFormat/>
    <w:uiPriority w:val="0"/>
    <w:rPr>
      <w:rFonts w:hint="default" w:ascii="Times New Roman" w:hAnsi="Times New Roman" w:cs="Times New Roman"/>
      <w:color w:val="000000"/>
      <w:sz w:val="22"/>
      <w:szCs w:val="22"/>
      <w:u w:val="none"/>
    </w:rPr>
  </w:style>
  <w:style w:type="paragraph" w:customStyle="1" w:styleId="41">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29521</Words>
  <Characters>34096</Characters>
  <Lines>0</Lines>
  <Paragraphs>0</Paragraphs>
  <TotalTime>0</TotalTime>
  <ScaleCrop>false</ScaleCrop>
  <LinksUpToDate>false</LinksUpToDate>
  <CharactersWithSpaces>36329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2023-03-20T09:58:26Z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6D9A791FE09F4AF69DC46F4A104A7358</vt:lpwstr>
  </property>
</Properties>
</file>