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default"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40"/>
          <w:szCs w:val="22"/>
          <w:highlight w:val="none"/>
          <w:u w:color="000000"/>
          <w:lang w:val="en-US" w:eastAsia="zh-CN" w:bidi="ar"/>
        </w:rPr>
        <w:t>2023年滁宁城际铁路办公自动化设备及耗材采购项目</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3</w:t>
      </w:r>
      <w:r>
        <w:rPr>
          <w:rFonts w:hint="eastAsia" w:ascii="宋体" w:hAnsi="宋体"/>
          <w:b/>
          <w:sz w:val="32"/>
          <w:highlight w:val="none"/>
          <w:u w:val="thick"/>
        </w:rPr>
        <w:t xml:space="preserve">月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jc w:val="center"/>
        <w:rPr>
          <w:rFonts w:hint="eastAsia" w:ascii="宋体" w:hAnsi="宋体" w:eastAsia="宋体" w:cs="宋体"/>
          <w:b/>
          <w:bCs w:val="0"/>
          <w:color w:val="000000"/>
          <w:kern w:val="0"/>
          <w:sz w:val="36"/>
          <w:szCs w:val="36"/>
          <w:highlight w:val="none"/>
          <w:u w:color="000000"/>
          <w:lang w:val="en-US" w:eastAsia="zh-CN" w:bidi="ar"/>
        </w:rPr>
      </w:pP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…………………………………………………………15</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highlight w:val="none"/>
          <w:u w:color="000000"/>
          <w:lang w:val="en-US" w:eastAsia="zh-CN" w:bidi="ar"/>
        </w:rPr>
        <w:t>第四章  评标办法…………………………………………………………………16</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采购需求…………………………………………………………………21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合同条款及格式…………………………………………………………25</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投标文件格式……………………………………………………………32</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招标人、招标代理机构对本招标文件的确认…………………………40</w:t>
      </w:r>
    </w:p>
    <w:p>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18"/>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02"/>
      <w:bookmarkEnd w:id="5"/>
      <w:bookmarkStart w:id="6" w:name="_Toc35393621"/>
      <w:bookmarkEnd w:id="6"/>
      <w:bookmarkStart w:id="7" w:name="_Toc58430305"/>
      <w:bookmarkEnd w:id="7"/>
      <w:bookmarkStart w:id="8" w:name="_Toc28359079"/>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2023年滁宁城际铁路办公自动化设备及耗材采购项目的潜在投标人应在滁州市滁宁城际铁路开发建设有限公司网站（http://czctgs.cn/）获取招标文件，并于2023年3月29日16时00分（北京时间）前递交投标文件。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项目名称：2023年滁宁城际铁路办公自动化设备及耗材采购项目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9"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项目预算金额：约100000.00元</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100000.00元，</w:t>
      </w:r>
      <w:r>
        <w:rPr>
          <w:rFonts w:hint="eastAsia" w:ascii="宋体" w:hAnsi="宋体" w:eastAsia="宋体" w:cs="宋体"/>
          <w:b w:val="0"/>
          <w:bCs w:val="0"/>
          <w:color w:val="000000"/>
          <w:kern w:val="0"/>
          <w:sz w:val="24"/>
          <w:szCs w:val="24"/>
          <w:highlight w:val="none"/>
          <w:u w:color="000000"/>
          <w:lang w:val="en-US" w:eastAsia="zh-CN" w:bidi="ar"/>
        </w:rPr>
        <w:t>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采购需求：2023年滁宁城际铁路办公自动化设备及耗材采购，详见《采购需求》</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供货期：本项目按照招标人要求分批次供货，自接到招标人订货通知起30个日历天内完成该批次供货。</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具有独立的法人资格且具有相应供货服务能力。</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2023年3月21日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2023年3月29日</w:t>
      </w:r>
    </w:p>
    <w:p>
      <w:pPr>
        <w:keepNext w:val="0"/>
        <w:keepLines w:val="0"/>
        <w:pageBreakBefore w:val="0"/>
        <w:kinsoku/>
        <w:overflowPunct/>
        <w:topLinePunct w:val="0"/>
        <w:autoSpaceDE/>
        <w:autoSpaceDN/>
        <w:bidi w:val="0"/>
        <w:adjustRightInd/>
        <w:snapToGrid/>
        <w:spacing w:line="48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28359082"/>
      <w:bookmarkEnd w:id="10"/>
      <w:bookmarkStart w:id="11" w:name="_Toc35393793"/>
      <w:bookmarkEnd w:id="11"/>
      <w:bookmarkStart w:id="12" w:name="_Toc58430308"/>
      <w:bookmarkEnd w:id="12"/>
      <w:bookmarkStart w:id="13" w:name="_Toc28359005"/>
      <w:bookmarkEnd w:id="13"/>
      <w:r>
        <w:rPr>
          <w:rFonts w:hint="eastAsia" w:ascii="宋体" w:hAnsi="宋体" w:cs="宋体"/>
          <w:b/>
          <w:color w:val="auto"/>
          <w:sz w:val="24"/>
          <w:szCs w:val="24"/>
          <w:highlight w:val="none"/>
        </w:rPr>
        <w:t>四、提交投标文件</w:t>
      </w:r>
      <w:r>
        <w:rPr>
          <w:rFonts w:hint="eastAsia" w:ascii="宋体" w:hAnsi="宋体" w:cs="宋体"/>
          <w:b/>
          <w:color w:val="auto"/>
          <w:sz w:val="24"/>
          <w:szCs w:val="24"/>
          <w:highlight w:val="none"/>
          <w:lang w:val="en-US" w:eastAsia="zh-CN"/>
        </w:rPr>
        <w:t>和样品</w:t>
      </w:r>
      <w:r>
        <w:rPr>
          <w:rFonts w:hint="eastAsia" w:ascii="宋体" w:hAnsi="宋体" w:cs="宋体"/>
          <w:b/>
          <w:color w:val="auto"/>
          <w:sz w:val="24"/>
          <w:szCs w:val="24"/>
          <w:highlight w:val="none"/>
        </w:rPr>
        <w:t>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2023年3月29日16时00分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w:t>
      </w:r>
      <w:r>
        <w:rPr>
          <w:rFonts w:hint="eastAsia" w:ascii="宋体" w:hAnsi="宋体" w:eastAsia="宋体" w:cs="宋体"/>
          <w:bCs/>
          <w:color w:val="000000"/>
          <w:kern w:val="0"/>
          <w:sz w:val="24"/>
          <w:szCs w:val="24"/>
          <w:highlight w:val="none"/>
          <w:u w:color="000000"/>
          <w:lang w:val="en-US" w:eastAsia="zh-CN" w:bidi="ar"/>
        </w:rPr>
        <w:t>：</w:t>
      </w:r>
      <w:r>
        <w:rPr>
          <w:rFonts w:hint="eastAsia" w:ascii="宋体" w:hAnsi="宋体" w:cs="宋体"/>
          <w:color w:val="auto"/>
          <w:sz w:val="24"/>
          <w:szCs w:val="24"/>
          <w:highlight w:val="none"/>
          <w:lang w:val="en-US" w:eastAsia="zh-CN"/>
        </w:rPr>
        <w:t>滁州市滁宁城际铁路开发建设有限公司七楼会议室 (徽州路与扬子路交叉口东南侧)</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6" w:name="_Toc9559"/>
      <w:bookmarkEnd w:id="16"/>
      <w:bookmarkStart w:id="17"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7"/>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2023年滁宁城际铁路办公自动化设备及耗材采购项目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约</w:t>
            </w:r>
            <w:r>
              <w:rPr>
                <w:rFonts w:hint="eastAsia" w:cs="宋体"/>
                <w:bCs/>
                <w:color w:val="000000"/>
                <w:szCs w:val="21"/>
                <w:highlight w:val="none"/>
                <w:lang w:val="en-US" w:eastAsia="zh-CN"/>
              </w:rPr>
              <w:t>100000.00元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100000.00元</w:t>
            </w:r>
            <w:r>
              <w:rPr>
                <w:rFonts w:hint="eastAsia" w:ascii="宋体" w:hAnsi="宋体" w:eastAsia="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3</w:t>
            </w:r>
            <w:r>
              <w:rPr>
                <w:rFonts w:cs="Times New Roman"/>
                <w:b w:val="0"/>
                <w:bCs w:val="0"/>
                <w:highlight w:val="none"/>
              </w:rPr>
              <w:t>月</w:t>
            </w:r>
            <w:r>
              <w:rPr>
                <w:rFonts w:hint="eastAsia" w:cs="Times New Roman"/>
                <w:b w:val="0"/>
                <w:bCs w:val="0"/>
                <w:highlight w:val="none"/>
                <w:lang w:val="en-US" w:eastAsia="zh-CN"/>
              </w:rPr>
              <w:t>26</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2023年3月27日17时后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代理服务费金额：招标代理费1500元，不含专家评审费（专家评审费用以实际支付为准，预计2000元整）。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w:t>
            </w:r>
            <w:r>
              <w:rPr>
                <w:rFonts w:hint="eastAsia" w:ascii="宋体" w:hAnsi="宋体" w:eastAsia="宋体" w:cs="宋体"/>
                <w:b/>
                <w:bCs/>
                <w:i w:val="0"/>
                <w:iCs w:val="0"/>
                <w:color w:val="auto"/>
                <w:kern w:val="0"/>
                <w:sz w:val="21"/>
                <w:szCs w:val="21"/>
                <w:highlight w:val="none"/>
                <w:u w:val="single"/>
              </w:rPr>
              <w:t>，并按要求加盖单位章；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  月  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r>
              <w:rPr>
                <w:rFonts w:hint="eastAsia" w:ascii="Times New Roman" w:hAnsi="Times New Roman" w:eastAsia="宋体" w:cs="Times New Roman"/>
                <w:highlight w:val="none"/>
              </w:rPr>
              <w:t>。</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lang w:val="en-US" w:eastAsia="zh-CN"/>
              </w:rPr>
              <w:t>注：履约保函格式应按照《住房和城乡建设部关于印发工程保函示范文本的通知》（建市〔2021〕11号）执行。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default" w:ascii="宋体" w:hAnsi="宋体" w:eastAsia="宋体" w:cs="宋体"/>
                <w:kern w:val="2"/>
                <w:highlight w:val="none"/>
                <w:lang w:val="en-US"/>
              </w:rPr>
            </w:pPr>
            <w:r>
              <w:rPr>
                <w:rFonts w:hint="eastAsia" w:ascii="宋体" w:hAnsi="宋体" w:cs="宋体"/>
                <w:color w:val="auto"/>
                <w:szCs w:val="21"/>
                <w:highlight w:val="none"/>
                <w:lang w:val="en-US" w:eastAsia="zh-CN"/>
              </w:rPr>
              <w:t>本项目按批次供货，每批次清单</w:t>
            </w:r>
            <w:r>
              <w:rPr>
                <w:rFonts w:hint="eastAsia" w:ascii="宋体" w:hAnsi="宋体" w:cs="宋体"/>
                <w:color w:val="auto"/>
                <w:szCs w:val="21"/>
                <w:highlight w:val="none"/>
              </w:rPr>
              <w:t>供货完毕</w:t>
            </w:r>
            <w:r>
              <w:rPr>
                <w:rFonts w:hint="eastAsia" w:ascii="宋体" w:hAnsi="宋体" w:cs="宋体"/>
                <w:color w:val="auto"/>
                <w:szCs w:val="21"/>
                <w:highlight w:val="none"/>
                <w:lang w:val="en-US" w:eastAsia="zh-CN"/>
              </w:rPr>
              <w:t>且</w:t>
            </w:r>
            <w:r>
              <w:rPr>
                <w:rFonts w:hint="eastAsia" w:ascii="宋体" w:hAnsi="宋体" w:cs="宋体"/>
                <w:color w:val="auto"/>
                <w:szCs w:val="21"/>
                <w:highlight w:val="none"/>
              </w:rPr>
              <w:t>经</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验收合格后，按实际发放</w:t>
            </w:r>
            <w:r>
              <w:rPr>
                <w:rFonts w:hint="eastAsia" w:ascii="宋体" w:hAnsi="宋体" w:cs="宋体"/>
                <w:color w:val="auto"/>
                <w:szCs w:val="21"/>
                <w:highlight w:val="none"/>
                <w:lang w:val="en-US" w:eastAsia="zh-CN"/>
              </w:rPr>
              <w:t>数量和中标综合单价</w:t>
            </w:r>
            <w:r>
              <w:rPr>
                <w:rFonts w:hint="eastAsia" w:ascii="宋体" w:hAnsi="宋体" w:cs="宋体"/>
                <w:color w:val="auto"/>
                <w:szCs w:val="21"/>
                <w:highlight w:val="none"/>
              </w:rPr>
              <w:t>结算，一次性付</w:t>
            </w:r>
            <w:r>
              <w:rPr>
                <w:rFonts w:hint="eastAsia" w:ascii="宋体" w:hAnsi="宋体" w:cs="宋体"/>
                <w:color w:val="auto"/>
                <w:szCs w:val="21"/>
                <w:highlight w:val="none"/>
                <w:lang w:val="en-US" w:eastAsia="zh-CN"/>
              </w:rPr>
              <w:t>清该批次结算价</w:t>
            </w:r>
            <w:r>
              <w:rPr>
                <w:rFonts w:hint="eastAsia" w:ascii="宋体" w:hAnsi="宋体" w:cs="宋体"/>
                <w:color w:val="auto"/>
                <w:szCs w:val="21"/>
                <w:highlight w:val="none"/>
              </w:rPr>
              <w:t>款</w:t>
            </w:r>
            <w:r>
              <w:rPr>
                <w:rFonts w:hint="eastAsia" w:ascii="宋体" w:hAnsi="宋体" w:eastAsia="宋体" w:cs="宋体"/>
                <w:bCs/>
                <w:color w:val="auto"/>
                <w:kern w:val="2"/>
                <w:sz w:val="21"/>
                <w:szCs w:val="21"/>
                <w:highlight w:val="none"/>
                <w:u w:val="none" w:color="auto"/>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4、系统中提供的表格（或格式文件）与招标文件中不一致时，以招标文件中提供的为准；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5、按本款前述规定仍不能形成结论的，由招标人负责解释。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2、评标委员会只依靠投标人递交的投标文件及其按照招标文件要求提供的所有证明材料进行评审，而不依靠任何外来的证明材料。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fldChar w:fldCharType="begin"/>
            </w:r>
            <w:r>
              <w:rPr>
                <w:rFonts w:hint="eastAsia"/>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lang w:val="en-US" w:eastAsia="zh-CN"/>
              </w:rPr>
              <w:fldChar w:fldCharType="separate"/>
            </w:r>
            <w:r>
              <w:rPr>
                <w:rFonts w:hint="eastAsia"/>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lang w:val="en-US" w:eastAsia="zh-CN"/>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4、中标人提供的所有货物、材料或配件必须是全新的、合格的且未曾使用过的，否则，造成的一切后果由中标人承担。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5、对于有损坏等未通过招标人验收合格的货物，中标人应自行清理出招标人场地并承担所有相关费用，不增加结算金额。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6、招标人对本项目执行过程中的所有争议拥有最终的裁决权，投标人应无条件地服从招标人的裁决，不得以任何理由提出增加本项目合同费用和延误本项目工期。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7、招标人将保留对中标人所提供的业绩等情况进行实地考察的权利，若考察发现有弄虚作假或发现工程存在质量等违约情形，将取消其中标资格，投标保证金不予退还，情节严重的提请相关部门对其进行处罚。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lang w:val="en-US" w:eastAsia="zh-CN"/>
              </w:rPr>
            </w:pPr>
            <w:r>
              <w:rPr>
                <w:rFonts w:hint="eastAsia"/>
                <w:lang w:val="en-US" w:eastAsia="zh-CN"/>
              </w:rPr>
              <w:t>8、本项目严禁非法转包，一经发现，招标人依法处理。</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247513962"/>
      <w:bookmarkEnd w:id="21"/>
      <w:bookmarkStart w:id="22" w:name="_Toc296602429"/>
      <w:bookmarkEnd w:id="22"/>
      <w:bookmarkStart w:id="23" w:name="_Toc247527563"/>
      <w:bookmarkEnd w:id="23"/>
      <w:bookmarkStart w:id="24" w:name="_Toc144974507"/>
      <w:bookmarkEnd w:id="24"/>
      <w:bookmarkStart w:id="25" w:name="_Toc152045539"/>
      <w:bookmarkEnd w:id="25"/>
      <w:bookmarkStart w:id="26" w:name="_Toc152042315"/>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bookmarkStart w:id="28" w:name="_Toc10668_WPSOffice_Level3"/>
      <w:bookmarkEnd w:id="28"/>
      <w:bookmarkStart w:id="29" w:name="_Toc24655"/>
      <w:bookmarkEnd w:id="29"/>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w:t>
      </w:r>
      <w:r>
        <w:rPr>
          <w:rFonts w:hint="eastAsia" w:ascii="宋体"/>
          <w:szCs w:val="21"/>
          <w:highlight w:val="none"/>
        </w:rPr>
        <w:t>满足招标文件的相关要求。</w:t>
      </w:r>
    </w:p>
    <w:p>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采购需求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spacing w:line="440" w:lineRule="exact"/>
        <w:ind w:firstLine="422"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截止时间10日前以以投标人须知前附表规定的网上留言或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numPr>
          <w:ilvl w:val="0"/>
          <w:numId w:val="1"/>
        </w:numPr>
        <w:suppressLineNumbers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0" w:name="_Toc1549_WPSOffice_Level3"/>
      <w:bookmarkEnd w:id="30"/>
      <w:bookmarkStart w:id="31" w:name="_Toc9710"/>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w:t>
      </w:r>
      <w:r>
        <w:rPr>
          <w:rFonts w:hint="default" w:ascii="宋体" w:hAnsi="宋体" w:eastAsia="宋体" w:cs="宋体"/>
          <w:color w:val="000000"/>
          <w:kern w:val="0"/>
          <w:sz w:val="21"/>
          <w:szCs w:val="21"/>
          <w:highlight w:val="none"/>
          <w:u w:color="000000"/>
          <w:lang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签字盖章完毕后扫描成一个连续性的整体加密PDF格式文件。</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的综合单价包括完成本项目全部供货及服务的一切费用：包括但不限于材料费、装卸费、运输费、管理费、其他费用（如包装费、仓储费、保管费）、利润、招标代理费、专家评审费、售后服务费、税金、政策性文件规定及合同包含的所有风险和责任等、货物送至招标人指定地点前的各项应有费用。</w:t>
      </w:r>
      <w:r>
        <w:rPr>
          <w:rFonts w:hint="eastAsia" w:ascii="宋体" w:hAnsi="宋体" w:eastAsia="宋体" w:cs="宋体"/>
          <w:color w:val="000000"/>
          <w:kern w:val="0"/>
          <w:sz w:val="21"/>
          <w:szCs w:val="21"/>
          <w:highlight w:val="none"/>
          <w:u w:color="000000"/>
          <w:lang w:val="en-US" w:eastAsia="zh-CN"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bookmarkStart w:id="32" w:name="_Toc6570_WPSOffice_Level3"/>
      <w:bookmarkEnd w:id="32"/>
      <w:bookmarkStart w:id="33" w:name="_Toc26398"/>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4" w:name="_Toc30407_WPSOffice_Level3"/>
      <w:bookmarkEnd w:id="34"/>
      <w:bookmarkStart w:id="35" w:name="_Toc490"/>
      <w:bookmarkEnd w:id="35"/>
      <w:r>
        <w:rPr>
          <w:rFonts w:hint="eastAsia" w:ascii="宋体" w:hAnsi="宋体" w:eastAsia="宋体" w:cs="宋体"/>
          <w:b/>
          <w:bCs w:val="0"/>
          <w:color w:val="000000"/>
          <w:kern w:val="0"/>
          <w:sz w:val="21"/>
          <w:szCs w:val="21"/>
          <w:highlight w:val="none"/>
          <w:u w:color="000000"/>
          <w:lang w:val="en-US" w:eastAsia="zh-CN" w:bidi="ar"/>
        </w:rPr>
        <w:t>25.投标文件的份数和签署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 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pPr>
        <w:spacing w:line="440" w:lineRule="exact"/>
        <w:ind w:firstLine="315" w:firstLineChars="150"/>
        <w:jc w:val="left"/>
        <w:rPr>
          <w:rFonts w:hint="eastAsia" w:ascii="宋体" w:hAnsi="宋体" w:eastAsia="宋体" w:cs="Times New Roman"/>
          <w:b w:val="0"/>
          <w:bCs/>
          <w:color w:val="auto"/>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27.1</w:t>
      </w:r>
      <w:r>
        <w:rPr>
          <w:rFonts w:hint="eastAsia" w:ascii="宋体" w:hAnsi="宋体" w:eastAsia="宋体" w:cs="宋体"/>
          <w:color w:val="000000"/>
          <w:szCs w:val="21"/>
          <w:highlight w:val="none"/>
        </w:rPr>
        <w:t>在第一章“招标公告”规定的投标截止时间前，投标人可以自行从网上撤回已递交的投标文件，并可修改后重新</w:t>
      </w:r>
      <w:r>
        <w:rPr>
          <w:rFonts w:hint="eastAsia" w:ascii="宋体" w:hAnsi="宋体" w:eastAsia="宋体" w:cs="宋体"/>
          <w:color w:val="000000"/>
          <w:szCs w:val="21"/>
          <w:highlight w:val="none"/>
          <w:lang w:val="en-US" w:eastAsia="zh-CN"/>
        </w:rPr>
        <w:t>发送</w:t>
      </w:r>
      <w:r>
        <w:rPr>
          <w:rFonts w:hint="eastAsia" w:ascii="宋体" w:hAnsi="宋体" w:eastAsia="宋体" w:cs="宋体"/>
          <w:color w:val="000000"/>
          <w:szCs w:val="21"/>
          <w:highlight w:val="none"/>
        </w:rPr>
        <w:t>，开标时以投标截止时间前投标人最</w:t>
      </w:r>
      <w:r>
        <w:rPr>
          <w:rFonts w:hint="eastAsia" w:ascii="宋体" w:hAnsi="宋体" w:eastAsia="宋体" w:cs="宋体"/>
          <w:color w:val="000000"/>
          <w:szCs w:val="21"/>
          <w:highlight w:val="none"/>
          <w:lang w:val="en-US" w:eastAsia="zh-CN"/>
        </w:rPr>
        <w:t>后送达</w:t>
      </w:r>
      <w:r>
        <w:rPr>
          <w:rFonts w:hint="eastAsia" w:ascii="宋体" w:hAnsi="宋体" w:eastAsia="宋体" w:cs="宋体"/>
          <w:color w:val="000000"/>
          <w:szCs w:val="21"/>
          <w:highlight w:val="none"/>
        </w:rPr>
        <w:t>的投标文件为准。</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bookmarkStart w:id="36" w:name="_Toc28864"/>
      <w:bookmarkEnd w:id="36"/>
      <w:bookmarkStart w:id="37"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8" w:name="_Toc15542_WPSOffice_Level3"/>
      <w:bookmarkEnd w:id="38"/>
      <w:r>
        <w:rPr>
          <w:rFonts w:hint="eastAsia" w:ascii="宋体" w:hAnsi="宋体" w:eastAsia="宋体" w:cs="宋体"/>
          <w:color w:val="000000"/>
          <w:kern w:val="0"/>
          <w:sz w:val="21"/>
          <w:szCs w:val="21"/>
          <w:highlight w:val="none"/>
          <w:u w:color="000000"/>
          <w:lang w:val="en-US" w:eastAsia="zh-CN" w:bidi="ar"/>
        </w:rPr>
        <w:t>28.2.1招标人可以邀请相关监管部门参加。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7"/>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34. 中标公示</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bookmarkStart w:id="103" w:name="_GoBack"/>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rPr>
      </w:pPr>
      <w:r>
        <w:rPr>
          <w:rFonts w:hint="eastAsia" w:ascii="宋体" w:hAnsi="Times New Roman" w:eastAsia="宋体" w:cs="Times New Roman"/>
          <w:b/>
          <w:color w:val="auto"/>
          <w:spacing w:val="0"/>
          <w:sz w:val="21"/>
          <w:szCs w:val="21"/>
          <w:highlight w:val="none"/>
        </w:rPr>
        <w:t>评标结果异议</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rPr>
        <w:t>定标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lang w:val="en-US" w:eastAsia="zh-CN"/>
        </w:rPr>
        <w:t>中标通知</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40" w:name="_Toc7247"/>
      <w:bookmarkEnd w:id="40"/>
      <w:r>
        <w:rPr>
          <w:rFonts w:hint="eastAsia" w:ascii="宋体" w:hAnsi="Times New Roman" w:eastAsia="宋体" w:cs="Times New Roman"/>
          <w:b/>
          <w:color w:val="auto"/>
          <w:spacing w:val="0"/>
          <w:sz w:val="21"/>
          <w:szCs w:val="21"/>
          <w:highlight w:val="none"/>
          <w:lang w:val="en-US" w:eastAsia="zh-CN"/>
        </w:rPr>
        <w:t xml:space="preserve"> 38.</w:t>
      </w:r>
      <w:bookmarkStart w:id="41" w:name="_Toc217446068"/>
      <w:r>
        <w:rPr>
          <w:rFonts w:hint="eastAsia" w:ascii="宋体" w:hAnsi="Times New Roman" w:eastAsia="宋体" w:cs="Times New Roman"/>
          <w:b/>
          <w:color w:val="auto"/>
          <w:spacing w:val="0"/>
          <w:sz w:val="21"/>
          <w:szCs w:val="21"/>
          <w:highlight w:val="none"/>
          <w:lang w:val="en-US" w:eastAsia="zh-CN"/>
        </w:rPr>
        <w:t>履约保证金</w:t>
      </w:r>
      <w:bookmarkEnd w:id="41"/>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2" w:name="_Toc316_WPSOffice_Level3"/>
      <w:bookmarkEnd w:id="42"/>
      <w:bookmarkStart w:id="43" w:name="_Toc23484"/>
      <w:r>
        <w:rPr>
          <w:rFonts w:hint="eastAsia" w:ascii="宋体" w:hAnsi="Times New Roman" w:eastAsia="宋体" w:cs="Times New Roman"/>
          <w:color w:val="auto"/>
          <w:spacing w:val="0"/>
          <w:sz w:val="21"/>
          <w:szCs w:val="21"/>
          <w:highlight w:val="none"/>
          <w:lang w:val="en-US" w:eastAsia="zh-CN"/>
        </w:rPr>
        <w:t>38.1</w:t>
      </w:r>
      <w:bookmarkEnd w:id="43"/>
      <w:r>
        <w:rPr>
          <w:rFonts w:hint="eastAsia" w:ascii="宋体" w:hAnsi="Times New Roman" w:eastAsia="宋体" w:cs="Times New Roman"/>
          <w:color w:val="auto"/>
          <w:spacing w:val="0"/>
          <w:sz w:val="21"/>
          <w:szCs w:val="21"/>
          <w:highlight w:val="none"/>
          <w:lang w:val="en-US" w:eastAsia="zh-CN"/>
        </w:rPr>
        <w:t>在签订合同前，中标人应按投标人须知前附表规定的担保形式和招标文件第五章“合同条款及格式”规定的或者事先经过招标人书面认可的履约担保格式向招标人提交履约担保。</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38.2中标人不能按本章第38.1项要求提交履约担保的，视为放弃中标，其投标保证金不予退还，给招标人造成的损失超过投标保证金数额的，中标人还应当对超过部分予以赔偿。</w:t>
      </w:r>
    </w:p>
    <w:bookmarkEnd w:id="103"/>
    <w:p>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39.1招标人不得泄漏招标投标活动中应当保密的情况和资料，不得与投标人串通损害国家利益，社会公共利益或者他人合法权益。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41.对评标委员会成员的纪律要求 </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41.1</w:t>
      </w:r>
      <w:r>
        <w:rPr>
          <w:rFonts w:hint="eastAsia" w:ascii="宋体" w:hAnsi="Times New Roman" w:eastAsia="宋体" w:cs="Times New Roman"/>
          <w:color w:val="auto"/>
          <w:spacing w:val="0"/>
          <w:sz w:val="21"/>
          <w:szCs w:val="21"/>
          <w:highlight w:val="none"/>
          <w:lang w:val="en-US" w:eastAsia="zh-CN"/>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42.对与评标活动有关的工作人员的纪律要求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43. 投诉</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Times New Roman" w:eastAsia="宋体" w:cs="Times New Roman"/>
          <w:kern w:val="10"/>
          <w:szCs w:val="21"/>
          <w:highlight w:val="none"/>
          <w:lang w:val="en-US" w:eastAsia="zh-CN"/>
        </w:rPr>
        <w:t>43.1</w:t>
      </w:r>
      <w:r>
        <w:rPr>
          <w:rFonts w:hint="eastAsia" w:ascii="宋体" w:hAnsi="宋体" w:cs="宋体"/>
          <w:color w:val="000000"/>
          <w:szCs w:val="21"/>
        </w:rPr>
        <w:t>投标人或者其他利害关系人认为招标投标活动违反法律、法规和规章规定的，有权向相关行政监督部门投诉。投诉应当有明确的请求和必要的证明材料。</w:t>
      </w:r>
    </w:p>
    <w:p>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43.2</w:t>
      </w:r>
      <w:r>
        <w:rPr>
          <w:rFonts w:hint="eastAsia" w:ascii="宋体" w:hAnsi="宋体" w:cs="宋体"/>
          <w:color w:val="000000"/>
          <w:szCs w:val="21"/>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47.1</w:t>
      </w:r>
      <w:r>
        <w:rPr>
          <w:rFonts w:hint="eastAsia" w:ascii="宋体" w:hAnsi="Times New Roman" w:eastAsia="宋体" w:cs="Times New Roman"/>
          <w:kern w:val="10"/>
          <w:szCs w:val="21"/>
          <w:highlight w:val="none"/>
        </w:rPr>
        <w:t>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pPr>
        <w:adjustRightInd w:val="0"/>
        <w:snapToGrid w:val="0"/>
        <w:spacing w:line="560" w:lineRule="exact"/>
        <w:jc w:val="left"/>
        <w:rPr>
          <w:rFonts w:hint="eastAsia"/>
          <w:color w:val="auto"/>
          <w:szCs w:val="21"/>
          <w:highlight w:val="none"/>
        </w:rPr>
      </w:pPr>
      <w:r>
        <w:rPr>
          <w:rFonts w:hint="eastAsia"/>
          <w:color w:val="000000"/>
          <w:lang w:val="en-US" w:eastAsia="zh-CN"/>
        </w:rPr>
        <w:t>1.</w:t>
      </w:r>
      <w:r>
        <w:rPr>
          <w:rFonts w:hint="eastAsia"/>
          <w:color w:val="000000"/>
        </w:rPr>
        <w:t>资信证明文件评审</w:t>
      </w:r>
      <w:r>
        <w:rPr>
          <w:rFonts w:hint="eastAsia" w:ascii="宋体"/>
          <w:b/>
          <w:color w:val="auto"/>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top"/>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3</w:t>
            </w:r>
            <w:r>
              <w:rPr>
                <w:rFonts w:hint="eastAsia" w:ascii="宋体" w:hAnsi="宋体" w:eastAsia="宋体" w:cs="Times New Roman"/>
                <w:color w:val="000000"/>
                <w:szCs w:val="21"/>
                <w:highlight w:val="none"/>
              </w:rPr>
              <w:t>）诚信投标承诺书</w:t>
            </w:r>
          </w:p>
        </w:tc>
        <w:tc>
          <w:tcPr>
            <w:tcW w:w="3929" w:type="dxa"/>
            <w:noWrap w:val="0"/>
            <w:vAlign w:val="top"/>
          </w:tcPr>
          <w:p>
            <w:pPr>
              <w:keepNext w:val="0"/>
              <w:keepLines w:val="0"/>
              <w:suppressLineNumbers w:val="0"/>
              <w:spacing w:before="0" w:beforeAutospacing="0" w:after="0" w:afterAutospacing="0" w:line="360" w:lineRule="exact"/>
              <w:ind w:left="0" w:right="0"/>
              <w:rPr>
                <w:rFonts w:hint="eastAsia" w:ascii="宋体"/>
                <w:b/>
                <w:color w:val="000000"/>
                <w:szCs w:val="21"/>
                <w:highlight w:val="none"/>
              </w:rPr>
            </w:pPr>
            <w:r>
              <w:rPr>
                <w:rFonts w:hint="eastAsia"/>
                <w:color w:val="000000"/>
                <w:highlight w:val="none"/>
              </w:rPr>
              <w:t>格式见附件，检验电子标书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服务承诺书</w:t>
            </w:r>
          </w:p>
        </w:tc>
        <w:tc>
          <w:tcPr>
            <w:tcW w:w="3929" w:type="dxa"/>
            <w:noWrap w:val="0"/>
            <w:vAlign w:val="center"/>
          </w:tcPr>
          <w:p>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pPr>
        <w:adjustRightInd w:val="0"/>
        <w:snapToGrid w:val="0"/>
        <w:spacing w:line="560" w:lineRule="exact"/>
        <w:jc w:val="left"/>
        <w:rPr>
          <w:rFonts w:hint="eastAsia" w:ascii="Times New Roman" w:hAnsi="Times New Roman" w:eastAsia="宋体" w:cs="Times New Roman"/>
          <w:color w:val="000000"/>
        </w:rPr>
      </w:pPr>
      <w:bookmarkStart w:id="44" w:name="_Toc95223395"/>
      <w:bookmarkStart w:id="45" w:name="_Toc506107320"/>
      <w:bookmarkStart w:id="46" w:name="_Toc60061492"/>
      <w:bookmarkStart w:id="47" w:name="_Toc15058909"/>
      <w:r>
        <w:rPr>
          <w:rFonts w:hint="eastAsia" w:ascii="Times New Roman" w:hAnsi="Times New Roman" w:eastAsia="宋体" w:cs="Times New Roman"/>
          <w:color w:val="000000"/>
        </w:rPr>
        <w:t>2.审查办法</w:t>
      </w:r>
      <w:bookmarkEnd w:id="44"/>
      <w:bookmarkEnd w:id="45"/>
      <w:bookmarkEnd w:id="46"/>
      <w:bookmarkEnd w:id="47"/>
    </w:p>
    <w:p>
      <w:pPr>
        <w:adjustRightInd w:val="0"/>
        <w:snapToGrid w:val="0"/>
        <w:spacing w:line="560" w:lineRule="exact"/>
        <w:jc w:val="left"/>
        <w:rPr>
          <w:rFonts w:hint="eastAsia" w:ascii="Times New Roman" w:hAnsi="Times New Roman" w:eastAsia="宋体" w:cs="Times New Roman"/>
          <w:color w:val="000000"/>
        </w:rPr>
      </w:pPr>
      <w:bookmarkStart w:id="48" w:name="_Toc60061493"/>
      <w:bookmarkStart w:id="49" w:name="_Toc15058910"/>
      <w:bookmarkStart w:id="50" w:name="_Toc506107321"/>
      <w:bookmarkStart w:id="51" w:name="_Toc324404868"/>
      <w:r>
        <w:rPr>
          <w:rFonts w:hint="eastAsia" w:ascii="Times New Roman" w:hAnsi="Times New Roman" w:eastAsia="宋体" w:cs="Times New Roman"/>
          <w:color w:val="000000"/>
        </w:rPr>
        <w:t>由资格审查委员会（评标委员会）按资格审查办法前附表中资格审查必要合格条件评审表要求对投标人审查资料进行核验。</w:t>
      </w:r>
    </w:p>
    <w:p>
      <w:pPr>
        <w:adjustRightInd w:val="0"/>
        <w:snapToGrid w:val="0"/>
        <w:spacing w:line="560" w:lineRule="exact"/>
        <w:jc w:val="left"/>
        <w:rPr>
          <w:rFonts w:hint="eastAsia" w:ascii="Times New Roman" w:hAnsi="Times New Roman" w:eastAsia="宋体" w:cs="Times New Roman"/>
          <w:color w:val="000000"/>
        </w:rPr>
      </w:pPr>
      <w:bookmarkStart w:id="52" w:name="_Toc95223396"/>
      <w:r>
        <w:rPr>
          <w:rFonts w:hint="eastAsia" w:ascii="Times New Roman" w:hAnsi="Times New Roman" w:eastAsia="宋体" w:cs="Times New Roman"/>
          <w:color w:val="000000"/>
        </w:rPr>
        <w:t>3.资格审查委员会和审查标准</w:t>
      </w:r>
      <w:bookmarkEnd w:id="48"/>
      <w:bookmarkEnd w:id="49"/>
      <w:bookmarkEnd w:id="50"/>
      <w:bookmarkEnd w:id="51"/>
      <w:bookmarkEnd w:id="52"/>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3.1资格审查由招标人依法组建的资格审查委员会（或评标委员会）负责。审查标准见资格审查办法前附表。</w:t>
      </w:r>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 xml:space="preserve">3.2由资格审查委员会（评标委员会）按资格审查办法前附表要求对投标人的审查资料进行核验。投标申请人有下列情形之一的，其资格审查为不合格： </w:t>
      </w:r>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（1）未</w:t>
      </w:r>
      <w:r>
        <w:rPr>
          <w:rFonts w:hint="eastAsia" w:ascii="Times New Roman" w:hAnsi="Times New Roman" w:eastAsia="宋体" w:cs="Times New Roman"/>
          <w:color w:val="000000"/>
          <w:lang w:val="en-US" w:eastAsia="zh-CN"/>
        </w:rPr>
        <w:t>发送</w:t>
      </w:r>
      <w:r>
        <w:rPr>
          <w:rFonts w:hint="eastAsia" w:ascii="Times New Roman" w:hAnsi="Times New Roman" w:eastAsia="宋体" w:cs="Times New Roman"/>
          <w:color w:val="000000"/>
        </w:rPr>
        <w:t>标书或电子标书经审查不合格；</w:t>
      </w:r>
    </w:p>
    <w:p>
      <w:pPr>
        <w:adjustRightInd w:val="0"/>
        <w:snapToGrid w:val="0"/>
        <w:spacing w:line="560" w:lineRule="exact"/>
        <w:jc w:val="left"/>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rPr>
        <w:t>（2）电子标书</w:t>
      </w:r>
      <w:r>
        <w:rPr>
          <w:rFonts w:hint="eastAsia" w:ascii="Times New Roman" w:hAnsi="Times New Roman" w:eastAsia="宋体" w:cs="Times New Roman"/>
          <w:color w:val="000000"/>
          <w:lang w:val="en-US" w:eastAsia="zh-CN"/>
        </w:rPr>
        <w:t>无法打开。</w:t>
      </w:r>
    </w:p>
    <w:p>
      <w:pPr>
        <w:adjustRightInd w:val="0"/>
        <w:snapToGrid w:val="0"/>
        <w:spacing w:line="560" w:lineRule="exact"/>
        <w:jc w:val="left"/>
        <w:rPr>
          <w:rFonts w:hint="eastAsia" w:ascii="Times New Roman" w:hAnsi="Times New Roman" w:eastAsia="宋体" w:cs="Times New Roman"/>
          <w:color w:val="000000"/>
        </w:rPr>
      </w:pPr>
      <w:bookmarkStart w:id="53" w:name="_Toc60061494"/>
      <w:bookmarkStart w:id="54" w:name="_Toc15058911"/>
      <w:bookmarkStart w:id="55" w:name="_Toc95223397"/>
      <w:bookmarkStart w:id="56" w:name="_Toc506107322"/>
      <w:bookmarkStart w:id="57" w:name="_Toc324404869"/>
      <w:r>
        <w:rPr>
          <w:rFonts w:hint="eastAsia" w:ascii="Times New Roman" w:hAnsi="Times New Roman" w:eastAsia="宋体" w:cs="Times New Roman"/>
          <w:color w:val="000000"/>
        </w:rPr>
        <w:t>4.审查结果</w:t>
      </w:r>
      <w:bookmarkEnd w:id="53"/>
      <w:bookmarkEnd w:id="54"/>
      <w:bookmarkEnd w:id="55"/>
      <w:bookmarkEnd w:id="56"/>
      <w:bookmarkEnd w:id="57"/>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只有通过资格审查的投标人才能进入下一步的评标程序。</w:t>
      </w:r>
    </w:p>
    <w:p>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pPr>
        <w:pStyle w:val="2"/>
        <w:numPr>
          <w:ilvl w:val="0"/>
          <w:numId w:val="0"/>
        </w:numPr>
        <w:jc w:val="left"/>
        <w:rPr>
          <w:rFonts w:hint="default" w:eastAsia="宋体"/>
          <w:lang w:val="en-US" w:eastAsia="zh-CN"/>
        </w:rPr>
      </w:pPr>
      <w:bookmarkStart w:id="58" w:name="_Toc23254"/>
      <w:bookmarkEnd w:id="58"/>
      <w:r>
        <w:rPr>
          <w:rFonts w:hint="eastAsia"/>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trPr>
        <w:tc>
          <w:tcPr>
            <w:tcW w:w="731"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59" w:name="_Toc362983802"/>
            <w:bookmarkStart w:id="60" w:name="_Toc267320058"/>
            <w:bookmarkStart w:id="61" w:name="_Toc449028878"/>
            <w:bookmarkStart w:id="62" w:name="_Toc58430318"/>
            <w:bookmarkStart w:id="63" w:name="_Toc363135205"/>
            <w:r>
              <w:rPr>
                <w:rFonts w:hint="eastAsia" w:ascii="黑体" w:eastAsia="黑体" w:cs="黑体"/>
                <w:b/>
                <w:bCs/>
                <w:color w:val="000000"/>
                <w:szCs w:val="21"/>
                <w:highlight w:val="none"/>
              </w:rPr>
              <w:t>序号</w:t>
            </w:r>
          </w:p>
        </w:tc>
        <w:tc>
          <w:tcPr>
            <w:tcW w:w="4135" w:type="dxa"/>
            <w:gridSpan w:val="2"/>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rPr>
              <w:t>形式评审标准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投标函签字盖章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有投标人及其法定代表人签章。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投标文件格式</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符合第</w:t>
            </w:r>
            <w:r>
              <w:rPr>
                <w:rFonts w:hint="eastAsia" w:ascii="宋体" w:hAnsi="宋体" w:cs="宋体"/>
                <w:color w:val="000000"/>
                <w:szCs w:val="21"/>
                <w:lang w:val="en-US" w:eastAsia="zh-CN"/>
              </w:rPr>
              <w:t>七</w:t>
            </w:r>
            <w:r>
              <w:rPr>
                <w:rFonts w:hint="eastAsia" w:ascii="宋体" w:hAnsi="宋体" w:cs="宋体"/>
                <w:color w:val="000000"/>
                <w:szCs w:val="21"/>
              </w:rPr>
              <w:t>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按投标文件格式要求签章。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rPr>
              <w:t>报价唯一</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只能有一个报价。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响应性评审标准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lang w:val="en-US" w:eastAsia="zh-CN"/>
              </w:rPr>
              <w:t>供货</w:t>
            </w:r>
            <w:r>
              <w:rPr>
                <w:rFonts w:hint="eastAsia" w:ascii="宋体" w:hAnsi="宋体" w:cs="宋体"/>
                <w:color w:val="000000"/>
                <w:szCs w:val="21"/>
              </w:rPr>
              <w:t>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投标有效期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rPr>
            </w:pPr>
            <w:r>
              <w:rPr>
                <w:rFonts w:hint="eastAsia" w:ascii="宋体" w:hAnsi="宋体" w:cs="宋体"/>
                <w:color w:val="000000"/>
                <w:szCs w:val="21"/>
              </w:rPr>
              <w:t>投标总价评审</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lang w:eastAsia="zh-CN"/>
              </w:rPr>
            </w:pPr>
            <w:r>
              <w:rPr>
                <w:rFonts w:hint="eastAsia" w:ascii="宋体" w:hAnsi="宋体" w:cs="宋体"/>
                <w:color w:val="000000"/>
                <w:spacing w:val="-6"/>
                <w:szCs w:val="21"/>
              </w:rPr>
              <w:t>不得高于最高投标限价</w:t>
            </w:r>
            <w:r>
              <w:rPr>
                <w:rFonts w:hint="eastAsia" w:ascii="宋体" w:hAnsi="宋体" w:cs="宋体"/>
                <w:color w:val="000000"/>
                <w:spacing w:val="-6"/>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rPr>
            </w:pPr>
            <w:r>
              <w:rPr>
                <w:rFonts w:hint="eastAsia" w:ascii="宋体" w:hAnsi="宋体" w:cs="宋体"/>
                <w:color w:val="000000"/>
                <w:szCs w:val="21"/>
              </w:rPr>
              <w:t>详细评审标准</w:t>
            </w:r>
          </w:p>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采购需求响应程度</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商务条款响应程度（包括供货期、售后服务、技术培训等）</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完全响应或优于招标文件要求。</w:t>
            </w:r>
          </w:p>
        </w:tc>
      </w:tr>
    </w:tbl>
    <w:p>
      <w:pPr>
        <w:spacing w:line="440" w:lineRule="exact"/>
        <w:ind w:firstLine="316" w:firstLineChars="150"/>
        <w:jc w:val="left"/>
        <w:rPr>
          <w:rFonts w:hint="default" w:ascii="宋体" w:eastAsia="宋体"/>
          <w:b/>
          <w:color w:val="000000"/>
          <w:szCs w:val="21"/>
          <w:highlight w:val="none"/>
          <w:lang w:val="en-US" w:eastAsia="zh-CN"/>
        </w:rPr>
      </w:pPr>
      <w:r>
        <w:rPr>
          <w:rFonts w:hint="eastAsia" w:ascii="宋体"/>
          <w:b/>
          <w:color w:val="000000"/>
          <w:szCs w:val="21"/>
          <w:highlight w:val="none"/>
        </w:rPr>
        <w:t xml:space="preserve"> 1. </w:t>
      </w:r>
      <w:r>
        <w:rPr>
          <w:rFonts w:hint="eastAsia" w:ascii="宋体"/>
          <w:b/>
          <w:color w:val="000000"/>
          <w:szCs w:val="21"/>
          <w:highlight w:val="none"/>
          <w:lang w:val="en-US" w:eastAsia="zh-CN"/>
        </w:rPr>
        <w:t>评标方法</w:t>
      </w:r>
    </w:p>
    <w:p>
      <w:pPr>
        <w:widowControl/>
        <w:adjustRightInd w:val="0"/>
        <w:snapToGrid w:val="0"/>
        <w:spacing w:line="560" w:lineRule="exact"/>
        <w:ind w:firstLine="420" w:firstLineChars="200"/>
        <w:jc w:val="left"/>
        <w:rPr>
          <w:rFonts w:hint="eastAsia" w:ascii="宋体" w:hAnsi="宋体" w:cs="宋体"/>
          <w:b/>
          <w:color w:val="000000"/>
          <w:kern w:val="0"/>
          <w:sz w:val="24"/>
          <w:highlight w:val="none"/>
        </w:rPr>
      </w:pPr>
      <w:r>
        <w:rPr>
          <w:rFonts w:hint="eastAsia" w:ascii="宋体"/>
          <w:color w:val="000000"/>
          <w:szCs w:val="21"/>
          <w:highlight w:val="none"/>
        </w:rPr>
        <w:t>1.1</w:t>
      </w:r>
      <w:r>
        <w:rPr>
          <w:rFonts w:hint="eastAsia" w:ascii="宋体"/>
          <w:b/>
          <w:color w:val="000000"/>
          <w:szCs w:val="21"/>
          <w:highlight w:val="none"/>
        </w:rPr>
        <w:t>本次评标采用最低评标价</w:t>
      </w:r>
      <w:r>
        <w:rPr>
          <w:rFonts w:ascii="宋体"/>
          <w:b/>
          <w:color w:val="000000"/>
          <w:szCs w:val="21"/>
          <w:highlight w:val="none"/>
        </w:rPr>
        <w:t>法</w:t>
      </w:r>
      <w:r>
        <w:rPr>
          <w:rFonts w:ascii="宋体"/>
          <w:color w:val="000000"/>
          <w:szCs w:val="21"/>
          <w:highlight w:val="none"/>
        </w:rPr>
        <w:t>，</w:t>
      </w:r>
      <w:r>
        <w:rPr>
          <w:rFonts w:hint="eastAsia" w:ascii="宋体" w:hAnsi="宋体" w:cs="宋体"/>
          <w:b/>
          <w:color w:val="000000"/>
          <w:szCs w:val="21"/>
        </w:rPr>
        <w:t>评标委员会对满足招标文件实质性要求的投标文件，最终按投标报价最低原则，推荐有效投标报价最低的为第一中标候选人，次低的为第二中标候选人，依次类推，推荐中标候选人应当不超过3名，并标明排序，但投标报价低于其成本的除外。投标报价最低的有效投标人有两名或两名以上相同时，由评标委员会主任委员或招标人抽签确定第一中标候选人。</w:t>
      </w:r>
    </w:p>
    <w:p>
      <w:pPr>
        <w:spacing w:line="440" w:lineRule="exact"/>
        <w:ind w:firstLine="316" w:firstLineChars="150"/>
        <w:jc w:val="left"/>
        <w:rPr>
          <w:rFonts w:hint="eastAsia" w:ascii="宋体"/>
          <w:b/>
          <w:color w:val="000000"/>
          <w:szCs w:val="21"/>
          <w:highlight w:val="none"/>
        </w:rPr>
      </w:pPr>
      <w:r>
        <w:rPr>
          <w:rFonts w:hint="eastAsia" w:ascii="宋体" w:hAnsi="Times New Roman" w:eastAsia="宋体" w:cs="Times New Roman"/>
          <w:b/>
          <w:color w:val="000000"/>
          <w:szCs w:val="21"/>
          <w:highlight w:val="none"/>
          <w:lang w:val="en-US" w:eastAsia="zh-CN"/>
        </w:rPr>
        <w:t>2．评标委员会的职责</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lang w:val="en-US" w:eastAsia="zh-CN"/>
        </w:rPr>
        <w:t>2.1</w:t>
      </w:r>
      <w:r>
        <w:rPr>
          <w:rFonts w:hint="eastAsia" w:ascii="宋体" w:hAnsi="宋体" w:eastAsia="宋体" w:cs="宋体"/>
          <w:color w:val="000000"/>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440" w:lineRule="exact"/>
        <w:ind w:firstLine="315" w:firstLineChars="150"/>
        <w:jc w:val="left"/>
        <w:rPr>
          <w:rFonts w:hint="eastAsia" w:ascii="Times New Roman" w:hAnsi="Times New Roman" w:eastAsia="宋体" w:cs="Times New Roman"/>
          <w:color w:val="000000"/>
        </w:rPr>
      </w:pPr>
      <w:r>
        <w:rPr>
          <w:rFonts w:hint="eastAsia" w:ascii="宋体" w:hAnsi="宋体" w:eastAsia="宋体" w:cs="宋体"/>
          <w:color w:val="000000"/>
          <w:lang w:val="en-US" w:eastAsia="zh-CN"/>
        </w:rPr>
        <w:t>2.2</w:t>
      </w:r>
      <w:r>
        <w:rPr>
          <w:rFonts w:hint="eastAsia" w:ascii="宋体" w:hAnsi="宋体" w:eastAsia="宋体" w:cs="宋体"/>
          <w:color w:val="000000"/>
        </w:rPr>
        <w:t>评标委员会应加</w:t>
      </w:r>
      <w:r>
        <w:rPr>
          <w:rFonts w:hint="eastAsia" w:ascii="Times New Roman" w:hAnsi="Times New Roman" w:eastAsia="宋体" w:cs="Times New Roman"/>
          <w:color w:val="000000"/>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numPr>
          <w:ilvl w:val="0"/>
          <w:numId w:val="4"/>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评标先做准备工作，再进行</w:t>
      </w:r>
      <w:r>
        <w:rPr>
          <w:rFonts w:hint="eastAsia" w:ascii="宋体" w:hAnsi="宋体" w:eastAsia="宋体" w:cs="宋体"/>
          <w:color w:val="000000"/>
          <w:lang w:val="en-US" w:eastAsia="zh-CN"/>
        </w:rPr>
        <w:t>资格审查</w:t>
      </w:r>
      <w:r>
        <w:rPr>
          <w:rFonts w:hint="eastAsia" w:ascii="宋体" w:hAnsi="宋体" w:eastAsia="宋体" w:cs="宋体"/>
          <w:color w:val="000000"/>
        </w:rPr>
        <w:t>，然后进行</w:t>
      </w:r>
      <w:r>
        <w:rPr>
          <w:rFonts w:hint="eastAsia" w:ascii="宋体" w:hAnsi="宋体" w:eastAsia="宋体" w:cs="宋体"/>
          <w:color w:val="000000"/>
          <w:lang w:val="en-US" w:eastAsia="zh-CN"/>
        </w:rPr>
        <w:t>投标文件</w:t>
      </w:r>
      <w:r>
        <w:rPr>
          <w:rFonts w:hint="eastAsia" w:ascii="宋体" w:hAnsi="宋体" w:eastAsia="宋体" w:cs="宋体"/>
          <w:color w:val="000000"/>
        </w:rPr>
        <w:t>评审。</w:t>
      </w:r>
    </w:p>
    <w:p>
      <w:pPr>
        <w:spacing w:line="440" w:lineRule="exact"/>
        <w:ind w:firstLine="315" w:firstLineChars="150"/>
        <w:jc w:val="left"/>
        <w:rPr>
          <w:rFonts w:hint="eastAsia" w:ascii="宋体" w:hAnsi="宋体" w:eastAsia="宋体" w:cs="宋体"/>
          <w:color w:val="000000"/>
        </w:rPr>
      </w:pPr>
      <w:bookmarkStart w:id="64" w:name="_Toc95223402"/>
      <w:r>
        <w:rPr>
          <w:rFonts w:hint="eastAsia" w:ascii="宋体" w:hAnsi="宋体" w:eastAsia="宋体" w:cs="宋体"/>
          <w:color w:val="000000"/>
        </w:rPr>
        <w:t>3</w:t>
      </w:r>
      <w:r>
        <w:rPr>
          <w:rFonts w:hint="eastAsia" w:ascii="宋体" w:hAnsi="宋体" w:eastAsia="宋体" w:cs="宋体"/>
          <w:color w:val="000000"/>
          <w:lang w:eastAsia="zh-CN"/>
        </w:rPr>
        <w:t>.</w:t>
      </w:r>
      <w:r>
        <w:rPr>
          <w:rFonts w:hint="eastAsia" w:ascii="宋体" w:hAnsi="宋体" w:eastAsia="宋体" w:cs="宋体"/>
          <w:color w:val="000000"/>
          <w:lang w:val="en-US" w:eastAsia="zh-CN"/>
        </w:rPr>
        <w:t>1</w:t>
      </w:r>
      <w:r>
        <w:rPr>
          <w:rFonts w:hint="eastAsia" w:ascii="宋体" w:hAnsi="宋体" w:eastAsia="宋体" w:cs="宋体"/>
          <w:color w:val="000000"/>
        </w:rPr>
        <w:t>评标准备工作</w:t>
      </w:r>
      <w:bookmarkEnd w:id="64"/>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评标委员会熟悉评标工作情况：</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（1）阅读由招标人或者其委</w:t>
      </w:r>
      <w:bookmarkStart w:id="65" w:name="_Toc60061499"/>
      <w:bookmarkStart w:id="66" w:name="_Toc15058916"/>
      <w:r>
        <w:rPr>
          <w:rFonts w:hint="eastAsia" w:ascii="宋体" w:hAnsi="宋体" w:eastAsia="宋体" w:cs="宋体"/>
          <w:color w:val="000000"/>
        </w:rPr>
        <w:t>托的代理机构编</w:t>
      </w:r>
      <w:bookmarkEnd w:id="65"/>
      <w:bookmarkEnd w:id="66"/>
      <w:r>
        <w:rPr>
          <w:rFonts w:hint="eastAsia" w:ascii="宋体" w:hAnsi="宋体" w:eastAsia="宋体" w:cs="宋体"/>
          <w:color w:val="000000"/>
        </w:rPr>
        <w:t>制的招标项目情况材料。</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（2）阅读、研究招标文件和相关评标资料，获取评标所需要的重要信息和数据，至少应了解和熟悉以下内容：招标项目的范围和性质，招标文件规定的主要技术要求、标准和商务条款。</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（3）熟悉招标文件规定的评标标准和评标方法及在评标过程中需要考虑的相关因素。</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（4）核对评标工作用表。</w:t>
      </w:r>
    </w:p>
    <w:p>
      <w:pPr>
        <w:spacing w:line="440" w:lineRule="exact"/>
        <w:ind w:firstLine="315" w:firstLineChars="150"/>
        <w:jc w:val="left"/>
        <w:rPr>
          <w:rFonts w:hint="eastAsia" w:ascii="宋体" w:hAnsi="宋体" w:eastAsia="宋体" w:cs="宋体"/>
          <w:color w:val="000000"/>
        </w:rPr>
      </w:pPr>
      <w:bookmarkStart w:id="67" w:name="_Toc60061500"/>
      <w:bookmarkStart w:id="68" w:name="_Toc15058917"/>
      <w:r>
        <w:rPr>
          <w:rFonts w:hint="eastAsia" w:ascii="宋体" w:hAnsi="宋体" w:eastAsia="宋体" w:cs="宋体"/>
          <w:color w:val="000000"/>
        </w:rPr>
        <w:t>3.</w:t>
      </w:r>
      <w:r>
        <w:rPr>
          <w:rFonts w:hint="eastAsia" w:ascii="宋体" w:hAnsi="宋体" w:eastAsia="宋体" w:cs="宋体"/>
          <w:color w:val="000000"/>
          <w:lang w:val="en-US" w:eastAsia="zh-CN"/>
        </w:rPr>
        <w:t>2</w:t>
      </w:r>
      <w:r>
        <w:rPr>
          <w:rFonts w:hint="eastAsia" w:ascii="宋体" w:hAnsi="宋体" w:eastAsia="宋体" w:cs="宋体"/>
          <w:color w:val="000000"/>
        </w:rPr>
        <w:t>推荐中标候</w:t>
      </w:r>
      <w:bookmarkEnd w:id="67"/>
      <w:bookmarkEnd w:id="68"/>
      <w:r>
        <w:rPr>
          <w:rFonts w:hint="eastAsia" w:ascii="宋体" w:hAnsi="宋体" w:eastAsia="宋体" w:cs="宋体"/>
          <w:color w:val="000000"/>
        </w:rPr>
        <w:t>选人</w:t>
      </w:r>
    </w:p>
    <w:p>
      <w:pPr>
        <w:spacing w:line="440" w:lineRule="exact"/>
        <w:ind w:firstLine="315" w:firstLineChars="150"/>
        <w:jc w:val="left"/>
        <w:rPr>
          <w:rFonts w:hint="eastAsia" w:ascii="宋体" w:hAnsi="宋体" w:cs="宋体"/>
          <w:color w:val="000000"/>
          <w:szCs w:val="21"/>
        </w:rPr>
      </w:pPr>
      <w:r>
        <w:rPr>
          <w:rFonts w:hint="eastAsia" w:ascii="宋体" w:hAnsi="宋体" w:cs="宋体"/>
          <w:color w:val="000000"/>
          <w:szCs w:val="21"/>
          <w:lang w:val="en-US" w:eastAsia="zh-CN"/>
        </w:rPr>
        <w:t>资格审查</w:t>
      </w:r>
      <w:r>
        <w:rPr>
          <w:rFonts w:hint="eastAsia" w:ascii="宋体" w:hAnsi="宋体" w:cs="宋体"/>
          <w:color w:val="000000"/>
          <w:szCs w:val="21"/>
        </w:rPr>
        <w:t>、</w:t>
      </w:r>
      <w:bookmarkStart w:id="69" w:name="_Toc15058918"/>
      <w:bookmarkStart w:id="70" w:name="_Toc60061501"/>
      <w:r>
        <w:rPr>
          <w:rFonts w:hint="eastAsia" w:ascii="宋体" w:hAnsi="宋体" w:cs="宋体"/>
          <w:color w:val="000000"/>
          <w:szCs w:val="21"/>
          <w:lang w:val="en-US" w:eastAsia="zh-CN"/>
        </w:rPr>
        <w:t>投标文件</w:t>
      </w:r>
      <w:r>
        <w:rPr>
          <w:rFonts w:hint="eastAsia" w:ascii="宋体" w:hAnsi="宋体" w:cs="宋体"/>
          <w:color w:val="000000"/>
          <w:szCs w:val="21"/>
        </w:rPr>
        <w:t>评审</w:t>
      </w:r>
      <w:bookmarkEnd w:id="69"/>
      <w:bookmarkEnd w:id="70"/>
      <w:r>
        <w:rPr>
          <w:rFonts w:hint="eastAsia" w:ascii="宋体" w:hAnsi="宋体" w:cs="宋体"/>
          <w:color w:val="000000"/>
          <w:szCs w:val="21"/>
        </w:rPr>
        <w:t>后，推荐中标候选人，并标明排序。</w:t>
      </w:r>
    </w:p>
    <w:p>
      <w:pPr>
        <w:numPr>
          <w:ilvl w:val="0"/>
          <w:numId w:val="4"/>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71" w:name="_Toc95223405"/>
      <w:r>
        <w:rPr>
          <w:rFonts w:hint="eastAsia" w:ascii="宋体" w:hAnsi="Times New Roman" w:eastAsia="宋体" w:cs="Times New Roman"/>
          <w:b/>
          <w:color w:val="000000"/>
          <w:szCs w:val="21"/>
          <w:highlight w:val="none"/>
          <w:lang w:val="en-US" w:eastAsia="zh-CN"/>
        </w:rPr>
        <w:t>评审内容</w:t>
      </w:r>
      <w:bookmarkEnd w:id="71"/>
    </w:p>
    <w:p>
      <w:pPr>
        <w:spacing w:line="440" w:lineRule="exact"/>
        <w:ind w:firstLine="315" w:firstLineChars="150"/>
        <w:jc w:val="left"/>
        <w:rPr>
          <w:rFonts w:hint="eastAsia" w:ascii="宋体" w:hAnsi="宋体" w:eastAsia="宋体" w:cs="宋体"/>
          <w:color w:val="000000"/>
          <w:szCs w:val="21"/>
        </w:rPr>
      </w:pPr>
      <w:bookmarkStart w:id="72" w:name="_Toc95223407"/>
      <w:r>
        <w:rPr>
          <w:rFonts w:hint="eastAsia" w:ascii="宋体" w:hAnsi="宋体" w:eastAsia="宋体" w:cs="宋体"/>
          <w:color w:val="000000"/>
          <w:szCs w:val="21"/>
        </w:rPr>
        <w:t>4.</w:t>
      </w:r>
      <w:r>
        <w:rPr>
          <w:rFonts w:hint="eastAsia" w:ascii="宋体" w:hAnsi="宋体" w:eastAsia="宋体" w:cs="宋体"/>
          <w:color w:val="000000"/>
          <w:szCs w:val="21"/>
          <w:lang w:val="en-US" w:eastAsia="zh-CN"/>
        </w:rPr>
        <w:t>1投标文件</w:t>
      </w:r>
      <w:r>
        <w:rPr>
          <w:rFonts w:hint="eastAsia" w:ascii="宋体" w:hAnsi="宋体" w:eastAsia="宋体" w:cs="宋体"/>
          <w:color w:val="000000"/>
          <w:szCs w:val="21"/>
        </w:rPr>
        <w:t>评审</w:t>
      </w:r>
      <w:bookmarkEnd w:id="72"/>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只有通过</w:t>
      </w:r>
      <w:r>
        <w:rPr>
          <w:rFonts w:hint="eastAsia" w:ascii="宋体" w:hAnsi="宋体" w:eastAsia="宋体" w:cs="宋体"/>
          <w:color w:val="000000"/>
          <w:szCs w:val="21"/>
          <w:lang w:val="en-US" w:eastAsia="zh-CN"/>
        </w:rPr>
        <w:t>资格审查</w:t>
      </w:r>
      <w:r>
        <w:rPr>
          <w:rFonts w:hint="eastAsia" w:ascii="宋体" w:hAnsi="宋体" w:eastAsia="宋体" w:cs="宋体"/>
          <w:color w:val="000000"/>
          <w:szCs w:val="21"/>
        </w:rPr>
        <w:t>的投标才能够进入本阶段评审。</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.1</w:t>
      </w:r>
      <w:bookmarkStart w:id="73" w:name="_Toc60061504"/>
      <w:bookmarkStart w:id="74" w:name="_Toc15058921"/>
      <w:r>
        <w:rPr>
          <w:rFonts w:hint="eastAsia" w:ascii="宋体" w:hAnsi="宋体" w:eastAsia="宋体" w:cs="宋体"/>
          <w:color w:val="000000"/>
          <w:szCs w:val="21"/>
        </w:rPr>
        <w:t>形式性评审标准：</w:t>
      </w:r>
      <w:bookmarkEnd w:id="73"/>
      <w:bookmarkEnd w:id="74"/>
      <w:r>
        <w:rPr>
          <w:rFonts w:hint="eastAsia" w:ascii="宋体" w:hAnsi="宋体" w:eastAsia="宋体" w:cs="宋体"/>
          <w:color w:val="000000"/>
          <w:szCs w:val="21"/>
        </w:rPr>
        <w:t>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.2响应性评审标准：见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评标委员会依据上述标准对投标文件进行初步评审。有一项不符合评审标准的，作无效投标处理。</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.3详细评审标准：见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bookmarkEnd w:id="59"/>
    <w:bookmarkEnd w:id="60"/>
    <w:bookmarkEnd w:id="61"/>
    <w:bookmarkEnd w:id="62"/>
    <w:p>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5" w:name="_Hlk61815781"/>
      <w:r>
        <w:rPr>
          <w:rFonts w:hint="eastAsia" w:ascii="宋体" w:hAnsi="Times New Roman" w:eastAsia="宋体" w:cs="Times New Roman"/>
          <w:b/>
          <w:color w:val="000000"/>
          <w:szCs w:val="21"/>
          <w:highlight w:val="none"/>
          <w:lang w:val="en-US" w:eastAsia="zh-CN"/>
        </w:rPr>
        <w:t>5. 无效投标条款</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）未按规定的格式填写导致实质性内容不全以及实质上不响应，或者关键字迹模糊、无法辨认；经公共资源交易监督部门核准的。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3"/>
    <w:bookmarkEnd w:id="75"/>
    <w:p>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6" w:name="_Toc95223439"/>
      <w:r>
        <w:rPr>
          <w:rFonts w:hint="eastAsia" w:ascii="宋体" w:hAnsi="Times New Roman" w:eastAsia="宋体" w:cs="Times New Roman"/>
          <w:b/>
          <w:color w:val="000000"/>
          <w:szCs w:val="21"/>
          <w:highlight w:val="none"/>
          <w:lang w:val="en-US" w:eastAsia="zh-CN"/>
        </w:rPr>
        <w:t>6.投标文件的澄清和补正</w:t>
      </w:r>
      <w:bookmarkEnd w:id="76"/>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pPr>
        <w:spacing w:line="400" w:lineRule="exact"/>
        <w:ind w:firstLine="403" w:firstLineChars="192"/>
        <w:rPr>
          <w:rFonts w:hint="eastAsia"/>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7" w:name="_Toc95223441"/>
      <w:r>
        <w:rPr>
          <w:rFonts w:hint="eastAsia" w:ascii="宋体" w:hAnsi="Times New Roman" w:eastAsia="宋体" w:cs="Times New Roman"/>
          <w:b/>
          <w:color w:val="000000"/>
          <w:szCs w:val="21"/>
          <w:highlight w:val="none"/>
          <w:lang w:val="en-US" w:eastAsia="zh-CN"/>
        </w:rPr>
        <w:t>7.评审结果</w:t>
      </w:r>
      <w:bookmarkEnd w:id="77"/>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8" w:name="_Toc95223442"/>
      <w:r>
        <w:rPr>
          <w:rFonts w:hint="eastAsia" w:ascii="宋体" w:hAnsi="Times New Roman" w:eastAsia="宋体" w:cs="Times New Roman"/>
          <w:b/>
          <w:color w:val="000000"/>
          <w:szCs w:val="21"/>
          <w:highlight w:val="none"/>
          <w:lang w:val="en-US" w:eastAsia="zh-CN"/>
        </w:rPr>
        <w:t>8.其他</w:t>
      </w:r>
      <w:bookmarkEnd w:id="78"/>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80" w:lineRule="exact"/>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采购需求</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w:t>
      </w:r>
      <w:r>
        <w:rPr>
          <w:rFonts w:hint="eastAsia" w:ascii="宋体" w:hAnsi="宋体" w:eastAsia="宋体" w:cs="宋体"/>
          <w:b/>
          <w:sz w:val="21"/>
          <w:szCs w:val="21"/>
          <w:highlight w:val="none"/>
        </w:rPr>
        <w:t>概况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本项目为2023年滁宁城际铁路办公自动化设备及耗材采购，所有产品均须符合相关国家标准。</w:t>
      </w:r>
    </w:p>
    <w:p>
      <w:pPr>
        <w:keepNext w:val="0"/>
        <w:keepLines w:val="0"/>
        <w:pageBreakBefore w:val="0"/>
        <w:numPr>
          <w:ilvl w:val="0"/>
          <w:numId w:val="5"/>
        </w:numPr>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采购清单</w:t>
      </w:r>
    </w:p>
    <w:tbl>
      <w:tblPr>
        <w:tblStyle w:val="20"/>
        <w:tblW w:w="93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7"/>
        <w:gridCol w:w="1616"/>
        <w:gridCol w:w="1351"/>
        <w:gridCol w:w="2268"/>
        <w:gridCol w:w="567"/>
        <w:gridCol w:w="783"/>
        <w:gridCol w:w="22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物资编码</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72020300000006</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RS232转RS422接头</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无源,RS232端口DB9孔转RS422端口DB9针,配RS422接线柱</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优越者、胜为、绿联、帝特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72020300000012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USB延长线</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1.5米,公对母,USB2.0</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绿联、山泽、胜为、秋叶原、飞利浦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72020300000042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DVI转VGA接头</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DVI转VGA接头</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山泽、绿联、毕亚兹、秋叶原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72020300000054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网络直通头一分二</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接口：RJ45</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绿联、山泽、胜为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72020300000063</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HDMI数字高清线</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2.0版/5米</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山泽、绿联、飞利浦、秋叶原、毕亚兹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72020300000064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HDMI数字高清线</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2.0版/10米</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山泽、绿联、飞利浦、秋叶原、毕亚兹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72020300000084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USB分线器</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USB3.0HUB+USB2.0通用OTG头,黑色,1米</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绿联、山泽、毕亚兹、秋叶原、飞利浦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72020300000088</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RS232串口线</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RS232公头转RS232母头；交叉串口线</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绿联、晶华、也仁、优越者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72020300000113</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25米HDMI信号放大线</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 25米</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山泽、绿联、飞利浦、秋叶原、毕亚兹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72020300000114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25米VGA信号放大线</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VGA 25米</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山泽、绿联、飞利浦、秋叶原、毕亚兹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72020300000115</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USB3.0分线器</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USB3.0分线器 高速拓展4口HUB集线器/1.5米 </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绿联、山泽、毕亚兹、秋叶原、飞利浦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72020300000117</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USB延长线</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3米,公对母,USB2.0</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绿联、山泽、胜为、秋叶原、飞利浦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72020300000120</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HDMI数字高清线</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2.0版/2米</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山泽、绿联、飞利浦、秋叶原、毕亚兹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72020500000001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线材-网线</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超五类非屏蔽,305米/箱</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施耐德、秋叶原、安普天纪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72020500000002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线材-网线</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高速超五类CAT5e类网线，百兆网络连接线，黑色3米</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秋叶原、胜为、山泽、威讯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72020500000004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线材-网线</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超五类非屏蔽，5米</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山泽、绿联、胜为、秋叶原、飞利浦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72020500000005</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线材-网线</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高速超五类网线，百兆网络连接线，长度：2米</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山泽、秋叶原、安必通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72020500000006</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线材-网线</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超五类屏蔽,305米/箱</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山泽、秋叶原、安普天纪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72040104000001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电脑插座</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双口超五类</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绿联、公牛、也仁、施耐德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80020100000009</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无线路由器</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10/100/1000M自适应</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TP-LINK、D-LINK、华为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80020300000001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网络水晶头</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超五类非屏蔽,100个/包</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山泽、绿联、安普康、胜为、毕亚兹、飞利浦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80020300000002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网络水晶头</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超五类屏蔽,100个/包</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山泽、绿联、安普康、胜为、毕亚兹、飞利浦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80020300000003</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水晶头</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六类屏蔽,100个/包</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山泽、绿联、安普康、胜为、毕亚兹、飞利浦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80020300000004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电话水晶头</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RJ11,6P4C,4芯纯铜,100颗/包</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山泽、绿联、毕亚兹、秋叶原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80029900000014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多用途电源适配器</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9V 1000mA电子开关电源国标3.5空芯插头　外径5.5MM</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联想、绿联、戴尔、毕亚兹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80029900000066</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HDMI转VGA转换器</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HDMI转VGA,带音频带供电</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飞利浦、绿联、毕亚兹、联想、威迅、松下、天敏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80030100000011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移动硬盘</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1TB/2.5英寸/USB3.0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西部数据、东芝、闪迪、联想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80030200000008</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U盘</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64GB/USB3.0（金属直插式）</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三星、金士顿、闪迪、东芝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80030300008001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液晶显示器</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技术参数：23.8英寸/HDMI+VGA</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联想、HKC、AOC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80030400000003</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键鼠套装</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USB接口</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罗技、联想、戴尔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80030400000028</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无线键鼠套装</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蓝牙或无线</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罗技、雷柏、联想、戴尔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80030500000035</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固态硬盘</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960G/SATA3接口</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三星、金士顿、闪迪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80030500000091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台式机内存条</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DDR4代 2400 8GB</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金士顿、三星、威刚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80030500000215</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无线网卡</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300M无线USB</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TP-LINK、水星、FAST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80030500000260</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台式机电源</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额定550W，主动PFC,80PLUS铜牌</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航嘉、长城、台达、海韵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80030600000022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便携式标签打印机</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爱普生LW-700</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爱普生、硕方、锦宫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80030800000007</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漫步者 R19U</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漫步者、飞利浦、山水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80039900000004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多功能合一读卡器</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USB3.0/支持SD/TF/CF/MS</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SSK、绿联、品胜、绿巨能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81010100008001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标签色带</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普贴PTe-231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适用于爱普生、锦宫牌便携式标签打印机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81010100008002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标签色带</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普贴PTe-241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适用于爱普生、锦宫牌便携式标签打印机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81010100008003</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标签色带</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普贴PTe-251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适用于爱普生、锦宫牌便携式标签打印机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81010100008004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标签色带</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普贴PTe-431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适用于爱普生、锦宫牌便携式标签打印机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81010100008005</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标签色带</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普贴PTe-441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适用于爱普生、锦宫牌便携式标签打印机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81010100008006</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标签色带</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普贴PTe-451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适用于爱普生、锦宫牌便携式标签打印机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81010100008007</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标签色带</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普贴PTe-531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适用于爱普生、锦宫牌便携式标签打印机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81010100008008</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标签色带</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普贴PTe-541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适用于爱普生、锦宫牌便携式标签打印机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81010100008009</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标签色带</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普贴PTe-551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适用于爱普生、锦宫牌便携式标签打印机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81010100008010</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标签色带</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普贴PTe-631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适用于爱普生、锦宫牌便携式标签打印机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81010100008011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标签色带</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普贴PTe-641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适用于爱普生、锦宫牌便携式标签打印机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81010100008012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标签色带</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普贴PTe-651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适用于爱普生、锦宫牌便携式标签打印机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81010100008013</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标签色带</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普贴PTe-731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适用于爱普生、锦宫牌便携式标签打印机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81010100008014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标签色带</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普贴PTe-741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适用于爱普生、锦宫牌便携式标签打印机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81010100008015</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标签色带</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普贴PTe-751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适用于爱普生、锦宫牌便携式标签打印机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81010300008001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A4墨盒</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ADDT-308S粉盒</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彩格、悦墨、天色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81010300008002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A3复合机墨盒</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ADT-308</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京呈、京昇、彩格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81010300008003</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A3彩色复印红色墨盒</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ADT225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京呈、碳宝、天威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81010300008004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A3彩色复印黄色墨盒</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ADT225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京呈、碳宝、天威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81010300008005</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A3彩色复印青色墨盒</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ADT225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京呈、碳宝、天威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81010300008006</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A3彩色复印黑色墨盒</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ADT225</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2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京呈、碳宝、天威</w:t>
            </w:r>
          </w:p>
        </w:tc>
      </w:tr>
    </w:tbl>
    <w:p>
      <w:pPr>
        <w:pStyle w:val="5"/>
        <w:ind w:left="0" w:leftChars="0" w:firstLine="0" w:firstLineChars="0"/>
        <w:jc w:val="both"/>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注：1、采购清单中的技术规格以及参照的品牌或型号、推荐品牌仅起说明作用，并没有任何限制性。投标人在投标过程中可以选用替代标准、品牌/型号，但这些替代要实质上满足或者优于采购清单的相关要求。</w:t>
      </w:r>
    </w:p>
    <w:p>
      <w:pPr>
        <w:pStyle w:val="5"/>
        <w:ind w:left="0" w:leftChars="0" w:firstLine="0" w:firstLineChars="0"/>
        <w:jc w:val="both"/>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2、采购清单</w:t>
      </w:r>
      <w:r>
        <w:rPr>
          <w:rFonts w:hint="eastAsia" w:ascii="宋体" w:hAnsi="宋体" w:eastAsia="宋体" w:cs="宋体"/>
          <w:b/>
          <w:bCs/>
          <w:color w:val="000000"/>
          <w:sz w:val="21"/>
          <w:szCs w:val="21"/>
          <w:highlight w:val="none"/>
          <w:lang w:val="zh-CN" w:eastAsia="zh-CN"/>
        </w:rPr>
        <w:t>数量为预估数量，实际采购数量以签订合同后招标人每次下达的《订货通知单》为准，</w:t>
      </w:r>
      <w:r>
        <w:rPr>
          <w:rFonts w:hint="eastAsia" w:ascii="宋体" w:hAnsi="宋体" w:eastAsia="宋体" w:cs="宋体"/>
          <w:b/>
          <w:bCs/>
          <w:color w:val="000000"/>
          <w:sz w:val="21"/>
          <w:szCs w:val="21"/>
          <w:highlight w:val="none"/>
          <w:lang w:val="en-US" w:eastAsia="zh-CN"/>
        </w:rPr>
        <w:t>并按实结算。</w:t>
      </w:r>
    </w:p>
    <w:p>
      <w:pPr>
        <w:pStyle w:val="5"/>
        <w:ind w:left="0" w:leftChars="0" w:firstLine="0" w:firstLineChars="0"/>
        <w:jc w:val="both"/>
        <w:rPr>
          <w:rFonts w:hint="eastAsia" w:ascii="宋体" w:hAnsi="宋体" w:eastAsia="宋体" w:cs="宋体"/>
          <w:b/>
          <w:bCs/>
          <w:color w:val="000000"/>
          <w:sz w:val="21"/>
          <w:szCs w:val="21"/>
          <w:highlight w:val="yellow"/>
          <w:lang w:val="en-US" w:eastAsia="zh-CN"/>
        </w:rPr>
      </w:pPr>
    </w:p>
    <w:p>
      <w:pPr>
        <w:pStyle w:val="2"/>
        <w:rPr>
          <w:rFonts w:hint="eastAsia"/>
          <w:lang w:val="en-US" w:eastAsia="zh-CN"/>
        </w:rPr>
      </w:pPr>
    </w:p>
    <w:p>
      <w:pPr>
        <w:rPr>
          <w:rFonts w:hint="eastAsia" w:ascii="宋体" w:hAnsi="Times New Roman" w:eastAsia="宋体" w:cs="Times New Roman"/>
          <w:b/>
          <w:bCs w:val="0"/>
          <w:color w:val="auto"/>
          <w:kern w:val="2"/>
          <w:sz w:val="32"/>
          <w:szCs w:val="32"/>
          <w:highlight w:val="none"/>
          <w:lang w:val="en-US" w:eastAsia="zh-CN" w:bidi="ar-SA"/>
        </w:rPr>
      </w:pPr>
      <w:bookmarkStart w:id="79" w:name="_Toc21484"/>
      <w:r>
        <w:rPr>
          <w:rFonts w:hint="eastAsia" w:ascii="宋体" w:hAnsi="Times New Roman" w:eastAsia="宋体" w:cs="Times New Roman"/>
          <w:b/>
          <w:bCs w:val="0"/>
          <w:color w:val="auto"/>
          <w:kern w:val="2"/>
          <w:sz w:val="32"/>
          <w:szCs w:val="32"/>
          <w:highlight w:val="none"/>
          <w:lang w:val="en-US" w:eastAsia="zh-CN" w:bidi="ar-SA"/>
        </w:rPr>
        <w:br w:type="page"/>
      </w:r>
    </w:p>
    <w:bookmarkEnd w:id="79"/>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pPr>
        <w:pageBreakBefore w:val="0"/>
        <w:widowControl/>
        <w:numPr>
          <w:ilvl w:val="0"/>
          <w:numId w:val="6"/>
        </w:numPr>
        <w:kinsoku/>
        <w:wordWrap/>
        <w:overflowPunct/>
        <w:topLinePunct w:val="0"/>
        <w:autoSpaceDE/>
        <w:autoSpaceDN/>
        <w:bidi w:val="0"/>
        <w:adjustRightInd/>
        <w:spacing w:before="156" w:beforeLines="50" w:after="156" w:afterLines="50" w:line="360" w:lineRule="exact"/>
        <w:ind w:left="0" w:firstLine="0"/>
        <w:jc w:val="center"/>
        <w:textAlignment w:val="baseline"/>
        <w:outlineLvl w:val="1"/>
        <w:rPr>
          <w:rFonts w:hint="eastAsia" w:ascii="宋体" w:hAnsi="宋体" w:cs="宋体"/>
          <w:b/>
          <w:color w:val="auto"/>
          <w:sz w:val="30"/>
          <w:szCs w:val="30"/>
          <w:highlight w:val="none"/>
        </w:rPr>
      </w:pPr>
      <w:r>
        <w:rPr>
          <w:rFonts w:hint="eastAsia" w:ascii="宋体" w:hAnsi="宋体" w:cs="宋体"/>
          <w:b/>
          <w:color w:val="auto"/>
          <w:sz w:val="28"/>
          <w:szCs w:val="28"/>
          <w:highlight w:val="none"/>
        </w:rPr>
        <w:t xml:space="preserve">  </w:t>
      </w:r>
      <w:bookmarkStart w:id="80" w:name="_Toc14837"/>
      <w:r>
        <w:rPr>
          <w:rFonts w:hint="eastAsia" w:ascii="宋体" w:hAnsi="宋体" w:cs="宋体"/>
          <w:b/>
          <w:color w:val="auto"/>
          <w:sz w:val="28"/>
          <w:szCs w:val="28"/>
          <w:highlight w:val="none"/>
        </w:rPr>
        <w:t>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bookmarkEnd w:id="80"/>
    </w:p>
    <w:p>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bookmarkStart w:id="81" w:name="_Toc296602498"/>
      <w:bookmarkStart w:id="82" w:name="_Toc152042388"/>
      <w:bookmarkStart w:id="83" w:name="_Toc246996996"/>
      <w:bookmarkStart w:id="84" w:name="_Toc246996253"/>
      <w:bookmarkStart w:id="85" w:name="_Toc247085768"/>
      <w:bookmarkStart w:id="86" w:name="_Toc144974578"/>
      <w:bookmarkStart w:id="87" w:name="_Toc152045610"/>
      <w:bookmarkStart w:id="88" w:name="_Toc469495742"/>
      <w:bookmarkStart w:id="89" w:name="_Toc179632628"/>
      <w:r>
        <w:rPr>
          <w:rFonts w:hint="eastAsia" w:ascii="宋体" w:hAnsi="宋体" w:cs="宋体"/>
          <w:color w:val="auto"/>
          <w:szCs w:val="21"/>
          <w:highlight w:val="none"/>
        </w:rPr>
        <w:t>买    方：                                   卖    方：</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2、采购标的、数量、质量要求</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分项报价清单详见附件。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3、合同总价</w:t>
      </w:r>
    </w:p>
    <w:p>
      <w:pPr>
        <w:pageBreakBefore w:val="0"/>
        <w:kinsoku/>
        <w:wordWrap/>
        <w:overflowPunct/>
        <w:topLinePunct w:val="0"/>
        <w:autoSpaceDE/>
        <w:autoSpaceDN/>
        <w:bidi w:val="0"/>
        <w:adjustRightInd/>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p>
    <w:p>
      <w:pPr>
        <w:pageBreakBefore w:val="0"/>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付款方式：</w:t>
      </w:r>
    </w:p>
    <w:p>
      <w:pPr>
        <w:pageBreakBefore w:val="0"/>
        <w:widowControl w:val="0"/>
        <w:kinsoku/>
        <w:wordWrap/>
        <w:overflowPunct/>
        <w:topLinePunct w:val="0"/>
        <w:autoSpaceDE/>
        <w:autoSpaceDN/>
        <w:bidi w:val="0"/>
        <w:adjustRightInd/>
        <w:snapToGrid/>
        <w:spacing w:line="38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、合同供货期：</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r>
        <w:rPr>
          <w:rFonts w:hint="eastAsia" w:ascii="宋体" w:hAnsi="宋体" w:eastAsia="宋体" w:cs="宋体"/>
          <w:color w:val="000000"/>
          <w:szCs w:val="21"/>
          <w:highlight w:val="none"/>
          <w:lang w:val="en-US" w:eastAsia="zh-CN"/>
        </w:rPr>
        <w:t>招标人指定地点。</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检验、测试和验收</w:t>
      </w:r>
      <w:r>
        <w:rPr>
          <w:rFonts w:hint="eastAsia" w:ascii="宋体" w:hAnsi="宋体" w:eastAsia="宋体" w:cs="宋体"/>
          <w:color w:val="auto"/>
          <w:szCs w:val="21"/>
          <w:highlight w:val="none"/>
        </w:rPr>
        <w:t>及违约责任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买  方：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卖  方：</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（签字）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（签字）</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地    址：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地    址：</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邮政编码：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邮政编码：</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电    话：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电    话：</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开户银行：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开户银行：</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 xml:space="preserve">帐    号：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帐    号：</w:t>
      </w:r>
    </w:p>
    <w:p>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bookmarkStart w:id="90" w:name="_Toc23596"/>
      <w:r>
        <w:rPr>
          <w:rFonts w:hint="eastAsia" w:ascii="宋体" w:hAnsi="宋体" w:cs="宋体"/>
          <w:b/>
          <w:color w:val="auto"/>
          <w:sz w:val="30"/>
          <w:szCs w:val="30"/>
          <w:highlight w:val="none"/>
        </w:rPr>
        <w:t>二  合同条款</w:t>
      </w:r>
      <w:bookmarkEnd w:id="81"/>
      <w:bookmarkEnd w:id="82"/>
      <w:bookmarkEnd w:id="83"/>
      <w:bookmarkEnd w:id="84"/>
      <w:bookmarkEnd w:id="85"/>
      <w:bookmarkEnd w:id="86"/>
      <w:bookmarkEnd w:id="87"/>
      <w:bookmarkEnd w:id="88"/>
      <w:bookmarkEnd w:id="89"/>
      <w:bookmarkEnd w:id="90"/>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pPr>
        <w:pStyle w:val="10"/>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pPr>
        <w:pStyle w:val="10"/>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pPr>
        <w:pStyle w:val="10"/>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w:t>
      </w:r>
      <w:r>
        <w:rPr>
          <w:rFonts w:hint="eastAsia" w:ascii="宋体" w:hAnsi="宋体" w:cs="宋体"/>
          <w:color w:val="auto"/>
          <w:sz w:val="21"/>
          <w:szCs w:val="21"/>
          <w:highlight w:val="none"/>
          <w:u w:val="none" w:color="000000"/>
          <w:lang w:eastAsia="zh-CN"/>
        </w:rPr>
        <w:t>买方</w:t>
      </w:r>
      <w:r>
        <w:rPr>
          <w:rFonts w:hint="eastAsia" w:ascii="宋体" w:hAnsi="宋体" w:cs="宋体"/>
          <w:color w:val="auto"/>
          <w:sz w:val="21"/>
          <w:szCs w:val="21"/>
          <w:highlight w:val="none"/>
          <w:u w:val="none" w:color="000000"/>
        </w:rPr>
        <w:t>补足。</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(2)卖方逾期交货的，应在发货前与买方协商，买方仍需求的，卖方应立即发货并应按照逾期交货部分货款的每天万分之四支付逾期交货违约金，同时承担买方因此遭致的损失费用。</w:t>
      </w:r>
    </w:p>
    <w:p>
      <w:pPr>
        <w:pStyle w:val="10"/>
        <w:overflowPunct w:val="0"/>
        <w:spacing w:line="440" w:lineRule="exact"/>
        <w:ind w:firstLine="0"/>
        <w:jc w:val="left"/>
        <w:rPr>
          <w:rFonts w:hint="default" w:eastAsia="宋体"/>
          <w:lang w:val="en-US" w:eastAsia="zh-CN"/>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3）在实际供货时，买方将随机取样送检（由买方指定的第三方权威检测机构检测），每次随机抽取品种，取样数量为：每个品种抽取1-2件产品，抽取的样品数量由卖方负责免费补充给买方，产生的检测费用、运输费等所有费用由卖方承担。若第一次检测结果劣于招标文件要求，买方有权根据检测情况提高抽样率，所有费用均由卖方自行承担，除换货外，还应按履约保证金金额的50%向买方支付违约金。如买方在供货期内两次抽样检测结果劣于招标文件要求，买方有权没收履约保证金，并有权解除本合同，因此而产生的一切费用和责任由卖方承担。</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17.履约保证金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宋体" w:hAnsi="宋体" w:cs="宋体"/>
          <w:color w:val="auto"/>
          <w:sz w:val="21"/>
          <w:szCs w:val="21"/>
          <w:highlight w:val="none"/>
          <w:u w:val="none" w:color="000000"/>
        </w:rPr>
        <w:t>(1)</w:t>
      </w:r>
      <w:r>
        <w:rPr>
          <w:rFonts w:hint="eastAsia" w:ascii="Times New Roman" w:hAnsi="Times New Roman" w:eastAsia="宋体" w:cs="Times New Roman"/>
          <w:highlight w:val="none"/>
        </w:rPr>
        <w:t>形式：</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r>
        <w:rPr>
          <w:rFonts w:hint="eastAsia" w:ascii="Times New Roman" w:hAnsi="Times New Roman" w:eastAsia="宋体" w:cs="Times New Roman"/>
          <w:highlight w:val="none"/>
        </w:rPr>
        <w:t>。</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lang w:val="en-US" w:eastAsia="zh-CN"/>
        </w:rPr>
      </w:pPr>
      <w:r>
        <w:rPr>
          <w:rFonts w:hint="eastAsia" w:ascii="Times New Roman" w:hAnsi="Times New Roman" w:eastAsia="宋体" w:cs="Times New Roman"/>
          <w:highlight w:val="none"/>
          <w:lang w:val="en-US" w:eastAsia="zh-CN"/>
        </w:rPr>
        <w:t>采用担保保</w:t>
      </w:r>
      <w:r>
        <w:rPr>
          <w:rFonts w:hint="eastAsia" w:ascii="宋体" w:hAnsi="宋体" w:cs="宋体"/>
          <w:color w:val="auto"/>
          <w:sz w:val="21"/>
          <w:szCs w:val="21"/>
          <w:highlight w:val="none"/>
          <w:u w:val="none" w:color="000000"/>
          <w:lang w:val="en-US" w:eastAsia="zh-CN"/>
        </w:rPr>
        <w:t>函、商业保险、第三方担保具体要求：须在本地的（滁州市）保险（或担保）公司或在本地（滁州市）的分支机构的保险公司（或担保公司）开具。保函或保险格式须经招标人认可。</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lang w:val="en-US" w:eastAsia="zh-CN"/>
        </w:rPr>
        <w:t>注：履约保函格式应按照《住房和城乡建设部关于印发工程保函示范文本的通知》（建市〔2021〕11号）执行。</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(2)如果卖方未能履行合同规定的任何义务，买方有权从履约保证金中取得补偿。</w:t>
      </w:r>
    </w:p>
    <w:p>
      <w:pPr>
        <w:pStyle w:val="10"/>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本合同在双方签字盖章后生效。</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(2)向买方所在地人民法院提起诉讼。</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22.合同份数。</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lang w:val="en-US" w:eastAsia="zh-CN"/>
        </w:rPr>
        <w:t>捌</w:t>
      </w:r>
      <w:r>
        <w:rPr>
          <w:rFonts w:hint="eastAsia" w:ascii="宋体" w:hAnsi="宋体" w:eastAsia="宋体" w:cs="宋体"/>
          <w:color w:val="auto"/>
          <w:szCs w:val="21"/>
          <w:highlight w:val="none"/>
        </w:rPr>
        <w:t>份，买卖双方各执</w:t>
      </w:r>
      <w:r>
        <w:rPr>
          <w:rFonts w:hint="eastAsia" w:ascii="宋体" w:hAnsi="宋体" w:eastAsia="宋体" w:cs="宋体"/>
          <w:color w:val="auto"/>
          <w:szCs w:val="21"/>
          <w:highlight w:val="none"/>
          <w:lang w:val="en-US" w:eastAsia="zh-CN"/>
        </w:rPr>
        <w:t>肆</w:t>
      </w:r>
      <w:r>
        <w:rPr>
          <w:rFonts w:hint="eastAsia" w:ascii="宋体" w:hAnsi="宋体" w:eastAsia="宋体" w:cs="宋体"/>
          <w:color w:val="auto"/>
          <w:szCs w:val="21"/>
          <w:highlight w:val="none"/>
        </w:rPr>
        <w:t>份。</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23.未尽事宜</w:t>
      </w:r>
    </w:p>
    <w:p>
      <w:pPr>
        <w:pStyle w:val="1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本合同未尽事宜应按《中华人民共和国招标投标法》、《中华人民共和国民法典》、《中华人民共和国产品质量法》之规定解释。</w:t>
      </w:r>
    </w:p>
    <w:p>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2"/>
        <w:rPr>
          <w:rFonts w:hint="eastAsia"/>
          <w:highlight w:val="none"/>
          <w:lang w:val="en-US"/>
        </w:rPr>
      </w:pP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91" w:name="_Toc21573"/>
      <w:bookmarkEnd w:id="91"/>
      <w:bookmarkStart w:id="92"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92"/>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93" w:name="_Toc19336_WPSOffice_Level2"/>
      <w:bookmarkEnd w:id="93"/>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94" w:name="_Toc7180_WPSOffice_Level3"/>
      <w:bookmarkEnd w:id="94"/>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95" w:name="_Toc14710_WPSOffice_Level1"/>
      <w:bookmarkEnd w:id="95"/>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（2）投标人有效的营业执照、税务登记证、组织机构代码证（或三合一证书）</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szCs w:val="21"/>
          <w:highlight w:val="none"/>
        </w:rPr>
        <w:t>诚信投标承诺书（格式见附件）</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4</w:t>
      </w:r>
      <w:r>
        <w:rPr>
          <w:rFonts w:hint="eastAsia" w:ascii="宋体"/>
          <w:szCs w:val="21"/>
          <w:highlight w:val="none"/>
        </w:rPr>
        <w:t>）</w:t>
      </w:r>
      <w:r>
        <w:rPr>
          <w:rFonts w:hint="eastAsia" w:ascii="宋体"/>
          <w:szCs w:val="21"/>
          <w:highlight w:val="none"/>
          <w:lang w:val="en-US" w:eastAsia="zh-CN"/>
        </w:rPr>
        <w:t>服务承诺书（格式见附件）；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（5）开标一览表（格式见附件）；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rPr>
      </w:pPr>
      <w:r>
        <w:rPr>
          <w:rFonts w:hint="eastAsia" w:ascii="宋体" w:hAnsi="Calibri" w:eastAsia="宋体" w:cs="宋体"/>
          <w:color w:val="000000"/>
          <w:kern w:val="0"/>
          <w:sz w:val="21"/>
          <w:szCs w:val="21"/>
          <w:highlight w:val="none"/>
          <w:u w:color="000000"/>
          <w:lang w:val="en-US" w:eastAsia="zh-CN" w:bidi="ar"/>
        </w:rPr>
        <w:t>（6）投标函（格式见附件）；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szCs w:val="21"/>
          <w:highlight w:val="none"/>
          <w:lang w:val="en-US" w:eastAsia="zh-CN"/>
        </w:rPr>
      </w:pPr>
      <w:r>
        <w:rPr>
          <w:rFonts w:hint="eastAsia" w:ascii="宋体" w:hAnsi="Calibri" w:eastAsia="宋体" w:cs="宋体"/>
          <w:color w:val="000000"/>
          <w:kern w:val="0"/>
          <w:sz w:val="21"/>
          <w:szCs w:val="21"/>
          <w:highlight w:val="none"/>
          <w:u w:color="000000"/>
          <w:lang w:val="en-US" w:eastAsia="zh-CN" w:bidi="ar"/>
        </w:rPr>
        <w:t>（7）分项报价清单（格式见附件）；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8）</w:t>
      </w:r>
      <w:r>
        <w:rPr>
          <w:rFonts w:hint="eastAsia" w:ascii="宋体"/>
          <w:szCs w:val="21"/>
          <w:highlight w:val="none"/>
        </w:rPr>
        <w:t>投标人认为需要提供的其他证明材料。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pStyle w:val="30"/>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r>
        <w:rPr>
          <w:rFonts w:hint="eastAsia" w:ascii="宋体"/>
          <w:color w:val="auto"/>
          <w:sz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bookmarkStart w:id="96" w:name="_Toc425084385"/>
      <w:bookmarkStart w:id="97" w:name="_Toc451384148"/>
      <w:r>
        <w:rPr>
          <w:rFonts w:hint="eastAsia" w:ascii="宋体" w:hAnsi="宋体"/>
          <w:color w:val="000000"/>
          <w:szCs w:val="21"/>
        </w:rPr>
        <w:t>一、将遵循公</w:t>
      </w:r>
      <w:bookmarkStart w:id="98" w:name="_Toc506107356"/>
      <w:bookmarkStart w:id="99" w:name="_Toc503196197"/>
      <w:bookmarkStart w:id="100" w:name="_Toc26598"/>
      <w:r>
        <w:rPr>
          <w:rFonts w:hint="eastAsia" w:ascii="宋体" w:hAnsi="宋体"/>
          <w:color w:val="000000"/>
          <w:szCs w:val="21"/>
        </w:rPr>
        <w:t>开、公正和诚实信用</w:t>
      </w:r>
      <w:bookmarkEnd w:id="98"/>
      <w:bookmarkEnd w:id="99"/>
      <w:r>
        <w:rPr>
          <w:rFonts w:hint="eastAsia" w:ascii="宋体" w:hAnsi="宋体"/>
          <w:color w:val="000000"/>
          <w:szCs w:val="21"/>
        </w:rPr>
        <w:t>的</w:t>
      </w:r>
      <w:bookmarkEnd w:id="100"/>
      <w:r>
        <w:rPr>
          <w:rFonts w:hint="eastAsia" w:ascii="宋体" w:hAnsi="宋体"/>
          <w:color w:val="000000"/>
          <w:szCs w:val="21"/>
        </w:rPr>
        <w:t>原则自愿参加</w:t>
      </w:r>
      <w:r>
        <w:rPr>
          <w:rFonts w:hint="eastAsia" w:ascii="宋体" w:hAnsi="宋体"/>
          <w:color w:val="000000"/>
          <w:szCs w:val="21"/>
          <w:u w:val="single"/>
        </w:rPr>
        <w:t xml:space="preserve">                     （项目名称）</w:t>
      </w:r>
      <w:r>
        <w:rPr>
          <w:rFonts w:hint="eastAsia" w:ascii="宋体" w:hAnsi="宋体"/>
          <w:color w:val="000000"/>
          <w:szCs w:val="21"/>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rPr>
      </w:pPr>
      <w:r>
        <w:rPr>
          <w:rFonts w:hint="eastAsia" w:ascii="宋体" w:hAnsi="宋体"/>
          <w:color w:val="000000"/>
          <w:szCs w:val="21"/>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rPr>
      </w:pPr>
      <w:r>
        <w:rPr>
          <w:rFonts w:hint="eastAsia" w:ascii="宋体" w:hAnsi="宋体"/>
          <w:color w:val="000000"/>
          <w:szCs w:val="21"/>
        </w:rPr>
        <w:t>六、</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rPr>
        <w:t>没有下列情形： 1、被人民法院列入失信被执行人的；2、我公司及其法定代表人、拟任项目经理（建造师）前三年被人民检察院列入行贿犯罪档案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九、保证中标之后，按照投标文件承诺派驻管理人员及投入机械设备，如有违反，同意接受建设单位违约处罚；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lang w:eastAsia="zh-CN"/>
        </w:rPr>
      </w:pPr>
      <w:r>
        <w:rPr>
          <w:rFonts w:hint="eastAsia" w:ascii="宋体" w:hAnsi="宋体"/>
          <w:color w:val="000000"/>
          <w:szCs w:val="21"/>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 xml:space="preserve"> 以上内容我已仔细阅读，本公司若有违反承诺内容的行为，自愿接受取消投标或者中标资格、记入不良行为记录、投标保证金不予退还等有关处理，愿意承担法律责任，给招标人造成损失的，承担赔偿责任。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96"/>
    <w:bookmarkEnd w:id="97"/>
    <w:p>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4"/>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rPr>
        <w:t>根据你方招</w:t>
      </w:r>
      <w:bookmarkStart w:id="101" w:name="_Toc60061591"/>
      <w:r>
        <w:rPr>
          <w:rFonts w:hint="eastAsia" w:ascii="宋体" w:hAnsi="宋体" w:eastAsia="宋体" w:cs="宋体"/>
          <w:color w:val="000000"/>
          <w:sz w:val="24"/>
          <w:szCs w:val="24"/>
        </w:rPr>
        <w:t>标项目编号为</w:t>
      </w:r>
      <w:r>
        <w:rPr>
          <w:rFonts w:hint="eastAsia" w:ascii="宋体" w:hAnsi="宋体" w:eastAsia="宋体" w:cs="宋体"/>
          <w:color w:val="000000"/>
          <w:sz w:val="24"/>
          <w:szCs w:val="24"/>
          <w:u w:val="single"/>
        </w:rPr>
        <w:t xml:space="preserve">  </w:t>
      </w:r>
      <w:bookmarkEnd w:id="101"/>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的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lang w:val="en-US" w:eastAsia="zh-CN"/>
        </w:rPr>
        <w:t>采购</w:t>
      </w:r>
      <w:r>
        <w:rPr>
          <w:rFonts w:hint="eastAsia" w:ascii="宋体" w:hAnsi="宋体" w:eastAsia="宋体" w:cs="宋体"/>
          <w:color w:val="000000"/>
          <w:sz w:val="24"/>
          <w:szCs w:val="24"/>
        </w:rPr>
        <w:t>清单和其他有关文件后，我方愿以 （币种，金额、单位）</w:t>
      </w:r>
      <w:r>
        <w:rPr>
          <w:rFonts w:hint="eastAsia" w:ascii="宋体" w:hAnsi="宋体" w:eastAsia="宋体" w:cs="宋体"/>
          <w:color w:val="000000"/>
          <w:sz w:val="24"/>
          <w:szCs w:val="24"/>
          <w:u w:val="single"/>
        </w:rPr>
        <w:t xml:space="preserve"> 人民币           元</w:t>
      </w:r>
      <w:r>
        <w:rPr>
          <w:rFonts w:hint="eastAsia" w:ascii="宋体" w:hAnsi="宋体" w:eastAsia="宋体" w:cs="宋体"/>
          <w:color w:val="000000"/>
          <w:sz w:val="24"/>
          <w:szCs w:val="24"/>
        </w:rPr>
        <w:t>的投标总报价承包上述</w:t>
      </w:r>
      <w:r>
        <w:rPr>
          <w:rFonts w:hint="eastAsia" w:ascii="宋体" w:hAnsi="宋体" w:eastAsia="宋体" w:cs="宋体"/>
          <w:color w:val="000000"/>
          <w:sz w:val="24"/>
          <w:szCs w:val="24"/>
          <w:lang w:val="en-US" w:eastAsia="zh-CN"/>
        </w:rPr>
        <w:t>项目</w:t>
      </w:r>
      <w:r>
        <w:rPr>
          <w:rFonts w:hint="eastAsia" w:ascii="宋体" w:hAnsi="宋体" w:eastAsia="宋体" w:cs="宋体"/>
          <w:color w:val="000000"/>
          <w:sz w:val="24"/>
          <w:szCs w:val="24"/>
        </w:rPr>
        <w:t>，并承担任何质量缺陷保修责任。</w:t>
      </w:r>
    </w:p>
    <w:p>
      <w:pPr>
        <w:tabs>
          <w:tab w:val="left" w:pos="840"/>
        </w:tabs>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rPr>
        <w:t>我方已详细审核全部招标文件及有关附件，承诺招标文件及有关附件中所有条款。</w:t>
      </w:r>
    </w:p>
    <w:p>
      <w:pPr>
        <w:spacing w:line="5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、一旦我方中标，我方保证</w:t>
      </w:r>
      <w:r>
        <w:rPr>
          <w:rFonts w:hint="eastAsia" w:ascii="宋体" w:hAnsi="宋体" w:eastAsia="宋体" w:cs="宋体"/>
          <w:b w:val="0"/>
          <w:bCs w:val="0"/>
          <w:color w:val="000000"/>
          <w:kern w:val="0"/>
          <w:sz w:val="24"/>
          <w:szCs w:val="24"/>
          <w:highlight w:val="none"/>
          <w:u w:color="000000"/>
          <w:lang w:val="en-US" w:eastAsia="zh-CN" w:bidi="ar"/>
        </w:rPr>
        <w:t>按照招标人要求分批次供货，自接到招标人订货通知起</w:t>
      </w:r>
      <w:r>
        <w:rPr>
          <w:rFonts w:hint="eastAsia" w:ascii="宋体" w:hAnsi="宋体" w:eastAsia="宋体" w:cs="宋体"/>
          <w:b w:val="0"/>
          <w:bCs w:val="0"/>
          <w:color w:val="000000"/>
          <w:kern w:val="0"/>
          <w:sz w:val="24"/>
          <w:szCs w:val="24"/>
          <w:highlight w:val="none"/>
          <w:u w:val="single" w:color="auto"/>
          <w:lang w:val="en-US" w:eastAsia="zh-CN" w:bidi="ar"/>
        </w:rPr>
        <w:t xml:space="preserve">      </w:t>
      </w:r>
      <w:r>
        <w:rPr>
          <w:rFonts w:hint="eastAsia" w:ascii="宋体" w:hAnsi="宋体" w:eastAsia="宋体" w:cs="宋体"/>
          <w:b w:val="0"/>
          <w:bCs w:val="0"/>
          <w:color w:val="000000"/>
          <w:kern w:val="0"/>
          <w:sz w:val="24"/>
          <w:szCs w:val="24"/>
          <w:highlight w:val="none"/>
          <w:u w:color="000000"/>
          <w:lang w:val="en-US" w:eastAsia="zh-CN" w:bidi="ar"/>
        </w:rPr>
        <w:t>个日历天内完成该批次供货</w:t>
      </w:r>
      <w:r>
        <w:rPr>
          <w:rFonts w:hint="eastAsia" w:ascii="宋体" w:hAnsi="宋体" w:eastAsia="宋体" w:cs="宋体"/>
          <w:color w:val="000000"/>
          <w:sz w:val="24"/>
          <w:szCs w:val="24"/>
        </w:rPr>
        <w:t>。</w:t>
      </w:r>
    </w:p>
    <w:p>
      <w:pPr>
        <w:spacing w:line="5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随本投标书，我方同时按照招标文件的要求提交投标保证金。如果我方在本投标书有效期内撤销投标书，或在招标文件规定时间内未能或拒绝签订合同书，或自行转标，贵单位有权不予退还投标保证金，并另选中标单位。</w:t>
      </w:r>
    </w:p>
    <w:p>
      <w:pPr>
        <w:spacing w:line="5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5、如果我方中标我方将按照招标文件的规定提交履约担保。工程验收合格后，方可退还。</w:t>
      </w:r>
    </w:p>
    <w:p>
      <w:pPr>
        <w:spacing w:line="5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6、我方承诺在招标文件规定的投标有效期内不撤销投标文件。</w:t>
      </w:r>
    </w:p>
    <w:p>
      <w:pPr>
        <w:spacing w:line="500" w:lineRule="exact"/>
        <w:ind w:firstLine="480" w:firstLineChars="200"/>
        <w:jc w:val="left"/>
        <w:rPr>
          <w:rFonts w:hint="eastAsia" w:ascii="宋体" w:hAnsi="宋体" w:eastAsia="宋体" w:cs="宋体"/>
          <w:sz w:val="24"/>
          <w:szCs w:val="24"/>
          <w:highlight w:val="none"/>
          <w:lang w:val="en-US"/>
        </w:rPr>
      </w:pPr>
      <w:r>
        <w:rPr>
          <w:rFonts w:hint="eastAsia" w:ascii="宋体" w:hAnsi="宋体" w:eastAsia="宋体" w:cs="宋体"/>
          <w:color w:val="000000"/>
          <w:sz w:val="24"/>
          <w:szCs w:val="24"/>
        </w:rPr>
        <w:t>7、我单位提供如下通讯地址：</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电子邮箱（地址），确认本项目相关法律文书均通过提供的以上地址送达，相关文书只要发送至以上电子邮箱（地址）即视为送达，投标人愿意承担一切法律后果。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right="0"/>
        <w:jc w:val="both"/>
        <w:rPr>
          <w:rFonts w:hint="eastAsia" w:ascii="宋体" w:hAnsi="宋体" w:eastAsia="宋体" w:cs="宋体"/>
          <w:color w:val="000000"/>
          <w:kern w:val="0"/>
          <w:sz w:val="24"/>
          <w:szCs w:val="24"/>
          <w:highlight w:val="none"/>
          <w:u w:color="000000"/>
          <w:lang w:val="en-US" w:eastAsia="zh-CN" w:bidi="ar"/>
        </w:rPr>
      </w:pPr>
    </w:p>
    <w:p>
      <w:pPr>
        <w:keepNext w:val="0"/>
        <w:keepLines w:val="0"/>
        <w:widowControl/>
        <w:suppressLineNumbers w:val="0"/>
        <w:spacing w:before="0" w:beforeAutospacing="0" w:after="0" w:afterAutospacing="0" w:line="440" w:lineRule="exact"/>
        <w:ind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right="0"/>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t>附件6</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0"/>
        <w:tblW w:w="8853" w:type="dxa"/>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242"/>
        <w:gridCol w:w="784"/>
        <w:gridCol w:w="782"/>
        <w:gridCol w:w="898"/>
        <w:gridCol w:w="1368"/>
        <w:gridCol w:w="10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产品名称</w:t>
            </w:r>
          </w:p>
        </w:tc>
        <w:tc>
          <w:tcPr>
            <w:tcW w:w="124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规格型号</w:t>
            </w:r>
          </w:p>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品牌</w:t>
            </w:r>
            <w:r>
              <w:rPr>
                <w:rFonts w:hint="eastAsia" w:ascii="宋体" w:hAnsi="宋体"/>
                <w:color w:val="000000"/>
                <w:szCs w:val="21"/>
                <w:highlight w:val="none"/>
                <w:lang w:eastAsia="zh-CN"/>
              </w:rPr>
              <w:t>（</w:t>
            </w:r>
            <w:r>
              <w:rPr>
                <w:rFonts w:hint="eastAsia" w:ascii="宋体"/>
                <w:color w:val="000000"/>
                <w:szCs w:val="21"/>
                <w:highlight w:val="none"/>
              </w:rPr>
              <w:t>生产厂家</w:t>
            </w:r>
            <w:r>
              <w:rPr>
                <w:rFonts w:hint="eastAsia" w:ascii="宋体" w:hAnsi="宋体"/>
                <w:color w:val="000000"/>
                <w:szCs w:val="21"/>
                <w:highlight w:val="none"/>
                <w:lang w:eastAsia="zh-CN"/>
              </w:rPr>
              <w:t>）</w:t>
            </w:r>
          </w:p>
        </w:tc>
        <w:tc>
          <w:tcPr>
            <w:tcW w:w="784"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782"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数量</w:t>
            </w: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 价（元）</w:t>
            </w:r>
          </w:p>
        </w:tc>
        <w:tc>
          <w:tcPr>
            <w:tcW w:w="1368"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合 价（元）</w:t>
            </w:r>
          </w:p>
        </w:tc>
        <w:tc>
          <w:tcPr>
            <w:tcW w:w="1098" w:type="dxa"/>
            <w:noWrap w:val="0"/>
            <w:vAlign w:val="center"/>
          </w:tcPr>
          <w:p>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1</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2</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8"/>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r>
              <w:rPr>
                <w:rFonts w:hint="eastAsia" w:ascii="宋体" w:hAnsi="宋体"/>
                <w:b/>
                <w:color w:val="000000"/>
                <w:sz w:val="24"/>
                <w:highlight w:val="none"/>
              </w:rPr>
              <w:t>投标报价（1+2+..+</w:t>
            </w:r>
            <w:r>
              <w:rPr>
                <w:rFonts w:hint="eastAsia" w:ascii="宋体" w:hAnsi="宋体"/>
                <w:b/>
                <w:color w:val="000000"/>
                <w:sz w:val="24"/>
                <w:highlight w:val="none"/>
                <w:lang w:val="en-US" w:eastAsia="zh-CN"/>
              </w:rPr>
              <w:t>58+59</w:t>
            </w:r>
            <w:r>
              <w:rPr>
                <w:rFonts w:hint="eastAsia" w:ascii="宋体" w:hAnsi="宋体"/>
                <w:b/>
                <w:color w:val="000000"/>
                <w:sz w:val="24"/>
                <w:highlight w:val="none"/>
              </w:rPr>
              <w:t>）：</w:t>
            </w:r>
            <w:r>
              <w:rPr>
                <w:rFonts w:hint="eastAsia" w:ascii="宋体" w:hAnsi="宋体"/>
                <w:b/>
                <w:color w:val="000000"/>
                <w:sz w:val="24"/>
                <w:highlight w:val="none"/>
                <w:u w:val="single"/>
              </w:rPr>
              <w:t xml:space="preserve">               </w:t>
            </w:r>
            <w:r>
              <w:rPr>
                <w:rFonts w:hint="eastAsia" w:ascii="宋体" w:hAnsi="宋体"/>
                <w:b/>
                <w:color w:val="000000"/>
                <w:sz w:val="24"/>
                <w:highlight w:val="none"/>
              </w:rPr>
              <w:t>元；小写：</w:t>
            </w:r>
            <w:r>
              <w:rPr>
                <w:rFonts w:hint="eastAsia" w:ascii="宋体" w:hAnsi="宋体"/>
                <w:b/>
                <w:color w:val="000000"/>
                <w:sz w:val="24"/>
                <w:highlight w:val="none"/>
                <w:u w:val="single"/>
              </w:rPr>
              <w:t xml:space="preserve">         </w:t>
            </w:r>
            <w:r>
              <w:rPr>
                <w:rFonts w:hint="eastAsia" w:ascii="宋体" w:hAnsi="宋体"/>
                <w:b/>
                <w:color w:val="000000"/>
                <w:sz w:val="24"/>
                <w:highlight w:val="none"/>
              </w:rPr>
              <w:t xml:space="preserve"> 元；（填入投标函和开标一览表）</w:t>
            </w:r>
          </w:p>
        </w:tc>
      </w:tr>
    </w:tbl>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b/>
          <w:color w:val="000000"/>
          <w:szCs w:val="21"/>
          <w:highlight w:val="none"/>
        </w:rPr>
      </w:pPr>
      <w:r>
        <w:rPr>
          <w:rFonts w:hint="eastAsia" w:ascii="宋体" w:hAnsi="宋体" w:cs="宋体"/>
          <w:color w:val="000000"/>
          <w:szCs w:val="21"/>
          <w:highlight w:val="none"/>
          <w:lang w:val="zh-CN"/>
        </w:rPr>
        <w:t>注：1.所有投标只能选择一种方案，单价和合价的报价只能是唯一，且须列出详细的分项报价。</w:t>
      </w:r>
      <w:r>
        <w:rPr>
          <w:rFonts w:hint="eastAsia" w:ascii="宋体"/>
          <w:b/>
          <w:color w:val="000000"/>
          <w:szCs w:val="21"/>
          <w:highlight w:val="none"/>
        </w:rPr>
        <w:t>（与采购清单项相一致，不得缺项，否则</w:t>
      </w:r>
      <w:r>
        <w:rPr>
          <w:rFonts w:hint="eastAsia" w:ascii="宋体" w:hAnsi="宋体"/>
          <w:b/>
          <w:color w:val="000000"/>
          <w:szCs w:val="21"/>
          <w:highlight w:val="none"/>
        </w:rPr>
        <w:t>视同包含在其他项目</w:t>
      </w:r>
      <w:r>
        <w:rPr>
          <w:rFonts w:hint="eastAsia" w:ascii="宋体"/>
          <w:b/>
          <w:color w:val="000000"/>
          <w:szCs w:val="21"/>
          <w:highlight w:val="none"/>
        </w:rPr>
        <w:t>。）</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2.投标报价采用综合单价法，</w:t>
      </w:r>
      <w:r>
        <w:rPr>
          <w:rFonts w:hint="eastAsia" w:ascii="宋体" w:hAnsi="宋体" w:eastAsia="宋体" w:cs="宋体"/>
          <w:color w:val="000000"/>
          <w:szCs w:val="21"/>
          <w:highlight w:val="none"/>
          <w:lang w:val="en-US" w:eastAsia="zh-CN"/>
        </w:rPr>
        <w:t>综合</w:t>
      </w:r>
      <w:r>
        <w:rPr>
          <w:rFonts w:hint="eastAsia" w:ascii="宋体" w:hAnsi="宋体" w:eastAsia="宋体" w:cs="宋体"/>
          <w:color w:val="000000"/>
          <w:szCs w:val="21"/>
          <w:highlight w:val="none"/>
          <w:lang w:val="zh-CN"/>
        </w:rPr>
        <w:t>单价包括</w:t>
      </w:r>
      <w:r>
        <w:rPr>
          <w:rFonts w:hint="eastAsia" w:ascii="宋体" w:hAnsi="宋体" w:eastAsia="宋体" w:cs="宋体"/>
          <w:color w:val="000000"/>
          <w:szCs w:val="21"/>
          <w:highlight w:val="none"/>
          <w:lang w:val="en-US" w:eastAsia="zh-CN"/>
        </w:rPr>
        <w:t>完成本项目全部供货及服务的一切费用：</w:t>
      </w:r>
      <w:r>
        <w:rPr>
          <w:rFonts w:hint="eastAsia" w:ascii="宋体" w:hAnsi="Times New Roman" w:eastAsia="宋体" w:cs="Times New Roman"/>
          <w:color w:val="000000"/>
          <w:szCs w:val="21"/>
          <w:highlight w:val="none"/>
          <w:lang w:val="en-US" w:eastAsia="zh-CN"/>
        </w:rPr>
        <w:t>包括但不限于材料费、装卸费、运输费、管理费、其他费用（如包装费、仓储费、保管费）、利润、招标代理费、专家评审费、售后服务费、税金、政策性文件规定及合同包含的所有风险和责任等、货物送至招标人指定地点前的各项应有费用。</w:t>
      </w:r>
      <w:r>
        <w:rPr>
          <w:rFonts w:hint="eastAsia" w:ascii="宋体" w:hAnsi="宋体" w:eastAsia="宋体" w:cs="宋体"/>
          <w:color w:val="000000"/>
          <w:szCs w:val="21"/>
          <w:highlight w:val="none"/>
          <w:lang w:val="zh-CN"/>
        </w:rPr>
        <w:t>投</w:t>
      </w:r>
      <w:r>
        <w:rPr>
          <w:rFonts w:hint="eastAsia" w:ascii="宋体" w:hAnsi="Times New Roman" w:eastAsia="宋体" w:cs="Times New Roman"/>
          <w:color w:val="000000"/>
          <w:szCs w:val="21"/>
          <w:highlight w:val="none"/>
        </w:rPr>
        <w:t>标时投标人必须保证报价的完整性，如有漏报，则视为优惠，中标后不允许追加费用。</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3.采购清单</w:t>
      </w:r>
      <w:r>
        <w:rPr>
          <w:rFonts w:hint="eastAsia" w:ascii="宋体" w:hAnsi="宋体" w:eastAsia="宋体" w:cs="宋体"/>
          <w:color w:val="000000"/>
          <w:szCs w:val="21"/>
          <w:highlight w:val="none"/>
          <w:lang w:val="zh-CN"/>
        </w:rPr>
        <w:t>数量为预估数量，实际采购数量以签订合同后招标人每次下达的《订货通知单》为准，</w:t>
      </w:r>
      <w:r>
        <w:rPr>
          <w:rFonts w:hint="eastAsia" w:ascii="宋体" w:hAnsi="宋体" w:eastAsia="宋体" w:cs="宋体"/>
          <w:color w:val="000000"/>
          <w:szCs w:val="21"/>
          <w:highlight w:val="none"/>
          <w:lang w:val="en-US" w:eastAsia="zh-CN"/>
        </w:rPr>
        <w:t>并按实结算。</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pStyle w:val="19"/>
        <w:widowControl/>
        <w:spacing w:before="0" w:beforeAutospacing="0" w:after="0" w:afterAutospacing="0" w:line="375" w:lineRule="atLeast"/>
        <w:ind w:left="0" w:right="0"/>
        <w:jc w:val="center"/>
        <w:outlineLvl w:val="0"/>
        <w:rPr>
          <w:b/>
          <w:bCs w:val="0"/>
          <w:sz w:val="32"/>
          <w:szCs w:val="32"/>
          <w:highlight w:val="none"/>
          <w:lang w:val="en-US"/>
        </w:rPr>
      </w:pPr>
      <w:bookmarkStart w:id="102" w:name="_Toc6275_WPSOffice_Level1"/>
      <w:bookmarkEnd w:id="102"/>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2023年滁宁城际铁路办公自动化设备及耗材采购项目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2023年3月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2"/>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2023年3月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1385A4"/>
    <w:multiLevelType w:val="singleLevel"/>
    <w:tmpl w:val="DA1385A4"/>
    <w:lvl w:ilvl="0" w:tentative="0">
      <w:start w:val="2"/>
      <w:numFmt w:val="chineseCounting"/>
      <w:suff w:val="nothing"/>
      <w:lvlText w:val="%1、"/>
      <w:lvlJc w:val="left"/>
      <w:pPr>
        <w:ind w:left="-2"/>
      </w:pPr>
      <w:rPr>
        <w:rFonts w:hint="eastAsia"/>
      </w:rPr>
    </w:lvl>
  </w:abstractNum>
  <w:abstractNum w:abstractNumId="1">
    <w:nsid w:val="F2A3468D"/>
    <w:multiLevelType w:val="singleLevel"/>
    <w:tmpl w:val="F2A3468D"/>
    <w:lvl w:ilvl="0" w:tentative="0">
      <w:start w:val="19"/>
      <w:numFmt w:val="decimal"/>
      <w:suff w:val="space"/>
      <w:lvlText w:val="%1."/>
      <w:lvlJc w:val="left"/>
    </w:lvl>
  </w:abstractNum>
  <w:abstractNum w:abstractNumId="2">
    <w:nsid w:val="F4A311EA"/>
    <w:multiLevelType w:val="singleLevel"/>
    <w:tmpl w:val="F4A311EA"/>
    <w:lvl w:ilvl="0" w:tentative="0">
      <w:start w:val="3"/>
      <w:numFmt w:val="decimal"/>
      <w:suff w:val="nothing"/>
      <w:lvlText w:val="%1．"/>
      <w:lvlJc w:val="left"/>
    </w:lvl>
  </w:abstractNum>
  <w:abstractNum w:abstractNumId="3">
    <w:nsid w:val="00000007"/>
    <w:multiLevelType w:val="singleLevel"/>
    <w:tmpl w:val="00000007"/>
    <w:lvl w:ilvl="0" w:tentative="0">
      <w:start w:val="1"/>
      <w:numFmt w:val="decimal"/>
      <w:suff w:val="nothing"/>
      <w:lvlText w:val="（%1）"/>
      <w:lvlJc w:val="left"/>
    </w:lvl>
  </w:abstractNum>
  <w:abstractNum w:abstractNumId="4">
    <w:nsid w:val="0000000B"/>
    <w:multiLevelType w:val="multilevel"/>
    <w:tmpl w:val="0000000B"/>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5">
    <w:nsid w:val="181D5CA9"/>
    <w:multiLevelType w:val="singleLevel"/>
    <w:tmpl w:val="181D5CA9"/>
    <w:lvl w:ilvl="0" w:tentative="0">
      <w:start w:val="35"/>
      <w:numFmt w:val="decimal"/>
      <w:lvlText w:val="%1."/>
      <w:lvlJc w:val="left"/>
      <w:pPr>
        <w:tabs>
          <w:tab w:val="left" w:pos="312"/>
        </w:tabs>
      </w:pPr>
    </w:lvl>
  </w:abstractNum>
  <w:abstractNum w:abstractNumId="6">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6"/>
  </w:num>
  <w:num w:numId="3">
    <w:abstractNumId w:val="5"/>
  </w:num>
  <w:num w:numId="4">
    <w:abstractNumId w:val="2"/>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6D54ED0"/>
    <w:rsid w:val="0AFF501E"/>
    <w:rsid w:val="0CEF01A1"/>
    <w:rsid w:val="0EBB3464"/>
    <w:rsid w:val="0F5A3543"/>
    <w:rsid w:val="11273F56"/>
    <w:rsid w:val="12431559"/>
    <w:rsid w:val="14334ED5"/>
    <w:rsid w:val="162403C8"/>
    <w:rsid w:val="1A2C0203"/>
    <w:rsid w:val="1B0B6A26"/>
    <w:rsid w:val="1DD7722D"/>
    <w:rsid w:val="1E474369"/>
    <w:rsid w:val="1FBE5586"/>
    <w:rsid w:val="2035457B"/>
    <w:rsid w:val="204506D8"/>
    <w:rsid w:val="20F63292"/>
    <w:rsid w:val="21391D2B"/>
    <w:rsid w:val="21FC6157"/>
    <w:rsid w:val="222D5B93"/>
    <w:rsid w:val="27427F5F"/>
    <w:rsid w:val="287E4991"/>
    <w:rsid w:val="3D7F110E"/>
    <w:rsid w:val="3D8B68BD"/>
    <w:rsid w:val="40585B1F"/>
    <w:rsid w:val="41C76417"/>
    <w:rsid w:val="42AB7679"/>
    <w:rsid w:val="42F933B2"/>
    <w:rsid w:val="440F4D94"/>
    <w:rsid w:val="44121234"/>
    <w:rsid w:val="47DC16A5"/>
    <w:rsid w:val="49560276"/>
    <w:rsid w:val="4B8A2C90"/>
    <w:rsid w:val="4C3857CB"/>
    <w:rsid w:val="4F522371"/>
    <w:rsid w:val="510E11AC"/>
    <w:rsid w:val="5523352E"/>
    <w:rsid w:val="5AB972A9"/>
    <w:rsid w:val="5AC41FE9"/>
    <w:rsid w:val="5D2B5019"/>
    <w:rsid w:val="5D7002D3"/>
    <w:rsid w:val="604D11B9"/>
    <w:rsid w:val="62C47C43"/>
    <w:rsid w:val="6509245E"/>
    <w:rsid w:val="668A652A"/>
    <w:rsid w:val="6EA934B6"/>
    <w:rsid w:val="706E041E"/>
    <w:rsid w:val="75843174"/>
    <w:rsid w:val="76B7003F"/>
    <w:rsid w:val="79757E4E"/>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2"/>
    <w:basedOn w:val="1"/>
    <w:next w:val="1"/>
    <w:link w:val="26"/>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5"/>
    <w:link w:val="24"/>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23"/>
    <w:qFormat/>
    <w:uiPriority w:val="0"/>
    <w:pPr>
      <w:spacing w:after="120" w:afterLines="0" w:afterAutospacing="0"/>
      <w:ind w:left="420" w:leftChars="200"/>
    </w:pPr>
  </w:style>
  <w:style w:type="paragraph" w:customStyle="1" w:styleId="4">
    <w:name w:val="正文文字 8"/>
    <w:basedOn w:val="1"/>
    <w:next w:val="1"/>
    <w:qFormat/>
    <w:uiPriority w:val="0"/>
    <w:pPr>
      <w:ind w:left="240"/>
    </w:pPr>
    <w:rPr>
      <w:sz w:val="16"/>
    </w:rPr>
  </w:style>
  <w:style w:type="paragraph" w:styleId="5">
    <w:name w:val="Body Text First Indent"/>
    <w:basedOn w:val="6"/>
    <w:qFormat/>
    <w:uiPriority w:val="0"/>
    <w:pPr>
      <w:adjustRightInd/>
      <w:spacing w:after="120" w:line="240" w:lineRule="auto"/>
      <w:ind w:firstLine="420" w:firstLineChars="100"/>
      <w:jc w:val="both"/>
    </w:pPr>
  </w:style>
  <w:style w:type="paragraph" w:styleId="6">
    <w:name w:val="Body Text"/>
    <w:basedOn w:val="1"/>
    <w:next w:val="7"/>
    <w:qFormat/>
    <w:uiPriority w:val="0"/>
    <w:pPr>
      <w:widowControl w:val="0"/>
      <w:snapToGrid w:val="0"/>
      <w:spacing w:line="360" w:lineRule="auto"/>
    </w:pPr>
    <w:rPr>
      <w:rFonts w:ascii="Arial" w:hAnsi="Arial" w:eastAsia="仿宋_GB2312"/>
      <w:sz w:val="31"/>
    </w:rPr>
  </w:style>
  <w:style w:type="paragraph" w:customStyle="1" w:styleId="7">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9">
    <w:name w:val="toc 7"/>
    <w:basedOn w:val="1"/>
    <w:next w:val="1"/>
    <w:qFormat/>
    <w:uiPriority w:val="39"/>
    <w:pPr>
      <w:ind w:left="1260"/>
      <w:jc w:val="left"/>
    </w:pPr>
    <w:rPr>
      <w:sz w:val="18"/>
      <w:szCs w:val="18"/>
    </w:rPr>
  </w:style>
  <w:style w:type="paragraph" w:styleId="10">
    <w:name w:val="Normal Indent"/>
    <w:basedOn w:val="1"/>
    <w:next w:val="2"/>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11">
    <w:name w:val="annotation text"/>
    <w:basedOn w:val="1"/>
    <w:qFormat/>
    <w:uiPriority w:val="0"/>
    <w:pPr>
      <w:jc w:val="left"/>
    </w:pPr>
  </w:style>
  <w:style w:type="paragraph" w:styleId="12">
    <w:name w:val="Body Text 3"/>
    <w:basedOn w:val="1"/>
    <w:qFormat/>
    <w:uiPriority w:val="0"/>
    <w:rPr>
      <w:rFonts w:ascii="宋体" w:hAnsi="Calibri" w:eastAsia="宋体" w:cs="Times New Roman"/>
      <w:sz w:val="24"/>
      <w:szCs w:val="20"/>
    </w:rPr>
  </w:style>
  <w:style w:type="paragraph" w:styleId="13">
    <w:name w:val="Plain Text"/>
    <w:basedOn w:val="1"/>
    <w:next w:val="1"/>
    <w:link w:val="28"/>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5"/>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29"/>
    <w:qFormat/>
    <w:uiPriority w:val="0"/>
    <w:pPr>
      <w:tabs>
        <w:tab w:val="center" w:pos="4153"/>
        <w:tab w:val="right" w:pos="8306"/>
      </w:tabs>
      <w:snapToGrid w:val="0"/>
      <w:jc w:val="left"/>
    </w:pPr>
    <w:rPr>
      <w:sz w:val="18"/>
    </w:rPr>
  </w:style>
  <w:style w:type="paragraph" w:styleId="16">
    <w:name w:val="envelope return"/>
    <w:basedOn w:val="1"/>
    <w:next w:val="9"/>
    <w:qFormat/>
    <w:uiPriority w:val="0"/>
    <w:pPr>
      <w:snapToGrid w:val="0"/>
    </w:pPr>
    <w:rPr>
      <w:rFonts w:ascii="Arial" w:hAnsi="Arial"/>
    </w:rPr>
  </w:style>
  <w:style w:type="paragraph" w:styleId="17">
    <w:name w:val="header"/>
    <w:basedOn w:val="1"/>
    <w:link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正文文本缩进 Char"/>
    <w:basedOn w:val="22"/>
    <w:link w:val="3"/>
    <w:qFormat/>
    <w:uiPriority w:val="0"/>
    <w:rPr>
      <w:rFonts w:hint="default" w:ascii="Times New Roman" w:hAnsi="Times New Roman" w:eastAsia="宋体" w:cs="Times New Roman"/>
      <w:color w:val="000000"/>
      <w:kern w:val="0"/>
      <w:szCs w:val="21"/>
      <w:u w:color="000000"/>
    </w:rPr>
  </w:style>
  <w:style w:type="character" w:customStyle="1" w:styleId="24">
    <w:name w:val="正文首行缩进 2 Char"/>
    <w:basedOn w:val="23"/>
    <w:link w:val="2"/>
    <w:qFormat/>
    <w:uiPriority w:val="0"/>
    <w:rPr>
      <w:rFonts w:hint="default" w:ascii="Times New Roman" w:hAnsi="Times New Roman" w:eastAsia="宋体" w:cs="Times New Roman"/>
      <w:color w:val="000000"/>
      <w:kern w:val="0"/>
      <w:szCs w:val="21"/>
      <w:u w:color="000000"/>
    </w:rPr>
  </w:style>
  <w:style w:type="character" w:customStyle="1" w:styleId="25">
    <w:name w:val="日期 Char"/>
    <w:basedOn w:val="22"/>
    <w:link w:val="14"/>
    <w:qFormat/>
    <w:uiPriority w:val="0"/>
    <w:rPr>
      <w:rFonts w:ascii="Arial" w:hAnsi="Arial" w:eastAsia="仿宋_GB2312" w:cs="Arial"/>
      <w:color w:val="000000"/>
      <w:sz w:val="32"/>
      <w:szCs w:val="32"/>
      <w:u w:color="000000"/>
    </w:rPr>
  </w:style>
  <w:style w:type="character" w:customStyle="1" w:styleId="26">
    <w:name w:val="标题 2 Char"/>
    <w:basedOn w:val="22"/>
    <w:link w:val="8"/>
    <w:qFormat/>
    <w:uiPriority w:val="0"/>
    <w:rPr>
      <w:rFonts w:hint="default" w:ascii="Times New Roman" w:hAnsi="Times New Roman" w:eastAsia="宋体" w:cs="Times New Roman"/>
      <w:kern w:val="0"/>
      <w:sz w:val="24"/>
      <w:szCs w:val="24"/>
    </w:rPr>
  </w:style>
  <w:style w:type="character" w:customStyle="1" w:styleId="27">
    <w:name w:val="页眉 Char"/>
    <w:basedOn w:val="22"/>
    <w:link w:val="17"/>
    <w:qFormat/>
    <w:uiPriority w:val="0"/>
    <w:rPr>
      <w:rFonts w:hint="default" w:ascii="Times New Roman" w:hAnsi="Times New Roman" w:eastAsia="宋体" w:cs="Times New Roman"/>
      <w:color w:val="000000"/>
      <w:kern w:val="0"/>
      <w:sz w:val="18"/>
      <w:szCs w:val="18"/>
      <w:u w:color="000000"/>
    </w:rPr>
  </w:style>
  <w:style w:type="character" w:customStyle="1" w:styleId="28">
    <w:name w:val="纯文本 Char"/>
    <w:basedOn w:val="22"/>
    <w:link w:val="13"/>
    <w:qFormat/>
    <w:uiPriority w:val="0"/>
    <w:rPr>
      <w:rFonts w:hint="eastAsia" w:ascii="宋体" w:hAnsi="宋体" w:eastAsia="宋体" w:cs="宋体"/>
      <w:szCs w:val="21"/>
    </w:rPr>
  </w:style>
  <w:style w:type="character" w:customStyle="1" w:styleId="29">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0">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1">
    <w:name w:val="List Paragraph"/>
    <w:basedOn w:val="1"/>
    <w:qFormat/>
    <w:uiPriority w:val="0"/>
    <w:pPr>
      <w:widowControl w:val="0"/>
      <w:spacing w:line="240" w:lineRule="auto"/>
      <w:ind w:firstLine="200" w:firstLineChars="200"/>
      <w:textAlignment w:val="auto"/>
    </w:pPr>
    <w:rPr>
      <w:u w:val="none" w:color="000000"/>
    </w:rPr>
  </w:style>
  <w:style w:type="character" w:customStyle="1" w:styleId="32">
    <w:name w:val="NormalCharacter"/>
    <w:semiHidden/>
    <w:qFormat/>
    <w:uiPriority w:val="0"/>
  </w:style>
  <w:style w:type="paragraph" w:customStyle="1" w:styleId="33">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4">
    <w:name w:val="font51"/>
    <w:basedOn w:val="22"/>
    <w:qFormat/>
    <w:uiPriority w:val="0"/>
    <w:rPr>
      <w:rFonts w:hint="eastAsia" w:ascii="宋体" w:hAnsi="宋体" w:eastAsia="宋体" w:cs="宋体"/>
      <w:color w:val="000000"/>
      <w:sz w:val="22"/>
      <w:szCs w:val="22"/>
      <w:u w:val="none"/>
    </w:rPr>
  </w:style>
  <w:style w:type="character" w:customStyle="1" w:styleId="35">
    <w:name w:val="font31"/>
    <w:basedOn w:val="22"/>
    <w:qFormat/>
    <w:uiPriority w:val="0"/>
    <w:rPr>
      <w:rFonts w:hint="default" w:ascii="Times New Roman" w:hAnsi="Times New Roman" w:cs="Times New Roman"/>
      <w:color w:val="000000"/>
      <w:sz w:val="22"/>
      <w:szCs w:val="22"/>
      <w:u w:val="none"/>
    </w:rPr>
  </w:style>
  <w:style w:type="character" w:customStyle="1" w:styleId="36">
    <w:name w:val="font61"/>
    <w:basedOn w:val="22"/>
    <w:qFormat/>
    <w:uiPriority w:val="0"/>
    <w:rPr>
      <w:rFonts w:hint="default" w:ascii="Times New Roman" w:hAnsi="Times New Roman" w:cs="Times New Roman"/>
      <w:color w:val="000000"/>
      <w:sz w:val="21"/>
      <w:szCs w:val="21"/>
      <w:u w:val="none"/>
    </w:rPr>
  </w:style>
  <w:style w:type="character" w:customStyle="1" w:styleId="37">
    <w:name w:val="font71"/>
    <w:basedOn w:val="22"/>
    <w:qFormat/>
    <w:uiPriority w:val="0"/>
    <w:rPr>
      <w:rFonts w:hint="eastAsia" w:ascii="宋体" w:hAnsi="宋体" w:eastAsia="宋体" w:cs="宋体"/>
      <w:color w:val="000000"/>
      <w:sz w:val="21"/>
      <w:szCs w:val="21"/>
      <w:u w:val="none"/>
    </w:rPr>
  </w:style>
  <w:style w:type="character" w:customStyle="1" w:styleId="38">
    <w:name w:val="font01"/>
    <w:basedOn w:val="22"/>
    <w:qFormat/>
    <w:uiPriority w:val="0"/>
    <w:rPr>
      <w:rFonts w:hint="eastAsia" w:ascii="宋体" w:hAnsi="宋体" w:eastAsia="宋体" w:cs="宋体"/>
      <w:color w:val="000000"/>
      <w:sz w:val="22"/>
      <w:szCs w:val="22"/>
      <w:u w:val="none"/>
    </w:rPr>
  </w:style>
  <w:style w:type="character" w:customStyle="1" w:styleId="39">
    <w:name w:val="font11"/>
    <w:basedOn w:val="22"/>
    <w:qFormat/>
    <w:uiPriority w:val="0"/>
    <w:rPr>
      <w:rFonts w:hint="eastAsia" w:ascii="宋体" w:hAnsi="宋体" w:eastAsia="宋体" w:cs="宋体"/>
      <w:color w:val="000000"/>
      <w:sz w:val="21"/>
      <w:szCs w:val="21"/>
      <w:u w:val="none"/>
    </w:rPr>
  </w:style>
  <w:style w:type="character" w:customStyle="1" w:styleId="40">
    <w:name w:val="font41"/>
    <w:basedOn w:val="22"/>
    <w:qFormat/>
    <w:uiPriority w:val="0"/>
    <w:rPr>
      <w:rFonts w:hint="default" w:ascii="Times New Roman" w:hAnsi="Times New Roman" w:cs="Times New Roman"/>
      <w:color w:val="000000"/>
      <w:sz w:val="22"/>
      <w:szCs w:val="22"/>
      <w:u w:val="none"/>
    </w:rPr>
  </w:style>
  <w:style w:type="paragraph" w:customStyle="1" w:styleId="41">
    <w:name w:val="二级标题"/>
    <w:basedOn w:val="1"/>
    <w:next w:val="1"/>
    <w:qFormat/>
    <w:uiPriority w:val="0"/>
    <w:rPr>
      <w:rFonts w:hint="eastAsia" w:eastAsia="楷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21772</Words>
  <Characters>24052</Characters>
  <Lines>0</Lines>
  <Paragraphs>0</Paragraphs>
  <TotalTime>5</TotalTime>
  <ScaleCrop>false</ScaleCrop>
  <LinksUpToDate>false</LinksUpToDate>
  <CharactersWithSpaces>26368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2023-03-20T10:07:48Z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6D9A791FE09F4AF69DC46F4A104A7358</vt:lpwstr>
  </property>
</Properties>
</file>