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滁宁城际铁路一线员工（客运服务类）皮鞋采购项目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2</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第一章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招标公告</w:t>
      </w:r>
      <w:bookmarkStart w:id="0" w:name="OLE_LINK4"/>
      <w:r>
        <w:rPr>
          <w:rFonts w:hint="eastAsia" w:ascii="宋体" w:hAnsi="宋体" w:eastAsia="宋体" w:cs="宋体"/>
          <w:color w:val="000000"/>
          <w:kern w:val="0"/>
          <w:sz w:val="24"/>
          <w:szCs w:val="24"/>
          <w:highlight w:val="none"/>
          <w:u w:color="000000"/>
          <w:lang w:val="en-US" w:eastAsia="zh-CN" w:bidi="ar"/>
        </w:rPr>
        <w:t>…………………………………………………………………</w:t>
      </w:r>
      <w:bookmarkEnd w:id="0"/>
      <w:r>
        <w:rPr>
          <w:rFonts w:hint="default" w:ascii="Times New Roman" w:hAnsi="Times New Roman" w:eastAsia="宋体" w:cs="Times New Roman"/>
          <w:color w:val="000000"/>
          <w:kern w:val="0"/>
          <w:sz w:val="21"/>
          <w:szCs w:val="21"/>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第二章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投标人须知</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4</w:t>
      </w:r>
    </w:p>
    <w:p>
      <w:pPr>
        <w:keepNext w:val="0"/>
        <w:keepLines w:val="0"/>
        <w:widowControl/>
        <w:suppressLineNumbers w:val="0"/>
        <w:spacing w:before="0" w:beforeAutospacing="0" w:after="0" w:afterAutospacing="0" w:line="720" w:lineRule="auto"/>
        <w:ind w:left="0" w:right="0"/>
        <w:jc w:val="both"/>
        <w:rPr>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第三章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评标办法 </w:t>
      </w:r>
      <w:r>
        <w:rPr>
          <w:rFonts w:hint="eastAsia" w:ascii="宋体" w:hAnsi="宋体" w:eastAsia="宋体" w:cs="宋体"/>
          <w:color w:val="000000"/>
          <w:kern w:val="0"/>
          <w:sz w:val="24"/>
          <w:szCs w:val="24"/>
          <w:highlight w:val="none"/>
          <w:u w:color="000000"/>
          <w:lang w:val="en-US" w:eastAsia="zh-CN" w:bidi="ar"/>
        </w:rPr>
        <w:t>………………………………………………………………</w:t>
      </w:r>
      <w:r>
        <w:rPr>
          <w:rFonts w:hint="default" w:ascii="Times New Roman" w:hAnsi="Times New Roman" w:eastAsia="宋体" w:cs="Times New Roman"/>
          <w:color w:val="000000"/>
          <w:kern w:val="0"/>
          <w:sz w:val="21"/>
          <w:szCs w:val="21"/>
          <w:highlight w:val="none"/>
          <w:u w:color="000000"/>
          <w:lang w:val="en-US" w:eastAsia="zh-CN" w:bidi="ar"/>
        </w:rPr>
        <w:t>1</w:t>
      </w:r>
      <w:r>
        <w:rPr>
          <w:rFonts w:hint="eastAsia" w:ascii="Times New Roman" w:hAnsi="Times New Roman" w:eastAsia="宋体" w:cs="Times New Roman"/>
          <w:color w:val="000000"/>
          <w:kern w:val="0"/>
          <w:sz w:val="21"/>
          <w:szCs w:val="21"/>
          <w:highlight w:val="none"/>
          <w:u w:color="000000"/>
          <w:lang w:val="en-US" w:eastAsia="zh-CN" w:bidi="ar"/>
        </w:rPr>
        <w:t>8</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第四章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default" w:ascii="Times New Roman" w:hAnsi="Times New Roman" w:eastAsia="宋体" w:cs="宋体"/>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用户需求书 </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26</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第五章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合同条款及格式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31</w:t>
      </w:r>
    </w:p>
    <w:p>
      <w:pPr>
        <w:keepNext w:val="0"/>
        <w:keepLines w:val="0"/>
        <w:widowControl/>
        <w:suppressLineNumbers w:val="0"/>
        <w:spacing w:before="0" w:beforeAutospacing="0" w:after="0" w:afterAutospacing="0" w:line="720" w:lineRule="auto"/>
        <w:ind w:left="0" w:right="0"/>
        <w:jc w:val="both"/>
        <w:rPr>
          <w:rFonts w:hint="eastAsia" w:ascii="Times New Roman" w:hAnsi="Times New Roman" w:eastAsia="宋体" w:cs="Times New Roman"/>
          <w:color w:val="000000"/>
          <w:kern w:val="0"/>
          <w:sz w:val="21"/>
          <w:szCs w:val="21"/>
          <w:highlight w:val="none"/>
          <w:u w:color="000000"/>
          <w:lang w:val="en-US" w:eastAsia="zh-CN" w:bidi="ar"/>
        </w:rPr>
      </w:pPr>
      <w:r>
        <w:rPr>
          <w:rFonts w:hint="eastAsia" w:ascii="Times New Roman" w:hAnsi="Times New Roman" w:eastAsia="宋体" w:cs="宋体"/>
          <w:color w:val="000000"/>
          <w:kern w:val="0"/>
          <w:sz w:val="21"/>
          <w:szCs w:val="21"/>
          <w:highlight w:val="none"/>
          <w:u w:color="000000"/>
          <w:lang w:val="en-US" w:eastAsia="zh-CN" w:bidi="ar"/>
        </w:rPr>
        <w:t>第六章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投标文件格式</w:t>
      </w:r>
      <w:r>
        <w:rPr>
          <w:rFonts w:hint="eastAsia" w:ascii="宋体" w:hAnsi="宋体" w:eastAsia="宋体" w:cs="宋体"/>
          <w:color w:val="000000"/>
          <w:kern w:val="0"/>
          <w:sz w:val="24"/>
          <w:szCs w:val="24"/>
          <w:highlight w:val="none"/>
          <w:u w:color="000000"/>
          <w:lang w:val="en-US" w:eastAsia="zh-CN" w:bidi="ar"/>
        </w:rPr>
        <w:t>……………………………………………………………</w:t>
      </w:r>
      <w:r>
        <w:rPr>
          <w:rFonts w:hint="eastAsia" w:ascii="Times New Roman" w:hAnsi="Times New Roman" w:eastAsia="宋体" w:cs="Times New Roman"/>
          <w:color w:val="000000"/>
          <w:kern w:val="0"/>
          <w:sz w:val="21"/>
          <w:szCs w:val="21"/>
          <w:highlight w:val="none"/>
          <w:u w:color="000000"/>
          <w:lang w:val="en-US" w:eastAsia="zh-CN" w:bidi="ar"/>
        </w:rPr>
        <w:t>37</w:t>
      </w:r>
    </w:p>
    <w:p>
      <w:pPr>
        <w:keepNext w:val="0"/>
        <w:keepLines w:val="0"/>
        <w:widowControl/>
        <w:suppressLineNumbers w:val="0"/>
        <w:spacing w:before="0" w:beforeAutospacing="0" w:after="0" w:afterAutospacing="0" w:line="720" w:lineRule="auto"/>
        <w:ind w:left="0" w:right="0"/>
        <w:jc w:val="both"/>
        <w:rPr>
          <w:rFonts w:hint="default"/>
          <w:highlight w:val="none"/>
          <w:lang w:val="en-US"/>
        </w:rPr>
      </w:pPr>
      <w:r>
        <w:rPr>
          <w:rFonts w:hint="eastAsia" w:ascii="Times New Roman" w:hAnsi="Times New Roman" w:eastAsia="宋体" w:cs="宋体"/>
          <w:color w:val="000000"/>
          <w:kern w:val="0"/>
          <w:sz w:val="21"/>
          <w:szCs w:val="21"/>
          <w:highlight w:val="none"/>
          <w:u w:color="000000"/>
          <w:lang w:val="en-US" w:eastAsia="zh-CN" w:bidi="ar"/>
        </w:rPr>
        <w:t>第七章</w:t>
      </w:r>
      <w:r>
        <w:rPr>
          <w:rFonts w:hint="default" w:ascii="Times New Roman" w:hAnsi="Times New Roman" w:eastAsia="宋体" w:cs="Times New Roman"/>
          <w:color w:val="000000"/>
          <w:kern w:val="0"/>
          <w:sz w:val="21"/>
          <w:szCs w:val="21"/>
          <w:highlight w:val="none"/>
          <w:u w:color="000000"/>
          <w:lang w:val="en-US" w:eastAsia="zh-CN" w:bidi="ar"/>
        </w:rPr>
        <w:t xml:space="preserve">  </w:t>
      </w:r>
      <w:r>
        <w:rPr>
          <w:rFonts w:hint="eastAsia" w:ascii="Times New Roman" w:hAnsi="Times New Roman" w:eastAsia="宋体" w:cs="宋体"/>
          <w:color w:val="000000"/>
          <w:kern w:val="0"/>
          <w:sz w:val="21"/>
          <w:szCs w:val="21"/>
          <w:highlight w:val="none"/>
          <w:u w:color="000000"/>
          <w:lang w:val="en-US" w:eastAsia="zh-CN" w:bidi="ar"/>
        </w:rPr>
        <w:t xml:space="preserve">招标人、招标代理机构对本招标文件的确认  </w:t>
      </w:r>
      <w:r>
        <w:rPr>
          <w:rFonts w:hint="eastAsia" w:ascii="宋体" w:hAnsi="宋体" w:eastAsia="宋体" w:cs="宋体"/>
          <w:color w:val="000000"/>
          <w:kern w:val="0"/>
          <w:sz w:val="24"/>
          <w:szCs w:val="24"/>
          <w:highlight w:val="none"/>
          <w:u w:color="000000"/>
          <w:lang w:val="en-US" w:eastAsia="zh-CN" w:bidi="ar"/>
        </w:rPr>
        <w:t>……………………………50</w:t>
      </w:r>
    </w:p>
    <w:p>
      <w:pPr>
        <w:rPr>
          <w:rFonts w:hint="eastAsia" w:ascii="宋体" w:hAnsi="宋体" w:eastAsia="宋体" w:cs="宋体"/>
          <w:sz w:val="28"/>
          <w:szCs w:val="28"/>
          <w:highlight w:val="none"/>
          <w:lang w:val="en-US" w:eastAsia="zh-CN" w:bidi="ar"/>
        </w:rPr>
        <w:sectPr>
          <w:pgSz w:w="11906" w:h="16838"/>
          <w:pgMar w:top="1440" w:right="1800" w:bottom="1440" w:left="1800" w:header="851" w:footer="992" w:gutter="0"/>
          <w:pgNumType w:start="1"/>
          <w:cols w:space="425" w:num="1"/>
          <w:docGrid w:type="lines" w:linePitch="312" w:charSpace="0"/>
        </w:sectPr>
      </w:pPr>
    </w:p>
    <w:p>
      <w:pPr>
        <w:pStyle w:val="18"/>
        <w:keepNext w:val="0"/>
        <w:keepLines w:val="0"/>
        <w:pageBreakBefore w:val="0"/>
        <w:widowControl/>
        <w:kinsoku/>
        <w:overflowPunct/>
        <w:topLinePunct w:val="0"/>
        <w:autoSpaceDN/>
        <w:bidi w:val="0"/>
        <w:adjustRightInd/>
        <w:snapToGrid/>
        <w:spacing w:beforeAutospacing="0" w:afterAutospacing="0" w:line="480" w:lineRule="auto"/>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bookmarkStart w:id="88" w:name="_GoBack"/>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35393621"/>
      <w:bookmarkEnd w:id="5"/>
      <w:bookmarkStart w:id="6" w:name="_Toc28359079"/>
      <w:bookmarkEnd w:id="6"/>
      <w:bookmarkStart w:id="7" w:name="_Toc28359002"/>
      <w:bookmarkEnd w:id="7"/>
      <w:bookmarkStart w:id="8" w:name="_Toc58430305"/>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滁宁城际铁路一线员工（客运服务类）皮鞋采购项目的潜在投标人应在滁州市滁宁城际铁路开发建设有限公司网站（http://czctgs.cn/）获取招标文件，并于2023年3月13日15时00分（北京时间）前递交投标文件。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项目名称：滁宁城际铁路一线员工（客运服务类）皮鞋采购项目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项目预算金额：约297000元</w:t>
      </w:r>
    </w:p>
    <w:p>
      <w:pPr>
        <w:keepNext w:val="0"/>
        <w:keepLines w:val="0"/>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297000</w:t>
      </w:r>
      <w:r>
        <w:rPr>
          <w:rFonts w:hint="eastAsia" w:ascii="宋体" w:hAnsi="宋体" w:eastAsia="宋体" w:cs="宋体"/>
          <w:b w:val="0"/>
          <w:bCs w:val="0"/>
          <w:color w:val="000000"/>
          <w:kern w:val="0"/>
          <w:sz w:val="24"/>
          <w:szCs w:val="24"/>
          <w:highlight w:val="none"/>
          <w:u w:color="000000"/>
          <w:lang w:val="en-US" w:eastAsia="zh-CN" w:bidi="ar"/>
        </w:rPr>
        <w:t>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用户需求书：详见《用户需求书》</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供货期及免费质保期：自接到招标人《订货通知单》之时起30个日历天内完成供货。免费质保期自货物验收合格之日起（从次日起算）1年。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投标人须具有独立法人资格且具有相应供货服务能力。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2023年2月21日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2023年3月13日</w:t>
      </w:r>
    </w:p>
    <w:p>
      <w:pPr>
        <w:keepNext w:val="0"/>
        <w:keepLines w:val="0"/>
        <w:pageBreakBefore w:val="0"/>
        <w:kinsoku/>
        <w:overflowPunct/>
        <w:topLinePunct w:val="0"/>
        <w:autoSpaceDE/>
        <w:autoSpaceDN/>
        <w:bidi w:val="0"/>
        <w:adjustRightInd/>
        <w:snapToGrid/>
        <w:spacing w:line="480" w:lineRule="auto"/>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58430308"/>
      <w:bookmarkEnd w:id="11"/>
      <w:bookmarkStart w:id="12" w:name="_Toc35393793"/>
      <w:bookmarkEnd w:id="12"/>
      <w:bookmarkStart w:id="13" w:name="_Toc28359082"/>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2023年3月13日15时00分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w:t>
      </w:r>
      <w:r>
        <w:rPr>
          <w:rFonts w:hint="eastAsia" w:ascii="宋体" w:hAnsi="宋体" w:cs="宋体"/>
          <w:color w:val="auto"/>
          <w:sz w:val="24"/>
          <w:szCs w:val="24"/>
          <w:highlight w:val="none"/>
          <w:lang w:val="en-US" w:eastAsia="zh-CN"/>
        </w:rPr>
        <w:t>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80" w:lineRule="auto"/>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样品递交方式：</w:t>
      </w:r>
      <w:r>
        <w:rPr>
          <w:rFonts w:hint="default" w:ascii="宋体" w:hAnsi="宋体" w:eastAsia="宋体" w:cs="宋体"/>
          <w:color w:val="000000"/>
          <w:kern w:val="0"/>
          <w:sz w:val="24"/>
          <w:szCs w:val="24"/>
          <w:highlight w:val="none"/>
          <w:u w:color="000000"/>
          <w:lang w:val="en-US" w:eastAsia="zh-CN" w:bidi="ar"/>
        </w:rPr>
        <w:t>①</w:t>
      </w:r>
      <w:r>
        <w:rPr>
          <w:rFonts w:hint="eastAsia" w:ascii="宋体" w:hAnsi="宋体" w:eastAsia="宋体" w:cs="宋体"/>
          <w:color w:val="000000"/>
          <w:kern w:val="0"/>
          <w:sz w:val="24"/>
          <w:szCs w:val="24"/>
          <w:highlight w:val="none"/>
          <w:u w:color="000000"/>
          <w:lang w:val="en-US" w:eastAsia="zh-CN" w:bidi="ar"/>
        </w:rPr>
        <w:t>本项目须将采购清单中注明“投标时须提供样品”的物品全部一次性递交，不接受样品的修改及补充，各投标人务必在规定的时间内递交，时间以招标人签收时间为准，逾期送达的将被拒绝，样品评分项按零分处理，请各投标人自行合理安排邮寄时间；</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②</w:t>
      </w:r>
      <w:r>
        <w:rPr>
          <w:rFonts w:hint="eastAsia" w:ascii="宋体" w:hAnsi="宋体" w:eastAsia="宋体" w:cs="宋体"/>
          <w:color w:val="000000"/>
          <w:kern w:val="0"/>
          <w:sz w:val="24"/>
          <w:szCs w:val="24"/>
          <w:highlight w:val="none"/>
          <w:u w:color="000000"/>
          <w:lang w:val="en-US" w:eastAsia="zh-CN" w:bidi="ar"/>
        </w:rPr>
        <w:t>样品须使用顺丰快递密封送达至规定地点，投标人邮寄单不能体现投标单位信息。样品邮寄地址：滁州市南谯区徽州路与扬子大道交叉口控制中心大楼5层 ，收件人：杭祥婷，联系方式：18755313470，未使用顺丰快递送达的或未按要求密封的将被拒绝，样品评分项按零分处理。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③</w:t>
      </w:r>
      <w:r>
        <w:rPr>
          <w:rFonts w:hint="eastAsia" w:ascii="宋体" w:hAnsi="宋体" w:eastAsia="宋体" w:cs="宋体"/>
          <w:color w:val="000000"/>
          <w:kern w:val="0"/>
          <w:sz w:val="24"/>
          <w:szCs w:val="24"/>
          <w:highlight w:val="none"/>
          <w:u w:color="000000"/>
          <w:lang w:val="en-US" w:eastAsia="zh-CN" w:bidi="ar"/>
        </w:rPr>
        <w:t>样品密封要求：样品需进行两层密封，第一层（里层）密封不能体现投标单位的任何相关信息和指向性图案标志，否则样品得分按零分处理；第二层（外层）须用密封箱密封，在密封箱中放置加盖投标单位公章的样品清单，便于区分投标单位信息及后期核对样品。若未清晰标注投标单位信息则视为未递交样品，样品评分项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④所有样品须去除所有标签及其它可以体现投标人名称的附件，不得在鞋面、鞋带、鞋舌、鞋底等任何位置出现可以推断出投标人名称的记号，否则样品得分按零分处理。</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54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⑤未中标的投标人样品在公示期结束后由未中标人自行取回或选择邮件退回（顺丰到付），逾期招标人将不负责保管；中标人提供的样品在公示期结束后封存在招标人处。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auto"/>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auto"/>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bookmarkEnd w:id="88"/>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滁宁城际铁路一线员工（客运服务类）皮鞋采购项目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供货期及免费质保期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包括但不限于滁宁城际相官车辆基地、停车场、控制中心大厦、车站等招标人指定地点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hAnsi="宋体" w:cs="宋体"/>
                <w:bCs/>
                <w:color w:val="000000"/>
                <w:szCs w:val="21"/>
                <w:highlight w:val="none"/>
                <w:lang w:val="en-US"/>
              </w:rPr>
            </w:pPr>
            <w:r>
              <w:rPr>
                <w:rFonts w:hint="eastAsia" w:hAnsi="宋体" w:cs="宋体"/>
                <w:bCs/>
                <w:color w:val="000000"/>
                <w:szCs w:val="21"/>
                <w:highlight w:val="none"/>
              </w:rPr>
              <w:t>约</w:t>
            </w:r>
            <w:r>
              <w:rPr>
                <w:rFonts w:hint="eastAsia" w:cs="宋体"/>
                <w:bCs/>
                <w:color w:val="000000"/>
                <w:szCs w:val="21"/>
                <w:highlight w:val="none"/>
                <w:lang w:val="en-US" w:eastAsia="zh-CN"/>
              </w:rPr>
              <w:t>297000元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hAnsi="宋体" w:cs="宋体"/>
                <w:bCs/>
                <w:color w:val="000000"/>
                <w:szCs w:val="21"/>
                <w:highlight w:val="none"/>
                <w:lang w:val="en-US"/>
              </w:rPr>
            </w:pPr>
            <w:r>
              <w:rPr>
                <w:rFonts w:hint="eastAsia" w:hAnsi="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297000元</w:t>
            </w:r>
            <w:r>
              <w:rPr>
                <w:rFonts w:hint="eastAsia" w:hAnsi="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eastAsia="zh-CN"/>
              </w:rPr>
              <w:t>用户需求书</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2</w:t>
            </w:r>
            <w:r>
              <w:rPr>
                <w:rFonts w:cs="Times New Roman"/>
                <w:b w:val="0"/>
                <w:bCs w:val="0"/>
                <w:highlight w:val="none"/>
              </w:rPr>
              <w:t>月</w:t>
            </w:r>
            <w:r>
              <w:rPr>
                <w:rFonts w:hint="eastAsia" w:cs="Times New Roman"/>
                <w:b w:val="0"/>
                <w:bCs w:val="0"/>
                <w:highlight w:val="none"/>
                <w:lang w:val="en-US" w:eastAsia="zh-CN"/>
              </w:rPr>
              <w:t>26</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2023年2月27日17时后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投标截止时间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13</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开标时间：2023年3月13日15时00分（北京时间）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Times New Roman" w:hAnsi="Times New Roman" w:eastAsia="宋体" w:cs="Times New Roman"/>
                <w:highlight w:val="none"/>
                <w:lang w:val="en-US" w:eastAsia="zh-CN"/>
              </w:rPr>
              <w:t>合同履行期满7日内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Times New Roman" w:hAnsi="Times New Roman" w:eastAsia="宋体" w:cs="Times New Roman"/>
                <w:highlight w:val="none"/>
                <w:lang w:val="en-US" w:eastAsia="zh-CN"/>
              </w:rPr>
              <w:t>本项目按照招标人的采购通知分批次供货，每批次货物供货完成并验收合格后，中标人提供交付货物总价相一致的有效增值税专用发票（发票按照国家税收政策开具)，且该增值税专用发票及货物明细清单经双方确认无异后，招标人于90工作日内支付合同总价（或本批次货物总价）的97%，余款自货物验收合格之日起（从次日起算）一年内无任何质量问题，由招标人90个工作日内向中标人支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highlight w:val="none"/>
                <w:lang w:val="en-US" w:eastAsia="zh-CN"/>
              </w:rPr>
            </w:pP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ascii="宋体" w:hAnsi="宋体" w:eastAsia="宋体" w:cs="宋体"/>
                <w:highlight w:val="none"/>
                <w:lang w:val="en-US" w:eastAsia="zh-CN"/>
              </w:rPr>
              <w:fldChar w:fldCharType="end"/>
            </w:r>
          </w:p>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4、中标人提供的所有货物、材料或配件必须是全新的、合格的且未曾使用过的，否则，造成的一切后果由中标人承担。</w:t>
            </w:r>
          </w:p>
          <w:p>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5、对于有损坏等未通过招标人验收合格的货物，中标人应自行清理出招标人场地并承担所有相关费用，不增加结算金额。</w:t>
            </w:r>
          </w:p>
          <w:p>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6、招标人对本项目执行过程中的所有争议拥有最终的裁决权，投标人应无条件地服从招标人的裁决，不得以任何理由提出增加本项目合同费用和延误本项目工期。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highlight w:val="none"/>
                <w:lang w:val="en-US"/>
              </w:rPr>
            </w:pPr>
            <w:r>
              <w:rPr>
                <w:rFonts w:hint="eastAsia" w:ascii="宋体" w:hAnsi="宋体" w:eastAsia="宋体" w:cs="宋体"/>
                <w:highlight w:val="none"/>
                <w:lang w:val="en-US" w:eastAsia="zh-CN"/>
              </w:rPr>
              <w:t>7、</w:t>
            </w:r>
            <w:r>
              <w:rPr>
                <w:rFonts w:hint="eastAsia" w:ascii="宋体" w:hAnsi="宋体" w:eastAsia="宋体" w:cs="宋体"/>
                <w:color w:val="auto"/>
                <w:szCs w:val="21"/>
                <w:highlight w:val="none"/>
              </w:rPr>
              <w:t>招标人将保留对中标人所提供的业绩等情况进行实地考察的权利，若考察发现有弄虚作假或发现工程存在质量等违约情形，将取消其中标资格，投标保证金不予退还，情节严重的提请相关部门对其进行处罚。</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cs="宋体"/>
          <w:color w:val="auto"/>
          <w:szCs w:val="21"/>
          <w:highlight w:val="none"/>
          <w:u w:val="single" w:color="auto"/>
        </w:rPr>
        <w:t>综合评</w:t>
      </w:r>
      <w:r>
        <w:rPr>
          <w:rFonts w:hint="eastAsia" w:ascii="宋体" w:cs="宋体"/>
          <w:color w:val="auto"/>
          <w:szCs w:val="21"/>
          <w:highlight w:val="none"/>
          <w:u w:val="single" w:color="auto"/>
          <w:lang w:val="en-US" w:eastAsia="zh-CN"/>
        </w:rPr>
        <w:t>估</w:t>
      </w:r>
      <w:r>
        <w:rPr>
          <w:rFonts w:hint="eastAsia" w:ascii="宋体" w:cs="宋体"/>
          <w:color w:val="auto"/>
          <w:szCs w:val="21"/>
          <w:highlight w:val="none"/>
          <w:u w:val="single" w:color="auto"/>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5539"/>
      <w:bookmarkEnd w:id="21"/>
      <w:bookmarkStart w:id="22" w:name="_Toc144974507"/>
      <w:bookmarkEnd w:id="22"/>
      <w:bookmarkStart w:id="23" w:name="_Toc247513962"/>
      <w:bookmarkEnd w:id="23"/>
      <w:bookmarkStart w:id="24" w:name="_Toc247527563"/>
      <w:bookmarkEnd w:id="24"/>
      <w:bookmarkStart w:id="25" w:name="_Toc152042315"/>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13.2投标人对采购内容中规定的技术参数、规格、数量和要求等必须最大限度的满足招标文件的相关要求。</w:t>
      </w:r>
    </w:p>
    <w:p>
      <w:pPr>
        <w:spacing w:line="440" w:lineRule="exact"/>
        <w:ind w:firstLine="411" w:firstLineChars="196"/>
        <w:rPr>
          <w:rFonts w:ascii="宋体"/>
          <w:bCs/>
          <w:szCs w:val="21"/>
          <w:highlight w:val="none"/>
        </w:rPr>
      </w:pPr>
      <w:r>
        <w:rPr>
          <w:rFonts w:hint="eastAsia" w:ascii="宋体"/>
          <w:bCs/>
          <w:szCs w:val="21"/>
          <w:highlight w:val="none"/>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highlight w:val="none"/>
        </w:rPr>
      </w:pPr>
      <w:r>
        <w:rPr>
          <w:rFonts w:hint="eastAsia" w:ascii="宋体"/>
          <w:szCs w:val="21"/>
          <w:highlight w:val="none"/>
        </w:rPr>
        <w:t xml:space="preserve">13.4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r>
        <w:rPr>
          <w:rFonts w:ascii="宋体" w:hAnsi="宋体" w:cs="宋体"/>
          <w:szCs w:val="21"/>
          <w:highlight w:val="none"/>
        </w:rPr>
        <w:t>为项目提供整体设计、规范编制或者项目管理、监理、检测等服务的</w:t>
      </w:r>
      <w:r>
        <w:rPr>
          <w:rFonts w:hint="eastAsia" w:ascii="宋体" w:hAnsi="宋体" w:cs="宋体"/>
          <w:szCs w:val="21"/>
          <w:highlight w:val="none"/>
          <w:lang w:eastAsia="zh-CN"/>
        </w:rPr>
        <w:t>投标人</w:t>
      </w:r>
      <w:r>
        <w:rPr>
          <w:rFonts w:ascii="宋体" w:hAnsi="宋体" w:cs="宋体"/>
          <w:szCs w:val="21"/>
          <w:highlight w:val="none"/>
        </w:rPr>
        <w:t>，不得再参加该采购项目的其他采购活动。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bookmarkStart w:id="28" w:name="_Toc10668_WPSOffice_Level3"/>
      <w:bookmarkEnd w:id="28"/>
      <w:bookmarkStart w:id="29" w:name="_Toc24655"/>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本招标文件由招标人（或其委托的代理机构）负责解释。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0" w:name="_Toc1549_WPSOffice_Level3"/>
      <w:bookmarkEnd w:id="30"/>
      <w:bookmarkStart w:id="31" w:name="_Toc9710"/>
      <w:r>
        <w:rPr>
          <w:rFonts w:hint="default" w:ascii="Times New Roman" w:hAnsi="Times New Roman" w:eastAsia="宋体" w:cs="Times New Roman"/>
          <w:b/>
          <w:bCs w:val="0"/>
          <w:color w:val="000000"/>
          <w:kern w:val="0"/>
          <w:sz w:val="21"/>
          <w:szCs w:val="21"/>
          <w:highlight w:val="none"/>
          <w:u w:color="000000"/>
          <w:lang w:val="en-US" w:eastAsia="zh-CN" w:bidi="ar"/>
        </w:rPr>
        <w:t xml:space="preserve">19. </w:t>
      </w:r>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须将采购清单中注明“投标时须提供样品”的物品全部一次性递交，不接受样品的修改及补充，各投标人务必在规定的时间内递交，时间以招标人签收时间为准，逾期送达的将被拒绝，样品评分项按零分处理，请各投标人自行合理安排邮寄时间；</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19.2样品须使用顺丰快递密封送达至规定地点，投标人邮寄单不能体现投标单位信息。样品邮寄地址：滁州市南谯区徽州路与扬子大道交叉口控制中心大楼5层 ，收件人：杭祥婷，联系方式：18755313470，未使用顺丰快递送达的或未按要求密封的将被拒绝，样品评分项按零分处理。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19.3样品密封要求：样品需进行两层密封，第一层（里层）密封不能体现投标单位的任何相关信息和指向性图案标志，否则样品得分按零分处理；第二层（外层）须用密封箱密封，在密封箱中放置加盖投标单位公章的样品清单，便于区分投标单位信息及后期核对样品。若未清晰标注投标单位信息则视为未递交样品，样品评分项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19.4所有样品须去除所有标签及其它可以体现投标人名称的附件，不得在鞋面、鞋带、鞋舌、鞋底等任何位置出现可以推断出投标人名称的记号，否则样品得分按零分处理。</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19.5未中标的投标人样品在公示期结束后由未中标人自行取回或选择邮件退回（顺丰到付），逾期招标人将不负责保管；中标人提供的样品在公示期结束后封存在招标人处。</w:t>
      </w:r>
    </w:p>
    <w:p>
      <w:pPr>
        <w:keepNext w:val="0"/>
        <w:keepLines w:val="0"/>
        <w:widowControl/>
        <w:suppressLineNumbers w:val="0"/>
        <w:spacing w:before="0" w:beforeAutospacing="0" w:after="0" w:afterAutospacing="0" w:line="400" w:lineRule="exact"/>
        <w:ind w:left="0" w:right="0" w:firstLine="420" w:firstLineChars="200"/>
        <w:jc w:val="both"/>
        <w:rPr>
          <w:rFonts w:hint="default"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19.6样品清单</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8"/>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名称</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单位</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1"/>
                <w:szCs w:val="21"/>
                <w:highlight w:val="none"/>
              </w:rPr>
            </w:pPr>
            <w:r>
              <w:rPr>
                <w:rFonts w:hint="eastAsia" w:ascii="宋体" w:hAnsi="宋体" w:cs="宋体"/>
                <w:b/>
                <w:kern w:val="0"/>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生产岗男式皮鞋</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双</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生产岗男式棉皮鞋</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双</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生产岗女式皮鞋</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双</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28" w:type="dxa"/>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kern w:val="0"/>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生产岗女式棉皮鞋</w:t>
            </w:r>
          </w:p>
        </w:tc>
        <w:tc>
          <w:tcPr>
            <w:tcW w:w="1080" w:type="dxa"/>
            <w:noWrap w:val="0"/>
            <w:vAlign w:val="top"/>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双</w:t>
            </w:r>
          </w:p>
        </w:tc>
        <w:tc>
          <w:tcPr>
            <w:tcW w:w="1080" w:type="dxa"/>
            <w:noWrap/>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r>
    </w:tbl>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注：1.未按规定提供样品或者样品提供不全的，样品评分项按零分处理。</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（1）投标文件应按第六章“投标文件格式文本”格式进行编写，如有必要，可以增加附页，作为投标文件的组成部分。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5" w:firstLineChars="25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所有货物生产成本、配件、备品备件、所有辅材及专用工具费等）、装卸费、运输费、管理费、质保期内的维修费、其他费用（如包装费、仓储费、保管费）、利润、招标代理费、专家评审费、检测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highlight w:val="none"/>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val="0"/>
          <w:color w:val="000000"/>
          <w:kern w:val="0"/>
          <w:sz w:val="21"/>
          <w:szCs w:val="21"/>
          <w:highlight w:val="none"/>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color w:val="000000"/>
          <w:kern w:val="0"/>
          <w:sz w:val="21"/>
          <w:szCs w:val="21"/>
          <w:highlight w:val="none"/>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29.</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6" w:name="_Toc15542_WPSOffice_Level3"/>
      <w:bookmarkEnd w:id="36"/>
      <w:r>
        <w:rPr>
          <w:rFonts w:hint="eastAsia" w:ascii="宋体" w:hAnsi="宋体" w:eastAsia="宋体" w:cs="宋体"/>
          <w:color w:val="000000"/>
          <w:kern w:val="0"/>
          <w:sz w:val="21"/>
          <w:szCs w:val="21"/>
          <w:highlight w:val="none"/>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numPr>
          <w:ilvl w:val="0"/>
          <w:numId w:val="1"/>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（3）宣布开标顺序（按资格证明文件、技术标文件、商务标文件顺序拆标书）；</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30.4 评标委员会应当向招标人提出书面评标报告。评标报告应当如实记载以下内容：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30.5 </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7" w:name="_Toc5272_WPSOffice_Level3"/>
      <w:bookmarkEnd w:id="37"/>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highlight w:val="none"/>
          <w:lang w:val="en-US"/>
        </w:rPr>
      </w:pPr>
      <w:r>
        <w:rPr>
          <w:rFonts w:hint="eastAsia" w:ascii="宋体" w:hAnsi="宋体" w:eastAsia="宋体" w:cs="宋体"/>
          <w:b/>
          <w:bCs/>
          <w:color w:val="000000"/>
          <w:kern w:val="0"/>
          <w:sz w:val="21"/>
          <w:szCs w:val="21"/>
          <w:highlight w:val="none"/>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highlight w:val="none"/>
          <w:u w:color="000000"/>
          <w:lang w:val="en-US" w:eastAsia="zh-CN" w:bidi="ar"/>
        </w:rPr>
        <w:t>网站（</w:t>
      </w:r>
      <w:r>
        <w:rPr>
          <w:rFonts w:hint="eastAsia" w:ascii="宋体" w:hAnsi="Calibri" w:eastAsia="宋体" w:cs="宋体"/>
          <w:b/>
          <w:bCs/>
          <w:color w:val="000000"/>
          <w:kern w:val="0"/>
          <w:sz w:val="21"/>
          <w:szCs w:val="21"/>
          <w:highlight w:val="none"/>
          <w:u w:color="000000"/>
          <w:lang w:val="en-US" w:eastAsia="zh-CN" w:bidi="ar"/>
        </w:rPr>
        <w:t xml:space="preserve"> </w:t>
      </w:r>
      <w:r>
        <w:rPr>
          <w:rFonts w:hint="eastAsia" w:ascii="宋体" w:hAnsi="宋体" w:eastAsia="宋体" w:cs="宋体"/>
          <w:b/>
          <w:bCs/>
          <w:color w:val="000000"/>
          <w:kern w:val="0"/>
          <w:sz w:val="21"/>
          <w:szCs w:val="21"/>
          <w:highlight w:val="none"/>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32.1.2中标人确定后，招标人应将中标人名单在滁州市滁宁城际铁路项目建设领导小组办公室网站（http://czctgs.cn/）予以公示。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32.2.1招标人或招标代理机构应在中标人确定之日起2个工作日内，在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highlight w:val="none"/>
          <w:u w:color="000000"/>
          <w:lang w:val="en-US" w:eastAsia="zh-CN" w:bidi="ar"/>
        </w:rPr>
        <w:t>（http://czctgs.cn/）公告中标结果并同时向中标人发出中标通知书。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32.2.2中标通知书须加盖招标人、招标代理公司公章后方可发出。</w:t>
      </w:r>
    </w:p>
    <w:p>
      <w:pPr>
        <w:keepNext w:val="0"/>
        <w:keepLines w:val="0"/>
        <w:widowControl/>
        <w:numPr>
          <w:ilvl w:val="0"/>
          <w:numId w:val="2"/>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bookmarkStart w:id="38" w:name="_Toc28864"/>
      <w:bookmarkEnd w:id="38"/>
      <w:bookmarkStart w:id="39" w:name="_Toc8453_WPSOffice_Level3"/>
      <w:r>
        <w:rPr>
          <w:rFonts w:hint="eastAsia" w:ascii="宋体" w:hAnsi="宋体" w:eastAsia="宋体" w:cs="宋体"/>
          <w:b/>
          <w:bCs w:val="0"/>
          <w:color w:val="000000"/>
          <w:kern w:val="0"/>
          <w:sz w:val="24"/>
          <w:szCs w:val="24"/>
          <w:highlight w:val="none"/>
          <w:u w:color="000000"/>
          <w:lang w:val="en-US" w:eastAsia="zh-CN" w:bidi="ar"/>
        </w:rPr>
        <w:t>（六）合同的授予</w:t>
      </w:r>
      <w:bookmarkEnd w:id="39"/>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left="0" w:right="0" w:firstLine="525" w:firstLineChars="25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highlight w:val="none"/>
          <w:lang w:val="en-US"/>
        </w:rPr>
      </w:pPr>
      <w:r>
        <w:rPr>
          <w:rFonts w:hint="eastAsia" w:ascii="宋体" w:hAnsi="宋体" w:eastAsia="宋体" w:cs="宋体"/>
          <w:color w:val="000000"/>
          <w:kern w:val="0"/>
          <w:sz w:val="21"/>
          <w:szCs w:val="21"/>
          <w:highlight w:val="none"/>
          <w:u w:color="000000"/>
          <w:lang w:val="en-US" w:eastAsia="zh-CN" w:bidi="ar"/>
        </w:rPr>
        <w:t>35.1</w:t>
      </w:r>
      <w:r>
        <w:rPr>
          <w:rFonts w:hint="eastAsia" w:ascii="宋体" w:hAnsi="Times New Roman" w:eastAsia="宋体" w:cs="宋体"/>
          <w:color w:val="000000"/>
          <w:kern w:val="0"/>
          <w:sz w:val="21"/>
          <w:szCs w:val="21"/>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招标人</w:t>
      </w:r>
      <w:r>
        <w:rPr>
          <w:rFonts w:hint="eastAsia" w:ascii="宋体" w:hAnsi="宋体" w:eastAsia="宋体" w:cs="宋体"/>
          <w:color w:val="000000"/>
          <w:spacing w:val="-6"/>
          <w:kern w:val="0"/>
          <w:sz w:val="21"/>
          <w:szCs w:val="21"/>
          <w:highlight w:val="none"/>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bCs w:val="0"/>
          <w:color w:val="000000"/>
          <w:kern w:val="0"/>
          <w:sz w:val="21"/>
          <w:szCs w:val="21"/>
          <w:highlight w:val="none"/>
          <w:u w:color="000000"/>
          <w:lang w:val="en-US" w:eastAsia="zh-CN" w:bidi="ar"/>
        </w:rPr>
        <w:t>36.</w:t>
      </w:r>
      <w:bookmarkStart w:id="41" w:name="_Toc217446068"/>
      <w:r>
        <w:rPr>
          <w:rFonts w:hint="eastAsia" w:ascii="宋体" w:hAnsi="宋体" w:eastAsia="宋体" w:cs="宋体"/>
          <w:b/>
          <w:bCs w:val="0"/>
          <w:color w:val="000000"/>
          <w:kern w:val="0"/>
          <w:sz w:val="21"/>
          <w:szCs w:val="21"/>
          <w:highlight w:val="none"/>
          <w:u w:color="000000"/>
          <w:lang w:val="en-US" w:eastAsia="zh-CN" w:bidi="ar"/>
        </w:rPr>
        <w:t xml:space="preserve"> 履约保证金</w:t>
      </w:r>
      <w:bookmarkEnd w:id="41"/>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bookmarkStart w:id="42" w:name="_Toc316_WPSOffice_Level3"/>
      <w:bookmarkEnd w:id="42"/>
      <w:bookmarkStart w:id="43" w:name="_Toc23484"/>
      <w:r>
        <w:rPr>
          <w:rFonts w:hint="eastAsia" w:ascii="宋体" w:hAnsi="宋体" w:eastAsia="宋体" w:cs="宋体"/>
          <w:color w:val="000000"/>
          <w:kern w:val="0"/>
          <w:sz w:val="21"/>
          <w:szCs w:val="21"/>
          <w:highlight w:val="none"/>
          <w:u w:color="000000"/>
          <w:lang w:val="en-US" w:eastAsia="zh-CN" w:bidi="ar"/>
        </w:rPr>
        <w:t>36.1</w:t>
      </w:r>
      <w:bookmarkEnd w:id="43"/>
      <w:r>
        <w:rPr>
          <w:rFonts w:hint="eastAsia" w:ascii="宋体" w:hAnsi="宋体" w:eastAsia="宋体" w:cs="宋体"/>
          <w:color w:val="000000"/>
          <w:kern w:val="0"/>
          <w:sz w:val="21"/>
          <w:szCs w:val="21"/>
          <w:highlight w:val="none"/>
          <w:u w:color="000000"/>
          <w:lang w:val="en-US" w:eastAsia="zh-CN" w:bidi="ar"/>
        </w:rPr>
        <w:t>见投标人须知前附表。</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highlight w:val="none"/>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（1）异议人的名称、地址、有效联系方式；</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（2）项目名称、项目编号、标段号（如有）；</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（3）被异议人名称；</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（5）明确的请求及主张；</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（6）提起异议的日期。</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41.2</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有下列情形之一的，不予受理：</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（2）对于依法必须招标的项目，未在公示期间提出异议的；</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（3）异议材料不完整的；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Times New Roman" w:eastAsia="宋体" w:cs="宋体"/>
          <w:color w:val="000000"/>
          <w:kern w:val="10"/>
          <w:sz w:val="21"/>
          <w:szCs w:val="21"/>
          <w:highlight w:val="none"/>
          <w:u w:color="000000"/>
          <w:lang w:val="en-US" w:eastAsia="zh-CN" w:bidi="ar"/>
        </w:rPr>
        <w:br w:type="textWrapping"/>
      </w:r>
      <w:r>
        <w:rPr>
          <w:rFonts w:hint="default" w:ascii="Times New Roman" w:hAnsi="Times New Roman" w:eastAsia="宋体" w:cs="Times New Roman"/>
          <w:color w:val="000000"/>
          <w:kern w:val="10"/>
          <w:sz w:val="21"/>
          <w:szCs w:val="21"/>
          <w:highlight w:val="none"/>
          <w:u w:color="000000"/>
          <w:lang w:val="en-US" w:eastAsia="zh-CN" w:bidi="ar"/>
        </w:rPr>
        <w:t xml:space="preserve">  </w:t>
      </w:r>
      <w:r>
        <w:rPr>
          <w:rFonts w:hint="eastAsia" w:ascii="宋体" w:hAnsi="宋体" w:eastAsia="宋体" w:cs="宋体"/>
          <w:color w:val="000000"/>
          <w:kern w:val="10"/>
          <w:sz w:val="21"/>
          <w:szCs w:val="21"/>
          <w:highlight w:val="none"/>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highlight w:val="none"/>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第三章  </w:t>
      </w: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4" w:name="_Toc23254"/>
      <w:bookmarkEnd w:id="44"/>
      <w:bookmarkStart w:id="45"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5"/>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6" w:name="_Toc14651"/>
      <w:bookmarkEnd w:id="46"/>
      <w:bookmarkStart w:id="47" w:name="_Toc10907_WPSOffice_Level3"/>
      <w:r>
        <w:rPr>
          <w:rFonts w:hint="eastAsia" w:ascii="黑体" w:eastAsia="黑体"/>
          <w:b/>
          <w:color w:val="auto"/>
          <w:szCs w:val="21"/>
          <w:highlight w:val="none"/>
        </w:rPr>
        <w:t>1. 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7"/>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1.1综合评</w:t>
      </w:r>
      <w:r>
        <w:rPr>
          <w:rFonts w:hint="eastAsia" w:ascii="宋体"/>
          <w:color w:val="auto"/>
          <w:szCs w:val="21"/>
          <w:highlight w:val="none"/>
          <w:lang w:val="en-US" w:eastAsia="zh-CN"/>
        </w:rPr>
        <w:t>估</w:t>
      </w:r>
      <w:r>
        <w:rPr>
          <w:rFonts w:hint="eastAsia" w:ascii="宋体"/>
          <w:color w:val="auto"/>
          <w:szCs w:val="21"/>
          <w:highlight w:val="none"/>
        </w:rPr>
        <w:t>法</w:t>
      </w:r>
      <w:r>
        <w:rPr>
          <w:rFonts w:hint="eastAsia"/>
          <w:color w:val="auto"/>
          <w:szCs w:val="21"/>
          <w:highlight w:val="none"/>
        </w:rPr>
        <w:t>是</w:t>
      </w:r>
      <w:r>
        <w:rPr>
          <w:rFonts w:hint="eastAsia" w:ascii="宋体"/>
          <w:color w:val="auto"/>
          <w:szCs w:val="21"/>
          <w:highlight w:val="none"/>
        </w:rPr>
        <w:t>指投标文件满足</w:t>
      </w:r>
      <w:r>
        <w:rPr>
          <w:rFonts w:hint="eastAsia" w:ascii="宋体"/>
          <w:color w:val="auto"/>
          <w:szCs w:val="21"/>
          <w:highlight w:val="none"/>
          <w:lang w:eastAsia="zh-CN"/>
        </w:rPr>
        <w:t>招标文件</w:t>
      </w:r>
      <w:r>
        <w:rPr>
          <w:rFonts w:hint="eastAsia" w:ascii="宋体"/>
          <w:color w:val="auto"/>
          <w:szCs w:val="21"/>
          <w:highlight w:val="none"/>
        </w:rPr>
        <w:t>全部实质性要求且按照评审因素的量化指标评审得分最高的</w:t>
      </w:r>
      <w:r>
        <w:rPr>
          <w:rFonts w:hint="eastAsia" w:ascii="宋体"/>
          <w:color w:val="auto"/>
          <w:szCs w:val="21"/>
          <w:highlight w:val="none"/>
          <w:lang w:eastAsia="zh-CN"/>
        </w:rPr>
        <w:t>投标人</w:t>
      </w:r>
      <w:r>
        <w:rPr>
          <w:rFonts w:hint="eastAsia" w:ascii="宋体"/>
          <w:color w:val="auto"/>
          <w:szCs w:val="21"/>
          <w:highlight w:val="none"/>
        </w:rPr>
        <w:t>为中标候选人的评标方法。</w:t>
      </w:r>
    </w:p>
    <w:p>
      <w:pPr>
        <w:spacing w:line="440" w:lineRule="exact"/>
        <w:ind w:firstLine="420" w:firstLineChars="200"/>
        <w:jc w:val="left"/>
        <w:rPr>
          <w:rFonts w:hint="eastAsia" w:ascii="宋体"/>
          <w:color w:val="auto"/>
          <w:szCs w:val="21"/>
          <w:highlight w:val="none"/>
        </w:rPr>
      </w:pPr>
      <w:r>
        <w:rPr>
          <w:rFonts w:hint="eastAsia" w:ascii="宋体"/>
          <w:color w:val="auto"/>
          <w:szCs w:val="21"/>
          <w:highlight w:val="none"/>
        </w:rPr>
        <w:t>1.2综合评</w:t>
      </w:r>
      <w:r>
        <w:rPr>
          <w:rFonts w:hint="eastAsia" w:ascii="宋体"/>
          <w:color w:val="auto"/>
          <w:szCs w:val="21"/>
          <w:highlight w:val="none"/>
          <w:lang w:val="en-US" w:eastAsia="zh-CN"/>
        </w:rPr>
        <w:t>估</w:t>
      </w:r>
      <w:r>
        <w:rPr>
          <w:rFonts w:hint="eastAsia" w:ascii="宋体"/>
          <w:color w:val="auto"/>
          <w:szCs w:val="21"/>
          <w:highlight w:val="none"/>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highlight w:val="none"/>
          <w:u w:color="000000"/>
          <w:lang w:val="en-US" w:eastAsia="zh-CN" w:bidi="ar"/>
        </w:rPr>
        <w:br w:type="textWrapping"/>
      </w:r>
      <w:r>
        <w:rPr>
          <w:rFonts w:hint="eastAsia" w:ascii="宋体" w:hAnsi="宋体" w:eastAsia="宋体" w:cs="宋体"/>
          <w:color w:val="000000"/>
          <w:kern w:val="0"/>
          <w:sz w:val="21"/>
          <w:szCs w:val="21"/>
          <w:highlight w:val="none"/>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p>
    <w:p>
      <w:pPr>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8" w:name="_Toc9092_WPSOffice_Level3"/>
      <w:bookmarkEnd w:id="48"/>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0"/>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投标人有效的营业执照、税务登记证、组织机构码证（或“三证合一证书”）扫描件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eastAsia" w:ascii="Times New Roman" w:hAnsi="Times New Roman" w:eastAsia="宋体" w:cs="Times New Roman"/>
                <w:color w:val="000000"/>
                <w:kern w:val="2"/>
                <w:sz w:val="21"/>
                <w:szCs w:val="21"/>
                <w:highlight w:val="none"/>
                <w:u w:color="000000"/>
                <w:lang w:val="en-US" w:eastAsia="zh-CN" w:bidi="ar"/>
              </w:rPr>
              <w:t>3</w:t>
            </w:r>
            <w:r>
              <w:rPr>
                <w:rFonts w:hint="eastAsia" w:ascii="宋体" w:hAnsi="宋体" w:eastAsia="宋体" w:cs="宋体"/>
                <w:color w:val="000000"/>
                <w:kern w:val="2"/>
                <w:sz w:val="21"/>
                <w:szCs w:val="21"/>
                <w:highlight w:val="none"/>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color w:val="000000"/>
                <w:kern w:val="2"/>
                <w:sz w:val="21"/>
                <w:szCs w:val="21"/>
                <w:highlight w:val="none"/>
                <w:u w:color="000000"/>
                <w:lang w:val="en-US" w:eastAsia="zh-CN" w:bidi="ar"/>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suppressLineNumbers w:val="0"/>
              <w:spacing w:before="0" w:beforeAutospacing="0" w:after="0" w:afterAutospacing="0" w:line="360" w:lineRule="exact"/>
              <w:ind w:left="0" w:right="0"/>
              <w:rPr>
                <w:rFonts w:hint="eastAsia" w:ascii="宋体" w:hAnsi="宋体" w:eastAsia="宋体" w:cs="宋体"/>
                <w:color w:val="000000"/>
                <w:kern w:val="2"/>
                <w:sz w:val="21"/>
                <w:szCs w:val="21"/>
                <w:highlight w:val="none"/>
                <w:u w:color="000000"/>
                <w:lang w:val="en-US" w:eastAsia="zh-CN" w:bidi="ar"/>
              </w:rPr>
            </w:pPr>
            <w:r>
              <w:rPr>
                <w:rFonts w:hint="eastAsia" w:ascii="宋体" w:hAnsi="宋体"/>
                <w:color w:val="000000"/>
                <w:szCs w:val="21"/>
                <w:highlight w:val="none"/>
                <w:lang w:val="en-US" w:eastAsia="zh-CN"/>
              </w:rPr>
              <w:t>服务承诺书</w:t>
            </w:r>
            <w:r>
              <w:rPr>
                <w:rFonts w:hint="eastAsia" w:ascii="宋体" w:hAnsi="宋体" w:eastAsia="宋体" w:cs="宋体"/>
                <w:color w:val="000000"/>
                <w:kern w:val="2"/>
                <w:sz w:val="21"/>
                <w:szCs w:val="21"/>
                <w:highlight w:val="none"/>
                <w:u w:color="000000"/>
                <w:lang w:val="en-US" w:eastAsia="zh-CN" w:bidi="ar"/>
              </w:rPr>
              <w:t>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9" w:name="_Toc4660368"/>
      <w:bookmarkEnd w:id="49"/>
      <w:r>
        <w:rPr>
          <w:rFonts w:hint="eastAsia" w:ascii="宋体" w:hAnsi="宋体" w:eastAsia="宋体" w:cs="宋体"/>
          <w:color w:val="000000"/>
          <w:kern w:val="0"/>
          <w:sz w:val="21"/>
          <w:szCs w:val="21"/>
          <w:highlight w:val="none"/>
          <w:u w:color="000000"/>
          <w:lang w:val="en-US" w:eastAsia="zh-CN" w:bidi="ar"/>
        </w:rPr>
        <w:t>4.1评审细则</w:t>
      </w:r>
    </w:p>
    <w:tbl>
      <w:tblPr>
        <w:tblStyle w:val="20"/>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highlight w:val="none"/>
        </w:rPr>
      </w:pPr>
      <w:bookmarkStart w:id="50" w:name="_Toc32210_WPSOffice_Level1"/>
      <w:bookmarkEnd w:id="50"/>
      <w:bookmarkStart w:id="51" w:name="_Toc831"/>
      <w:bookmarkStart w:id="52" w:name="_Toc22100_WPSOffice_Level2"/>
      <w:r>
        <w:rPr>
          <w:rFonts w:hint="eastAsia" w:ascii="宋体"/>
          <w:b/>
          <w:color w:val="auto"/>
          <w:sz w:val="24"/>
          <w:szCs w:val="24"/>
          <w:highlight w:val="none"/>
        </w:rPr>
        <w:t>三</w:t>
      </w:r>
      <w:r>
        <w:rPr>
          <w:rFonts w:hint="eastAsia" w:ascii="宋体"/>
          <w:b/>
          <w:color w:val="auto"/>
          <w:sz w:val="24"/>
          <w:szCs w:val="24"/>
          <w:highlight w:val="none"/>
          <w:lang w:eastAsia="zh-CN"/>
        </w:rPr>
        <w:t>、</w:t>
      </w:r>
      <w:r>
        <w:rPr>
          <w:rFonts w:hint="eastAsia" w:ascii="宋体"/>
          <w:b/>
          <w:color w:val="auto"/>
          <w:sz w:val="24"/>
          <w:szCs w:val="24"/>
          <w:highlight w:val="none"/>
        </w:rPr>
        <w:t>投标文件的澄清和补正</w:t>
      </w:r>
      <w:bookmarkEnd w:id="51"/>
      <w:bookmarkEnd w:id="52"/>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highlight w:val="none"/>
        </w:rPr>
      </w:pPr>
      <w:r>
        <w:rPr>
          <w:rFonts w:hint="eastAsia" w:ascii="宋体" w:hAnsi="宋体"/>
          <w:b/>
          <w:sz w:val="28"/>
          <w:szCs w:val="28"/>
          <w:highlight w:val="none"/>
        </w:rPr>
        <w:t>四</w:t>
      </w:r>
      <w:r>
        <w:rPr>
          <w:rFonts w:hint="eastAsia" w:ascii="宋体" w:hAnsi="宋体"/>
          <w:b/>
          <w:sz w:val="28"/>
          <w:szCs w:val="28"/>
          <w:highlight w:val="none"/>
          <w:lang w:eastAsia="zh-CN"/>
        </w:rPr>
        <w:t>、</w:t>
      </w:r>
      <w:r>
        <w:rPr>
          <w:rFonts w:hint="eastAsia" w:ascii="宋体" w:hAnsi="宋体"/>
          <w:b/>
          <w:sz w:val="28"/>
          <w:szCs w:val="28"/>
          <w:highlight w:val="none"/>
        </w:rPr>
        <w:t>比较与评价</w:t>
      </w:r>
    </w:p>
    <w:p>
      <w:pPr>
        <w:numPr>
          <w:ilvl w:val="0"/>
          <w:numId w:val="3"/>
        </w:numPr>
        <w:spacing w:line="360" w:lineRule="exact"/>
        <w:ind w:firstLine="417" w:firstLineChars="198"/>
        <w:rPr>
          <w:rFonts w:hint="eastAsia" w:ascii="宋体" w:hAnsi="宋体"/>
          <w:b/>
          <w:szCs w:val="21"/>
          <w:highlight w:val="none"/>
        </w:rPr>
      </w:pP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w:t>
      </w:r>
      <w:r>
        <w:rPr>
          <w:rFonts w:hint="eastAsia" w:ascii="宋体" w:hAnsi="宋体"/>
          <w:b/>
          <w:szCs w:val="21"/>
          <w:highlight w:val="none"/>
        </w:rPr>
        <w:t>技术和商务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numPr>
          <w:ilvl w:val="0"/>
          <w:numId w:val="0"/>
        </w:numPr>
        <w:spacing w:line="360" w:lineRule="exact"/>
        <w:rPr>
          <w:rFonts w:hint="eastAsia" w:ascii="宋体" w:hAnsi="宋体"/>
          <w:b/>
          <w:szCs w:val="21"/>
          <w:highlight w:val="none"/>
          <w:lang w:val="en-US" w:eastAsia="zh-CN"/>
        </w:rPr>
      </w:pPr>
      <w:bookmarkStart w:id="53" w:name="_Toc16323"/>
      <w:r>
        <w:rPr>
          <w:rFonts w:hint="eastAsia" w:ascii="宋体" w:hAnsi="宋体"/>
          <w:b/>
          <w:szCs w:val="21"/>
          <w:highlight w:val="none"/>
          <w:lang w:val="en-US" w:eastAsia="zh-CN"/>
        </w:rPr>
        <w:t>6.1资信标评审细则（25分）</w:t>
      </w:r>
    </w:p>
    <w:tbl>
      <w:tblPr>
        <w:tblStyle w:val="20"/>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657"/>
        <w:gridCol w:w="615"/>
        <w:gridCol w:w="768"/>
        <w:gridCol w:w="4603"/>
        <w:gridCol w:w="2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rPr>
              <w:t>序号</w:t>
            </w:r>
          </w:p>
        </w:tc>
        <w:tc>
          <w:tcPr>
            <w:tcW w:w="127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宋体" w:hAnsi="宋体" w:cs="宋体"/>
                <w:szCs w:val="21"/>
                <w:highlight w:val="none"/>
              </w:rPr>
            </w:pPr>
            <w:r>
              <w:rPr>
                <w:rFonts w:hint="eastAsia" w:ascii="宋体" w:hAnsi="宋体" w:cs="宋体"/>
                <w:szCs w:val="21"/>
                <w:highlight w:val="none"/>
              </w:rPr>
              <w:t>评分因素</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宋体" w:hAnsi="宋体" w:cs="宋体"/>
                <w:szCs w:val="21"/>
                <w:highlight w:val="none"/>
              </w:rPr>
            </w:pPr>
            <w:r>
              <w:rPr>
                <w:rFonts w:hint="eastAsia" w:ascii="宋体" w:hAnsi="宋体" w:cs="宋体"/>
                <w:szCs w:val="21"/>
                <w:highlight w:val="none"/>
              </w:rPr>
              <w:t>分值</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rPr>
              <w:t>评审细则</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8"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8"/>
              <w:jc w:val="center"/>
              <w:textAlignment w:val="auto"/>
              <w:rPr>
                <w:rFonts w:hint="default" w:ascii="宋体" w:hAnsi="宋体"/>
                <w:szCs w:val="21"/>
                <w:highlight w:val="none"/>
              </w:rPr>
            </w:pPr>
            <w:r>
              <w:rPr>
                <w:rFonts w:hint="eastAsia" w:ascii="宋体" w:hAnsi="宋体"/>
                <w:szCs w:val="21"/>
                <w:highlight w:val="none"/>
              </w:rPr>
              <w:t>1</w:t>
            </w:r>
          </w:p>
        </w:tc>
        <w:tc>
          <w:tcPr>
            <w:tcW w:w="127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rPr>
              <w:t>投标人业绩</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宋体" w:cs="Times New Roman"/>
                <w:szCs w:val="21"/>
                <w:highlight w:val="none"/>
                <w:lang w:val="en-US" w:eastAsia="zh-CN"/>
              </w:rPr>
            </w:pPr>
            <w:r>
              <w:rPr>
                <w:rFonts w:hint="eastAsia" w:ascii="宋体" w:hAnsi="宋体" w:cs="宋体"/>
                <w:color w:val="auto"/>
                <w:sz w:val="21"/>
                <w:szCs w:val="21"/>
                <w:highlight w:val="none"/>
                <w:lang w:val="en-US" w:eastAsia="zh-CN"/>
              </w:rPr>
              <w:t>自</w:t>
            </w:r>
            <w:r>
              <w:rPr>
                <w:rFonts w:hint="eastAsia"/>
                <w:szCs w:val="21"/>
                <w:highlight w:val="none"/>
                <w:lang w:val="en-US" w:eastAsia="zh-CN"/>
              </w:rPr>
              <w:t>2020</w:t>
            </w:r>
            <w:r>
              <w:rPr>
                <w:rFonts w:hint="eastAsia"/>
                <w:szCs w:val="21"/>
                <w:highlight w:val="none"/>
              </w:rPr>
              <w:t>年1月1</w:t>
            </w:r>
            <w:r>
              <w:rPr>
                <w:rFonts w:hint="eastAsia"/>
                <w:szCs w:val="21"/>
                <w:highlight w:val="none"/>
                <w:lang w:val="en-US" w:eastAsia="zh-CN"/>
              </w:rPr>
              <w:t>日至投标截止时间</w:t>
            </w:r>
            <w:r>
              <w:rPr>
                <w:rFonts w:hint="eastAsia"/>
                <w:szCs w:val="21"/>
                <w:highlight w:val="none"/>
              </w:rPr>
              <w:t>（以合同签订时间为准</w:t>
            </w:r>
            <w:r>
              <w:rPr>
                <w:rFonts w:hint="eastAsia"/>
                <w:szCs w:val="21"/>
                <w:highlight w:val="none"/>
                <w:lang w:eastAsia="zh-CN"/>
              </w:rPr>
              <w:t>），</w:t>
            </w:r>
            <w:r>
              <w:rPr>
                <w:rFonts w:hint="eastAsia"/>
                <w:szCs w:val="21"/>
                <w:highlight w:val="none"/>
              </w:rPr>
              <w:t>投标人</w:t>
            </w:r>
            <w:r>
              <w:rPr>
                <w:rFonts w:hint="eastAsia"/>
                <w:szCs w:val="21"/>
                <w:highlight w:val="none"/>
                <w:lang w:val="en-US" w:eastAsia="zh-CN"/>
              </w:rPr>
              <w:t>每</w:t>
            </w:r>
            <w:r>
              <w:rPr>
                <w:rFonts w:hint="eastAsia"/>
                <w:szCs w:val="21"/>
                <w:highlight w:val="none"/>
              </w:rPr>
              <w:t>提供</w:t>
            </w:r>
            <w:r>
              <w:rPr>
                <w:rFonts w:hint="eastAsia"/>
                <w:szCs w:val="21"/>
                <w:highlight w:val="none"/>
                <w:lang w:val="en-US" w:eastAsia="zh-CN"/>
              </w:rPr>
              <w:t>一个类似供货业绩且</w:t>
            </w:r>
            <w:r>
              <w:rPr>
                <w:rFonts w:hint="eastAsia"/>
                <w:szCs w:val="21"/>
                <w:highlight w:val="none"/>
              </w:rPr>
              <w:t>单项合同中</w:t>
            </w:r>
            <w:r>
              <w:rPr>
                <w:rFonts w:hint="eastAsia"/>
                <w:szCs w:val="21"/>
                <w:highlight w:val="none"/>
                <w:lang w:val="en-US" w:eastAsia="zh-CN"/>
              </w:rPr>
              <w:t>皮鞋</w:t>
            </w:r>
            <w:r>
              <w:rPr>
                <w:rFonts w:hint="eastAsia"/>
                <w:szCs w:val="21"/>
                <w:highlight w:val="none"/>
              </w:rPr>
              <w:t>金额</w:t>
            </w:r>
            <w:r>
              <w:rPr>
                <w:rFonts w:hint="eastAsia"/>
                <w:szCs w:val="21"/>
                <w:highlight w:val="none"/>
                <w:lang w:val="en-US" w:eastAsia="zh-CN"/>
              </w:rPr>
              <w:t>25</w:t>
            </w:r>
            <w:r>
              <w:rPr>
                <w:rFonts w:hint="eastAsia"/>
                <w:szCs w:val="21"/>
                <w:highlight w:val="none"/>
              </w:rPr>
              <w:t>万元（含</w:t>
            </w:r>
            <w:r>
              <w:rPr>
                <w:rFonts w:hint="eastAsia" w:ascii="Times New Roman" w:hAnsi="Times New Roman" w:eastAsia="宋体" w:cs="Times New Roman"/>
                <w:szCs w:val="21"/>
                <w:highlight w:val="none"/>
                <w:lang w:val="en-US" w:eastAsia="zh-CN"/>
              </w:rPr>
              <w:t>）以上的得3分，</w:t>
            </w:r>
            <w:r>
              <w:rPr>
                <w:rFonts w:hint="eastAsia" w:ascii="宋体" w:hAnsi="宋体" w:eastAsia="宋体" w:cs="Times New Roman"/>
                <w:color w:val="auto"/>
                <w:kern w:val="1"/>
                <w:szCs w:val="21"/>
                <w:highlight w:val="none"/>
                <w:lang w:val="en-US" w:eastAsia="zh-CN"/>
              </w:rPr>
              <w:t>其他的不得分，</w:t>
            </w:r>
            <w:r>
              <w:rPr>
                <w:rFonts w:hint="eastAsia" w:ascii="Times New Roman" w:hAnsi="Times New Roman" w:eastAsia="宋体" w:cs="Times New Roman"/>
                <w:szCs w:val="21"/>
                <w:highlight w:val="none"/>
                <w:lang w:val="en-US" w:eastAsia="zh-CN"/>
              </w:rPr>
              <w:t>本项</w:t>
            </w:r>
            <w:r>
              <w:rPr>
                <w:rFonts w:hint="eastAsia" w:ascii="宋体" w:hAnsi="宋体" w:eastAsia="宋体" w:cs="宋体"/>
                <w:szCs w:val="21"/>
                <w:highlight w:val="none"/>
                <w:lang w:val="en-US" w:eastAsia="zh-CN"/>
              </w:rPr>
              <w:t>满分6分</w:t>
            </w:r>
            <w:r>
              <w:rPr>
                <w:rFonts w:hint="eastAsia" w:ascii="Times New Roman" w:hAnsi="Times New Roman" w:eastAsia="宋体" w:cs="Times New Roman"/>
                <w:szCs w:val="21"/>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highlight w:val="none"/>
                <w:lang w:val="zh-CN" w:eastAsia="zh-CN"/>
              </w:rPr>
            </w:pPr>
            <w:r>
              <w:rPr>
                <w:rFonts w:hint="eastAsia" w:ascii="Times New Roman" w:hAnsi="Times New Roman" w:eastAsia="宋体" w:cs="Times New Roman"/>
                <w:szCs w:val="21"/>
                <w:highlight w:val="none"/>
                <w:lang w:val="en-US" w:eastAsia="zh-CN"/>
              </w:rPr>
              <w:t>注</w:t>
            </w:r>
            <w:r>
              <w:rPr>
                <w:rFonts w:hint="eastAsia" w:ascii="Times New Roman" w:hAnsi="Times New Roman" w:eastAsia="宋体" w:cs="Times New Roman"/>
                <w:szCs w:val="21"/>
                <w:highlight w:val="none"/>
                <w:lang w:val="zh-CN" w:eastAsia="zh-CN"/>
              </w:rPr>
              <w:t>：</w:t>
            </w:r>
            <w:r>
              <w:rPr>
                <w:rFonts w:hint="default" w:ascii="Times New Roman" w:hAnsi="Times New Roman" w:eastAsia="宋体" w:cs="Times New Roman"/>
                <w:szCs w:val="21"/>
                <w:highlight w:val="none"/>
                <w:lang w:val="zh-CN" w:eastAsia="zh-CN"/>
              </w:rPr>
              <w:t>①</w:t>
            </w:r>
            <w:r>
              <w:rPr>
                <w:rFonts w:hint="eastAsia" w:ascii="Times New Roman" w:hAnsi="Times New Roman" w:eastAsia="宋体" w:cs="Times New Roman"/>
                <w:szCs w:val="21"/>
                <w:highlight w:val="none"/>
                <w:lang w:val="en-US" w:eastAsia="zh-CN"/>
              </w:rPr>
              <w:t>金额以合同载明金额为准，金额不明确的还须提供支付证明或发票扫描件，支付和</w:t>
            </w:r>
            <w:r>
              <w:rPr>
                <w:rFonts w:hint="eastAsia"/>
                <w:szCs w:val="21"/>
                <w:highlight w:val="none"/>
              </w:rPr>
              <w:t>开票日期须在合同签订后且本项目</w:t>
            </w:r>
            <w:r>
              <w:rPr>
                <w:rFonts w:hint="eastAsia"/>
                <w:szCs w:val="21"/>
                <w:highlight w:val="none"/>
                <w:lang w:val="en-US" w:eastAsia="zh-CN"/>
              </w:rPr>
              <w:t>投标截止日</w:t>
            </w:r>
            <w:r>
              <w:rPr>
                <w:rFonts w:hint="eastAsia"/>
                <w:szCs w:val="21"/>
                <w:highlight w:val="none"/>
              </w:rPr>
              <w:t>之前</w:t>
            </w:r>
            <w:r>
              <w:rPr>
                <w:rFonts w:hint="eastAsia"/>
                <w:szCs w:val="21"/>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eastAsia="宋体"/>
                <w:highlight w:val="none"/>
                <w:lang w:val="en-US" w:eastAsia="zh-CN"/>
              </w:rPr>
            </w:pPr>
            <w:r>
              <w:rPr>
                <w:rFonts w:hint="default" w:ascii="Times New Roman" w:hAnsi="Times New Roman" w:eastAsia="宋体" w:cs="Times New Roman"/>
                <w:szCs w:val="21"/>
                <w:highlight w:val="none"/>
                <w:lang w:val="en-US" w:eastAsia="zh-CN"/>
              </w:rPr>
              <w:t>②</w:t>
            </w:r>
            <w:r>
              <w:rPr>
                <w:rFonts w:hint="eastAsia" w:ascii="Times New Roman" w:hAnsi="Times New Roman" w:eastAsia="宋体" w:cs="Times New Roman"/>
                <w:szCs w:val="21"/>
                <w:highlight w:val="none"/>
                <w:lang w:val="en-US" w:eastAsia="zh-CN"/>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第二项业绩，其余超出部分不再评审”。</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40" w:right="0"/>
              <w:jc w:val="center"/>
              <w:textAlignment w:val="auto"/>
              <w:rPr>
                <w:rFonts w:hint="eastAsia" w:ascii="宋体" w:hAnsi="宋体" w:eastAsia="宋体" w:cs="仿宋_GB2312"/>
                <w:szCs w:val="21"/>
                <w:highlight w:val="none"/>
                <w:lang w:val="en-US" w:eastAsia="zh-CN"/>
              </w:rPr>
            </w:pPr>
            <w:r>
              <w:rPr>
                <w:rFonts w:hint="eastAsia" w:ascii="宋体" w:hAnsi="宋体" w:eastAsia="宋体" w:cs="宋体"/>
                <w:color w:val="auto"/>
                <w:sz w:val="21"/>
                <w:szCs w:val="21"/>
                <w:highlight w:val="none"/>
                <w:lang w:val="en-US" w:eastAsia="zh-CN"/>
              </w:rPr>
              <w:t>投标文件中须提供业绩合同扫描件</w:t>
            </w:r>
            <w:r>
              <w:rPr>
                <w:rFonts w:hint="eastAsia" w:ascii="宋体" w:hAnsi="宋体" w:cs="宋体"/>
                <w:color w:val="auto"/>
                <w:sz w:val="21"/>
                <w:szCs w:val="21"/>
                <w:highlight w:val="none"/>
                <w:lang w:val="en-US" w:eastAsia="zh-CN"/>
              </w:rPr>
              <w:t>，若合同反映不出业绩金额的还须</w:t>
            </w:r>
            <w:r>
              <w:rPr>
                <w:rFonts w:hint="eastAsia" w:ascii="Times New Roman" w:hAnsi="Times New Roman" w:eastAsia="宋体" w:cs="Times New Roman"/>
                <w:szCs w:val="21"/>
                <w:highlight w:val="none"/>
                <w:lang w:val="en-US" w:eastAsia="zh-CN"/>
              </w:rPr>
              <w:t>提供支付证明或发票扫描件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8" w:hRule="atLeast"/>
          <w:jc w:val="center"/>
        </w:trPr>
        <w:tc>
          <w:tcPr>
            <w:tcW w:w="89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8"/>
              <w:jc w:val="center"/>
              <w:textAlignment w:val="auto"/>
              <w:rPr>
                <w:rFonts w:hint="eastAsia" w:ascii="宋体" w:hAnsi="宋体" w:eastAsia="宋体"/>
                <w:szCs w:val="21"/>
                <w:highlight w:val="none"/>
                <w:lang w:val="en-US" w:eastAsia="zh-CN"/>
              </w:rPr>
            </w:pPr>
            <w:r>
              <w:rPr>
                <w:rFonts w:hint="eastAsia" w:ascii="宋体" w:hAnsi="宋体"/>
                <w:szCs w:val="21"/>
                <w:highlight w:val="none"/>
                <w:lang w:val="en-US" w:eastAsia="zh-CN"/>
              </w:rPr>
              <w:t>2</w:t>
            </w:r>
          </w:p>
        </w:tc>
        <w:tc>
          <w:tcPr>
            <w:tcW w:w="1272"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szCs w:val="21"/>
                <w:highlight w:val="none"/>
              </w:rPr>
            </w:pPr>
            <w:r>
              <w:rPr>
                <w:rFonts w:hint="eastAsia"/>
                <w:szCs w:val="21"/>
                <w:highlight w:val="none"/>
              </w:rPr>
              <w:t>认证体系</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4分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投标人具有经中国国家认证认可监督管理委员会认证机构颁发的有效的下列证书：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1.具有有效的质量管理体系认证证书；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2.具有有效的环境管理体系认证证书或有效的职业健康安全管理体系认证证书；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每提供1个得2分，其他的不得分，本条满分4分。</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Times New Roman" w:hAnsi="Times New Roman" w:eastAsia="宋体" w:cs="Times New Roman"/>
                <w:szCs w:val="21"/>
                <w:highlight w:val="none"/>
                <w:lang w:val="en-US" w:eastAsia="zh-CN"/>
              </w:rPr>
              <w:t>投标文件中提供有效的证书扫描件以及全国认证认可信息公共服务平台证书信息查询截图。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5" w:hRule="atLeast"/>
          <w:jc w:val="center"/>
        </w:trPr>
        <w:tc>
          <w:tcPr>
            <w:tcW w:w="894"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8"/>
              <w:jc w:val="center"/>
              <w:textAlignment w:val="auto"/>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657"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szCs w:val="21"/>
                <w:highlight w:val="none"/>
                <w:lang w:val="en-US" w:eastAsia="zh-CN"/>
              </w:rPr>
            </w:pPr>
            <w:r>
              <w:rPr>
                <w:rFonts w:hint="eastAsia"/>
                <w:szCs w:val="21"/>
                <w:highlight w:val="none"/>
                <w:lang w:val="en-US" w:eastAsia="zh-CN"/>
              </w:rPr>
              <w:t>投标人设备</w:t>
            </w:r>
          </w:p>
        </w:tc>
        <w:tc>
          <w:tcPr>
            <w:tcW w:w="615" w:type="dxa"/>
            <w:noWrap w:val="0"/>
            <w:vAlign w:val="center"/>
          </w:tcPr>
          <w:p>
            <w:pPr>
              <w:keepNext w:val="0"/>
              <w:keepLines w:val="0"/>
              <w:widowControl/>
              <w:suppressLineNumbers w:val="0"/>
              <w:spacing w:before="0" w:beforeAutospacing="0" w:after="0" w:afterAutospacing="0"/>
              <w:ind w:left="0" w:right="0"/>
              <w:jc w:val="center"/>
              <w:rPr>
                <w:rFonts w:hint="eastAsia"/>
                <w:szCs w:val="21"/>
                <w:highlight w:val="none"/>
              </w:rPr>
            </w:pPr>
            <w:r>
              <w:rPr>
                <w:rFonts w:hint="eastAsia" w:ascii="宋体" w:hAnsi="宋体" w:eastAsia="宋体" w:cs="宋体"/>
                <w:color w:val="000000"/>
                <w:kern w:val="0"/>
                <w:sz w:val="21"/>
                <w:szCs w:val="21"/>
                <w:highlight w:val="none"/>
              </w:rPr>
              <w:t>基本设备</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10分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宋体" w:cs="Times New Roman"/>
                <w:szCs w:val="21"/>
                <w:highlight w:val="none"/>
                <w:lang w:val="en-US" w:eastAsia="zh-CN"/>
              </w:rPr>
            </w:pPr>
            <w:r>
              <w:rPr>
                <w:rFonts w:hint="eastAsia" w:ascii="宋体" w:hAnsi="宋体" w:eastAsia="宋体" w:cs="宋体"/>
                <w:kern w:val="0"/>
                <w:sz w:val="21"/>
                <w:szCs w:val="21"/>
                <w:highlight w:val="none"/>
                <w:lang w:val="en-US" w:eastAsia="zh-CN"/>
              </w:rPr>
              <w:t>投标人具有</w:t>
            </w:r>
            <w:r>
              <w:rPr>
                <w:rFonts w:hint="eastAsia" w:ascii="宋体" w:hAnsi="宋体" w:cs="宋体"/>
                <w:kern w:val="0"/>
                <w:szCs w:val="21"/>
                <w:highlight w:val="none"/>
              </w:rPr>
              <w:t>液压裁断机、定型机、前帮机、后帮机、抛光机</w:t>
            </w:r>
            <w:r>
              <w:rPr>
                <w:rFonts w:hint="eastAsia" w:ascii="宋体" w:hAnsi="宋体" w:eastAsia="宋体" w:cs="宋体"/>
                <w:kern w:val="0"/>
                <w:sz w:val="21"/>
                <w:szCs w:val="21"/>
                <w:highlight w:val="none"/>
              </w:rPr>
              <w:t>。</w:t>
            </w:r>
            <w:r>
              <w:rPr>
                <w:rFonts w:hint="eastAsia" w:ascii="宋体" w:hAnsi="宋体" w:eastAsia="宋体" w:cs="宋体"/>
                <w:color w:val="000000"/>
                <w:kern w:val="0"/>
                <w:sz w:val="21"/>
                <w:szCs w:val="21"/>
                <w:highlight w:val="none"/>
              </w:rPr>
              <w:t>提供</w:t>
            </w:r>
            <w:r>
              <w:rPr>
                <w:rFonts w:hint="eastAsia" w:ascii="宋体" w:hAnsi="宋体" w:eastAsia="宋体" w:cs="宋体"/>
                <w:color w:val="000000"/>
                <w:kern w:val="0"/>
                <w:sz w:val="21"/>
                <w:szCs w:val="21"/>
                <w:highlight w:val="none"/>
                <w:lang w:val="en-US" w:eastAsia="zh-CN"/>
              </w:rPr>
              <w:t>以上</w:t>
            </w:r>
            <w:r>
              <w:rPr>
                <w:rFonts w:hint="eastAsia" w:ascii="宋体" w:hAnsi="宋体" w:eastAsia="宋体" w:cs="宋体"/>
                <w:color w:val="000000"/>
                <w:kern w:val="0"/>
                <w:sz w:val="21"/>
                <w:szCs w:val="21"/>
                <w:highlight w:val="none"/>
              </w:rPr>
              <w:t>要求的全部5种设备得10分；每少提供一种设备扣2分</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扣完为止。</w:t>
            </w:r>
          </w:p>
        </w:tc>
        <w:tc>
          <w:tcPr>
            <w:tcW w:w="243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投标文件中提供</w:t>
            </w:r>
            <w:r>
              <w:rPr>
                <w:rFonts w:hint="eastAsia" w:ascii="宋体" w:hAnsi="宋体" w:eastAsia="宋体" w:cs="宋体"/>
                <w:kern w:val="0"/>
                <w:sz w:val="21"/>
                <w:szCs w:val="21"/>
                <w:highlight w:val="none"/>
              </w:rPr>
              <w:t>设备清单及发票</w:t>
            </w:r>
            <w:r>
              <w:rPr>
                <w:rFonts w:hint="eastAsia" w:ascii="宋体" w:hAnsi="宋体" w:eastAsia="宋体" w:cs="宋体"/>
                <w:kern w:val="0"/>
                <w:sz w:val="21"/>
                <w:szCs w:val="21"/>
                <w:highlight w:val="none"/>
                <w:lang w:val="en-US" w:eastAsia="zh-CN"/>
              </w:rPr>
              <w:t>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3" w:hRule="atLeast"/>
          <w:jc w:val="center"/>
        </w:trPr>
        <w:tc>
          <w:tcPr>
            <w:tcW w:w="894"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28"/>
              <w:jc w:val="center"/>
              <w:textAlignment w:val="auto"/>
              <w:rPr>
                <w:rFonts w:hint="eastAsia" w:ascii="宋体" w:hAnsi="宋体"/>
                <w:szCs w:val="21"/>
                <w:highlight w:val="none"/>
                <w:lang w:val="en-US" w:eastAsia="zh-CN"/>
              </w:rPr>
            </w:pPr>
          </w:p>
        </w:tc>
        <w:tc>
          <w:tcPr>
            <w:tcW w:w="657"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szCs w:val="21"/>
                <w:highlight w:val="none"/>
              </w:rPr>
            </w:pPr>
          </w:p>
        </w:tc>
        <w:tc>
          <w:tcPr>
            <w:tcW w:w="615" w:type="dxa"/>
            <w:noWrap w:val="0"/>
            <w:vAlign w:val="center"/>
          </w:tcPr>
          <w:p>
            <w:pPr>
              <w:keepNext w:val="0"/>
              <w:keepLines w:val="0"/>
              <w:widowControl/>
              <w:suppressLineNumbers w:val="0"/>
              <w:spacing w:before="0" w:beforeAutospacing="0" w:after="0" w:afterAutospacing="0"/>
              <w:ind w:left="0" w:right="0"/>
              <w:jc w:val="center"/>
              <w:rPr>
                <w:rFonts w:hint="eastAsia"/>
                <w:szCs w:val="21"/>
                <w:highlight w:val="none"/>
              </w:rPr>
            </w:pPr>
            <w:r>
              <w:rPr>
                <w:rFonts w:hint="eastAsia" w:ascii="宋体" w:hAnsi="宋体" w:eastAsia="宋体" w:cs="宋体"/>
                <w:color w:val="000000"/>
                <w:kern w:val="0"/>
                <w:sz w:val="21"/>
                <w:szCs w:val="21"/>
                <w:highlight w:val="none"/>
              </w:rPr>
              <w:t>其他设备</w:t>
            </w:r>
          </w:p>
        </w:tc>
        <w:tc>
          <w:tcPr>
            <w:tcW w:w="7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5分</w:t>
            </w:r>
          </w:p>
        </w:tc>
        <w:tc>
          <w:tcPr>
            <w:tcW w:w="4603"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Times New Roman" w:hAnsi="Times New Roman" w:eastAsia="宋体" w:cs="Times New Roman"/>
                <w:szCs w:val="21"/>
                <w:highlight w:val="none"/>
                <w:lang w:val="en-US" w:eastAsia="zh-CN"/>
              </w:rPr>
            </w:pPr>
            <w:r>
              <w:rPr>
                <w:rFonts w:hint="eastAsia" w:ascii="宋体" w:hAnsi="宋体" w:eastAsia="宋体" w:cs="宋体"/>
                <w:kern w:val="0"/>
                <w:sz w:val="21"/>
                <w:szCs w:val="21"/>
                <w:highlight w:val="none"/>
              </w:rPr>
              <w:t>提供不同种类的</w:t>
            </w:r>
            <w:r>
              <w:rPr>
                <w:rFonts w:hint="eastAsia" w:ascii="宋体" w:hAnsi="宋体" w:cs="宋体"/>
                <w:kern w:val="0"/>
                <w:szCs w:val="21"/>
                <w:highlight w:val="none"/>
              </w:rPr>
              <w:t>单台制鞋设备</w:t>
            </w:r>
            <w:r>
              <w:rPr>
                <w:rFonts w:hint="eastAsia" w:ascii="宋体" w:hAnsi="宋体" w:eastAsia="宋体" w:cs="宋体"/>
                <w:kern w:val="0"/>
                <w:sz w:val="21"/>
                <w:szCs w:val="21"/>
                <w:highlight w:val="none"/>
                <w:lang w:eastAsia="zh-CN"/>
              </w:rPr>
              <w:t>，</w:t>
            </w:r>
            <w:r>
              <w:rPr>
                <w:rFonts w:hint="eastAsia" w:ascii="宋体" w:hAnsi="宋体" w:eastAsia="宋体" w:cs="宋体"/>
                <w:color w:val="000000"/>
                <w:kern w:val="0"/>
                <w:sz w:val="21"/>
                <w:szCs w:val="21"/>
                <w:highlight w:val="none"/>
              </w:rPr>
              <w:t>提供除</w:t>
            </w:r>
            <w:r>
              <w:rPr>
                <w:rFonts w:hint="eastAsia" w:ascii="宋体" w:hAnsi="宋体" w:eastAsia="宋体" w:cs="宋体"/>
                <w:color w:val="000000"/>
                <w:kern w:val="0"/>
                <w:sz w:val="21"/>
                <w:szCs w:val="21"/>
                <w:highlight w:val="none"/>
                <w:lang w:val="en-US" w:eastAsia="zh-CN"/>
              </w:rPr>
              <w:t>基本设备全部</w:t>
            </w:r>
            <w:r>
              <w:rPr>
                <w:rFonts w:hint="eastAsia" w:ascii="宋体" w:hAnsi="宋体" w:eastAsia="宋体" w:cs="宋体"/>
                <w:color w:val="000000"/>
                <w:kern w:val="0"/>
                <w:sz w:val="21"/>
                <w:szCs w:val="21"/>
                <w:highlight w:val="none"/>
              </w:rPr>
              <w:t>的5种设备以外的设备，每多提供一种设备得1分，</w:t>
            </w:r>
            <w:r>
              <w:rPr>
                <w:rFonts w:hint="eastAsia" w:ascii="宋体" w:hAnsi="宋体" w:eastAsia="宋体" w:cs="宋体"/>
                <w:color w:val="000000"/>
                <w:kern w:val="0"/>
                <w:sz w:val="21"/>
                <w:szCs w:val="21"/>
                <w:highlight w:val="none"/>
                <w:lang w:val="en-US" w:eastAsia="zh-CN"/>
              </w:rPr>
              <w:t>未提供的不得分，本条满分5分。</w:t>
            </w:r>
          </w:p>
        </w:tc>
        <w:tc>
          <w:tcPr>
            <w:tcW w:w="2438"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投标文件中提供</w:t>
            </w:r>
            <w:r>
              <w:rPr>
                <w:rFonts w:hint="eastAsia" w:ascii="宋体" w:hAnsi="宋体" w:eastAsia="宋体" w:cs="宋体"/>
                <w:kern w:val="0"/>
                <w:sz w:val="21"/>
                <w:szCs w:val="21"/>
                <w:highlight w:val="none"/>
              </w:rPr>
              <w:t>设备清单及发票</w:t>
            </w:r>
            <w:r>
              <w:rPr>
                <w:rFonts w:hint="eastAsia" w:ascii="宋体" w:hAnsi="宋体" w:eastAsia="宋体" w:cs="宋体"/>
                <w:kern w:val="0"/>
                <w:sz w:val="21"/>
                <w:szCs w:val="21"/>
                <w:highlight w:val="none"/>
                <w:lang w:val="en-US" w:eastAsia="zh-CN"/>
              </w:rPr>
              <w:t>扫描件。</w:t>
            </w:r>
          </w:p>
        </w:tc>
      </w:tr>
    </w:tbl>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default" w:ascii="宋体" w:hAnsi="Times New Roman" w:eastAsia="宋体" w:cs="Times New Roman"/>
          <w:b/>
          <w:color w:val="000000"/>
          <w:szCs w:val="21"/>
          <w:highlight w:val="none"/>
          <w:lang w:val="en-US" w:eastAsia="zh-CN"/>
        </w:rPr>
      </w:pPr>
      <w:r>
        <w:rPr>
          <w:rFonts w:hint="eastAsia" w:ascii="宋体" w:hAnsi="宋体" w:eastAsia="宋体" w:cs="Times New Roman"/>
          <w:b/>
          <w:color w:val="auto"/>
          <w:szCs w:val="21"/>
          <w:highlight w:val="none"/>
          <w:lang w:val="en-US" w:eastAsia="zh-CN"/>
        </w:rPr>
        <w:t>注</w:t>
      </w:r>
      <w:r>
        <w:rPr>
          <w:rFonts w:hint="eastAsia" w:ascii="宋体" w:hAnsi="Times New Roman" w:eastAsia="宋体" w:cs="Times New Roman"/>
          <w:b/>
          <w:color w:val="000000"/>
          <w:szCs w:val="21"/>
          <w:highlight w:val="none"/>
          <w:lang w:val="en-US" w:eastAsia="zh-CN"/>
        </w:rPr>
        <w:t>：</w:t>
      </w:r>
      <w:r>
        <w:rPr>
          <w:rFonts w:hint="eastAsia" w:ascii="宋体" w:hAnsi="Times New Roman" w:eastAsia="宋体" w:cs="Times New Roman"/>
          <w:b/>
          <w:color w:val="000000"/>
          <w:szCs w:val="21"/>
          <w:highlight w:val="none"/>
        </w:rPr>
        <w:t>各评委得分的平均值为投标人资信标得分，分值保留两位小数点。</w:t>
      </w:r>
    </w:p>
    <w:bookmarkEnd w:id="53"/>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left"/>
        <w:textAlignment w:val="auto"/>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lang w:val="en-US" w:eastAsia="zh-CN"/>
        </w:rPr>
        <w:t>6</w:t>
      </w:r>
      <w:r>
        <w:rPr>
          <w:rFonts w:hint="eastAsia" w:ascii="宋体" w:hAnsi="宋体" w:eastAsia="宋体" w:cs="Times New Roman"/>
          <w:b/>
          <w:color w:val="auto"/>
          <w:szCs w:val="21"/>
          <w:highlight w:val="none"/>
        </w:rPr>
        <w:t>.</w:t>
      </w:r>
      <w:r>
        <w:rPr>
          <w:rFonts w:hint="eastAsia" w:ascii="宋体" w:hAnsi="宋体" w:eastAsia="宋体" w:cs="Times New Roman"/>
          <w:b/>
          <w:color w:val="auto"/>
          <w:szCs w:val="21"/>
          <w:highlight w:val="none"/>
          <w:lang w:val="en-US" w:eastAsia="zh-CN"/>
        </w:rPr>
        <w:t>2技术</w:t>
      </w:r>
      <w:r>
        <w:rPr>
          <w:rFonts w:hint="eastAsia" w:ascii="宋体" w:hAnsi="宋体" w:eastAsia="宋体" w:cs="Times New Roman"/>
          <w:b/>
          <w:color w:val="auto"/>
          <w:szCs w:val="21"/>
          <w:highlight w:val="none"/>
        </w:rPr>
        <w:t>评</w:t>
      </w:r>
      <w:r>
        <w:rPr>
          <w:rFonts w:hint="eastAsia" w:ascii="宋体" w:hAnsi="宋体" w:eastAsia="宋体" w:cs="Times New Roman"/>
          <w:b/>
          <w:color w:val="auto"/>
          <w:szCs w:val="21"/>
          <w:highlight w:val="none"/>
          <w:lang w:val="en-US" w:eastAsia="zh-CN"/>
        </w:rPr>
        <w:t>分</w:t>
      </w:r>
      <w:r>
        <w:rPr>
          <w:rFonts w:hint="eastAsia" w:ascii="宋体" w:hAnsi="宋体" w:eastAsia="宋体" w:cs="Times New Roman"/>
          <w:b/>
          <w:color w:val="auto"/>
          <w:szCs w:val="21"/>
          <w:highlight w:val="none"/>
        </w:rPr>
        <w:t>细则（</w:t>
      </w:r>
      <w:r>
        <w:rPr>
          <w:rFonts w:hint="eastAsia" w:ascii="宋体" w:hAnsi="宋体" w:cs="Times New Roman"/>
          <w:b/>
          <w:color w:val="auto"/>
          <w:szCs w:val="21"/>
          <w:highlight w:val="none"/>
          <w:lang w:val="en-US" w:eastAsia="zh-CN"/>
        </w:rPr>
        <w:t>30</w:t>
      </w:r>
      <w:r>
        <w:rPr>
          <w:rFonts w:hint="eastAsia" w:ascii="宋体" w:hAnsi="宋体" w:eastAsia="宋体" w:cs="Times New Roman"/>
          <w:b/>
          <w:color w:val="auto"/>
          <w:szCs w:val="21"/>
          <w:highlight w:val="none"/>
        </w:rPr>
        <w:t>分）</w:t>
      </w:r>
    </w:p>
    <w:tbl>
      <w:tblPr>
        <w:tblStyle w:val="20"/>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867"/>
        <w:gridCol w:w="654"/>
        <w:gridCol w:w="736"/>
        <w:gridCol w:w="4708"/>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2"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Cs w:val="21"/>
                <w:highlight w:val="none"/>
              </w:rPr>
            </w:pPr>
            <w:r>
              <w:rPr>
                <w:rFonts w:hint="eastAsia" w:ascii="宋体" w:hAnsi="宋体" w:cs="宋体"/>
                <w:b/>
                <w:bCs/>
                <w:szCs w:val="21"/>
                <w:highlight w:val="none"/>
              </w:rPr>
              <w:t xml:space="preserve">序号 </w:t>
            </w:r>
            <w:r>
              <w:rPr>
                <w:rFonts w:hint="eastAsia" w:ascii="宋体" w:cs="宋体"/>
                <w:b/>
                <w:bCs/>
                <w:sz w:val="28"/>
                <w:highlight w:val="none"/>
              </w:rPr>
              <w:t xml:space="preserve">    </w:t>
            </w:r>
          </w:p>
        </w:tc>
        <w:tc>
          <w:tcPr>
            <w:tcW w:w="1521" w:type="dxa"/>
            <w:gridSpan w:val="2"/>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 w:val="28"/>
                <w:highlight w:val="none"/>
              </w:rPr>
            </w:pPr>
            <w:r>
              <w:rPr>
                <w:rFonts w:hint="eastAsia" w:ascii="宋体" w:hAnsi="宋体" w:cs="宋体"/>
                <w:b/>
                <w:bCs/>
                <w:szCs w:val="21"/>
                <w:highlight w:val="none"/>
              </w:rPr>
              <w:t>评分因素</w:t>
            </w:r>
          </w:p>
        </w:tc>
        <w:tc>
          <w:tcPr>
            <w:tcW w:w="736"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hAnsi="宋体" w:cs="宋体"/>
                <w:b/>
                <w:bCs/>
                <w:szCs w:val="21"/>
                <w:highlight w:val="none"/>
              </w:rPr>
            </w:pPr>
            <w:r>
              <w:rPr>
                <w:rFonts w:hint="eastAsia" w:ascii="宋体" w:hAnsi="宋体" w:cs="宋体"/>
                <w:b/>
                <w:bCs/>
                <w:szCs w:val="21"/>
                <w:highlight w:val="none"/>
              </w:rPr>
              <w:t>分值</w:t>
            </w:r>
          </w:p>
        </w:tc>
        <w:tc>
          <w:tcPr>
            <w:tcW w:w="4708"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 w:val="28"/>
                <w:highlight w:val="none"/>
              </w:rPr>
            </w:pPr>
            <w:r>
              <w:rPr>
                <w:rFonts w:hint="eastAsia" w:ascii="宋体" w:cs="宋体"/>
                <w:b/>
                <w:bCs/>
                <w:szCs w:val="21"/>
                <w:highlight w:val="none"/>
              </w:rPr>
              <w:t>评审细则</w:t>
            </w:r>
          </w:p>
        </w:tc>
        <w:tc>
          <w:tcPr>
            <w:tcW w:w="2025" w:type="dxa"/>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rPr>
                <w:rFonts w:hint="default" w:ascii="宋体" w:cs="宋体"/>
                <w:b/>
                <w:bCs/>
                <w:szCs w:val="21"/>
                <w:highlight w:val="none"/>
              </w:rPr>
            </w:pPr>
            <w:r>
              <w:rPr>
                <w:rFonts w:hint="eastAsia" w:ascii="宋体" w:cs="宋体"/>
                <w:b/>
                <w:bCs/>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682" w:type="dxa"/>
            <w:vMerge w:val="restart"/>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rPr>
              <w:t>1</w:t>
            </w:r>
          </w:p>
        </w:tc>
        <w:tc>
          <w:tcPr>
            <w:tcW w:w="867" w:type="dxa"/>
            <w:vMerge w:val="restar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Times New Roman"/>
                <w:color w:val="000000"/>
                <w:szCs w:val="21"/>
                <w:highlight w:val="none"/>
                <w:lang w:val="en-US" w:eastAsia="zh-CN"/>
              </w:rPr>
            </w:pPr>
            <w:r>
              <w:rPr>
                <w:rFonts w:hint="eastAsia" w:cs="宋体"/>
                <w:bCs/>
                <w:szCs w:val="21"/>
                <w:highlight w:val="none"/>
                <w:lang w:val="en-US" w:eastAsia="zh-CN"/>
              </w:rPr>
              <w:t>样品</w:t>
            </w:r>
          </w:p>
        </w:tc>
        <w:tc>
          <w:tcPr>
            <w:tcW w:w="654" w:type="dxa"/>
            <w:noWrap w:val="0"/>
            <w:vAlign w:val="center"/>
          </w:tcPr>
          <w:p>
            <w:pPr>
              <w:keepNext w:val="0"/>
              <w:keepLines w:val="0"/>
              <w:widowControl/>
              <w:suppressLineNumbers w:val="0"/>
              <w:spacing w:before="0" w:beforeAutospacing="0" w:after="0" w:afterAutospacing="0"/>
              <w:ind w:left="0" w:right="0"/>
              <w:jc w:val="center"/>
              <w:rPr>
                <w:rFonts w:hint="eastAsia" w:cs="宋体"/>
                <w:bCs/>
                <w:szCs w:val="21"/>
                <w:highlight w:val="none"/>
                <w:lang w:val="en-US" w:eastAsia="zh-CN"/>
              </w:rPr>
            </w:pPr>
            <w:r>
              <w:rPr>
                <w:rFonts w:hint="eastAsia" w:ascii="宋体" w:hAnsi="宋体" w:eastAsia="宋体" w:cs="宋体"/>
                <w:color w:val="000000"/>
                <w:kern w:val="0"/>
                <w:sz w:val="21"/>
                <w:szCs w:val="21"/>
                <w:highlight w:val="none"/>
              </w:rPr>
              <w:t>外观要求</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w:t>
            </w:r>
            <w:r>
              <w:rPr>
                <w:rFonts w:hint="eastAsia" w:ascii="宋体" w:hAnsi="宋体" w:cs="Times New Roman"/>
                <w:color w:val="000000"/>
                <w:szCs w:val="21"/>
                <w:highlight w:val="none"/>
                <w:lang w:val="en-US" w:eastAsia="zh-CN"/>
              </w:rPr>
              <w:t>5</w:t>
            </w:r>
            <w:r>
              <w:rPr>
                <w:rFonts w:hint="eastAsia" w:ascii="宋体" w:hAnsi="宋体" w:eastAsia="宋体" w:cs="Times New Roman"/>
                <w:color w:val="000000"/>
                <w:szCs w:val="21"/>
                <w:highlight w:val="none"/>
                <w:lang w:val="zh-CN"/>
              </w:rPr>
              <w:t>分</w:t>
            </w:r>
          </w:p>
        </w:tc>
        <w:tc>
          <w:tcPr>
            <w:tcW w:w="4708"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rPr>
            </w:pPr>
            <w:r>
              <w:rPr>
                <w:rFonts w:hint="default" w:ascii="宋体" w:hAnsi="宋体" w:cs="宋体"/>
                <w:spacing w:val="1"/>
                <w:kern w:val="0"/>
                <w:szCs w:val="21"/>
                <w:highlight w:val="none"/>
              </w:rPr>
              <w:t>①</w:t>
            </w:r>
            <w:r>
              <w:rPr>
                <w:rFonts w:hint="eastAsia" w:ascii="宋体" w:hAnsi="宋体" w:cs="宋体"/>
                <w:spacing w:val="1"/>
                <w:kern w:val="0"/>
                <w:szCs w:val="21"/>
                <w:highlight w:val="none"/>
              </w:rPr>
              <w:t>样品整洁美观，无污渍。</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rPr>
            </w:pPr>
            <w:r>
              <w:rPr>
                <w:rFonts w:hint="default" w:ascii="宋体" w:hAnsi="宋体" w:cs="宋体"/>
                <w:spacing w:val="1"/>
                <w:kern w:val="0"/>
                <w:szCs w:val="21"/>
                <w:highlight w:val="none"/>
              </w:rPr>
              <w:t>②</w:t>
            </w:r>
            <w:r>
              <w:rPr>
                <w:rFonts w:hint="eastAsia" w:ascii="宋体" w:hAnsi="宋体" w:cs="宋体"/>
                <w:spacing w:val="1"/>
                <w:kern w:val="0"/>
                <w:szCs w:val="21"/>
                <w:highlight w:val="none"/>
              </w:rPr>
              <w:t>整体外观平整、平服、平稳、清洁、对称。绷帮端正平服。内底不露钉尖，无钉尾突出。鞋帮、鞋里不应明显变色</w:t>
            </w:r>
            <w:r>
              <w:rPr>
                <w:rFonts w:hint="default" w:ascii="宋体" w:hAnsi="宋体" w:cs="宋体"/>
                <w:spacing w:val="1"/>
                <w:kern w:val="0"/>
                <w:szCs w:val="21"/>
                <w:highlight w:val="none"/>
              </w:rPr>
              <w:t>(</w:t>
            </w:r>
            <w:r>
              <w:rPr>
                <w:rFonts w:hint="eastAsia" w:ascii="宋体" w:hAnsi="宋体" w:cs="宋体"/>
                <w:spacing w:val="1"/>
                <w:kern w:val="0"/>
                <w:szCs w:val="21"/>
                <w:highlight w:val="none"/>
              </w:rPr>
              <w:t>擦色革等特殊鞋面革除外</w:t>
            </w:r>
            <w:r>
              <w:rPr>
                <w:rFonts w:hint="default" w:ascii="宋体" w:hAnsi="宋体" w:cs="宋体"/>
                <w:spacing w:val="1"/>
                <w:kern w:val="0"/>
                <w:szCs w:val="21"/>
                <w:highlight w:val="none"/>
              </w:rPr>
              <w:t>)</w:t>
            </w:r>
            <w:r>
              <w:rPr>
                <w:rFonts w:hint="eastAsia" w:ascii="宋体" w:hAnsi="宋体" w:cs="宋体"/>
                <w:spacing w:val="1"/>
                <w:kern w:val="0"/>
                <w:szCs w:val="21"/>
                <w:highlight w:val="none"/>
              </w:rPr>
              <w:t>、脱色。鞋垫牢固、平整。无明显感官缺陷。有中国鞋号。</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rPr>
            </w:pPr>
            <w:r>
              <w:rPr>
                <w:rFonts w:hint="default" w:ascii="宋体" w:hAnsi="宋体" w:cs="宋体"/>
                <w:spacing w:val="1"/>
                <w:kern w:val="0"/>
                <w:szCs w:val="21"/>
                <w:highlight w:val="none"/>
              </w:rPr>
              <w:t>③</w:t>
            </w:r>
            <w:r>
              <w:rPr>
                <w:rFonts w:hint="eastAsia" w:ascii="宋体" w:hAnsi="宋体" w:cs="宋体"/>
                <w:spacing w:val="1"/>
                <w:kern w:val="0"/>
                <w:szCs w:val="21"/>
                <w:highlight w:val="none"/>
              </w:rPr>
              <w:t>同帮面不应有伤残、裂浆、裂面、松面、露帮脚、白霜。双鞋相同部位的色泽、厚度、花纹基本一致。</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rPr>
            </w:pPr>
            <w:r>
              <w:rPr>
                <w:rFonts w:hint="eastAsia" w:ascii="宋体" w:hAnsi="宋体" w:cs="宋体"/>
                <w:spacing w:val="1"/>
                <w:kern w:val="0"/>
                <w:szCs w:val="21"/>
                <w:highlight w:val="none"/>
              </w:rPr>
              <w:t>④</w:t>
            </w:r>
            <w:r>
              <w:rPr>
                <w:rFonts w:hint="eastAsia" w:ascii="宋体" w:hAnsi="宋体" w:cs="宋体"/>
                <w:spacing w:val="1"/>
                <w:kern w:val="0"/>
                <w:szCs w:val="21"/>
                <w:highlight w:val="none"/>
              </w:rPr>
              <w:t>鞋底装配牢固、平正，大小高矮对称，色泽一致，无裂缝。</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rPr>
            </w:pPr>
            <w:r>
              <w:rPr>
                <w:rFonts w:hint="eastAsia" w:ascii="宋体" w:hAnsi="宋体" w:cs="宋体"/>
                <w:spacing w:val="1"/>
                <w:kern w:val="0"/>
                <w:szCs w:val="21"/>
                <w:highlight w:val="none"/>
              </w:rPr>
              <w:t>⑤折边沿口整齐、均匀、圆滑，无剪口外露，不应有裂口。</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1"/>
                <w:kern w:val="0"/>
                <w:szCs w:val="21"/>
                <w:highlight w:val="none"/>
                <w:lang w:val="en-US" w:eastAsia="zh-CN"/>
              </w:rPr>
            </w:pPr>
            <w:r>
              <w:rPr>
                <w:rFonts w:hint="eastAsia" w:ascii="宋体" w:hAnsi="宋体" w:cs="宋体"/>
                <w:spacing w:val="1"/>
                <w:kern w:val="0"/>
                <w:szCs w:val="21"/>
                <w:highlight w:val="none"/>
              </w:rPr>
              <w:t>由评委专家根据投标人提供的样品的外观水平进行打分，由高到低分四个档次，第一档次</w:t>
            </w:r>
            <w:r>
              <w:rPr>
                <w:rFonts w:hint="eastAsia" w:ascii="宋体" w:hAnsi="宋体" w:cs="宋体"/>
                <w:spacing w:val="1"/>
                <w:kern w:val="0"/>
                <w:szCs w:val="21"/>
                <w:highlight w:val="none"/>
                <w:lang w:val="en-US" w:eastAsia="zh-CN"/>
              </w:rPr>
              <w:t>15</w:t>
            </w:r>
            <w:r>
              <w:rPr>
                <w:rFonts w:hint="eastAsia" w:ascii="宋体" w:hAnsi="宋体" w:cs="宋体"/>
                <w:spacing w:val="1"/>
                <w:kern w:val="0"/>
                <w:szCs w:val="21"/>
                <w:highlight w:val="none"/>
              </w:rPr>
              <w:t>分，第二档次</w:t>
            </w:r>
            <w:r>
              <w:rPr>
                <w:rFonts w:hint="eastAsia" w:ascii="宋体" w:hAnsi="宋体" w:cs="宋体"/>
                <w:spacing w:val="1"/>
                <w:kern w:val="0"/>
                <w:szCs w:val="21"/>
                <w:highlight w:val="none"/>
                <w:lang w:val="en-US" w:eastAsia="zh-CN"/>
              </w:rPr>
              <w:t>13.5</w:t>
            </w:r>
            <w:r>
              <w:rPr>
                <w:rFonts w:hint="eastAsia" w:ascii="宋体" w:hAnsi="宋体" w:cs="宋体"/>
                <w:spacing w:val="1"/>
                <w:kern w:val="0"/>
                <w:szCs w:val="21"/>
                <w:highlight w:val="none"/>
              </w:rPr>
              <w:t>分，第三档次</w:t>
            </w:r>
            <w:r>
              <w:rPr>
                <w:rFonts w:hint="eastAsia" w:ascii="宋体" w:hAnsi="宋体" w:cs="宋体"/>
                <w:spacing w:val="1"/>
                <w:kern w:val="0"/>
                <w:szCs w:val="21"/>
                <w:highlight w:val="none"/>
                <w:lang w:val="en-US" w:eastAsia="zh-CN"/>
              </w:rPr>
              <w:t>12</w:t>
            </w:r>
            <w:r>
              <w:rPr>
                <w:rFonts w:hint="eastAsia" w:ascii="宋体" w:hAnsi="宋体" w:cs="宋体"/>
                <w:spacing w:val="1"/>
                <w:kern w:val="0"/>
                <w:szCs w:val="21"/>
                <w:highlight w:val="none"/>
              </w:rPr>
              <w:t>分，第四档次</w:t>
            </w:r>
            <w:r>
              <w:rPr>
                <w:rFonts w:hint="eastAsia" w:ascii="宋体" w:hAnsi="宋体" w:cs="宋体"/>
                <w:spacing w:val="1"/>
                <w:kern w:val="0"/>
                <w:szCs w:val="21"/>
                <w:highlight w:val="none"/>
                <w:lang w:val="en-US" w:eastAsia="zh-CN"/>
              </w:rPr>
              <w:t>10.5分。</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default"/>
                <w:highlight w:val="none"/>
                <w:lang w:val="en-US" w:eastAsia="zh-CN"/>
              </w:rPr>
            </w:pPr>
            <w:r>
              <w:rPr>
                <w:rFonts w:hint="eastAsia" w:ascii="宋体" w:hAnsi="宋体" w:cs="宋体"/>
                <w:spacing w:val="1"/>
                <w:kern w:val="0"/>
                <w:szCs w:val="21"/>
                <w:highlight w:val="none"/>
                <w:lang w:val="en-US" w:eastAsia="zh-CN"/>
              </w:rPr>
              <w:t>注：未提供样品或者样品提供不全的，本项不得分。</w:t>
            </w:r>
          </w:p>
        </w:tc>
        <w:tc>
          <w:tcPr>
            <w:tcW w:w="2025"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评审核验投标文件中的下述文件：</w:t>
            </w:r>
          </w:p>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highlight w:val="none"/>
              </w:rPr>
            </w:pPr>
            <w:r>
              <w:rPr>
                <w:rFonts w:hint="eastAsia" w:ascii="宋体" w:hAnsi="宋体" w:cs="宋体"/>
                <w:szCs w:val="21"/>
                <w:highlight w:val="none"/>
                <w:lang w:val="en-US" w:eastAsia="zh-CN"/>
              </w:rPr>
              <w:t>样品</w:t>
            </w:r>
            <w:r>
              <w:rPr>
                <w:rFonts w:hint="eastAsia" w:ascii="宋体" w:hAnsi="宋体" w:eastAsia="宋体" w:cs="宋体"/>
                <w:szCs w:val="21"/>
                <w:highlight w:val="none"/>
              </w:rPr>
              <w:t>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2" w:type="dxa"/>
            <w:vMerge w:val="continue"/>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p>
        </w:tc>
        <w:tc>
          <w:tcPr>
            <w:tcW w:w="867" w:type="dxa"/>
            <w:vMerge w:val="continue"/>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cs="宋体"/>
                <w:bCs/>
                <w:szCs w:val="21"/>
                <w:highlight w:val="none"/>
                <w:lang w:val="en-US" w:eastAsia="zh-CN"/>
              </w:rPr>
            </w:pPr>
          </w:p>
        </w:tc>
        <w:tc>
          <w:tcPr>
            <w:tcW w:w="654" w:type="dxa"/>
            <w:noWrap w:val="0"/>
            <w:vAlign w:val="center"/>
          </w:tcPr>
          <w:p>
            <w:pPr>
              <w:keepNext w:val="0"/>
              <w:keepLines w:val="0"/>
              <w:widowControl/>
              <w:suppressLineNumbers w:val="0"/>
              <w:spacing w:before="0" w:beforeAutospacing="0" w:after="0" w:afterAutospacing="0"/>
              <w:ind w:left="0" w:right="0"/>
              <w:jc w:val="center"/>
              <w:rPr>
                <w:rFonts w:hint="eastAsia" w:cs="宋体"/>
                <w:bCs/>
                <w:szCs w:val="21"/>
                <w:highlight w:val="none"/>
                <w:lang w:val="en-US" w:eastAsia="zh-CN"/>
              </w:rPr>
            </w:pPr>
            <w:r>
              <w:rPr>
                <w:rFonts w:hint="eastAsia" w:ascii="宋体" w:hAnsi="宋体" w:eastAsia="宋体" w:cs="宋体"/>
                <w:color w:val="000000"/>
                <w:kern w:val="0"/>
                <w:sz w:val="21"/>
                <w:szCs w:val="21"/>
                <w:highlight w:val="none"/>
              </w:rPr>
              <w:t>做工要求</w:t>
            </w:r>
          </w:p>
        </w:tc>
        <w:tc>
          <w:tcPr>
            <w:tcW w:w="736" w:type="dxa"/>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Times New Roman"/>
                <w:color w:val="000000"/>
                <w:szCs w:val="21"/>
                <w:highlight w:val="none"/>
                <w:lang w:val="en-US" w:eastAsia="zh-CN"/>
              </w:rPr>
            </w:pPr>
            <w:r>
              <w:rPr>
                <w:rFonts w:hint="eastAsia" w:ascii="宋体" w:hAnsi="宋体" w:eastAsia="宋体" w:cs="宋体"/>
                <w:color w:val="000000"/>
                <w:kern w:val="0"/>
                <w:sz w:val="21"/>
                <w:szCs w:val="21"/>
                <w:highlight w:val="none"/>
              </w:rPr>
              <w:t>15分</w:t>
            </w:r>
          </w:p>
        </w:tc>
        <w:tc>
          <w:tcPr>
            <w:tcW w:w="4708" w:type="dxa"/>
            <w:noWrap w:val="0"/>
            <w:vAlign w:val="center"/>
          </w:tcPr>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2"/>
                <w:kern w:val="0"/>
                <w:szCs w:val="21"/>
                <w:highlight w:val="none"/>
              </w:rPr>
            </w:pPr>
            <w:r>
              <w:rPr>
                <w:rFonts w:hint="default" w:ascii="宋体" w:hAnsi="宋体" w:cs="宋体"/>
                <w:spacing w:val="2"/>
                <w:kern w:val="0"/>
                <w:szCs w:val="21"/>
                <w:highlight w:val="none"/>
              </w:rPr>
              <w:t>①</w:t>
            </w:r>
            <w:r>
              <w:rPr>
                <w:rFonts w:hint="eastAsia" w:ascii="宋体" w:hAnsi="宋体" w:cs="宋体"/>
                <w:spacing w:val="2"/>
                <w:kern w:val="0"/>
                <w:szCs w:val="21"/>
                <w:highlight w:val="none"/>
              </w:rPr>
              <w:t>线道整齐，针码均匀。底面线松紧一致。不应有跳线、重针、断线、翻线、开线及缝线越轨等。</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2"/>
                <w:kern w:val="0"/>
                <w:szCs w:val="21"/>
                <w:highlight w:val="none"/>
              </w:rPr>
            </w:pPr>
            <w:r>
              <w:rPr>
                <w:rFonts w:hint="default" w:ascii="宋体" w:hAnsi="宋体" w:cs="宋体"/>
                <w:spacing w:val="2"/>
                <w:kern w:val="0"/>
                <w:szCs w:val="21"/>
                <w:highlight w:val="none"/>
              </w:rPr>
              <w:t>②</w:t>
            </w:r>
            <w:r>
              <w:rPr>
                <w:rFonts w:hint="eastAsia" w:ascii="宋体" w:hAnsi="宋体" w:cs="宋体"/>
                <w:spacing w:val="2"/>
                <w:kern w:val="0"/>
                <w:szCs w:val="21"/>
                <w:highlight w:val="none"/>
              </w:rPr>
              <w:t>配件装配牢固，基本对称。感官无明显缺陷。</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2"/>
                <w:kern w:val="0"/>
                <w:szCs w:val="21"/>
                <w:highlight w:val="none"/>
              </w:rPr>
            </w:pPr>
            <w:r>
              <w:rPr>
                <w:rFonts w:hint="default" w:ascii="宋体" w:hAnsi="宋体" w:cs="宋体"/>
                <w:spacing w:val="2"/>
                <w:kern w:val="0"/>
                <w:szCs w:val="21"/>
                <w:highlight w:val="none"/>
              </w:rPr>
              <w:t>③</w:t>
            </w:r>
            <w:r>
              <w:rPr>
                <w:rFonts w:hint="eastAsia" w:ascii="宋体" w:hAnsi="宋体" w:cs="宋体"/>
                <w:spacing w:val="2"/>
                <w:kern w:val="0"/>
                <w:szCs w:val="21"/>
                <w:highlight w:val="none"/>
              </w:rPr>
              <w:t>同双鞋前帮长度允差1.5mm，后帮高度允差1.5mm。</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2"/>
                <w:kern w:val="0"/>
                <w:szCs w:val="21"/>
                <w:highlight w:val="none"/>
              </w:rPr>
            </w:pPr>
            <w:r>
              <w:rPr>
                <w:rFonts w:hint="eastAsia" w:ascii="宋体" w:hAnsi="宋体" w:cs="宋体"/>
                <w:spacing w:val="2"/>
                <w:kern w:val="0"/>
                <w:szCs w:val="21"/>
                <w:highlight w:val="none"/>
              </w:rPr>
              <w:t>④</w:t>
            </w:r>
            <w:r>
              <w:rPr>
                <w:rFonts w:hint="eastAsia" w:ascii="宋体" w:hAnsi="宋体" w:cs="宋体"/>
                <w:spacing w:val="2"/>
                <w:kern w:val="0"/>
                <w:szCs w:val="21"/>
                <w:highlight w:val="none"/>
              </w:rPr>
              <w:t>同双鞋后跟高度允差1.0mm，前跷允差2.0mm。</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2"/>
                <w:kern w:val="0"/>
                <w:szCs w:val="21"/>
                <w:highlight w:val="none"/>
              </w:rPr>
            </w:pPr>
            <w:r>
              <w:rPr>
                <w:rFonts w:hint="eastAsia" w:ascii="宋体" w:hAnsi="宋体" w:cs="宋体"/>
                <w:spacing w:val="2"/>
                <w:kern w:val="0"/>
                <w:szCs w:val="21"/>
                <w:highlight w:val="none"/>
              </w:rPr>
              <w:t>⑤</w:t>
            </w:r>
            <w:r>
              <w:rPr>
                <w:rFonts w:hint="eastAsia" w:ascii="宋体" w:hAnsi="宋体" w:cs="宋体"/>
                <w:spacing w:val="2"/>
                <w:kern w:val="0"/>
                <w:szCs w:val="21"/>
                <w:highlight w:val="none"/>
              </w:rPr>
              <w:t>后缝歪斜允差1.5mm。</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cs="宋体"/>
                <w:spacing w:val="2"/>
                <w:kern w:val="0"/>
                <w:szCs w:val="21"/>
                <w:highlight w:val="none"/>
              </w:rPr>
            </w:pPr>
            <w:r>
              <w:rPr>
                <w:rFonts w:hint="eastAsia" w:ascii="宋体" w:hAnsi="宋体" w:cs="宋体"/>
                <w:spacing w:val="2"/>
                <w:kern w:val="0"/>
                <w:szCs w:val="21"/>
                <w:highlight w:val="none"/>
              </w:rPr>
              <w:t>⑥</w:t>
            </w:r>
            <w:r>
              <w:rPr>
                <w:rFonts w:hint="eastAsia" w:ascii="宋体" w:hAnsi="宋体" w:cs="宋体"/>
                <w:spacing w:val="2"/>
                <w:kern w:val="0"/>
                <w:szCs w:val="21"/>
                <w:highlight w:val="none"/>
              </w:rPr>
              <w:t>同双鞋外底长度允差1.5mm，宽度允差1.0 mm，厚度允差0.5 mm。</w:t>
            </w:r>
          </w:p>
          <w:p>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440" w:lineRule="exact"/>
              <w:ind w:left="0" w:right="0"/>
              <w:jc w:val="left"/>
              <w:textAlignment w:val="center"/>
              <w:rPr>
                <w:rFonts w:hint="eastAsia"/>
                <w:highlight w:val="none"/>
                <w:lang w:val="en-US" w:eastAsia="zh-CN"/>
              </w:rPr>
            </w:pPr>
            <w:r>
              <w:rPr>
                <w:rFonts w:hint="eastAsia" w:ascii="宋体" w:hAnsi="宋体" w:cs="宋体"/>
                <w:spacing w:val="2"/>
                <w:kern w:val="0"/>
                <w:szCs w:val="21"/>
                <w:highlight w:val="none"/>
              </w:rPr>
              <w:t>由评委专家根据投标人提供的样品</w:t>
            </w:r>
            <w:r>
              <w:rPr>
                <w:rFonts w:hint="eastAsia"/>
                <w:highlight w:val="none"/>
              </w:rPr>
              <w:t>的做工水平进行打分，由高到低分四个档次</w:t>
            </w:r>
            <w:r>
              <w:rPr>
                <w:rFonts w:hint="eastAsia"/>
                <w:highlight w:val="none"/>
                <w:lang w:eastAsia="zh-CN"/>
              </w:rPr>
              <w:t>，</w:t>
            </w:r>
            <w:r>
              <w:rPr>
                <w:rFonts w:hint="eastAsia"/>
                <w:highlight w:val="none"/>
              </w:rPr>
              <w:t>第一档次</w:t>
            </w:r>
            <w:r>
              <w:rPr>
                <w:rFonts w:hint="eastAsia"/>
                <w:highlight w:val="none"/>
                <w:lang w:val="en-US" w:eastAsia="zh-CN"/>
              </w:rPr>
              <w:t>15</w:t>
            </w:r>
            <w:r>
              <w:rPr>
                <w:rFonts w:hint="eastAsia"/>
                <w:highlight w:val="none"/>
              </w:rPr>
              <w:t>分，第二档次</w:t>
            </w:r>
            <w:r>
              <w:rPr>
                <w:rFonts w:hint="eastAsia"/>
                <w:highlight w:val="none"/>
                <w:lang w:val="en-US" w:eastAsia="zh-CN"/>
              </w:rPr>
              <w:t>13.5</w:t>
            </w:r>
            <w:r>
              <w:rPr>
                <w:rFonts w:hint="eastAsia"/>
                <w:highlight w:val="none"/>
              </w:rPr>
              <w:t>分，第三档次</w:t>
            </w:r>
            <w:r>
              <w:rPr>
                <w:rFonts w:hint="eastAsia"/>
                <w:highlight w:val="none"/>
                <w:lang w:val="en-US" w:eastAsia="zh-CN"/>
              </w:rPr>
              <w:t>12</w:t>
            </w:r>
            <w:r>
              <w:rPr>
                <w:rFonts w:hint="eastAsia"/>
                <w:highlight w:val="none"/>
              </w:rPr>
              <w:t>分，第四档次</w:t>
            </w:r>
            <w:r>
              <w:rPr>
                <w:rFonts w:hint="eastAsia"/>
                <w:highlight w:val="none"/>
                <w:lang w:val="en-US" w:eastAsia="zh-CN"/>
              </w:rPr>
              <w:t>10.5分。</w:t>
            </w:r>
          </w:p>
          <w:p>
            <w:pPr>
              <w:pStyle w:val="2"/>
              <w:ind w:left="0" w:leftChars="0" w:firstLine="0" w:firstLineChars="0"/>
              <w:rPr>
                <w:rFonts w:hint="eastAsia"/>
                <w:highlight w:val="none"/>
              </w:rPr>
            </w:pPr>
            <w:r>
              <w:rPr>
                <w:rFonts w:hint="eastAsia" w:ascii="Times New Roman" w:hAnsi="Times New Roman" w:eastAsia="宋体" w:cs="Times New Roman"/>
                <w:highlight w:val="none"/>
                <w:lang w:val="en-US" w:eastAsia="zh-CN"/>
              </w:rPr>
              <w:t>注：未提供样品或者样品提供不全的，本项不得分。</w:t>
            </w:r>
          </w:p>
        </w:tc>
        <w:tc>
          <w:tcPr>
            <w:tcW w:w="2025"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r>
              <w:rPr>
                <w:rFonts w:hint="eastAsia" w:ascii="宋体" w:hAnsi="宋体" w:eastAsia="宋体" w:cs="宋体"/>
                <w:szCs w:val="21"/>
                <w:highlight w:val="none"/>
              </w:rPr>
              <w:t>评审核验投标文件中的下述文件：</w:t>
            </w:r>
          </w:p>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Cs w:val="21"/>
                <w:highlight w:val="none"/>
              </w:rPr>
            </w:pPr>
            <w:r>
              <w:rPr>
                <w:rFonts w:hint="eastAsia" w:ascii="宋体" w:hAnsi="宋体" w:cs="宋体"/>
                <w:szCs w:val="21"/>
                <w:highlight w:val="none"/>
                <w:lang w:val="en-US" w:eastAsia="zh-CN"/>
              </w:rPr>
              <w:t>样品</w:t>
            </w:r>
            <w:r>
              <w:rPr>
                <w:rFonts w:hint="eastAsia" w:ascii="宋体" w:hAnsi="宋体" w:eastAsia="宋体" w:cs="宋体"/>
                <w:szCs w:val="21"/>
                <w:highlight w:val="none"/>
              </w:rPr>
              <w:t>须能充分有效反映出本评分项内容</w:t>
            </w:r>
          </w:p>
        </w:tc>
      </w:tr>
    </w:tbl>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注：1.各投标人技术标总得分为各评委评分的平均值为最终得分。取两位小数，小数点后第三位四舍五入。</w:t>
      </w:r>
    </w:p>
    <w:p>
      <w:pPr>
        <w:spacing w:line="440" w:lineRule="exact"/>
        <w:ind w:firstLine="422" w:firstLineChars="200"/>
        <w:rPr>
          <w:rFonts w:hint="eastAsia" w:ascii="宋体" w:hAnsi="Calibri" w:eastAsia="宋体" w:cs="Times New Roman"/>
          <w:color w:val="auto"/>
          <w:szCs w:val="21"/>
          <w:highlight w:val="none"/>
          <w:lang w:val="en-US" w:eastAsia="zh-CN"/>
        </w:rPr>
      </w:pPr>
      <w:r>
        <w:rPr>
          <w:rFonts w:hint="eastAsia" w:ascii="Times New Roman" w:hAnsi="Times New Roman" w:eastAsia="宋体" w:cs="Times New Roman"/>
          <w:b/>
          <w:color w:val="000000"/>
          <w:szCs w:val="21"/>
          <w:highlight w:val="none"/>
          <w:lang w:val="en-US" w:eastAsia="zh-CN"/>
        </w:rPr>
        <w:t>2.该项目技术标为暗标评审，技术标实行暗标的，对技术标（暗标）部分不予澄清、说明或者补正。</w:t>
      </w:r>
    </w:p>
    <w:p>
      <w:pPr>
        <w:spacing w:line="360" w:lineRule="auto"/>
        <w:ind w:firstLine="210" w:firstLineChars="100"/>
        <w:rPr>
          <w:rFonts w:hint="eastAsia" w:ascii="宋体" w:hAnsi="Calibri" w:eastAsia="宋体" w:cs="Times New Roman"/>
          <w:color w:val="auto"/>
          <w:szCs w:val="21"/>
          <w:highlight w:val="none"/>
        </w:rPr>
      </w:pPr>
      <w:r>
        <w:rPr>
          <w:rFonts w:hint="eastAsia" w:ascii="宋体" w:hAnsi="Calibri" w:eastAsia="宋体" w:cs="Times New Roman"/>
          <w:color w:val="auto"/>
          <w:szCs w:val="21"/>
          <w:highlight w:val="none"/>
          <w:lang w:val="en-US" w:eastAsia="zh-CN"/>
        </w:rPr>
        <w:t>6.3</w:t>
      </w:r>
      <w:r>
        <w:rPr>
          <w:rFonts w:hint="eastAsia" w:ascii="宋体" w:hAnsi="Calibri" w:eastAsia="宋体" w:cs="Times New Roman"/>
          <w:color w:val="auto"/>
          <w:szCs w:val="21"/>
          <w:highlight w:val="none"/>
        </w:rPr>
        <w:t>商务标评审细则</w:t>
      </w:r>
      <w:r>
        <w:rPr>
          <w:rFonts w:hint="eastAsia" w:ascii="宋体" w:hAnsi="Calibri" w:eastAsia="宋体" w:cs="Times New Roman"/>
          <w:color w:val="auto"/>
          <w:szCs w:val="21"/>
          <w:highlight w:val="none"/>
          <w:lang w:eastAsia="zh-CN"/>
        </w:rPr>
        <w:t>（</w:t>
      </w:r>
      <w:r>
        <w:rPr>
          <w:rFonts w:hint="eastAsia" w:ascii="宋体" w:hAnsi="Calibri" w:eastAsia="宋体" w:cs="Times New Roman"/>
          <w:color w:val="auto"/>
          <w:szCs w:val="21"/>
          <w:highlight w:val="none"/>
          <w:lang w:val="en-US" w:eastAsia="zh-CN"/>
        </w:rPr>
        <w:t>45</w:t>
      </w:r>
      <w:r>
        <w:rPr>
          <w:rFonts w:hint="eastAsia" w:ascii="宋体" w:hAnsi="Calibri" w:eastAsia="宋体" w:cs="Times New Roman"/>
          <w:color w:val="auto"/>
          <w:szCs w:val="21"/>
          <w:highlight w:val="none"/>
        </w:rPr>
        <w:t>分</w:t>
      </w:r>
      <w:r>
        <w:rPr>
          <w:rFonts w:hint="eastAsia" w:ascii="宋体" w:hAnsi="Calibri" w:eastAsia="宋体" w:cs="Times New Roman"/>
          <w:color w:val="auto"/>
          <w:szCs w:val="21"/>
          <w:highlight w:val="none"/>
          <w:lang w:eastAsia="zh-CN"/>
        </w:rPr>
        <w:t>）</w:t>
      </w:r>
    </w:p>
    <w:tbl>
      <w:tblPr>
        <w:tblStyle w:val="20"/>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45分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Times New Roman"/>
                <w:color w:val="000000"/>
                <w:szCs w:val="21"/>
                <w:highlight w:val="none"/>
                <w:lang w:val="en-US" w:eastAsia="zh-CN"/>
              </w:rPr>
              <w:t>1、通过</w:t>
            </w:r>
            <w:r>
              <w:rPr>
                <w:rFonts w:hint="eastAsia" w:ascii="宋体" w:hAnsi="宋体" w:eastAsia="宋体" w:cs="Times New Roman"/>
                <w:color w:val="000000"/>
                <w:szCs w:val="21"/>
                <w:highlight w:val="none"/>
              </w:rPr>
              <w:t>商务</w:t>
            </w:r>
            <w:r>
              <w:rPr>
                <w:rFonts w:hint="eastAsia" w:ascii="宋体" w:hAnsi="宋体" w:eastAsia="宋体" w:cs="Times New Roman"/>
                <w:color w:val="000000"/>
                <w:szCs w:val="21"/>
                <w:highlight w:val="none"/>
                <w:lang w:val="en-US" w:eastAsia="zh-CN"/>
              </w:rPr>
              <w:t>标详细</w:t>
            </w:r>
            <w:r>
              <w:rPr>
                <w:rFonts w:hint="eastAsia" w:ascii="宋体" w:hAnsi="宋体" w:eastAsia="宋体" w:cs="Times New Roman"/>
                <w:color w:val="000000"/>
                <w:szCs w:val="21"/>
                <w:highlight w:val="none"/>
              </w:rPr>
              <w:t>评审</w:t>
            </w:r>
            <w:r>
              <w:rPr>
                <w:rFonts w:hint="eastAsia" w:ascii="宋体" w:hAnsi="宋体" w:eastAsia="宋体" w:cs="Times New Roman"/>
                <w:color w:val="000000"/>
                <w:szCs w:val="21"/>
                <w:highlight w:val="none"/>
                <w:lang w:val="en-US" w:eastAsia="zh-CN"/>
              </w:rPr>
              <w:t>的</w:t>
            </w:r>
            <w:r>
              <w:rPr>
                <w:rFonts w:hint="eastAsia" w:ascii="宋体" w:hAnsi="宋体" w:eastAsia="宋体" w:cs="Times New Roman"/>
                <w:color w:val="000000"/>
                <w:szCs w:val="21"/>
                <w:highlight w:val="none"/>
              </w:rPr>
              <w:t>有效投标人报价的算术平均值</w:t>
            </w:r>
            <w:r>
              <w:rPr>
                <w:rFonts w:hint="eastAsia" w:ascii="宋体" w:hAnsi="宋体" w:eastAsia="宋体" w:cs="宋体"/>
                <w:highlight w:val="none"/>
              </w:rPr>
              <w:t>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w:t>
            </w:r>
            <w:r>
              <w:rPr>
                <w:rFonts w:hint="eastAsia" w:ascii="宋体" w:hAnsi="宋体"/>
                <w:color w:val="000000"/>
                <w:szCs w:val="21"/>
                <w:highlight w:val="none"/>
                <w:lang w:val="en-US" w:eastAsia="zh-CN"/>
              </w:rPr>
              <w:t>有效</w:t>
            </w:r>
            <w:r>
              <w:rPr>
                <w:rFonts w:hint="eastAsia" w:ascii="宋体" w:hAnsi="宋体"/>
                <w:color w:val="000000"/>
                <w:szCs w:val="21"/>
                <w:highlight w:val="none"/>
              </w:rPr>
              <w:t>投标人的报价得分按照下列公示计算：</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0.8</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4</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2"/>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keepNext w:val="0"/>
        <w:keepLines w:val="0"/>
        <w:pageBreakBefore w:val="0"/>
        <w:widowControl w:val="0"/>
        <w:kinsoku/>
        <w:wordWrap/>
        <w:overflowPunct/>
        <w:topLinePunct w:val="0"/>
        <w:autoSpaceDE/>
        <w:autoSpaceDN/>
        <w:bidi w:val="0"/>
        <w:spacing w:line="380" w:lineRule="exact"/>
        <w:ind w:firstLine="422" w:firstLineChars="200"/>
        <w:textAlignment w:val="auto"/>
        <w:rPr>
          <w:rFonts w:hint="eastAsia" w:ascii="宋体" w:hAnsi="宋体" w:cs="宋体"/>
          <w:szCs w:val="21"/>
          <w:highlight w:val="none"/>
        </w:rPr>
      </w:pPr>
      <w:bookmarkStart w:id="54" w:name="_Toc19726_WPSOffice_Level2"/>
      <w:bookmarkStart w:id="55" w:name="_Toc25521"/>
      <w:r>
        <w:rPr>
          <w:rFonts w:hint="eastAsia" w:ascii="宋体" w:hAnsi="宋体" w:cs="宋体"/>
          <w:b/>
          <w:szCs w:val="21"/>
          <w:highlight w:val="none"/>
        </w:rPr>
        <w:t>商务标评审表注：</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1.本表所称投标报价是指按招标文件规定修正后的投标总报价（多算投标报价、多报费用不扣减）。</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2.评标办法中的评标基准价计算出来后，除数字计算错误外，其他情况均不再调整。</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1"/>
        <w:rPr>
          <w:rFonts w:hint="eastAsia" w:ascii="宋体"/>
          <w:b/>
          <w:color w:val="auto"/>
          <w:sz w:val="24"/>
          <w:szCs w:val="24"/>
          <w:highlight w:val="none"/>
        </w:rPr>
      </w:pPr>
      <w:r>
        <w:rPr>
          <w:rFonts w:hint="eastAsia" w:ascii="宋体"/>
          <w:b/>
          <w:color w:val="auto"/>
          <w:sz w:val="24"/>
          <w:szCs w:val="24"/>
          <w:highlight w:val="none"/>
        </w:rPr>
        <w:t>五  推荐中标候选人</w:t>
      </w:r>
      <w:bookmarkEnd w:id="54"/>
      <w:bookmarkEnd w:id="55"/>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highlight w:val="none"/>
        </w:rPr>
      </w:pPr>
      <w:bookmarkStart w:id="56" w:name="_Toc267320058"/>
      <w:r>
        <w:rPr>
          <w:rFonts w:hint="eastAsia" w:ascii="黑体" w:eastAsia="黑体" w:cs="宋体"/>
          <w:b/>
          <w:color w:val="auto"/>
          <w:szCs w:val="21"/>
          <w:highlight w:val="none"/>
        </w:rPr>
        <w:t>评标委员会按</w:t>
      </w:r>
      <w:r>
        <w:rPr>
          <w:rFonts w:hint="eastAsia" w:ascii="黑体" w:eastAsia="黑体" w:cs="宋体"/>
          <w:b/>
          <w:color w:val="auto"/>
          <w:szCs w:val="21"/>
          <w:highlight w:val="none"/>
          <w:lang w:val="en-US" w:eastAsia="zh-CN"/>
        </w:rPr>
        <w:t>资信标、技术标和</w:t>
      </w:r>
      <w:r>
        <w:rPr>
          <w:rFonts w:hint="eastAsia" w:ascii="黑体" w:eastAsia="黑体" w:cs="宋体"/>
          <w:b/>
          <w:color w:val="auto"/>
          <w:szCs w:val="21"/>
          <w:highlight w:val="none"/>
        </w:rPr>
        <w:t>商务</w:t>
      </w:r>
      <w:r>
        <w:rPr>
          <w:rFonts w:hint="eastAsia" w:ascii="黑体" w:eastAsia="黑体" w:cs="宋体"/>
          <w:b/>
          <w:color w:val="auto"/>
          <w:szCs w:val="21"/>
          <w:highlight w:val="none"/>
          <w:lang w:val="en-US" w:eastAsia="zh-CN"/>
        </w:rPr>
        <w:t>标</w:t>
      </w:r>
      <w:r>
        <w:rPr>
          <w:rFonts w:hint="eastAsia" w:ascii="黑体" w:eastAsia="黑体" w:cs="宋体"/>
          <w:b/>
          <w:color w:val="auto"/>
          <w:szCs w:val="21"/>
          <w:highlight w:val="none"/>
        </w:rPr>
        <w:t>得分之和</w:t>
      </w:r>
      <w:r>
        <w:rPr>
          <w:rFonts w:hint="eastAsia" w:ascii="黑体" w:eastAsia="黑体" w:cs="宋体"/>
          <w:b/>
          <w:color w:val="auto"/>
          <w:szCs w:val="21"/>
          <w:highlight w:val="none"/>
          <w:lang w:eastAsia="zh-CN"/>
        </w:rPr>
        <w:t>，</w:t>
      </w:r>
      <w:r>
        <w:rPr>
          <w:rFonts w:hint="eastAsia" w:ascii="黑体" w:eastAsia="黑体" w:cs="宋体"/>
          <w:b/>
          <w:color w:val="auto"/>
          <w:szCs w:val="21"/>
          <w:highlight w:val="none"/>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7.1</w:t>
      </w:r>
      <w:r>
        <w:rPr>
          <w:rFonts w:hint="eastAsia" w:ascii="宋体"/>
          <w:color w:val="auto"/>
          <w:szCs w:val="21"/>
          <w:highlight w:val="none"/>
          <w:lang w:val="en-US" w:eastAsia="zh-CN"/>
        </w:rPr>
        <w:t>如</w:t>
      </w:r>
      <w:r>
        <w:rPr>
          <w:rFonts w:hint="eastAsia" w:ascii="宋体"/>
          <w:color w:val="auto"/>
          <w:szCs w:val="21"/>
          <w:highlight w:val="none"/>
        </w:rPr>
        <w:t>综合评分相</w:t>
      </w:r>
      <w:r>
        <w:rPr>
          <w:rFonts w:hint="eastAsia" w:ascii="宋体"/>
          <w:color w:val="auto"/>
          <w:szCs w:val="21"/>
          <w:highlight w:val="none"/>
          <w:lang w:val="en-US" w:eastAsia="zh-CN"/>
        </w:rPr>
        <w:t>等</w:t>
      </w:r>
      <w:r>
        <w:rPr>
          <w:rFonts w:hint="eastAsia" w:ascii="宋体" w:hAnsi="Times New Roman" w:eastAsia="宋体" w:cs="Times New Roman"/>
          <w:color w:val="000000"/>
          <w:szCs w:val="21"/>
          <w:highlight w:val="none"/>
        </w:rPr>
        <w:t>，以投标报价低的优先，投标报价仍相等</w:t>
      </w:r>
      <w:r>
        <w:rPr>
          <w:rFonts w:hint="eastAsia" w:ascii="宋体" w:hAnsi="Times New Roman" w:eastAsia="宋体" w:cs="Times New Roman"/>
          <w:color w:val="000000"/>
          <w:szCs w:val="21"/>
          <w:highlight w:val="none"/>
          <w:lang w:eastAsia="zh-CN"/>
        </w:rPr>
        <w:t>，</w:t>
      </w:r>
      <w:r>
        <w:rPr>
          <w:rFonts w:hint="eastAsia" w:ascii="宋体" w:hAnsi="Times New Roman" w:eastAsia="宋体" w:cs="Times New Roman"/>
          <w:color w:val="000000"/>
          <w:szCs w:val="21"/>
          <w:highlight w:val="none"/>
        </w:rPr>
        <w:t>由评标委员会主任委员或招标人随机抽取确定排名。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highlight w:val="none"/>
        </w:rPr>
      </w:pPr>
      <w:r>
        <w:rPr>
          <w:rFonts w:hint="eastAsia" w:ascii="黑体" w:eastAsia="黑体" w:cs="宋体"/>
          <w:b/>
          <w:color w:val="auto"/>
          <w:szCs w:val="21"/>
          <w:highlight w:val="none"/>
        </w:rPr>
        <w:t>8.</w:t>
      </w:r>
      <w:bookmarkEnd w:id="56"/>
      <w:r>
        <w:rPr>
          <w:rFonts w:hint="eastAsia" w:ascii="黑体" w:eastAsia="黑体" w:cs="宋体"/>
          <w:b/>
          <w:color w:val="auto"/>
          <w:szCs w:val="21"/>
          <w:highlight w:val="none"/>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(1)逾期送达的或者未送达指定地点的投标文件的，投标将被拒绝。</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w:t>
      </w:r>
      <w:r>
        <w:rPr>
          <w:rFonts w:hint="eastAsia" w:ascii="宋体"/>
          <w:color w:val="auto"/>
          <w:szCs w:val="21"/>
          <w:highlight w:val="none"/>
          <w:lang w:val="en-US" w:eastAsia="zh-CN"/>
        </w:rPr>
        <w:t>投标文件无法打开的</w:t>
      </w:r>
      <w:r>
        <w:rPr>
          <w:rFonts w:hint="eastAsia" w:ascii="宋体"/>
          <w:color w:val="auto"/>
          <w:szCs w:val="21"/>
          <w:highlight w:val="none"/>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8.2</w:t>
      </w:r>
      <w:r>
        <w:rPr>
          <w:rFonts w:hint="eastAsia" w:ascii="宋体"/>
          <w:color w:val="auto"/>
          <w:szCs w:val="21"/>
          <w:highlight w:val="none"/>
        </w:rPr>
        <w:t>投标人</w:t>
      </w:r>
      <w:r>
        <w:rPr>
          <w:rFonts w:hint="eastAsia" w:ascii="宋体" w:hAnsi="宋体" w:cs="宋体"/>
          <w:color w:val="auto"/>
          <w:szCs w:val="21"/>
          <w:highlight w:val="none"/>
        </w:rPr>
        <w:t>有下列情形之一的,</w:t>
      </w:r>
      <w:r>
        <w:rPr>
          <w:rFonts w:hint="eastAsia" w:ascii="宋体"/>
          <w:color w:val="auto"/>
          <w:szCs w:val="21"/>
          <w:highlight w:val="none"/>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rPr>
      </w:pPr>
      <w:r>
        <w:rPr>
          <w:rFonts w:hint="eastAsia" w:ascii="宋体"/>
          <w:color w:val="auto"/>
          <w:szCs w:val="21"/>
          <w:highlight w:val="none"/>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8.3 </w:t>
      </w:r>
      <w:r>
        <w:rPr>
          <w:rFonts w:hint="eastAsia" w:ascii="宋体"/>
          <w:color w:val="auto"/>
          <w:szCs w:val="21"/>
          <w:highlight w:val="none"/>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(1)投标文件签字、盖章不全，经评标委员会一致认定对开评标内容有实质性影响并经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(2)未按规定的格式填写，实质性内容不全或关键字迹模糊、无法辨认</w:t>
      </w:r>
      <w:r>
        <w:rPr>
          <w:rFonts w:hint="eastAsia" w:ascii="宋体"/>
          <w:color w:val="auto"/>
          <w:szCs w:val="21"/>
          <w:highlight w:val="none"/>
          <w:lang w:eastAsia="zh-CN"/>
        </w:rPr>
        <w:t>；</w:t>
      </w:r>
      <w:r>
        <w:rPr>
          <w:rFonts w:hint="eastAsia" w:ascii="宋体"/>
          <w:color w:val="auto"/>
          <w:szCs w:val="21"/>
          <w:highlight w:val="none"/>
        </w:rPr>
        <w:t xml:space="preserve"> 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(3)同一投标人提交两个以上不同的投标文件或者投标报价，但</w:t>
      </w:r>
      <w:r>
        <w:rPr>
          <w:rFonts w:hint="eastAsia" w:ascii="宋体"/>
          <w:color w:val="auto"/>
          <w:szCs w:val="21"/>
          <w:highlight w:val="none"/>
          <w:lang w:eastAsia="zh-CN"/>
        </w:rPr>
        <w:t>招标文件</w:t>
      </w:r>
      <w:r>
        <w:rPr>
          <w:rFonts w:hint="eastAsia" w:ascii="宋体"/>
          <w:color w:val="auto"/>
          <w:szCs w:val="21"/>
          <w:highlight w:val="none"/>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highlight w:val="none"/>
          <w:lang w:eastAsia="zh-CN"/>
        </w:rPr>
      </w:pPr>
      <w:r>
        <w:rPr>
          <w:rFonts w:hint="eastAsia" w:ascii="宋体"/>
          <w:color w:val="auto"/>
          <w:szCs w:val="21"/>
          <w:highlight w:val="none"/>
        </w:rPr>
        <w:t>(4)投标文件没有对</w:t>
      </w:r>
      <w:r>
        <w:rPr>
          <w:rFonts w:hint="eastAsia" w:ascii="宋体"/>
          <w:color w:val="auto"/>
          <w:szCs w:val="21"/>
          <w:highlight w:val="none"/>
          <w:lang w:eastAsia="zh-CN"/>
        </w:rPr>
        <w:t>招标文件</w:t>
      </w:r>
      <w:r>
        <w:rPr>
          <w:rFonts w:hint="eastAsia" w:ascii="宋体"/>
          <w:color w:val="auto"/>
          <w:szCs w:val="21"/>
          <w:highlight w:val="none"/>
        </w:rPr>
        <w:t>的实质性要求和条件作出响应</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highlight w:val="none"/>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highlight w:val="none"/>
          <w:lang w:eastAsia="zh-CN"/>
        </w:rPr>
      </w:pPr>
      <w:r>
        <w:rPr>
          <w:rFonts w:hint="eastAsia" w:ascii="宋体"/>
          <w:color w:val="auto"/>
          <w:szCs w:val="21"/>
          <w:highlight w:val="none"/>
        </w:rPr>
        <w:t>(6)不按评标委员会要求澄清、说明或补正的</w:t>
      </w:r>
      <w:r>
        <w:rPr>
          <w:rFonts w:hint="eastAsia" w:asci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(7)其它情形，经评标委员会委提出按无效投标处理，并经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(8)未按照</w:t>
      </w:r>
      <w:r>
        <w:rPr>
          <w:rFonts w:hint="eastAsia" w:ascii="宋体"/>
          <w:color w:val="auto"/>
          <w:szCs w:val="21"/>
          <w:highlight w:val="none"/>
          <w:lang w:eastAsia="zh-CN"/>
        </w:rPr>
        <w:t>招标文件</w:t>
      </w:r>
      <w:r>
        <w:rPr>
          <w:rFonts w:hint="eastAsia" w:ascii="宋体"/>
          <w:color w:val="auto"/>
          <w:szCs w:val="21"/>
          <w:highlight w:val="none"/>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(9)投标文件含有</w:t>
      </w:r>
      <w:r>
        <w:rPr>
          <w:rFonts w:hint="eastAsia" w:ascii="宋体"/>
          <w:color w:val="auto"/>
          <w:szCs w:val="21"/>
          <w:highlight w:val="none"/>
          <w:lang w:val="en-US" w:eastAsia="zh-CN"/>
        </w:rPr>
        <w:t>招标</w:t>
      </w:r>
      <w:r>
        <w:rPr>
          <w:rFonts w:hint="eastAsia" w:ascii="宋体"/>
          <w:color w:val="auto"/>
          <w:szCs w:val="21"/>
          <w:highlight w:val="none"/>
        </w:rPr>
        <w:t>人不能接受的附加条件的;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(10)</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hAnsi="宋体" w:cs="宋体"/>
          <w:color w:val="auto"/>
          <w:szCs w:val="21"/>
          <w:highlight w:val="none"/>
        </w:rPr>
        <w:t xml:space="preserve">8.4 </w:t>
      </w:r>
      <w:r>
        <w:rPr>
          <w:rFonts w:hint="eastAsia" w:ascii="宋体"/>
          <w:color w:val="auto"/>
          <w:szCs w:val="21"/>
          <w:highlight w:val="none"/>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(3)投标文件含有违反国家法律、法规的内容，或附有</w:t>
      </w:r>
      <w:r>
        <w:rPr>
          <w:rFonts w:hint="eastAsia" w:ascii="宋体"/>
          <w:color w:val="auto"/>
          <w:szCs w:val="21"/>
          <w:highlight w:val="none"/>
          <w:lang w:eastAsia="zh-CN"/>
        </w:rPr>
        <w:t>采购人</w:t>
      </w:r>
      <w:r>
        <w:rPr>
          <w:rFonts w:hint="eastAsia" w:ascii="宋体"/>
          <w:color w:val="auto"/>
          <w:szCs w:val="21"/>
          <w:highlight w:val="none"/>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highlight w:val="none"/>
        </w:rPr>
      </w:pPr>
      <w:r>
        <w:rPr>
          <w:rFonts w:hint="eastAsia" w:ascii="宋体"/>
          <w:color w:val="auto"/>
          <w:szCs w:val="21"/>
          <w:highlight w:val="none"/>
        </w:rPr>
        <w:t>(5)其它情形，经评标委员会委提出按无效投标处理，并经</w:t>
      </w:r>
      <w:r>
        <w:rPr>
          <w:rFonts w:hint="eastAsia" w:ascii="宋体"/>
          <w:color w:val="auto"/>
          <w:szCs w:val="21"/>
          <w:highlight w:val="none"/>
          <w:lang w:val="en-US" w:eastAsia="zh-CN"/>
        </w:rPr>
        <w:t>招标人</w:t>
      </w:r>
      <w:r>
        <w:rPr>
          <w:rFonts w:hint="eastAsia" w:ascii="宋体"/>
          <w:color w:val="auto"/>
          <w:szCs w:val="21"/>
          <w:highlight w:val="none"/>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highlight w:val="none"/>
        </w:rPr>
      </w:pPr>
      <w:r>
        <w:rPr>
          <w:rFonts w:hint="eastAsia" w:ascii="宋体"/>
          <w:color w:val="auto"/>
          <w:szCs w:val="21"/>
          <w:highlight w:val="none"/>
        </w:rPr>
        <w:t>(6)</w:t>
      </w:r>
      <w:r>
        <w:rPr>
          <w:rFonts w:hint="eastAsia" w:ascii="宋体"/>
          <w:color w:val="auto"/>
          <w:szCs w:val="21"/>
          <w:highlight w:val="none"/>
          <w:lang w:eastAsia="zh-CN"/>
        </w:rPr>
        <w:t>招标文件</w:t>
      </w:r>
      <w:r>
        <w:rPr>
          <w:rFonts w:hint="eastAsia" w:ascii="宋体"/>
          <w:color w:val="auto"/>
          <w:szCs w:val="21"/>
          <w:highlight w:val="none"/>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 xml:space="preserve">第四章  </w:t>
      </w:r>
      <w:r>
        <w:rPr>
          <w:rFonts w:hint="eastAsia" w:ascii="宋体" w:cs="宋体"/>
          <w:b/>
          <w:bCs/>
          <w:color w:val="auto"/>
          <w:sz w:val="28"/>
          <w:szCs w:val="28"/>
          <w:highlight w:val="none"/>
          <w:lang w:eastAsia="zh-CN"/>
        </w:rPr>
        <w:t>用户需求书</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本项目为滁宁城际铁路一线员工（客运服务类）皮鞋采购，所有产品均须符合相关国家标准。</w:t>
      </w:r>
    </w:p>
    <w:p>
      <w:pPr>
        <w:keepNext w:val="0"/>
        <w:keepLines w:val="0"/>
        <w:pageBreakBefore w:val="0"/>
        <w:numPr>
          <w:ilvl w:val="0"/>
          <w:numId w:val="4"/>
        </w:numPr>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项目要求</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2.1 采购清单</w:t>
      </w:r>
    </w:p>
    <w:tbl>
      <w:tblPr>
        <w:tblStyle w:val="20"/>
        <w:tblW w:w="9424" w:type="dxa"/>
        <w:jc w:val="center"/>
        <w:tblLayout w:type="fixed"/>
        <w:tblCellMar>
          <w:top w:w="0" w:type="dxa"/>
          <w:left w:w="108" w:type="dxa"/>
          <w:bottom w:w="0" w:type="dxa"/>
          <w:right w:w="108" w:type="dxa"/>
        </w:tblCellMar>
      </w:tblPr>
      <w:tblGrid>
        <w:gridCol w:w="707"/>
        <w:gridCol w:w="1531"/>
        <w:gridCol w:w="5272"/>
        <w:gridCol w:w="780"/>
        <w:gridCol w:w="1134"/>
      </w:tblGrid>
      <w:tr>
        <w:tblPrEx>
          <w:tblCellMar>
            <w:top w:w="0" w:type="dxa"/>
            <w:left w:w="108" w:type="dxa"/>
            <w:bottom w:w="0" w:type="dxa"/>
            <w:right w:w="108" w:type="dxa"/>
          </w:tblCellMar>
        </w:tblPrEx>
        <w:trPr>
          <w:trHeight w:val="285" w:hRule="atLeast"/>
          <w:jc w:val="center"/>
        </w:trPr>
        <w:tc>
          <w:tcPr>
            <w:tcW w:w="7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名称</w:t>
            </w:r>
          </w:p>
        </w:tc>
        <w:tc>
          <w:tcPr>
            <w:tcW w:w="52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技术要求</w:t>
            </w:r>
          </w:p>
        </w:tc>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三年预估</w:t>
            </w:r>
            <w:r>
              <w:rPr>
                <w:rFonts w:hint="eastAsia" w:ascii="宋体" w:hAnsi="宋体" w:eastAsia="宋体" w:cs="宋体"/>
                <w:b/>
                <w:bCs/>
                <w:color w:val="auto"/>
                <w:kern w:val="0"/>
                <w:sz w:val="21"/>
                <w:szCs w:val="21"/>
                <w:highlight w:val="none"/>
              </w:rPr>
              <w:t>数量</w:t>
            </w:r>
          </w:p>
        </w:tc>
      </w:tr>
      <w:tr>
        <w:tblPrEx>
          <w:tblCellMar>
            <w:top w:w="0" w:type="dxa"/>
            <w:left w:w="108" w:type="dxa"/>
            <w:bottom w:w="0" w:type="dxa"/>
            <w:right w:w="108" w:type="dxa"/>
          </w:tblCellMar>
        </w:tblPrEx>
        <w:trPr>
          <w:trHeight w:val="825" w:hRule="atLeast"/>
          <w:jc w:val="center"/>
        </w:trPr>
        <w:tc>
          <w:tcPr>
            <w:tcW w:w="70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53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lang w:val="en-US" w:eastAsia="zh-CN"/>
              </w:rPr>
              <w:t>生产岗男式</w:t>
            </w:r>
            <w:r>
              <w:rPr>
                <w:rFonts w:hint="eastAsia" w:ascii="宋体" w:hAnsi="宋体" w:cs="宋体"/>
                <w:color w:val="000000"/>
                <w:kern w:val="0"/>
                <w:highlight w:val="none"/>
              </w:rPr>
              <w:t>皮鞋</w:t>
            </w:r>
          </w:p>
        </w:tc>
        <w:tc>
          <w:tcPr>
            <w:tcW w:w="52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000000"/>
                <w:kern w:val="0"/>
                <w:szCs w:val="21"/>
                <w:highlight w:val="none"/>
                <w:lang w:val="en-US" w:eastAsia="zh-CN"/>
              </w:rPr>
              <w:t>采用胶粘工艺成型；鞋面黑色铬鞣进口全粒面黄牛软面革（厚度≥1.20mm），符合QB/T 1873 面革要求；鞋里为浅黄色铬鞣猪里革（前后鞋里、鞋舌里、绒面向外后跟里，厚度≥0.7mm；内包头厚度≥1.0mm），符合QB/T 2680 头层皮要求；双密度鞋底需要贴前掌垫，符合GB/T 3903.1、GB/T 3903.2、GB/T 3903.4；一型钢勾心支撑，抗弯刚度应符合 QB/T 1917；内底汉麻中底（厚度≥1.70mm）；半内底鞋用纤维纸板（厚度≥2.40mm）；29.5tex×3涤纶线。</w:t>
            </w:r>
          </w:p>
        </w:tc>
        <w:tc>
          <w:tcPr>
            <w:tcW w:w="78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rPr>
              <w:t>双</w:t>
            </w:r>
          </w:p>
        </w:tc>
        <w:tc>
          <w:tcPr>
            <w:tcW w:w="113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504</w:t>
            </w:r>
          </w:p>
        </w:tc>
      </w:tr>
      <w:tr>
        <w:tblPrEx>
          <w:tblCellMar>
            <w:top w:w="0" w:type="dxa"/>
            <w:left w:w="108" w:type="dxa"/>
            <w:bottom w:w="0" w:type="dxa"/>
            <w:right w:w="108" w:type="dxa"/>
          </w:tblCellMar>
        </w:tblPrEx>
        <w:trPr>
          <w:trHeight w:val="825" w:hRule="atLeast"/>
          <w:jc w:val="center"/>
        </w:trPr>
        <w:tc>
          <w:tcPr>
            <w:tcW w:w="70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53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lang w:val="en-US" w:eastAsia="zh-CN"/>
              </w:rPr>
              <w:t>生产岗女式</w:t>
            </w:r>
            <w:r>
              <w:rPr>
                <w:rFonts w:hint="eastAsia" w:ascii="宋体" w:hAnsi="宋体" w:cs="宋体"/>
                <w:color w:val="000000"/>
                <w:kern w:val="0"/>
                <w:highlight w:val="none"/>
              </w:rPr>
              <w:t>皮鞋</w:t>
            </w:r>
          </w:p>
        </w:tc>
        <w:tc>
          <w:tcPr>
            <w:tcW w:w="52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000000"/>
                <w:kern w:val="0"/>
                <w:szCs w:val="21"/>
                <w:highlight w:val="none"/>
                <w:lang w:val="en-US" w:eastAsia="zh-CN"/>
              </w:rPr>
              <w:t>采用胶粘工艺成型，</w:t>
            </w:r>
            <w:r>
              <w:rPr>
                <w:rFonts w:hint="default"/>
                <w:color w:val="000007"/>
                <w:highlight w:val="none"/>
              </w:rPr>
              <w:t>系带式基本结构，鞋口为黑色软皮</w:t>
            </w:r>
            <w:r>
              <w:rPr>
                <w:rFonts w:hint="eastAsia" w:ascii="宋体" w:hAnsi="宋体" w:eastAsia="宋体" w:cs="宋体"/>
                <w:color w:val="000000"/>
                <w:kern w:val="0"/>
                <w:szCs w:val="21"/>
                <w:highlight w:val="none"/>
                <w:lang w:val="en-US" w:eastAsia="zh-CN"/>
              </w:rPr>
              <w:t>；鞋面黑色铬鞣进口全粒面黄牛软面革（厚度≥1.20mm），符合QB/T 1873 面革要求；鞋里为浅黄色铬鞣猪里革（前后鞋里、鞋舌里、绒面向外后跟里，厚度≥0.7mm；内包头厚度≥1.0mm），符合QB/T 2680 头层皮要求；双密度鞋底需要贴前掌垫，符合GB/T 3903.1、GB/T 3903.2、GB/T 3903.4；一型钢勾心支撑，抗弯刚度应符合 QB/T 1917；内底汉麻中底（厚度≥1.70mm）；半内底鞋用纤维纸板（厚度≥2.40mm）；29.5tex×3涤纶线。</w:t>
            </w:r>
          </w:p>
        </w:tc>
        <w:tc>
          <w:tcPr>
            <w:tcW w:w="78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rPr>
              <w:t>双</w:t>
            </w:r>
          </w:p>
        </w:tc>
        <w:tc>
          <w:tcPr>
            <w:tcW w:w="113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508</w:t>
            </w:r>
          </w:p>
        </w:tc>
      </w:tr>
      <w:tr>
        <w:tblPrEx>
          <w:tblCellMar>
            <w:top w:w="0" w:type="dxa"/>
            <w:left w:w="108" w:type="dxa"/>
            <w:bottom w:w="0" w:type="dxa"/>
            <w:right w:w="108" w:type="dxa"/>
          </w:tblCellMar>
        </w:tblPrEx>
        <w:trPr>
          <w:trHeight w:val="90" w:hRule="atLeast"/>
          <w:jc w:val="center"/>
        </w:trPr>
        <w:tc>
          <w:tcPr>
            <w:tcW w:w="70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3</w:t>
            </w:r>
          </w:p>
        </w:tc>
        <w:tc>
          <w:tcPr>
            <w:tcW w:w="153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lang w:val="en-US" w:eastAsia="zh-CN"/>
              </w:rPr>
              <w:t>生产岗男式棉</w:t>
            </w:r>
            <w:r>
              <w:rPr>
                <w:rFonts w:hint="eastAsia" w:ascii="宋体" w:hAnsi="宋体" w:cs="宋体"/>
                <w:color w:val="000000"/>
                <w:kern w:val="0"/>
                <w:highlight w:val="none"/>
              </w:rPr>
              <w:t>皮鞋</w:t>
            </w:r>
          </w:p>
        </w:tc>
        <w:tc>
          <w:tcPr>
            <w:tcW w:w="52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000000"/>
                <w:kern w:val="0"/>
                <w:szCs w:val="21"/>
                <w:highlight w:val="none"/>
                <w:lang w:val="en-US" w:eastAsia="zh-CN"/>
              </w:rPr>
              <w:t>采用胶粘工艺成型；鞋面黑色铬鞣进口全粒面黄牛软面革（厚度≥1.40mm），符合QB/T 1873 面革要求；鞋里为黑色铬鞣猪里革（前后鞋里、鞋舌里、绒面向外后跟里，厚度≥0.7mm；内包头厚度≥1.3mm），符合QB/T 2680 头层皮要求；橡胶成型鞋底需要贴前掌垫，防寒功能橡胶沿，零下 30 度不断裂，符合GB/T 3903.1、GB/T 3903.2、GB/T 3903.4；一型钢勾心支撑，抗弯刚度应符合 QB/T 1917；内底汉麻中底（厚度≥1.70mm）；半内底鞋用纤维纸板（厚度≥2.40mm）；360 度贴合内里， 材质轻盈保暖绒毛；29.5tex×3涤纶线。</w:t>
            </w:r>
          </w:p>
        </w:tc>
        <w:tc>
          <w:tcPr>
            <w:tcW w:w="78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rPr>
              <w:t>双</w:t>
            </w:r>
          </w:p>
        </w:tc>
        <w:tc>
          <w:tcPr>
            <w:tcW w:w="113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252</w:t>
            </w:r>
          </w:p>
        </w:tc>
      </w:tr>
      <w:tr>
        <w:tblPrEx>
          <w:tblCellMar>
            <w:top w:w="0" w:type="dxa"/>
            <w:left w:w="108" w:type="dxa"/>
            <w:bottom w:w="0" w:type="dxa"/>
            <w:right w:w="108" w:type="dxa"/>
          </w:tblCellMar>
        </w:tblPrEx>
        <w:trPr>
          <w:trHeight w:val="562" w:hRule="atLeast"/>
          <w:jc w:val="center"/>
        </w:trPr>
        <w:tc>
          <w:tcPr>
            <w:tcW w:w="70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4</w:t>
            </w:r>
          </w:p>
        </w:tc>
        <w:tc>
          <w:tcPr>
            <w:tcW w:w="153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lang w:val="en-US" w:eastAsia="zh-CN"/>
              </w:rPr>
              <w:t>生产岗女式棉</w:t>
            </w:r>
            <w:r>
              <w:rPr>
                <w:rFonts w:hint="eastAsia" w:ascii="宋体" w:hAnsi="宋体" w:cs="宋体"/>
                <w:color w:val="000000"/>
                <w:kern w:val="0"/>
                <w:highlight w:val="none"/>
              </w:rPr>
              <w:t>皮鞋</w:t>
            </w:r>
          </w:p>
        </w:tc>
        <w:tc>
          <w:tcPr>
            <w:tcW w:w="52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rPr>
            </w:pPr>
            <w:r>
              <w:rPr>
                <w:rFonts w:hint="eastAsia" w:ascii="宋体" w:hAnsi="宋体" w:eastAsia="宋体" w:cs="宋体"/>
                <w:color w:val="000000"/>
                <w:kern w:val="0"/>
                <w:szCs w:val="21"/>
                <w:highlight w:val="none"/>
                <w:lang w:val="en-US" w:eastAsia="zh-CN"/>
              </w:rPr>
              <w:t>采用胶粘工艺成型；鞋面黑色铬鞣进口全粒面黄牛软面革（厚度≥1.40mm），符合QB/T 1873 面革要求；鞋里为黑色铬鞣猪里革（前后鞋里、鞋舌里、绒面向外后跟里，厚度≥0.7mm；内包头厚度≥1.3mm），符合QB/T 2680 头层皮要求；橡胶成型鞋底需要贴前掌垫，防寒功能橡胶沿，零下 30 度不断裂，符合GB/T 3903.1、GB/T 3903.2、GB/T 3903.4；一型钢勾心支撑，抗弯刚度应符合 QB/T 1917；内底汉麻中底（厚度≥1.70mm）；半内底鞋用纤维纸板（厚度≥2.40mm）；360 度贴合内里， 材质轻盈保暖绒毛；29.5tex×3涤纶线。</w:t>
            </w:r>
          </w:p>
        </w:tc>
        <w:tc>
          <w:tcPr>
            <w:tcW w:w="780"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rPr>
              <w:t>双</w:t>
            </w:r>
          </w:p>
        </w:tc>
        <w:tc>
          <w:tcPr>
            <w:tcW w:w="113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254</w:t>
            </w:r>
          </w:p>
        </w:tc>
      </w:tr>
    </w:tbl>
    <w:p>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2.2参考样式</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highlight w:val="none"/>
          <w:u w:val="none"/>
        </w:rPr>
      </w:pPr>
      <w:r>
        <w:rPr>
          <w:highlight w:val="none"/>
          <w:u w:val="none"/>
        </w:rPr>
        <w:drawing>
          <wp:inline distT="0" distB="0" distL="114300" distR="114300">
            <wp:extent cx="2800985" cy="2842260"/>
            <wp:effectExtent l="0" t="0" r="18415" b="15240"/>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5"/>
                    <a:stretch>
                      <a:fillRect/>
                    </a:stretch>
                  </pic:blipFill>
                  <pic:spPr>
                    <a:xfrm rot="10800000" flipV="1">
                      <a:off x="0" y="0"/>
                      <a:ext cx="2800985" cy="2842260"/>
                    </a:xfrm>
                    <a:prstGeom prst="rect">
                      <a:avLst/>
                    </a:prstGeom>
                    <a:noFill/>
                    <a:ln w="9525">
                      <a:noFill/>
                    </a:ln>
                  </pic:spPr>
                </pic:pic>
              </a:graphicData>
            </a:graphic>
          </wp:inline>
        </w:drawing>
      </w:r>
    </w:p>
    <w:p>
      <w:pPr>
        <w:pStyle w:val="31"/>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highlight w:val="none"/>
          <w:u w:val="none"/>
          <w:lang w:val="en-US" w:eastAsia="zh-CN"/>
        </w:rPr>
      </w:pPr>
      <w:r>
        <w:rPr>
          <w:rFonts w:hint="eastAsia"/>
          <w:highlight w:val="none"/>
          <w:u w:val="none"/>
          <w:lang w:val="en-US" w:eastAsia="zh-CN"/>
        </w:rPr>
        <w:t>生产岗男式皮鞋</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highlight w:val="none"/>
          <w:u w:val="none"/>
          <w:lang w:val="en-US" w:eastAsia="zh-CN"/>
        </w:rPr>
      </w:pPr>
    </w:p>
    <w:p>
      <w:pPr>
        <w:pStyle w:val="31"/>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highlight w:val="none"/>
          <w:u w:val="none"/>
        </w:rPr>
      </w:pPr>
      <w:r>
        <w:rPr>
          <w:highlight w:val="none"/>
          <w:u w:val="none"/>
        </w:rPr>
        <w:drawing>
          <wp:inline distT="0" distB="0" distL="114300" distR="114300">
            <wp:extent cx="2765425" cy="2840355"/>
            <wp:effectExtent l="0" t="0" r="15875" b="17145"/>
            <wp:docPr id="12" name="图片 11" descr="8767f0163752b517cc18ed5531b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8767f0163752b517cc18ed5531b9860"/>
                    <pic:cNvPicPr>
                      <a:picLocks noChangeAspect="1"/>
                    </pic:cNvPicPr>
                  </pic:nvPicPr>
                  <pic:blipFill>
                    <a:blip r:embed="rId6"/>
                    <a:stretch>
                      <a:fillRect/>
                    </a:stretch>
                  </pic:blipFill>
                  <pic:spPr>
                    <a:xfrm>
                      <a:off x="0" y="0"/>
                      <a:ext cx="2765425" cy="2840355"/>
                    </a:xfrm>
                    <a:prstGeom prst="rect">
                      <a:avLst/>
                    </a:prstGeom>
                  </pic:spPr>
                </pic:pic>
              </a:graphicData>
            </a:graphic>
          </wp:inline>
        </w:drawing>
      </w:r>
    </w:p>
    <w:p>
      <w:pPr>
        <w:pStyle w:val="31"/>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highlight w:val="none"/>
          <w:u w:val="none"/>
          <w:lang w:val="en-US" w:eastAsia="zh-CN"/>
        </w:rPr>
      </w:pPr>
      <w:r>
        <w:rPr>
          <w:rFonts w:hint="eastAsia"/>
          <w:highlight w:val="none"/>
          <w:u w:val="none"/>
          <w:lang w:val="en-US" w:eastAsia="zh-CN"/>
        </w:rPr>
        <w:t>生产岗女式皮鞋</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highlight w:val="none"/>
          <w:u w:val="none"/>
        </w:rPr>
      </w:pPr>
      <w:r>
        <w:rPr>
          <w:highlight w:val="none"/>
          <w:u w:val="none"/>
        </w:rPr>
        <w:drawing>
          <wp:inline distT="0" distB="0" distL="114300" distR="114300">
            <wp:extent cx="2840355" cy="1974215"/>
            <wp:effectExtent l="0" t="0" r="17145" b="6985"/>
            <wp:docPr id="13" name="图片 12" descr="548b66f0e69ac6cecc5f660a9b894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548b66f0e69ac6cecc5f660a9b894df"/>
                    <pic:cNvPicPr>
                      <a:picLocks noChangeAspect="1"/>
                    </pic:cNvPicPr>
                  </pic:nvPicPr>
                  <pic:blipFill>
                    <a:blip r:embed="rId7"/>
                    <a:stretch>
                      <a:fillRect/>
                    </a:stretch>
                  </pic:blipFill>
                  <pic:spPr>
                    <a:xfrm>
                      <a:off x="0" y="0"/>
                      <a:ext cx="2840355" cy="1974215"/>
                    </a:xfrm>
                    <a:prstGeom prst="rect">
                      <a:avLst/>
                    </a:prstGeom>
                  </pic:spPr>
                </pic:pic>
              </a:graphicData>
            </a:graphic>
          </wp:inline>
        </w:drawing>
      </w:r>
    </w:p>
    <w:p>
      <w:pPr>
        <w:pStyle w:val="31"/>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highlight w:val="none"/>
          <w:u w:val="none"/>
          <w:lang w:val="en-US" w:eastAsia="zh-CN"/>
        </w:rPr>
      </w:pPr>
      <w:r>
        <w:rPr>
          <w:rFonts w:hint="eastAsia"/>
          <w:highlight w:val="none"/>
          <w:u w:val="none"/>
          <w:lang w:val="en-US" w:eastAsia="zh-CN"/>
        </w:rPr>
        <w:t>生产岗男式棉皮鞋</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highlight w:val="none"/>
          <w:u w:val="none"/>
          <w:lang w:val="en-US" w:eastAsia="zh-CN"/>
        </w:rPr>
      </w:pPr>
    </w:p>
    <w:p>
      <w:pPr>
        <w:pStyle w:val="31"/>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highlight w:val="none"/>
          <w:u w:val="none"/>
        </w:rPr>
      </w:pPr>
      <w:r>
        <w:rPr>
          <w:highlight w:val="none"/>
          <w:u w:val="none"/>
        </w:rPr>
        <w:drawing>
          <wp:inline distT="0" distB="0" distL="114300" distR="114300">
            <wp:extent cx="2849245" cy="1976755"/>
            <wp:effectExtent l="0" t="0" r="8255" b="4445"/>
            <wp:docPr id="14" name="图片 13" descr="59e8ee9e8878d036016b02a2b994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59e8ee9e8878d036016b02a2b994682"/>
                    <pic:cNvPicPr>
                      <a:picLocks noChangeAspect="1"/>
                    </pic:cNvPicPr>
                  </pic:nvPicPr>
                  <pic:blipFill>
                    <a:blip r:embed="rId8"/>
                    <a:stretch>
                      <a:fillRect/>
                    </a:stretch>
                  </pic:blipFill>
                  <pic:spPr>
                    <a:xfrm>
                      <a:off x="0" y="0"/>
                      <a:ext cx="2849245" cy="1976755"/>
                    </a:xfrm>
                    <a:prstGeom prst="rect">
                      <a:avLst/>
                    </a:prstGeom>
                  </pic:spPr>
                </pic:pic>
              </a:graphicData>
            </a:graphic>
          </wp:inline>
        </w:drawing>
      </w:r>
    </w:p>
    <w:p>
      <w:pPr>
        <w:pStyle w:val="31"/>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highlight w:val="none"/>
          <w:u w:val="none"/>
          <w:lang w:val="en-US" w:eastAsia="zh-CN"/>
        </w:rPr>
      </w:pPr>
      <w:r>
        <w:rPr>
          <w:rFonts w:hint="eastAsia"/>
          <w:highlight w:val="none"/>
          <w:u w:val="none"/>
          <w:lang w:val="en-US" w:eastAsia="zh-CN"/>
        </w:rPr>
        <w:t>生产岗女式棉皮鞋</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textAlignment w:val="auto"/>
        <w:rPr>
          <w:rFonts w:hint="eastAsia" w:ascii="宋体" w:hAnsi="宋体" w:eastAsia="宋体" w:cs="宋体"/>
          <w:b/>
          <w:sz w:val="21"/>
          <w:szCs w:val="21"/>
          <w:highlight w:val="none"/>
          <w:lang w:val="en-US" w:eastAsia="zh-CN"/>
        </w:rPr>
      </w:pP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2.3服装设计要求</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2.3.1投标单位投标时须提供样品。</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2.3.2 设计要融合滁州城市文化及滁宁城际轨道交通企业文化，结合员工岗位工作特点，从服装的功能、色彩、面料、款式、造型、搭配等多方面考虑，提供最佳设计方案及设计效果展示，展示滁宁城际的良好形象，展现企业员工风采。</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2.3.3 设计要考虑到各岗位工作人员着装的功能性、安全性，设计方案应做到简洁大方、舒适实用。</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2.3.4 设计选择的面料要实用、耐用，价格应适中，并具有较高的性价比。</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2.3.5 设计联络会</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合同签订后，中标人应在7日内组织相关人员到招标人所在地召开第一次设计联络会，中标人提供相关设计图册（采购清单中全部货物），介绍设计理念，招标人提出相关设计需求。</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中标人应在第一次设计联络会后7日内组织相关人员到招标人所在地召开第二次设计联络会，会前3天内提交设计方案及相关资料，招标人对设计方案进行审核，原则上在第二次设计联络会中基本确定设计方案。</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中标人应根据招标人的意见及时修改完善，直到完成最终设计方案。最终设计方案应得到招标人的书面确认。</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2.3.6 设计完成后各类型皮鞋按照参数生产样品，并且送第三方检验机构进行检验，并封样。同时确保大货品质与封样完全一致。</w:t>
      </w:r>
    </w:p>
    <w:p>
      <w:pPr>
        <w:keepNext w:val="0"/>
        <w:keepLines w:val="0"/>
        <w:pageBreakBefore w:val="0"/>
        <w:numPr>
          <w:ilvl w:val="0"/>
          <w:numId w:val="4"/>
        </w:numPr>
        <w:kinsoku/>
        <w:wordWrap/>
        <w:overflowPunct/>
        <w:topLinePunct w:val="0"/>
        <w:autoSpaceDE/>
        <w:autoSpaceDN/>
        <w:bidi w:val="0"/>
        <w:adjustRightInd/>
        <w:snapToGrid w:val="0"/>
        <w:spacing w:line="400" w:lineRule="exact"/>
        <w:ind w:firstLine="422"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检验、测试和验收</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在实际供货时，招标人将随机取样送检（由招标人指定的第三方权威检测机构检测），每次随机抽取品种，取样数量为：每个品种抽取1-2件产品，抽取的样品数量由中标人负责免费补充给招标人，产生的检测费用、运输费等所有费用由中标人承担。</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若第一次检测结果劣于招标文件要求，招标人有权根据检测情况提高抽样率，所有费用均由中标人自行承担，除换货外，还应按履约保证金金额的50%向招标人支付违约金。如招标人在供货期内两次抽样检测结果劣于招标文件要求，招标人有权没收履约保证金，并有权解除本合同，因此而产生的一切费用和责任由中标人承担。样品检测结果必须符合以下技术要求，并在其允差范围内：</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0"/>
        <w:gridCol w:w="4755"/>
        <w:gridCol w:w="2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04"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620"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名称</w:t>
            </w:r>
          </w:p>
        </w:tc>
        <w:tc>
          <w:tcPr>
            <w:tcW w:w="4755"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000000"/>
                <w:kern w:val="0"/>
                <w:sz w:val="21"/>
                <w:szCs w:val="21"/>
                <w:highlight w:val="none"/>
                <w:lang w:val="en-US" w:eastAsia="zh-CN"/>
              </w:rPr>
              <w:t>指标名称</w:t>
            </w:r>
          </w:p>
        </w:tc>
        <w:tc>
          <w:tcPr>
            <w:tcW w:w="2666" w:type="dxa"/>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auto"/>
                <w:kern w:val="0"/>
                <w:sz w:val="21"/>
                <w:szCs w:val="21"/>
                <w:highlight w:val="none"/>
              </w:rPr>
            </w:pPr>
            <w:r>
              <w:rPr>
                <w:rFonts w:hint="eastAsia" w:ascii="宋体" w:hAnsi="宋体" w:eastAsia="宋体" w:cs="宋体"/>
                <w:b/>
                <w:bCs/>
                <w:snapToGrid w:val="0"/>
                <w:sz w:val="21"/>
                <w:szCs w:val="21"/>
                <w:highlight w:val="none"/>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w:t>
            </w:r>
          </w:p>
        </w:tc>
        <w:tc>
          <w:tcPr>
            <w:tcW w:w="1620" w:type="dxa"/>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color w:val="000000"/>
                <w:kern w:val="0"/>
                <w:highlight w:val="none"/>
                <w:lang w:val="en-US" w:eastAsia="zh-CN"/>
              </w:rPr>
            </w:pPr>
            <w:r>
              <w:rPr>
                <w:rFonts w:hint="eastAsia" w:ascii="宋体" w:hAnsi="宋体" w:cs="宋体"/>
                <w:color w:val="000000"/>
                <w:kern w:val="0"/>
                <w:highlight w:val="none"/>
                <w:lang w:val="en-US" w:eastAsia="zh-CN"/>
              </w:rPr>
              <w:t>生产岗</w:t>
            </w:r>
          </w:p>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lang w:val="en-US" w:eastAsia="zh-CN"/>
              </w:rPr>
              <w:t>男式</w:t>
            </w:r>
            <w:r>
              <w:rPr>
                <w:rFonts w:hint="eastAsia" w:ascii="宋体" w:hAnsi="宋体" w:cs="宋体"/>
                <w:color w:val="000000"/>
                <w:kern w:val="0"/>
                <w:highlight w:val="none"/>
              </w:rPr>
              <w:t>皮鞋</w:t>
            </w: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帮底剥离强度（</w:t>
            </w:r>
            <w:r>
              <w:rPr>
                <w:rFonts w:hint="default" w:ascii="宋体" w:hAnsi="宋体" w:cs="宋体"/>
                <w:snapToGrid w:val="0"/>
                <w:szCs w:val="21"/>
                <w:highlight w:val="none"/>
              </w:rPr>
              <w:t>N/cm</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2"/>
                <w:sz w:val="21"/>
                <w:szCs w:val="21"/>
                <w:highlight w:val="none"/>
                <w:lang w:eastAsia="zh-CN" w:bidi="ar-SA"/>
              </w:rPr>
            </w:pPr>
            <w:r>
              <w:rPr>
                <w:rFonts w:hint="eastAsia" w:ascii="宋体" w:hAnsi="宋体" w:cs="宋体"/>
                <w:snapToGrid w:val="0"/>
                <w:szCs w:val="21"/>
                <w:highlight w:val="none"/>
              </w:rPr>
              <w:t>≥</w:t>
            </w:r>
            <w:r>
              <w:rPr>
                <w:rFonts w:hint="default" w:ascii="宋体" w:hAnsi="宋体" w:cs="宋体"/>
                <w:snapToGrid w:val="0"/>
                <w:szCs w:val="21"/>
                <w:highlight w:val="none"/>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外底耐磨性能（磨痕长度</w:t>
            </w:r>
            <w:r>
              <w:rPr>
                <w:rFonts w:hint="default" w:ascii="宋体" w:hAnsi="宋体" w:cs="宋体"/>
                <w:snapToGrid w:val="0"/>
                <w:szCs w:val="21"/>
                <w:highlight w:val="none"/>
              </w:rPr>
              <w:t>/ mm</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w:t>
            </w:r>
            <w:r>
              <w:rPr>
                <w:rFonts w:hint="default" w:ascii="宋体" w:hAnsi="宋体" w:cs="宋体"/>
                <w:snapToGrid w:val="0"/>
                <w:szCs w:val="21"/>
                <w:highlight w:val="none"/>
              </w:rPr>
              <w:t>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可分解有害芳香胺染料（</w:t>
            </w:r>
            <w:r>
              <w:rPr>
                <w:rFonts w:hint="default" w:ascii="宋体" w:hAnsi="宋体" w:cs="宋体"/>
                <w:snapToGrid w:val="0"/>
                <w:szCs w:val="21"/>
                <w:highlight w:val="none"/>
              </w:rPr>
              <w:t>mg/kg</w:t>
            </w:r>
            <w:r>
              <w:rPr>
                <w:rFonts w:hint="eastAsia" w:ascii="宋体" w:hAnsi="宋体" w:cs="宋体"/>
                <w:snapToGrid w:val="0"/>
                <w:szCs w:val="21"/>
                <w:highlight w:val="none"/>
              </w:rPr>
              <w:t>）限量值，俗称“偶氮”检测。</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cs="宋体"/>
                <w:snapToGrid w:val="0"/>
                <w:szCs w:val="21"/>
                <w:highlight w:val="none"/>
                <w:lang w:val="en-US" w:eastAsia="zh-CN"/>
              </w:rPr>
            </w:pPr>
            <w:r>
              <w:rPr>
                <w:rFonts w:hint="eastAsia" w:ascii="宋体" w:hAnsi="宋体" w:cs="宋体"/>
                <w:snapToGrid w:val="0"/>
                <w:szCs w:val="21"/>
                <w:highlight w:val="none"/>
              </w:rPr>
              <w:t>纺织品≦</w:t>
            </w:r>
            <w:r>
              <w:rPr>
                <w:rFonts w:hint="default" w:ascii="宋体" w:hAnsi="宋体" w:cs="宋体"/>
                <w:snapToGrid w:val="0"/>
                <w:szCs w:val="21"/>
                <w:highlight w:val="none"/>
              </w:rPr>
              <w:t>2</w:t>
            </w:r>
            <w:r>
              <w:rPr>
                <w:rFonts w:hint="eastAsia" w:ascii="宋体" w:hAnsi="宋体" w:cs="宋体"/>
                <w:snapToGrid w:val="0"/>
                <w:szCs w:val="21"/>
                <w:highlight w:val="none"/>
                <w:lang w:val="en-US" w:eastAsia="zh-CN"/>
              </w:rPr>
              <w:t>0</w:t>
            </w:r>
          </w:p>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皮革≦</w:t>
            </w:r>
            <w:r>
              <w:rPr>
                <w:rFonts w:hint="default" w:ascii="宋体" w:hAnsi="宋体" w:cs="宋体"/>
                <w:snapToGrid w:val="0"/>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游离或可部分水解的甲醛限量值（</w:t>
            </w:r>
            <w:r>
              <w:rPr>
                <w:rFonts w:hint="default" w:ascii="宋体" w:hAnsi="宋体" w:cs="宋体"/>
                <w:snapToGrid w:val="0"/>
                <w:szCs w:val="21"/>
                <w:highlight w:val="none"/>
              </w:rPr>
              <w:t>mg/kg</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default" w:ascii="宋体" w:hAnsi="宋体" w:cs="宋体"/>
                <w:snapToGrid w:val="0"/>
                <w:szCs w:val="21"/>
                <w:highlight w:val="none"/>
              </w:rPr>
              <w:t>C</w:t>
            </w:r>
            <w:r>
              <w:rPr>
                <w:rFonts w:hint="eastAsia" w:ascii="宋体" w:hAnsi="宋体" w:cs="宋体"/>
                <w:snapToGrid w:val="0"/>
                <w:szCs w:val="21"/>
                <w:highlight w:val="none"/>
              </w:rPr>
              <w:t>类部件≦</w:t>
            </w:r>
            <w:r>
              <w:rPr>
                <w:rFonts w:hint="default" w:ascii="宋体" w:hAnsi="宋体" w:cs="宋体"/>
                <w:snapToGrid w:val="0"/>
                <w:szCs w:val="21"/>
                <w:highlight w: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w:t>
            </w:r>
          </w:p>
        </w:tc>
        <w:tc>
          <w:tcPr>
            <w:tcW w:w="1620" w:type="dxa"/>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lang w:val="en-US" w:eastAsia="zh-CN"/>
              </w:rPr>
              <w:t>生产岗女式</w:t>
            </w:r>
            <w:r>
              <w:rPr>
                <w:rFonts w:hint="eastAsia" w:ascii="宋体" w:hAnsi="宋体" w:cs="宋体"/>
                <w:color w:val="000000"/>
                <w:kern w:val="0"/>
                <w:highlight w:val="none"/>
              </w:rPr>
              <w:t>皮鞋</w:t>
            </w: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帮底剥离强度（</w:t>
            </w:r>
            <w:r>
              <w:rPr>
                <w:rFonts w:hint="default" w:ascii="宋体" w:hAnsi="宋体" w:cs="宋体"/>
                <w:snapToGrid w:val="0"/>
                <w:szCs w:val="21"/>
                <w:highlight w:val="none"/>
              </w:rPr>
              <w:t>N/cm</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2"/>
                <w:sz w:val="21"/>
                <w:szCs w:val="21"/>
                <w:highlight w:val="none"/>
                <w:lang w:val="en-US" w:eastAsia="zh-CN" w:bidi="ar-SA"/>
              </w:rPr>
            </w:pPr>
            <w:r>
              <w:rPr>
                <w:rFonts w:hint="eastAsia" w:ascii="宋体" w:hAnsi="宋体" w:cs="宋体"/>
                <w:snapToGrid w:val="0"/>
                <w:szCs w:val="21"/>
                <w:highlight w:val="none"/>
              </w:rPr>
              <w:t>≥</w:t>
            </w:r>
            <w:r>
              <w:rPr>
                <w:rFonts w:hint="eastAsia" w:ascii="宋体" w:hAnsi="宋体" w:cs="宋体"/>
                <w:snapToGrid w:val="0"/>
                <w:szCs w:val="21"/>
                <w:highlight w:val="none"/>
                <w:lang w:val="en-US" w:eastAsia="zh-CN"/>
              </w:rPr>
              <w:t>6</w:t>
            </w:r>
            <w:r>
              <w:rPr>
                <w:rFonts w:hint="default" w:ascii="宋体" w:hAnsi="宋体" w:cs="宋体"/>
                <w:snapToGrid w:val="0"/>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外底耐磨性能（磨痕长度</w:t>
            </w:r>
            <w:r>
              <w:rPr>
                <w:rFonts w:hint="default" w:ascii="宋体" w:hAnsi="宋体" w:cs="宋体"/>
                <w:snapToGrid w:val="0"/>
                <w:szCs w:val="21"/>
                <w:highlight w:val="none"/>
              </w:rPr>
              <w:t>/ mm</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w:t>
            </w:r>
            <w:r>
              <w:rPr>
                <w:rFonts w:hint="default" w:ascii="宋体" w:hAnsi="宋体" w:cs="宋体"/>
                <w:snapToGrid w:val="0"/>
                <w:szCs w:val="21"/>
                <w:highlight w:val="none"/>
              </w:rPr>
              <w:t>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可分解有害芳香胺染料（</w:t>
            </w:r>
            <w:r>
              <w:rPr>
                <w:rFonts w:hint="default" w:ascii="宋体" w:hAnsi="宋体" w:cs="宋体"/>
                <w:snapToGrid w:val="0"/>
                <w:szCs w:val="21"/>
                <w:highlight w:val="none"/>
              </w:rPr>
              <w:t>mg/kg</w:t>
            </w:r>
            <w:r>
              <w:rPr>
                <w:rFonts w:hint="eastAsia" w:ascii="宋体" w:hAnsi="宋体" w:cs="宋体"/>
                <w:snapToGrid w:val="0"/>
                <w:szCs w:val="21"/>
                <w:highlight w:val="none"/>
              </w:rPr>
              <w:t>）限量值，俗称“偶氮”检测。</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default" w:ascii="宋体"/>
                <w:snapToGrid w:val="0"/>
                <w:szCs w:val="21"/>
                <w:highlight w:val="none"/>
              </w:rPr>
            </w:pPr>
            <w:r>
              <w:rPr>
                <w:rFonts w:hint="eastAsia" w:ascii="宋体" w:hAnsi="宋体" w:cs="宋体"/>
                <w:snapToGrid w:val="0"/>
                <w:szCs w:val="21"/>
                <w:highlight w:val="none"/>
              </w:rPr>
              <w:t>纺织品≦</w:t>
            </w:r>
            <w:r>
              <w:rPr>
                <w:rFonts w:hint="default" w:ascii="宋体" w:hAnsi="宋体" w:cs="宋体"/>
                <w:snapToGrid w:val="0"/>
                <w:szCs w:val="21"/>
                <w:highlight w:val="none"/>
              </w:rPr>
              <w:t xml:space="preserve">20 </w:t>
            </w:r>
          </w:p>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皮革≦</w:t>
            </w:r>
            <w:r>
              <w:rPr>
                <w:rFonts w:hint="default" w:ascii="宋体" w:hAnsi="宋体" w:cs="宋体"/>
                <w:snapToGrid w:val="0"/>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游离或可部分水解的甲醛限量值（</w:t>
            </w:r>
            <w:r>
              <w:rPr>
                <w:rFonts w:hint="default" w:ascii="宋体" w:hAnsi="宋体" w:cs="宋体"/>
                <w:snapToGrid w:val="0"/>
                <w:szCs w:val="21"/>
                <w:highlight w:val="none"/>
              </w:rPr>
              <w:t>mg/kg</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default" w:ascii="宋体" w:hAnsi="宋体" w:cs="宋体"/>
                <w:snapToGrid w:val="0"/>
                <w:szCs w:val="21"/>
                <w:highlight w:val="none"/>
              </w:rPr>
              <w:t>C</w:t>
            </w:r>
            <w:r>
              <w:rPr>
                <w:rFonts w:hint="eastAsia" w:ascii="宋体" w:hAnsi="宋体" w:cs="宋体"/>
                <w:snapToGrid w:val="0"/>
                <w:szCs w:val="21"/>
                <w:highlight w:val="none"/>
              </w:rPr>
              <w:t>类部件≦</w:t>
            </w:r>
            <w:r>
              <w:rPr>
                <w:rFonts w:hint="default" w:ascii="宋体" w:hAnsi="宋体" w:cs="宋体"/>
                <w:snapToGrid w:val="0"/>
                <w:szCs w:val="21"/>
                <w:highlight w: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3</w:t>
            </w:r>
          </w:p>
        </w:tc>
        <w:tc>
          <w:tcPr>
            <w:tcW w:w="1620" w:type="dxa"/>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lang w:val="en-US" w:eastAsia="zh-CN"/>
              </w:rPr>
              <w:t>生产岗男式棉</w:t>
            </w:r>
            <w:r>
              <w:rPr>
                <w:rFonts w:hint="eastAsia" w:ascii="宋体" w:hAnsi="宋体" w:cs="宋体"/>
                <w:color w:val="000000"/>
                <w:kern w:val="0"/>
                <w:highlight w:val="none"/>
              </w:rPr>
              <w:t>皮鞋</w:t>
            </w: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帮底剥离强度（</w:t>
            </w:r>
            <w:r>
              <w:rPr>
                <w:rFonts w:hint="default" w:ascii="宋体" w:hAnsi="宋体" w:cs="宋体"/>
                <w:snapToGrid w:val="0"/>
                <w:szCs w:val="21"/>
                <w:highlight w:val="none"/>
              </w:rPr>
              <w:t>N/cm</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2"/>
                <w:sz w:val="21"/>
                <w:szCs w:val="21"/>
                <w:highlight w:val="none"/>
                <w:lang w:eastAsia="zh-CN" w:bidi="ar-SA"/>
              </w:rPr>
            </w:pPr>
            <w:r>
              <w:rPr>
                <w:rFonts w:hint="eastAsia" w:ascii="宋体" w:hAnsi="宋体" w:cs="宋体"/>
                <w:snapToGrid w:val="0"/>
                <w:szCs w:val="21"/>
                <w:highlight w:val="none"/>
              </w:rPr>
              <w:t>≥</w:t>
            </w:r>
            <w:r>
              <w:rPr>
                <w:rFonts w:hint="default" w:ascii="宋体" w:hAnsi="宋体" w:cs="宋体"/>
                <w:snapToGrid w:val="0"/>
                <w:szCs w:val="21"/>
                <w:highlight w:val="none"/>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外底耐磨性能（磨痕长度</w:t>
            </w:r>
            <w:r>
              <w:rPr>
                <w:rFonts w:hint="default" w:ascii="宋体" w:hAnsi="宋体" w:cs="宋体"/>
                <w:snapToGrid w:val="0"/>
                <w:szCs w:val="21"/>
                <w:highlight w:val="none"/>
              </w:rPr>
              <w:t>/ mm</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w:t>
            </w:r>
            <w:r>
              <w:rPr>
                <w:rFonts w:hint="default" w:ascii="宋体" w:hAnsi="宋体" w:cs="宋体"/>
                <w:snapToGrid w:val="0"/>
                <w:szCs w:val="21"/>
                <w:highlight w:val="none"/>
              </w:rPr>
              <w:t>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可分解有害芳香胺染料（</w:t>
            </w:r>
            <w:r>
              <w:rPr>
                <w:rFonts w:hint="default" w:ascii="宋体" w:hAnsi="宋体" w:cs="宋体"/>
                <w:snapToGrid w:val="0"/>
                <w:szCs w:val="21"/>
                <w:highlight w:val="none"/>
              </w:rPr>
              <w:t>mg/kg</w:t>
            </w:r>
            <w:r>
              <w:rPr>
                <w:rFonts w:hint="eastAsia" w:ascii="宋体" w:hAnsi="宋体" w:cs="宋体"/>
                <w:snapToGrid w:val="0"/>
                <w:szCs w:val="21"/>
                <w:highlight w:val="none"/>
              </w:rPr>
              <w:t>）限量值，俗称“偶氮”检测。</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default" w:ascii="宋体"/>
                <w:snapToGrid w:val="0"/>
                <w:szCs w:val="21"/>
                <w:highlight w:val="none"/>
              </w:rPr>
            </w:pPr>
            <w:r>
              <w:rPr>
                <w:rFonts w:hint="eastAsia" w:ascii="宋体" w:hAnsi="宋体" w:cs="宋体"/>
                <w:snapToGrid w:val="0"/>
                <w:szCs w:val="21"/>
                <w:highlight w:val="none"/>
              </w:rPr>
              <w:t>纺织品≦</w:t>
            </w:r>
            <w:r>
              <w:rPr>
                <w:rFonts w:hint="default" w:ascii="宋体" w:hAnsi="宋体" w:cs="宋体"/>
                <w:snapToGrid w:val="0"/>
                <w:szCs w:val="21"/>
                <w:highlight w:val="none"/>
              </w:rPr>
              <w:t xml:space="preserve">20 </w:t>
            </w:r>
          </w:p>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皮革≦</w:t>
            </w:r>
            <w:r>
              <w:rPr>
                <w:rFonts w:hint="default" w:ascii="宋体" w:hAnsi="宋体" w:cs="宋体"/>
                <w:snapToGrid w:val="0"/>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游离或可部分水解的甲醛限量值（</w:t>
            </w:r>
            <w:r>
              <w:rPr>
                <w:rFonts w:hint="default" w:ascii="宋体" w:hAnsi="宋体" w:cs="宋体"/>
                <w:snapToGrid w:val="0"/>
                <w:szCs w:val="21"/>
                <w:highlight w:val="none"/>
              </w:rPr>
              <w:t>mg/kg</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default" w:ascii="宋体" w:hAnsi="宋体" w:cs="宋体"/>
                <w:snapToGrid w:val="0"/>
                <w:szCs w:val="21"/>
                <w:highlight w:val="none"/>
              </w:rPr>
              <w:t>C</w:t>
            </w:r>
            <w:r>
              <w:rPr>
                <w:rFonts w:hint="eastAsia" w:ascii="宋体" w:hAnsi="宋体" w:cs="宋体"/>
                <w:snapToGrid w:val="0"/>
                <w:szCs w:val="21"/>
                <w:highlight w:val="none"/>
              </w:rPr>
              <w:t>类部件≦</w:t>
            </w:r>
            <w:r>
              <w:rPr>
                <w:rFonts w:hint="default" w:ascii="宋体" w:hAnsi="宋体" w:cs="宋体"/>
                <w:snapToGrid w:val="0"/>
                <w:szCs w:val="21"/>
                <w:highlight w: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4</w:t>
            </w:r>
          </w:p>
        </w:tc>
        <w:tc>
          <w:tcPr>
            <w:tcW w:w="1620" w:type="dxa"/>
            <w:vMerge w:val="restart"/>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color w:val="000000"/>
                <w:kern w:val="0"/>
                <w:highlight w:val="none"/>
                <w:lang w:val="en-US" w:eastAsia="zh-CN"/>
              </w:rPr>
              <w:t>生产岗女式棉</w:t>
            </w:r>
            <w:r>
              <w:rPr>
                <w:rFonts w:hint="eastAsia" w:ascii="宋体" w:hAnsi="宋体" w:cs="宋体"/>
                <w:color w:val="000000"/>
                <w:kern w:val="0"/>
                <w:highlight w:val="none"/>
              </w:rPr>
              <w:t>皮鞋</w:t>
            </w: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帮底剥离强度（</w:t>
            </w:r>
            <w:r>
              <w:rPr>
                <w:rFonts w:hint="default" w:ascii="宋体" w:hAnsi="宋体" w:cs="宋体"/>
                <w:snapToGrid w:val="0"/>
                <w:szCs w:val="21"/>
                <w:highlight w:val="none"/>
              </w:rPr>
              <w:t>N/cm</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2"/>
                <w:sz w:val="21"/>
                <w:szCs w:val="21"/>
                <w:highlight w:val="none"/>
                <w:lang w:val="en-US" w:eastAsia="zh-CN" w:bidi="ar-SA"/>
              </w:rPr>
            </w:pPr>
            <w:r>
              <w:rPr>
                <w:rFonts w:hint="eastAsia" w:ascii="宋体" w:hAnsi="宋体" w:cs="宋体"/>
                <w:snapToGrid w:val="0"/>
                <w:szCs w:val="21"/>
                <w:highlight w:val="none"/>
              </w:rPr>
              <w:t>≥</w:t>
            </w:r>
            <w:r>
              <w:rPr>
                <w:rFonts w:hint="eastAsia" w:ascii="宋体" w:hAnsi="宋体" w:cs="宋体"/>
                <w:snapToGrid w:val="0"/>
                <w:szCs w:val="21"/>
                <w:highlight w:val="none"/>
                <w:lang w:val="en-US" w:eastAsia="zh-CN"/>
              </w:rPr>
              <w:t>6</w:t>
            </w:r>
            <w:r>
              <w:rPr>
                <w:rFonts w:hint="default" w:ascii="宋体" w:hAnsi="宋体" w:cs="宋体"/>
                <w:snapToGrid w:val="0"/>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外底耐磨性能（磨痕长度</w:t>
            </w:r>
            <w:r>
              <w:rPr>
                <w:rFonts w:hint="default" w:ascii="宋体" w:hAnsi="宋体" w:cs="宋体"/>
                <w:snapToGrid w:val="0"/>
                <w:szCs w:val="21"/>
                <w:highlight w:val="none"/>
              </w:rPr>
              <w:t>/ mm</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w:t>
            </w:r>
            <w:r>
              <w:rPr>
                <w:rFonts w:hint="default" w:ascii="宋体" w:hAnsi="宋体" w:cs="宋体"/>
                <w:snapToGrid w:val="0"/>
                <w:szCs w:val="21"/>
                <w:highlight w:val="none"/>
              </w:rPr>
              <w:t>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可分解有害芳香胺染料（</w:t>
            </w:r>
            <w:r>
              <w:rPr>
                <w:rFonts w:hint="default" w:ascii="宋体" w:hAnsi="宋体" w:cs="宋体"/>
                <w:snapToGrid w:val="0"/>
                <w:szCs w:val="21"/>
                <w:highlight w:val="none"/>
              </w:rPr>
              <w:t>mg/kg</w:t>
            </w:r>
            <w:r>
              <w:rPr>
                <w:rFonts w:hint="eastAsia" w:ascii="宋体" w:hAnsi="宋体" w:cs="宋体"/>
                <w:snapToGrid w:val="0"/>
                <w:szCs w:val="21"/>
                <w:highlight w:val="none"/>
              </w:rPr>
              <w:t>）限量值，俗称“偶氮”检测。</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default" w:ascii="宋体"/>
                <w:snapToGrid w:val="0"/>
                <w:szCs w:val="21"/>
                <w:highlight w:val="none"/>
              </w:rPr>
            </w:pPr>
            <w:r>
              <w:rPr>
                <w:rFonts w:hint="eastAsia" w:ascii="宋体" w:hAnsi="宋体" w:cs="宋体"/>
                <w:snapToGrid w:val="0"/>
                <w:szCs w:val="21"/>
                <w:highlight w:val="none"/>
              </w:rPr>
              <w:t>纺织品≦</w:t>
            </w:r>
            <w:r>
              <w:rPr>
                <w:rFonts w:hint="default" w:ascii="宋体" w:hAnsi="宋体" w:cs="宋体"/>
                <w:snapToGrid w:val="0"/>
                <w:szCs w:val="21"/>
                <w:highlight w:val="none"/>
              </w:rPr>
              <w:t xml:space="preserve">20 </w:t>
            </w:r>
          </w:p>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皮革≦</w:t>
            </w:r>
            <w:r>
              <w:rPr>
                <w:rFonts w:hint="default" w:ascii="宋体" w:hAnsi="宋体" w:cs="宋体"/>
                <w:snapToGrid w:val="0"/>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4"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val="0"/>
                <w:bCs w:val="0"/>
                <w:color w:val="auto"/>
                <w:kern w:val="0"/>
                <w:sz w:val="21"/>
                <w:szCs w:val="21"/>
                <w:highlight w:val="none"/>
              </w:rPr>
            </w:pPr>
          </w:p>
        </w:tc>
        <w:tc>
          <w:tcPr>
            <w:tcW w:w="1620" w:type="dxa"/>
            <w:vMerge w:val="continue"/>
            <w:tcBorders>
              <w:tl2br w:val="nil"/>
              <w:tr2bl w:val="nil"/>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4755"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jc w:val="left"/>
              <w:rPr>
                <w:rFonts w:hint="eastAsia" w:ascii="宋体" w:hAnsi="宋体" w:eastAsia="宋体" w:cs="宋体"/>
                <w:color w:val="000000"/>
                <w:kern w:val="0"/>
                <w:sz w:val="21"/>
                <w:szCs w:val="21"/>
                <w:highlight w:val="none"/>
                <w:lang w:val="en-US" w:eastAsia="zh-CN" w:bidi="ar-SA"/>
              </w:rPr>
            </w:pPr>
            <w:r>
              <w:rPr>
                <w:rFonts w:hint="eastAsia" w:ascii="宋体" w:hAnsi="宋体" w:cs="宋体"/>
                <w:snapToGrid w:val="0"/>
                <w:szCs w:val="21"/>
                <w:highlight w:val="none"/>
              </w:rPr>
              <w:t>游离或可部分水解的甲醛限量值（</w:t>
            </w:r>
            <w:r>
              <w:rPr>
                <w:rFonts w:hint="default" w:ascii="宋体" w:hAnsi="宋体" w:cs="宋体"/>
                <w:snapToGrid w:val="0"/>
                <w:szCs w:val="21"/>
                <w:highlight w:val="none"/>
              </w:rPr>
              <w:t>mg/kg</w:t>
            </w:r>
            <w:r>
              <w:rPr>
                <w:rFonts w:hint="eastAsia" w:ascii="宋体" w:hAnsi="宋体" w:cs="宋体"/>
                <w:snapToGrid w:val="0"/>
                <w:szCs w:val="21"/>
                <w:highlight w:val="none"/>
              </w:rPr>
              <w:t>）</w:t>
            </w:r>
          </w:p>
        </w:tc>
        <w:tc>
          <w:tcPr>
            <w:tcW w:w="2666" w:type="dxa"/>
            <w:tcBorders>
              <w:tl2br w:val="nil"/>
              <w:tr2bl w:val="nil"/>
            </w:tcBorders>
            <w:noWrap w:val="0"/>
            <w:vAlign w:val="center"/>
          </w:tcPr>
          <w:p>
            <w:pPr>
              <w:keepNext w:val="0"/>
              <w:keepLines w:val="0"/>
              <w:suppressLineNumbers w:val="0"/>
              <w:snapToGrid w:val="0"/>
              <w:spacing w:before="0" w:beforeAutospacing="0" w:after="0" w:afterAutospacing="0" w:line="276" w:lineRule="auto"/>
              <w:ind w:left="0" w:right="0"/>
              <w:rPr>
                <w:rFonts w:hint="eastAsia" w:ascii="宋体" w:hAnsi="宋体" w:eastAsia="宋体" w:cs="宋体"/>
                <w:color w:val="000000"/>
                <w:kern w:val="0"/>
                <w:sz w:val="21"/>
                <w:szCs w:val="21"/>
                <w:highlight w:val="none"/>
                <w:lang w:val="en-US" w:eastAsia="zh-CN" w:bidi="ar-SA"/>
              </w:rPr>
            </w:pPr>
            <w:r>
              <w:rPr>
                <w:rFonts w:hint="default" w:ascii="宋体" w:hAnsi="宋体" w:cs="宋体"/>
                <w:snapToGrid w:val="0"/>
                <w:szCs w:val="21"/>
                <w:highlight w:val="none"/>
              </w:rPr>
              <w:t>C</w:t>
            </w:r>
            <w:r>
              <w:rPr>
                <w:rFonts w:hint="eastAsia" w:ascii="宋体" w:hAnsi="宋体" w:cs="宋体"/>
                <w:snapToGrid w:val="0"/>
                <w:szCs w:val="21"/>
                <w:highlight w:val="none"/>
              </w:rPr>
              <w:t>类部件≦</w:t>
            </w:r>
            <w:r>
              <w:rPr>
                <w:rFonts w:hint="default" w:ascii="宋体" w:hAnsi="宋体" w:cs="宋体"/>
                <w:snapToGrid w:val="0"/>
                <w:szCs w:val="21"/>
                <w:highlight w:val="none"/>
              </w:rPr>
              <w:t>300</w:t>
            </w:r>
          </w:p>
        </w:tc>
      </w:tr>
    </w:tbl>
    <w:p>
      <w:pPr>
        <w:keepNext w:val="0"/>
        <w:keepLines w:val="0"/>
        <w:pageBreakBefore w:val="0"/>
        <w:numPr>
          <w:ilvl w:val="0"/>
          <w:numId w:val="4"/>
        </w:numPr>
        <w:kinsoku/>
        <w:wordWrap/>
        <w:overflowPunct/>
        <w:topLinePunct w:val="0"/>
        <w:autoSpaceDE/>
        <w:autoSpaceDN/>
        <w:bidi w:val="0"/>
        <w:adjustRightInd/>
        <w:snapToGrid w:val="0"/>
        <w:spacing w:line="400" w:lineRule="exact"/>
        <w:ind w:left="0" w:leftChars="0" w:firstLine="422" w:firstLineChars="200"/>
        <w:textAlignment w:val="auto"/>
        <w:rPr>
          <w:rFonts w:hint="eastAsia" w:ascii="宋体" w:hAnsi="宋体" w:eastAsia="宋体" w:cs="宋体"/>
          <w:b/>
          <w:bCs/>
          <w:color w:val="000000"/>
          <w:szCs w:val="21"/>
          <w:highlight w:val="none"/>
          <w:lang w:val="en-US" w:eastAsia="zh-CN"/>
        </w:rPr>
      </w:pPr>
      <w:bookmarkStart w:id="57" w:name="_Toc378253772"/>
      <w:bookmarkStart w:id="58" w:name="_Toc419116273"/>
      <w:bookmarkStart w:id="59" w:name="_Toc378488791"/>
      <w:bookmarkStart w:id="60" w:name="_Toc378520348"/>
      <w:bookmarkStart w:id="61" w:name="_Toc376196879"/>
      <w:bookmarkStart w:id="62" w:name="_Toc420567101"/>
      <w:bookmarkStart w:id="63" w:name="_Toc376369887"/>
      <w:bookmarkStart w:id="64" w:name="_Toc420567187"/>
      <w:bookmarkStart w:id="65" w:name="_Toc450720305"/>
      <w:r>
        <w:rPr>
          <w:rFonts w:hint="eastAsia" w:ascii="宋体" w:hAnsi="宋体" w:eastAsia="宋体" w:cs="宋体"/>
          <w:b/>
          <w:bCs/>
          <w:color w:val="000000"/>
          <w:szCs w:val="21"/>
          <w:highlight w:val="none"/>
          <w:lang w:val="en-US" w:eastAsia="zh-CN"/>
        </w:rPr>
        <w:t>交货要求</w:t>
      </w:r>
      <w:bookmarkEnd w:id="57"/>
      <w:bookmarkEnd w:id="58"/>
      <w:bookmarkEnd w:id="59"/>
      <w:bookmarkEnd w:id="60"/>
      <w:bookmarkEnd w:id="61"/>
      <w:bookmarkEnd w:id="62"/>
      <w:bookmarkEnd w:id="63"/>
      <w:bookmarkEnd w:id="64"/>
      <w:bookmarkEnd w:id="65"/>
    </w:p>
    <w:p>
      <w:pPr>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 交货时间：</w:t>
      </w:r>
      <w:r>
        <w:rPr>
          <w:rFonts w:hint="eastAsia" w:ascii="宋体" w:hAnsi="宋体" w:eastAsia="宋体" w:cs="宋体"/>
          <w:color w:val="auto"/>
          <w:sz w:val="21"/>
          <w:szCs w:val="21"/>
          <w:highlight w:val="none"/>
          <w:lang w:val="en-US" w:eastAsia="zh-CN"/>
        </w:rPr>
        <w:t>自接到招标人《订货通知单》之时起30个日历天内完成供货。</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 交货地点：包括但不限于滁宁城际相官车辆基地、停车场、控制中心大厦、车站等招标人指定地点。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4.3 中标人应优先选择自行组织货物运输，并做好签收工作。若选择第三方物流，须加强物流过程的跟踪与管理，确保第三方物流人员负责现场卸货并搬运至招标人指定地点。中标人应与现场收货人及时联系，确认收货情况。因第三方物流送货产生的货物遗失风险须由中标人承担。</w:t>
      </w:r>
    </w:p>
    <w:p>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五、服务要求</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5.1尺码测量：合同签订后，按招标人要求免费为公司员工测量尺码；</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5.2免费质保期：</w:t>
      </w:r>
      <w:r>
        <w:rPr>
          <w:rFonts w:hint="eastAsia" w:ascii="宋体" w:hAnsi="宋体" w:eastAsia="宋体" w:cs="宋体"/>
          <w:color w:val="auto"/>
          <w:sz w:val="21"/>
          <w:szCs w:val="21"/>
          <w:highlight w:val="none"/>
          <w:lang w:val="en-US" w:eastAsia="zh-CN"/>
        </w:rPr>
        <w:t>自货物验收合格之日起（从次日起算）1年</w:t>
      </w:r>
      <w:r>
        <w:rPr>
          <w:rFonts w:hint="eastAsia" w:ascii="宋体" w:hAnsi="宋体" w:eastAsia="宋体" w:cs="宋体"/>
          <w:color w:val="000000"/>
          <w:szCs w:val="21"/>
          <w:highlight w:val="none"/>
          <w:lang w:val="en-US" w:eastAsia="zh-CN"/>
        </w:rPr>
        <w:t>；</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5.3售后服务响应：在质保期内发生质量问题，中标人应在接到招标人保修电话后24小时内予以响应；</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5.4中标人应承诺除承担量体、修改和调换等义务外，还应保证提供对特殊体型的单独制作；</w:t>
      </w:r>
      <w:r>
        <w:rPr>
          <w:rFonts w:hint="eastAsia" w:ascii="宋体" w:hAnsi="宋体" w:eastAsia="宋体" w:cs="宋体"/>
          <w:color w:val="000000"/>
          <w:sz w:val="21"/>
          <w:szCs w:val="21"/>
          <w:highlight w:val="none"/>
          <w:lang w:val="en-US" w:eastAsia="zh-CN"/>
        </w:rPr>
        <w:t>因尺码大小出现的问题，中标人应积极配合招标人，免费进行更换。</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highlight w:val="none"/>
          <w:lang w:val="en-US" w:eastAsia="zh-CN"/>
        </w:rPr>
      </w:pPr>
      <w:r>
        <w:rPr>
          <w:rFonts w:hint="eastAsia" w:ascii="宋体" w:hAnsi="宋体" w:eastAsia="宋体" w:cs="宋体"/>
          <w:color w:val="000000"/>
          <w:szCs w:val="21"/>
          <w:highlight w:val="none"/>
          <w:lang w:val="en-US" w:eastAsia="zh-CN"/>
        </w:rPr>
        <w:t>5.5如招标人需要，中标人应随时派员前往招标人现场对与货物有关的相应事宜进行处理。</w:t>
      </w:r>
      <w:r>
        <w:rPr>
          <w:rFonts w:hint="default"/>
          <w:highlight w:val="none"/>
          <w:lang w:val="en-US" w:eastAsia="zh-CN"/>
        </w:rPr>
        <w:br w:type="page"/>
      </w:r>
    </w:p>
    <w:p>
      <w:pPr>
        <w:keepNext w:val="0"/>
        <w:keepLines w:val="0"/>
        <w:pageBreakBefore w:val="0"/>
        <w:numPr>
          <w:ilvl w:val="0"/>
          <w:numId w:val="0"/>
        </w:numPr>
        <w:kinsoku/>
        <w:wordWrap/>
        <w:overflowPunct/>
        <w:topLinePunct w:val="0"/>
        <w:autoSpaceDE/>
        <w:autoSpaceDN/>
        <w:bidi w:val="0"/>
        <w:adjustRightInd/>
        <w:snapToGrid w:val="0"/>
        <w:spacing w:line="400" w:lineRule="exact"/>
        <w:ind w:leftChars="200"/>
        <w:jc w:val="center"/>
        <w:textAlignment w:val="auto"/>
        <w:rPr>
          <w:rFonts w:hint="eastAsia" w:ascii="宋体" w:hAnsi="Times New Roman" w:eastAsia="宋体" w:cs="Times New Roman"/>
          <w:b/>
          <w:bCs w:val="0"/>
          <w:color w:val="auto"/>
          <w:kern w:val="2"/>
          <w:sz w:val="32"/>
          <w:szCs w:val="32"/>
          <w:highlight w:val="none"/>
          <w:lang w:val="en-US" w:eastAsia="zh-CN" w:bidi="ar-SA"/>
        </w:rPr>
      </w:pPr>
      <w:bookmarkStart w:id="66" w:name="_Toc21484"/>
      <w:r>
        <w:rPr>
          <w:rFonts w:hint="eastAsia" w:ascii="宋体" w:hAnsi="Times New Roman" w:eastAsia="宋体" w:cs="Times New Roman"/>
          <w:b/>
          <w:bCs w:val="0"/>
          <w:color w:val="auto"/>
          <w:kern w:val="2"/>
          <w:sz w:val="32"/>
          <w:szCs w:val="32"/>
          <w:highlight w:val="none"/>
          <w:lang w:val="en-US" w:eastAsia="zh-CN" w:bidi="ar-SA"/>
        </w:rPr>
        <w:t>第五章  合同条款及格式</w:t>
      </w:r>
      <w:bookmarkEnd w:id="66"/>
    </w:p>
    <w:p>
      <w:pPr>
        <w:pageBreakBefore w:val="0"/>
        <w:widowControl/>
        <w:numPr>
          <w:ilvl w:val="0"/>
          <w:numId w:val="5"/>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67"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67"/>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68" w:name="_Toc296602498"/>
      <w:bookmarkStart w:id="69" w:name="_Toc469495742"/>
      <w:bookmarkStart w:id="70" w:name="_Toc152045610"/>
      <w:bookmarkStart w:id="71" w:name="_Toc179632628"/>
      <w:bookmarkStart w:id="72" w:name="_Toc152042388"/>
      <w:bookmarkStart w:id="73" w:name="_Toc247085768"/>
      <w:bookmarkStart w:id="74" w:name="_Toc246996253"/>
      <w:bookmarkStart w:id="75" w:name="_Toc144974578"/>
      <w:bookmarkStart w:id="76" w:name="_Toc246996996"/>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6"/>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6"/>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6"/>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2、采购标的、数量、质量要求</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w:t>
      </w:r>
      <w:r>
        <w:rPr>
          <w:rFonts w:hint="eastAsia" w:ascii="宋体" w:hAnsi="宋体" w:eastAsia="宋体" w:cs="宋体"/>
          <w:color w:val="auto"/>
          <w:sz w:val="21"/>
          <w:szCs w:val="21"/>
          <w:highlight w:val="none"/>
          <w:lang w:val="en-US" w:eastAsia="zh-CN"/>
        </w:rPr>
        <w:t>自接到招标人《订货通知单》之时起30个日历天内完成供货。免费质保期自货物验收合格之日起（从次日起算）1年。</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包括但不限于滁宁城际相官车辆基地、停车场、控制中心大厦、车站等招标人指定地点。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按《用户需求书》要求执行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（签字）</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77" w:name="_Toc23596"/>
      <w:r>
        <w:rPr>
          <w:rFonts w:hint="eastAsia" w:ascii="宋体" w:hAnsi="宋体" w:cs="宋体"/>
          <w:b/>
          <w:color w:val="auto"/>
          <w:sz w:val="30"/>
          <w:szCs w:val="30"/>
          <w:highlight w:val="none"/>
        </w:rPr>
        <w:t>二  合同条款</w:t>
      </w:r>
      <w:bookmarkEnd w:id="68"/>
      <w:bookmarkEnd w:id="69"/>
      <w:bookmarkEnd w:id="70"/>
      <w:bookmarkEnd w:id="71"/>
      <w:bookmarkEnd w:id="72"/>
      <w:bookmarkEnd w:id="73"/>
      <w:bookmarkEnd w:id="74"/>
      <w:bookmarkEnd w:id="75"/>
      <w:bookmarkEnd w:id="76"/>
      <w:bookmarkEnd w:id="77"/>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10"/>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10"/>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10"/>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pPr>
        <w:pStyle w:val="10"/>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17.履约保证金</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(1)卖方应在本合同签订时，按招标文件的约定提供相应的履约保证金，保证金的有效期应不低于合同有效期。</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(2)如果卖方未能履行合同规定的任何义务，买方有权从履约保证金中取得补偿。</w:t>
      </w:r>
    </w:p>
    <w:p>
      <w:pPr>
        <w:pStyle w:val="10"/>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pPr>
        <w:pStyle w:val="1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Times New Roman"/>
          <w:bCs/>
          <w:color w:val="000000"/>
          <w:kern w:val="0"/>
          <w:sz w:val="28"/>
          <w:szCs w:val="28"/>
          <w:highlight w:val="none"/>
          <w:lang w:val="en-US" w:eastAsia="zh-CN" w:bidi="ar"/>
        </w:rPr>
        <w:br w:type="page"/>
      </w:r>
      <w:r>
        <w:rPr>
          <w:rFonts w:hint="eastAsia" w:ascii="宋体" w:hAnsi="宋体" w:eastAsia="宋体" w:cs="宋体"/>
          <w:color w:val="auto"/>
          <w:kern w:val="2"/>
          <w:sz w:val="28"/>
          <w:szCs w:val="28"/>
          <w:highlight w:val="none"/>
          <w:u w:color="auto"/>
          <w:lang w:val="en-US" w:eastAsia="zh-CN" w:bidi="ar"/>
        </w:rPr>
        <w:t>第六章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
        <w:rPr>
          <w:rFonts w:hint="eastAsia"/>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78" w:name="_Toc21573"/>
      <w:bookmarkEnd w:id="78"/>
      <w:bookmarkStart w:id="79"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79"/>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80" w:name="_Toc19336_WPSOffice_Level2"/>
      <w:bookmarkEnd w:id="80"/>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81" w:name="_Toc7180_WPSOffice_Level3"/>
      <w:bookmarkEnd w:id="81"/>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82" w:name="_Toc14710_WPSOffice_Level1"/>
      <w:bookmarkEnd w:id="82"/>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（3）诚信投标承诺书（格式见附件）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详细的货物名称、规格、技术参数等【附技术参数响应表、货物的详细配置清单，格式见附件】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lang w:eastAsia="zh-CN"/>
        </w:rPr>
        <w:t>招标文件中要求的资信评审（评分）的支持资料；</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lang w:eastAsia="zh-CN"/>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30"/>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83" w:name="_Toc6019_WPSOffice_Level1"/>
      <w:bookmarkEnd w:id="83"/>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r>
        <w:rPr>
          <w:rFonts w:hint="eastAsia" w:ascii="宋体" w:hAnsi="宋体" w:eastAsia="宋体" w:cs="宋体"/>
          <w:b/>
          <w:bCs w:val="0"/>
          <w:color w:val="000000"/>
          <w:kern w:val="0"/>
          <w:sz w:val="28"/>
          <w:szCs w:val="28"/>
          <w:highlight w:val="none"/>
          <w:u w:color="000000"/>
          <w:lang w:val="en-US" w:eastAsia="zh-CN" w:bidi="ar"/>
        </w:rPr>
        <w:t>：</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本人以企业法定代表人的身份郑重承诺：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一、将遵循公开、公正和诚实信用的原则自愿参加</w:t>
      </w:r>
      <w:r>
        <w:rPr>
          <w:rFonts w:hint="eastAsia" w:ascii="宋体" w:hAnsi="宋体"/>
          <w:szCs w:val="21"/>
          <w:highlight w:val="none"/>
          <w:u w:val="single"/>
        </w:rPr>
        <w:t xml:space="preserve">                   </w:t>
      </w:r>
      <w:r>
        <w:rPr>
          <w:rFonts w:hint="eastAsia" w:ascii="宋体" w:hAnsi="宋体"/>
          <w:szCs w:val="21"/>
          <w:highlight w:val="none"/>
        </w:rPr>
        <w:t>项目的投标，所提供的一切材料都是真实、有效、合法的；</w:t>
      </w:r>
    </w:p>
    <w:p>
      <w:pPr>
        <w:spacing w:line="360" w:lineRule="exact"/>
        <w:ind w:firstLine="420" w:firstLineChars="200"/>
        <w:rPr>
          <w:rFonts w:ascii="宋体" w:hAnsi="宋体"/>
          <w:szCs w:val="21"/>
          <w:highlight w:val="none"/>
        </w:rPr>
      </w:pPr>
      <w:r>
        <w:rPr>
          <w:rFonts w:hint="eastAsia" w:ascii="宋体" w:hAnsi="宋体"/>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highlight w:val="none"/>
        </w:rPr>
      </w:pPr>
      <w:r>
        <w:rPr>
          <w:rFonts w:hint="eastAsia" w:ascii="宋体" w:hAnsi="宋体"/>
          <w:szCs w:val="21"/>
          <w:highlight w:val="none"/>
        </w:rPr>
        <w:t>六、我公司没有下列情形：1、</w:t>
      </w:r>
      <w:r>
        <w:rPr>
          <w:rFonts w:hint="eastAsia" w:ascii="宋体" w:hAnsi="宋体" w:eastAsia="宋体" w:cs="宋体"/>
          <w:szCs w:val="21"/>
          <w:highlight w:val="none"/>
        </w:rPr>
        <w:t>投标人被人民法院列入失信被执行人的</w:t>
      </w:r>
      <w:r>
        <w:rPr>
          <w:rFonts w:hint="eastAsia" w:ascii="宋体" w:hAnsi="宋体"/>
          <w:szCs w:val="21"/>
          <w:highlight w:val="none"/>
        </w:rPr>
        <w:t>；2、</w:t>
      </w:r>
      <w:r>
        <w:rPr>
          <w:rFonts w:hint="eastAsia" w:ascii="宋体" w:hAnsi="宋体" w:eastAsia="宋体" w:cs="宋体"/>
          <w:szCs w:val="21"/>
          <w:highlight w:val="none"/>
        </w:rPr>
        <w:t>投标人或其法定代表人或拟派项目负责人前三年被人民检察院列入行贿犯罪档案的</w:t>
      </w:r>
      <w:r>
        <w:rPr>
          <w:rFonts w:hint="eastAsia" w:ascii="宋体" w:hAnsi="宋体"/>
          <w:szCs w:val="21"/>
          <w:highlight w:val="none"/>
        </w:rPr>
        <w:t>；3、</w:t>
      </w:r>
      <w:r>
        <w:rPr>
          <w:rFonts w:hint="eastAsia" w:ascii="宋体" w:hAnsi="宋体" w:eastAsia="宋体" w:cs="宋体"/>
          <w:szCs w:val="21"/>
          <w:highlight w:val="none"/>
        </w:rPr>
        <w:t>投标人被市场监督管理部门列入经营异常名录或者严重违法企业名单的</w:t>
      </w:r>
      <w:r>
        <w:rPr>
          <w:rFonts w:hint="eastAsia" w:ascii="宋体" w:hAnsi="宋体"/>
          <w:szCs w:val="21"/>
          <w:highlight w:val="none"/>
        </w:rPr>
        <w:t>；4、</w:t>
      </w:r>
      <w:r>
        <w:rPr>
          <w:rFonts w:hint="eastAsia" w:ascii="宋体" w:hAnsi="宋体" w:eastAsia="宋体" w:cs="宋体"/>
          <w:szCs w:val="21"/>
          <w:highlight w:val="none"/>
        </w:rPr>
        <w:t>投标人被税务部门列入重大税收违法案件当事人的</w:t>
      </w:r>
      <w:r>
        <w:rPr>
          <w:rFonts w:hint="eastAsia" w:ascii="宋体" w:hAnsi="宋体"/>
          <w:szCs w:val="21"/>
          <w:highlight w:val="none"/>
        </w:rPr>
        <w:t>；5、</w:t>
      </w:r>
      <w:r>
        <w:rPr>
          <w:rFonts w:hint="eastAsia" w:ascii="宋体" w:hAnsi="宋体" w:eastAsia="宋体" w:cs="宋体"/>
          <w:szCs w:val="21"/>
          <w:highlight w:val="none"/>
        </w:rPr>
        <w:t>在“信用中国”网站上披露仍在公示期的严重失信行为的</w:t>
      </w:r>
      <w:r>
        <w:rPr>
          <w:rFonts w:hint="eastAsia" w:ascii="宋体" w:hAnsi="宋体"/>
          <w:szCs w:val="21"/>
          <w:highlight w:val="none"/>
        </w:rPr>
        <w:t>；6、</w:t>
      </w:r>
      <w:r>
        <w:rPr>
          <w:rFonts w:hint="eastAsia" w:ascii="宋体" w:hAnsi="宋体" w:eastAsia="宋体" w:cs="宋体"/>
          <w:szCs w:val="21"/>
          <w:highlight w:val="none"/>
        </w:rPr>
        <w:t>被滁州市县两级各行业主管部门及公管部门取消在一定期限内的投标资格且在取消期限内的</w:t>
      </w:r>
      <w:r>
        <w:rPr>
          <w:rFonts w:hint="eastAsia" w:ascii="宋体" w:hAnsi="宋体"/>
          <w:szCs w:val="21"/>
          <w:highlight w:val="none"/>
        </w:rPr>
        <w:t>；7、</w:t>
      </w:r>
      <w:r>
        <w:rPr>
          <w:rFonts w:hint="eastAsia" w:ascii="宋体" w:hAnsi="宋体" w:eastAsia="宋体" w:cs="宋体"/>
          <w:szCs w:val="21"/>
          <w:highlight w:val="none"/>
        </w:rPr>
        <w:t>被滁州市县两级公管部门记入不良行为记录或者信用信息记录，且在披露期内的</w:t>
      </w:r>
      <w:r>
        <w:rPr>
          <w:rFonts w:hint="eastAsia" w:ascii="宋体" w:hAnsi="宋体"/>
          <w:szCs w:val="21"/>
          <w:highlight w:val="none"/>
        </w:rPr>
        <w:t>；8、</w:t>
      </w:r>
      <w:r>
        <w:rPr>
          <w:rFonts w:hint="eastAsia" w:ascii="宋体" w:hAnsi="宋体" w:eastAsia="宋体" w:cs="宋体"/>
          <w:szCs w:val="21"/>
          <w:highlight w:val="none"/>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七、严格遵守开标现场纪律，服从监管人员管理；</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八、保证中标后不转包，若有分包征得招标人同意；</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九、保证中标之后，按照投标文件要求提供相关后续服务；</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十、保证企业及所属相关人员在本次投标中无行贿等犯罪行为；</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 </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开户银行：                          基本账户：</w:t>
      </w:r>
    </w:p>
    <w:p>
      <w:pPr>
        <w:spacing w:line="360" w:lineRule="exact"/>
        <w:ind w:firstLine="420" w:firstLineChars="200"/>
        <w:rPr>
          <w:rFonts w:hint="eastAsia" w:ascii="宋体" w:hAnsi="宋体"/>
          <w:szCs w:val="21"/>
          <w:highlight w:val="none"/>
        </w:rPr>
      </w:pPr>
      <w:r>
        <w:rPr>
          <w:rFonts w:hint="eastAsia" w:ascii="宋体" w:hAnsi="宋体"/>
          <w:szCs w:val="21"/>
          <w:highlight w:val="none"/>
        </w:rPr>
        <w:t>投标单位（盖章）：          法定代表人（签字或签章）：</w:t>
      </w:r>
    </w:p>
    <w:p>
      <w:pPr>
        <w:spacing w:line="360" w:lineRule="exact"/>
        <w:ind w:firstLine="420" w:firstLineChars="200"/>
        <w:rPr>
          <w:rFonts w:hint="eastAsia" w:ascii="宋体" w:hAnsi="宋体"/>
          <w:szCs w:val="21"/>
          <w:highlight w:val="none"/>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bookmarkStart w:id="84" w:name="_Toc425084385"/>
      <w:bookmarkStart w:id="85" w:name="_Toc451384148"/>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r>
        <w:rPr>
          <w:rFonts w:hint="eastAsia" w:ascii="宋体" w:hAnsi="宋体" w:eastAsia="宋体" w:cs="宋体"/>
          <w:b/>
          <w:bCs w:val="0"/>
          <w:color w:val="000000"/>
          <w:kern w:val="0"/>
          <w:sz w:val="28"/>
          <w:szCs w:val="28"/>
          <w:highlight w:val="none"/>
          <w:u w:color="000000"/>
          <w:lang w:val="en-US" w:eastAsia="zh-CN" w:bidi="ar"/>
        </w:rPr>
        <w:t>：</w:t>
      </w: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除技术参数响应表中已列出的负偏离参数以外的其余参数均完全响应</w:t>
      </w:r>
      <w:r>
        <w:rPr>
          <w:rFonts w:hint="eastAsia" w:ascii="宋体" w:hAnsi="宋体"/>
          <w:color w:val="000000"/>
          <w:sz w:val="24"/>
          <w:highlight w:val="none"/>
        </w:rPr>
        <w:t>招标文件要求</w:t>
      </w:r>
      <w:r>
        <w:rPr>
          <w:rFonts w:hint="eastAsia" w:ascii="宋体" w:hAnsi="宋体"/>
          <w:color w:val="000000"/>
          <w:sz w:val="24"/>
          <w:highlight w:val="none"/>
          <w:lang w:val="en-US"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84"/>
    <w:bookmarkEnd w:id="85"/>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jc w:val="left"/>
        <w:rPr>
          <w:rFonts w:hint="eastAsia" w:ascii="宋体" w:hAnsi="宋体"/>
          <w:b/>
          <w:color w:val="auto"/>
          <w:sz w:val="30"/>
          <w:szCs w:val="30"/>
          <w:highlight w:val="none"/>
          <w:lang w:val="en-US" w:eastAsia="zh-CN"/>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4</w:t>
      </w:r>
      <w:r>
        <w:rPr>
          <w:rFonts w:hint="eastAsia" w:ascii="宋体" w:hAnsi="宋体" w:eastAsia="宋体" w:cs="宋体"/>
          <w:b/>
          <w:bCs w:val="0"/>
          <w:color w:val="000000"/>
          <w:kern w:val="0"/>
          <w:sz w:val="28"/>
          <w:szCs w:val="28"/>
          <w:highlight w:val="none"/>
          <w:u w:color="000000"/>
          <w:lang w:val="en-US" w:eastAsia="zh-CN" w:bidi="ar"/>
        </w:rPr>
        <w:t>：</w:t>
      </w:r>
    </w:p>
    <w:p>
      <w:pPr>
        <w:jc w:val="center"/>
        <w:rPr>
          <w:rFonts w:hint="eastAsia" w:ascii="宋体" w:hAnsi="宋体"/>
          <w:b/>
          <w:color w:val="auto"/>
          <w:sz w:val="30"/>
          <w:szCs w:val="30"/>
          <w:highlight w:val="none"/>
        </w:rPr>
      </w:pPr>
      <w:r>
        <w:rPr>
          <w:rFonts w:hint="eastAsia" w:ascii="宋体" w:hAnsi="宋体"/>
          <w:b/>
          <w:color w:val="auto"/>
          <w:sz w:val="30"/>
          <w:szCs w:val="30"/>
          <w:highlight w:val="none"/>
        </w:rPr>
        <w:t>技术参数响应表（格式）</w:t>
      </w:r>
    </w:p>
    <w:p>
      <w:pPr>
        <w:rPr>
          <w:rFonts w:hint="eastAsia" w:ascii="宋体" w:hAnsi="宋体"/>
          <w:color w:val="auto"/>
          <w:sz w:val="24"/>
          <w:highlight w:val="none"/>
        </w:rPr>
      </w:pPr>
    </w:p>
    <w:tbl>
      <w:tblPr>
        <w:tblStyle w:val="20"/>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14"/>
        <w:gridCol w:w="1532"/>
        <w:gridCol w:w="1548"/>
        <w:gridCol w:w="1570"/>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6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14"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80" w:type="dxa"/>
            <w:gridSpan w:val="2"/>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157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tc>
        <w:tc>
          <w:tcPr>
            <w:tcW w:w="1953"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所投产品正面照片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0" w:type="dxa"/>
            <w:vMerge w:val="continue"/>
            <w:noWrap w:val="0"/>
            <w:vAlign w:val="top"/>
          </w:tcPr>
          <w:p>
            <w:pPr>
              <w:keepNext w:val="0"/>
              <w:keepLines w:val="0"/>
              <w:suppressLineNumbers w:val="0"/>
              <w:spacing w:before="0" w:beforeAutospacing="0" w:after="0" w:afterAutospacing="0" w:line="240" w:lineRule="atLeast"/>
              <w:ind w:left="0" w:right="0" w:firstLine="105" w:firstLineChars="50"/>
              <w:rPr>
                <w:rFonts w:hint="eastAsia" w:ascii="宋体" w:hAnsi="宋体" w:cs="宋体"/>
                <w:color w:val="auto"/>
                <w:szCs w:val="21"/>
                <w:highlight w:val="none"/>
              </w:rPr>
            </w:pPr>
          </w:p>
        </w:tc>
        <w:tc>
          <w:tcPr>
            <w:tcW w:w="1414"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532"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48"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1570"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953"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s="宋体"/>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s="宋体"/>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default" w:ascii="宋体" w:hAnsi="宋体" w:cs="宋体"/>
                <w:color w:val="auto"/>
                <w:szCs w:val="21"/>
                <w:highlight w:val="none"/>
              </w:rPr>
              <w:t>…</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bl>
    <w:p>
      <w:pPr>
        <w:autoSpaceDE w:val="0"/>
        <w:autoSpaceDN w:val="0"/>
        <w:adjustRightInd w:val="0"/>
        <w:spacing w:line="240" w:lineRule="auto"/>
        <w:ind w:firstLine="422" w:firstLineChars="200"/>
        <w:rPr>
          <w:rFonts w:hint="eastAsia" w:ascii="宋体" w:hAnsi="宋体"/>
          <w:b/>
          <w:color w:val="auto"/>
          <w:szCs w:val="21"/>
          <w:highlight w:val="none"/>
          <w:lang w:val="zh-CN"/>
        </w:rPr>
      </w:pPr>
      <w:r>
        <w:rPr>
          <w:rFonts w:hint="eastAsia" w:ascii="宋体" w:hAnsi="宋体"/>
          <w:b/>
          <w:color w:val="auto"/>
          <w:szCs w:val="21"/>
          <w:highlight w:val="none"/>
          <w:lang w:val="zh-CN"/>
        </w:rPr>
        <w:t>注：</w:t>
      </w:r>
      <w:r>
        <w:rPr>
          <w:rFonts w:ascii="宋体" w:hAnsi="宋体"/>
          <w:b/>
          <w:color w:val="auto"/>
          <w:szCs w:val="21"/>
          <w:highlight w:val="none"/>
          <w:lang w:val="zh-CN"/>
        </w:rPr>
        <w:t>1</w:t>
      </w:r>
      <w:r>
        <w:rPr>
          <w:rFonts w:hint="eastAsia" w:ascii="宋体" w:hAnsi="宋体"/>
          <w:b/>
          <w:color w:val="auto"/>
          <w:szCs w:val="21"/>
          <w:highlight w:val="none"/>
          <w:lang w:val="zh-CN"/>
        </w:rPr>
        <w:t>.</w:t>
      </w:r>
      <w:r>
        <w:rPr>
          <w:rFonts w:hint="eastAsia" w:ascii="宋体" w:hAnsi="宋体" w:eastAsia="宋体" w:cs="Times New Roman"/>
          <w:b/>
          <w:color w:val="000000"/>
          <w:szCs w:val="21"/>
          <w:highlight w:val="none"/>
          <w:lang w:val="en-US" w:eastAsia="zh-CN"/>
        </w:rPr>
        <w:t>表格顺序请按照采购清单顺序；</w:t>
      </w:r>
    </w:p>
    <w:p>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zh-CN" w:eastAsia="zh-CN"/>
        </w:rPr>
      </w:pPr>
      <w:r>
        <w:rPr>
          <w:rFonts w:hint="eastAsia" w:ascii="宋体" w:hAnsi="宋体" w:eastAsia="宋体" w:cs="Times New Roman"/>
          <w:b/>
          <w:color w:val="000000"/>
          <w:szCs w:val="21"/>
          <w:highlight w:val="none"/>
          <w:lang w:val="en-US" w:eastAsia="zh-CN"/>
        </w:rPr>
        <w:t>2.投标人</w:t>
      </w:r>
      <w:r>
        <w:rPr>
          <w:rFonts w:hint="eastAsia" w:ascii="宋体" w:hAnsi="宋体" w:eastAsia="宋体" w:cs="Times New Roman"/>
          <w:b/>
          <w:color w:val="000000"/>
          <w:szCs w:val="21"/>
          <w:highlight w:val="none"/>
          <w:lang w:val="zh-CN" w:eastAsia="zh-CN"/>
        </w:rPr>
        <w:t>应逐一说明投标产品和服务响应；</w:t>
      </w:r>
    </w:p>
    <w:p>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en-US" w:eastAsia="zh-CN"/>
        </w:rPr>
      </w:pPr>
      <w:r>
        <w:rPr>
          <w:rFonts w:hint="eastAsia" w:ascii="宋体" w:hAnsi="宋体" w:eastAsia="宋体" w:cs="Times New Roman"/>
          <w:b/>
          <w:color w:val="000000"/>
          <w:szCs w:val="21"/>
          <w:highlight w:val="none"/>
          <w:lang w:val="en-US" w:eastAsia="zh-CN"/>
        </w:rPr>
        <w:t>3.</w:t>
      </w:r>
      <w:r>
        <w:rPr>
          <w:rFonts w:hint="eastAsia" w:ascii="宋体" w:hAnsi="宋体" w:eastAsia="宋体" w:cs="Times New Roman"/>
          <w:b/>
          <w:color w:val="000000"/>
          <w:szCs w:val="21"/>
          <w:highlight w:val="none"/>
          <w:lang w:val="zh-CN" w:eastAsia="zh-CN"/>
        </w:rPr>
        <w:t>如果行数不够，请自行增加。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货物的详细配置清单</w:t>
      </w:r>
    </w:p>
    <w:tbl>
      <w:tblPr>
        <w:tblStyle w:val="20"/>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4"/>
        <w:gridCol w:w="2121"/>
        <w:gridCol w:w="1153"/>
        <w:gridCol w:w="2147"/>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4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1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品牌、规格型号</w:t>
            </w:r>
          </w:p>
        </w:tc>
        <w:tc>
          <w:tcPr>
            <w:tcW w:w="1153"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产地</w:t>
            </w:r>
          </w:p>
        </w:tc>
        <w:tc>
          <w:tcPr>
            <w:tcW w:w="2147" w:type="dxa"/>
            <w:noWrap w:val="0"/>
            <w:vAlign w:val="center"/>
          </w:tcPr>
          <w:p>
            <w:pPr>
              <w:keepNext w:val="0"/>
              <w:keepLines w:val="0"/>
              <w:suppressLineNumbers w:val="0"/>
              <w:spacing w:before="0" w:beforeAutospacing="0" w:after="0" w:afterAutospacing="0" w:line="360" w:lineRule="auto"/>
              <w:ind w:left="261" w:right="0"/>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508"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详细配置清单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top"/>
          </w:tcPr>
          <w:p>
            <w:pPr>
              <w:keepNext w:val="0"/>
              <w:keepLines w:val="0"/>
              <w:numPr>
                <w:ilvl w:val="0"/>
                <w:numId w:val="0"/>
              </w:numPr>
              <w:suppressLineNumbers w:val="0"/>
              <w:spacing w:before="0" w:beforeAutospacing="0" w:after="0" w:afterAutospacing="0" w:line="360" w:lineRule="auto"/>
              <w:ind w:left="0" w:leftChars="0" w:right="0"/>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bl>
    <w:p>
      <w:pPr>
        <w:spacing w:line="360" w:lineRule="auto"/>
        <w:jc w:val="left"/>
        <w:rPr>
          <w:rFonts w:hint="eastAsia" w:ascii="宋体" w:hAnsi="宋体"/>
          <w:b/>
          <w:color w:val="auto"/>
          <w:sz w:val="28"/>
          <w:szCs w:val="28"/>
          <w:highlight w:val="none"/>
        </w:rPr>
      </w:pPr>
      <w:r>
        <w:rPr>
          <w:rFonts w:hint="eastAsia" w:ascii="宋体" w:hAnsi="宋体"/>
          <w:b/>
          <w:color w:val="auto"/>
          <w:sz w:val="28"/>
          <w:szCs w:val="28"/>
          <w:highlight w:val="none"/>
        </w:rPr>
        <w:t>注：</w:t>
      </w:r>
      <w:r>
        <w:rPr>
          <w:rFonts w:hint="eastAsia" w:ascii="宋体" w:hAnsi="宋体" w:eastAsia="宋体" w:cs="Times New Roman"/>
          <w:b/>
          <w:color w:val="000000"/>
          <w:szCs w:val="21"/>
          <w:highlight w:val="none"/>
          <w:lang w:val="en-US" w:eastAsia="zh-CN"/>
        </w:rPr>
        <w:t>表格顺序请按照采购清单顺序，</w:t>
      </w:r>
      <w:r>
        <w:rPr>
          <w:rFonts w:hint="eastAsia" w:ascii="宋体" w:hAnsi="宋体" w:cs="宋体"/>
          <w:color w:val="000000"/>
          <w:szCs w:val="21"/>
          <w:highlight w:val="none"/>
          <w:lang w:val="zh-CN"/>
        </w:rPr>
        <w:t>如果行数不够，请自行增加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pStyle w:val="2"/>
        <w:rPr>
          <w:rFonts w:hint="eastAsia"/>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
        <w:rPr>
          <w:rFonts w:hint="eastAsia"/>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w:t>
      </w:r>
      <w:r>
        <w:rPr>
          <w:rFonts w:hint="eastAsia" w:ascii="宋体" w:hAnsi="宋体" w:eastAsia="宋体" w:cs="宋体"/>
          <w:bCs/>
          <w:color w:val="auto"/>
          <w:szCs w:val="21"/>
          <w:highlight w:val="none"/>
          <w:lang w:val="en-US" w:eastAsia="zh-CN"/>
        </w:rPr>
        <w:t>样品；</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（2）投标人认为需要提供的其他材料（如有）。</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pPr>
        <w:pStyle w:val="2"/>
        <w:rPr>
          <w:rFonts w:hint="eastAsia"/>
          <w:highlight w:val="none"/>
          <w:lang w:val="en-US" w:eastAsia="zh-CN"/>
        </w:rPr>
      </w:pPr>
    </w:p>
    <w:p>
      <w:pPr>
        <w:rPr>
          <w:rFonts w:hint="eastAsia"/>
          <w:highlight w:val="none"/>
          <w:lang w:val="en-US" w:eastAsia="zh-CN"/>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pStyle w:val="2"/>
        <w:rPr>
          <w:rFonts w:hint="eastAsia"/>
          <w:lang w:val="en-US" w:eastAsia="zh-CN"/>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86" w:name="_Toc27638_WPSOffice_Level2"/>
      <w:bookmarkEnd w:id="86"/>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18"/>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投标报价清单（</w:t>
      </w:r>
      <w:r>
        <w:rPr>
          <w:rFonts w:hint="eastAsia" w:ascii="宋体" w:hAnsi="Calibri" w:eastAsia="宋体" w:cs="宋体"/>
          <w:color w:val="000000"/>
          <w:kern w:val="0"/>
          <w:sz w:val="21"/>
          <w:szCs w:val="21"/>
          <w:highlight w:val="none"/>
          <w:u w:color="000000"/>
          <w:lang w:val="en-US" w:eastAsia="zh-CN" w:bidi="ar"/>
        </w:rPr>
        <w:t>格式见附件</w:t>
      </w:r>
      <w:r>
        <w:rPr>
          <w:rFonts w:hint="eastAsia" w:ascii="宋体" w:hAnsi="Times New Roman" w:eastAsia="宋体" w:cs="Times New Roman"/>
          <w:color w:val="auto"/>
          <w:szCs w:val="21"/>
          <w:highlight w:val="none"/>
          <w:lang w:val="en-US" w:eastAsia="zh-CN"/>
        </w:rPr>
        <w:t>）</w:t>
      </w:r>
      <w:r>
        <w:rPr>
          <w:rFonts w:hint="eastAsia" w:ascii="宋体" w:hAnsi="Calibri"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pStyle w:val="8"/>
        <w:widowControl/>
        <w:ind w:left="2020"/>
        <w:rPr>
          <w:rFonts w:hint="eastAsia" w:ascii="宋体" w:hAnsi="宋体" w:eastAsia="宋体" w:cs="宋体"/>
          <w:b/>
          <w:bCs/>
          <w:highlight w:val="none"/>
          <w:lang w:val="en-US"/>
        </w:rPr>
      </w:pPr>
      <w:r>
        <w:rPr>
          <w:rFonts w:hint="eastAsia" w:ascii="宋体" w:hAnsi="宋体" w:eastAsia="宋体" w:cs="宋体"/>
          <w:b/>
          <w:bCs/>
          <w:highlight w:val="none"/>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总投标价\供货期与免费质保期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供货期与免费质保期：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供货期与免费质保期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highlight w:val="none"/>
          <w:lang w:val="en-US"/>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1368"/>
        <w:gridCol w:w="10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规格型号</w:t>
            </w:r>
          </w:p>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品牌</w:t>
            </w:r>
            <w:r>
              <w:rPr>
                <w:rFonts w:hint="eastAsia" w:ascii="宋体" w:hAnsi="宋体"/>
                <w:color w:val="000000"/>
                <w:szCs w:val="21"/>
                <w:highlight w:val="none"/>
                <w:lang w:eastAsia="zh-CN"/>
              </w:rPr>
              <w:t>（</w:t>
            </w:r>
            <w:r>
              <w:rPr>
                <w:rFonts w:hint="eastAsia" w:ascii="宋体"/>
                <w:color w:val="000000"/>
                <w:szCs w:val="21"/>
                <w:highlight w:val="none"/>
              </w:rPr>
              <w:t>生产厂家</w:t>
            </w:r>
            <w:r>
              <w:rPr>
                <w:rFonts w:hint="eastAsia" w:ascii="宋体" w:hAnsi="宋体"/>
                <w:color w:val="000000"/>
                <w:szCs w:val="21"/>
                <w:highlight w:val="none"/>
                <w:lang w:eastAsia="zh-CN"/>
              </w:rPr>
              <w:t>）</w:t>
            </w: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1368"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1098"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3</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lang w:val="en-US" w:eastAsia="zh-CN"/>
              </w:rPr>
              <w:t>4</w:t>
            </w:r>
            <w:r>
              <w:rPr>
                <w:rFonts w:hint="eastAsia" w:ascii="宋体" w:hAnsi="宋体"/>
                <w:color w:val="000000"/>
                <w:szCs w:val="21"/>
                <w:highlight w:val="none"/>
              </w:rPr>
              <w:t xml:space="preserve"> </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4</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b/>
          <w:color w:val="000000"/>
          <w:szCs w:val="21"/>
          <w:highlight w:val="none"/>
        </w:rPr>
      </w:pPr>
      <w:r>
        <w:rPr>
          <w:rFonts w:hint="eastAsia" w:ascii="宋体" w:hAnsi="宋体" w:cs="宋体"/>
          <w:color w:val="000000"/>
          <w:szCs w:val="21"/>
          <w:highlight w:val="none"/>
          <w:lang w:val="zh-CN"/>
        </w:rPr>
        <w:t>注：1.所有投标只能选择一种方案，单价和合价的报价只能是唯一，且须列出详细的分项报价。</w:t>
      </w:r>
      <w:r>
        <w:rPr>
          <w:rFonts w:hint="eastAsia" w:ascii="宋体"/>
          <w:b/>
          <w:color w:val="000000"/>
          <w:szCs w:val="21"/>
          <w:highlight w:val="none"/>
        </w:rPr>
        <w:t>（与采购清单项相一致，不得缺项，否则</w:t>
      </w:r>
      <w:r>
        <w:rPr>
          <w:rFonts w:hint="eastAsia" w:ascii="宋体" w:hAnsi="宋体"/>
          <w:b/>
          <w:color w:val="000000"/>
          <w:szCs w:val="21"/>
          <w:highlight w:val="none"/>
        </w:rPr>
        <w:t>视同包含在其他项目</w:t>
      </w:r>
      <w:r>
        <w:rPr>
          <w:rFonts w:hint="eastAsia" w:ascii="宋体"/>
          <w:b/>
          <w:color w:val="000000"/>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2.投标报价采用综合单价法，</w:t>
      </w:r>
      <w:r>
        <w:rPr>
          <w:rFonts w:hint="eastAsia" w:ascii="宋体" w:hAnsi="宋体" w:eastAsia="宋体" w:cs="宋体"/>
          <w:color w:val="000000"/>
          <w:kern w:val="0"/>
          <w:sz w:val="21"/>
          <w:szCs w:val="21"/>
          <w:highlight w:val="none"/>
          <w:u w:color="000000"/>
          <w:lang w:val="en-US" w:eastAsia="zh-CN" w:bidi="ar"/>
        </w:rPr>
        <w:t>综合单价包括完成本项目全部供货及服务的一切费用：包括但不限于材料费（所有货物生产成本、配件、备品备件、所有辅材及专用工具费等）、装卸费、运输费、管理费、质保期内的维修费、其他费用（如包装费、仓储费、保管费）、利润、招标代理费、专家评审费、检测费、售后服务费、税金、政策性文件规定及合同包含的所有风险和责任等、货物送至招标人指定地点前的各项应有费用。</w:t>
      </w:r>
      <w:r>
        <w:rPr>
          <w:rFonts w:hint="eastAsia" w:ascii="宋体" w:hAnsi="Times New Roman" w:eastAsia="宋体" w:cs="Times New Roman"/>
          <w:color w:val="000000"/>
          <w:szCs w:val="21"/>
          <w:highlight w:val="none"/>
        </w:rPr>
        <w:t>投标时投标人必须保证报价的完整性，如有漏报，则视为优惠，中标后不允许追加费用。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lang w:val="zh-CN"/>
        </w:rPr>
        <w:t>数量为</w:t>
      </w:r>
      <w:r>
        <w:rPr>
          <w:rFonts w:hint="eastAsia" w:ascii="宋体" w:hAnsi="宋体" w:eastAsia="宋体" w:cs="宋体"/>
          <w:color w:val="000000"/>
          <w:szCs w:val="21"/>
          <w:highlight w:val="none"/>
          <w:lang w:val="en-US" w:eastAsia="zh-CN"/>
        </w:rPr>
        <w:t>三</w:t>
      </w:r>
      <w:r>
        <w:rPr>
          <w:rFonts w:hint="eastAsia" w:ascii="宋体" w:hAnsi="宋体" w:eastAsia="宋体" w:cs="宋体"/>
          <w:color w:val="000000"/>
          <w:szCs w:val="21"/>
          <w:highlight w:val="none"/>
          <w:lang w:val="zh-CN"/>
        </w:rPr>
        <w:t>年</w:t>
      </w:r>
      <w:r>
        <w:rPr>
          <w:rFonts w:hint="eastAsia" w:ascii="宋体" w:hAnsi="宋体" w:eastAsia="宋体" w:cs="宋体"/>
          <w:color w:val="000000"/>
          <w:szCs w:val="21"/>
          <w:highlight w:val="none"/>
          <w:lang w:val="en-US" w:eastAsia="zh-CN"/>
        </w:rPr>
        <w:t>员工工作服和</w:t>
      </w:r>
      <w:r>
        <w:rPr>
          <w:rFonts w:hint="eastAsia" w:ascii="宋体" w:hAnsi="宋体" w:eastAsia="宋体" w:cs="宋体"/>
          <w:color w:val="000000"/>
          <w:szCs w:val="21"/>
          <w:highlight w:val="none"/>
          <w:lang w:val="zh-CN"/>
        </w:rPr>
        <w:t>配饰的预估数量，实际采购数量以签订合同后招标人每次下达的《订货通知单》为准。</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4.如果按单价计算的结果与总价不一致时，买方有权按投标人填写的单价或者按投标人填写的合价，选择不利于投标人或有权利于买方的原则确定结算金额。</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87" w:name="_Toc6275_WPSOffice_Level1"/>
      <w:bookmarkEnd w:id="87"/>
      <w:r>
        <w:rPr>
          <w:b/>
          <w:bCs w:val="0"/>
          <w:sz w:val="32"/>
          <w:szCs w:val="32"/>
          <w:highlight w:val="none"/>
          <w:lang w:eastAsia="zh-CN"/>
        </w:rPr>
        <w:t>第七章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滁宁城际铁路一线员工（客运服务类）皮鞋采购项目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2023年2月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2023年2月</w:t>
            </w:r>
          </w:p>
        </w:tc>
      </w:tr>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1385A4"/>
    <w:multiLevelType w:val="singleLevel"/>
    <w:tmpl w:val="DA1385A4"/>
    <w:lvl w:ilvl="0" w:tentative="0">
      <w:start w:val="2"/>
      <w:numFmt w:val="chineseCounting"/>
      <w:suff w:val="nothing"/>
      <w:lvlText w:val="%1、"/>
      <w:lvlJc w:val="left"/>
      <w:rPr>
        <w:rFonts w:hint="eastAsia"/>
      </w:rPr>
    </w:lvl>
  </w:abstractNum>
  <w:abstractNum w:abstractNumId="1">
    <w:nsid w:val="00000007"/>
    <w:multiLevelType w:val="singleLevel"/>
    <w:tmpl w:val="00000007"/>
    <w:lvl w:ilvl="0" w:tentative="0">
      <w:start w:val="1"/>
      <w:numFmt w:val="decimal"/>
      <w:suff w:val="nothing"/>
      <w:lvlText w:val="（%1）"/>
      <w:lvlJc w:val="left"/>
    </w:lvl>
  </w:abstractNum>
  <w:abstractNum w:abstractNumId="2">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00000015"/>
    <w:multiLevelType w:val="singleLevel"/>
    <w:tmpl w:val="00000015"/>
    <w:lvl w:ilvl="0" w:tentative="0">
      <w:start w:val="6"/>
      <w:numFmt w:val="decimal"/>
      <w:suff w:val="space"/>
      <w:lvlText w:val="%1."/>
      <w:lvlJc w:val="left"/>
    </w:lvl>
  </w:abstractNum>
  <w:abstractNum w:abstractNumId="4">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FF501E"/>
    <w:rsid w:val="0CEF01A1"/>
    <w:rsid w:val="0EBB3464"/>
    <w:rsid w:val="12431559"/>
    <w:rsid w:val="14334ED5"/>
    <w:rsid w:val="162403C8"/>
    <w:rsid w:val="1A2C0203"/>
    <w:rsid w:val="1B0B6A26"/>
    <w:rsid w:val="1DD7722D"/>
    <w:rsid w:val="1E474369"/>
    <w:rsid w:val="1FBE5586"/>
    <w:rsid w:val="2035457B"/>
    <w:rsid w:val="204506D8"/>
    <w:rsid w:val="20F63292"/>
    <w:rsid w:val="21391D2B"/>
    <w:rsid w:val="21FC6157"/>
    <w:rsid w:val="222D5B93"/>
    <w:rsid w:val="27427F5F"/>
    <w:rsid w:val="287E4991"/>
    <w:rsid w:val="3D7F110E"/>
    <w:rsid w:val="40585B1F"/>
    <w:rsid w:val="41C76417"/>
    <w:rsid w:val="42AB7679"/>
    <w:rsid w:val="440F4D94"/>
    <w:rsid w:val="44121234"/>
    <w:rsid w:val="47DC16A5"/>
    <w:rsid w:val="4B8A2C90"/>
    <w:rsid w:val="4C3857CB"/>
    <w:rsid w:val="4F522371"/>
    <w:rsid w:val="5AB972A9"/>
    <w:rsid w:val="5AC41FE9"/>
    <w:rsid w:val="5D7002D3"/>
    <w:rsid w:val="604D11B9"/>
    <w:rsid w:val="62C47C43"/>
    <w:rsid w:val="6509245E"/>
    <w:rsid w:val="668A652A"/>
    <w:rsid w:val="6EA934B6"/>
    <w:rsid w:val="706E041E"/>
    <w:rsid w:val="75843174"/>
    <w:rsid w:val="76B7003F"/>
    <w:rsid w:val="79757E4E"/>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5"/>
    <w:link w:val="2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23"/>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5">
    <w:name w:val="Body Text First Indent"/>
    <w:basedOn w:val="6"/>
    <w:qFormat/>
    <w:uiPriority w:val="0"/>
    <w:pPr>
      <w:adjustRightInd/>
      <w:spacing w:after="120" w:line="240" w:lineRule="auto"/>
      <w:ind w:firstLine="420" w:firstLineChars="100"/>
      <w:jc w:val="both"/>
    </w:pPr>
  </w:style>
  <w:style w:type="paragraph" w:styleId="6">
    <w:name w:val="Body Text"/>
    <w:basedOn w:val="1"/>
    <w:next w:val="7"/>
    <w:qFormat/>
    <w:uiPriority w:val="0"/>
    <w:pPr>
      <w:widowControl w:val="0"/>
      <w:snapToGrid w:val="0"/>
      <w:spacing w:line="360" w:lineRule="auto"/>
    </w:pPr>
    <w:rPr>
      <w:rFonts w:ascii="Arial" w:hAnsi="Arial" w:eastAsia="仿宋_GB2312"/>
      <w:sz w:val="31"/>
    </w:rPr>
  </w:style>
  <w:style w:type="paragraph" w:customStyle="1" w:styleId="7">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9">
    <w:name w:val="toc 7"/>
    <w:basedOn w:val="1"/>
    <w:next w:val="1"/>
    <w:qFormat/>
    <w:uiPriority w:val="39"/>
    <w:pPr>
      <w:ind w:left="1260"/>
      <w:jc w:val="left"/>
    </w:pPr>
    <w:rPr>
      <w:sz w:val="18"/>
      <w:szCs w:val="18"/>
    </w:rPr>
  </w:style>
  <w:style w:type="paragraph" w:styleId="10">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Plain Text"/>
    <w:basedOn w:val="1"/>
    <w:next w:val="1"/>
    <w:link w:val="2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29"/>
    <w:qFormat/>
    <w:uiPriority w:val="0"/>
    <w:pPr>
      <w:tabs>
        <w:tab w:val="center" w:pos="4153"/>
        <w:tab w:val="right" w:pos="8306"/>
      </w:tabs>
      <w:snapToGrid w:val="0"/>
      <w:jc w:val="left"/>
    </w:pPr>
    <w:rPr>
      <w:sz w:val="18"/>
    </w:rPr>
  </w:style>
  <w:style w:type="paragraph" w:styleId="16">
    <w:name w:val="envelope return"/>
    <w:basedOn w:val="1"/>
    <w:next w:val="9"/>
    <w:qFormat/>
    <w:uiPriority w:val="0"/>
    <w:pPr>
      <w:snapToGrid w:val="0"/>
    </w:pPr>
    <w:rPr>
      <w:rFonts w:ascii="Arial" w:hAnsi="Arial"/>
    </w:rPr>
  </w:style>
  <w:style w:type="paragraph" w:styleId="17">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正文文本缩进 Char"/>
    <w:basedOn w:val="22"/>
    <w:link w:val="3"/>
    <w:qFormat/>
    <w:uiPriority w:val="0"/>
    <w:rPr>
      <w:rFonts w:hint="default" w:ascii="Times New Roman" w:hAnsi="Times New Roman" w:eastAsia="宋体" w:cs="Times New Roman"/>
      <w:color w:val="000000"/>
      <w:kern w:val="0"/>
      <w:szCs w:val="21"/>
      <w:u w:color="000000"/>
    </w:rPr>
  </w:style>
  <w:style w:type="character" w:customStyle="1" w:styleId="24">
    <w:name w:val="正文首行缩进 2 Char"/>
    <w:basedOn w:val="23"/>
    <w:link w:val="2"/>
    <w:qFormat/>
    <w:uiPriority w:val="0"/>
    <w:rPr>
      <w:rFonts w:hint="default" w:ascii="Times New Roman" w:hAnsi="Times New Roman" w:eastAsia="宋体" w:cs="Times New Roman"/>
      <w:color w:val="000000"/>
      <w:kern w:val="0"/>
      <w:szCs w:val="21"/>
      <w:u w:color="000000"/>
    </w:rPr>
  </w:style>
  <w:style w:type="character" w:customStyle="1" w:styleId="25">
    <w:name w:val="日期 Char"/>
    <w:basedOn w:val="22"/>
    <w:link w:val="14"/>
    <w:qFormat/>
    <w:uiPriority w:val="0"/>
    <w:rPr>
      <w:rFonts w:ascii="Arial" w:hAnsi="Arial" w:eastAsia="仿宋_GB2312" w:cs="Arial"/>
      <w:color w:val="000000"/>
      <w:sz w:val="32"/>
      <w:szCs w:val="32"/>
      <w:u w:color="000000"/>
    </w:rPr>
  </w:style>
  <w:style w:type="character" w:customStyle="1" w:styleId="26">
    <w:name w:val="标题 2 Char"/>
    <w:basedOn w:val="22"/>
    <w:link w:val="8"/>
    <w:qFormat/>
    <w:uiPriority w:val="0"/>
    <w:rPr>
      <w:rFonts w:hint="default" w:ascii="Times New Roman" w:hAnsi="Times New Roman" w:eastAsia="宋体" w:cs="Times New Roman"/>
      <w:kern w:val="0"/>
      <w:sz w:val="24"/>
      <w:szCs w:val="24"/>
    </w:rPr>
  </w:style>
  <w:style w:type="character" w:customStyle="1" w:styleId="27">
    <w:name w:val="页眉 Char"/>
    <w:basedOn w:val="22"/>
    <w:link w:val="17"/>
    <w:qFormat/>
    <w:uiPriority w:val="0"/>
    <w:rPr>
      <w:rFonts w:hint="default" w:ascii="Times New Roman" w:hAnsi="Times New Roman" w:eastAsia="宋体" w:cs="Times New Roman"/>
      <w:color w:val="000000"/>
      <w:kern w:val="0"/>
      <w:sz w:val="18"/>
      <w:szCs w:val="18"/>
      <w:u w:color="000000"/>
    </w:rPr>
  </w:style>
  <w:style w:type="character" w:customStyle="1" w:styleId="28">
    <w:name w:val="纯文本 Char"/>
    <w:basedOn w:val="22"/>
    <w:link w:val="13"/>
    <w:qFormat/>
    <w:uiPriority w:val="0"/>
    <w:rPr>
      <w:rFonts w:hint="eastAsia" w:ascii="宋体" w:hAnsi="宋体" w:eastAsia="宋体" w:cs="宋体"/>
      <w:szCs w:val="21"/>
    </w:rPr>
  </w:style>
  <w:style w:type="character" w:customStyle="1" w:styleId="29">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1">
    <w:name w:val="List Paragraph"/>
    <w:basedOn w:val="1"/>
    <w:qFormat/>
    <w:uiPriority w:val="0"/>
    <w:pPr>
      <w:widowControl w:val="0"/>
      <w:spacing w:line="240" w:lineRule="auto"/>
      <w:ind w:firstLine="200" w:firstLineChars="200"/>
      <w:textAlignment w:val="auto"/>
    </w:pPr>
    <w:rPr>
      <w:u w:val="none" w:color="000000"/>
    </w:rPr>
  </w:style>
  <w:style w:type="character" w:customStyle="1" w:styleId="32">
    <w:name w:val="NormalCharacter"/>
    <w:semiHidden/>
    <w:qFormat/>
    <w:uiPriority w:val="0"/>
  </w:style>
  <w:style w:type="paragraph" w:customStyle="1" w:styleId="3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4">
    <w:name w:val="font51"/>
    <w:basedOn w:val="22"/>
    <w:qFormat/>
    <w:uiPriority w:val="0"/>
    <w:rPr>
      <w:rFonts w:hint="eastAsia" w:ascii="宋体" w:hAnsi="宋体" w:eastAsia="宋体" w:cs="宋体"/>
      <w:color w:val="000000"/>
      <w:sz w:val="22"/>
      <w:szCs w:val="22"/>
      <w:u w:val="none"/>
    </w:rPr>
  </w:style>
  <w:style w:type="character" w:customStyle="1" w:styleId="35">
    <w:name w:val="font31"/>
    <w:basedOn w:val="22"/>
    <w:qFormat/>
    <w:uiPriority w:val="0"/>
    <w:rPr>
      <w:rFonts w:hint="default" w:ascii="Times New Roman" w:hAnsi="Times New Roman" w:cs="Times New Roman"/>
      <w:color w:val="000000"/>
      <w:sz w:val="22"/>
      <w:szCs w:val="22"/>
      <w:u w:val="none"/>
    </w:rPr>
  </w:style>
  <w:style w:type="character" w:customStyle="1" w:styleId="36">
    <w:name w:val="font61"/>
    <w:basedOn w:val="22"/>
    <w:qFormat/>
    <w:uiPriority w:val="0"/>
    <w:rPr>
      <w:rFonts w:hint="default" w:ascii="Times New Roman" w:hAnsi="Times New Roman" w:cs="Times New Roman"/>
      <w:color w:val="000000"/>
      <w:sz w:val="21"/>
      <w:szCs w:val="21"/>
      <w:u w:val="none"/>
    </w:rPr>
  </w:style>
  <w:style w:type="character" w:customStyle="1" w:styleId="37">
    <w:name w:val="font71"/>
    <w:basedOn w:val="22"/>
    <w:qFormat/>
    <w:uiPriority w:val="0"/>
    <w:rPr>
      <w:rFonts w:hint="eastAsia" w:ascii="宋体" w:hAnsi="宋体" w:eastAsia="宋体" w:cs="宋体"/>
      <w:color w:val="000000"/>
      <w:sz w:val="21"/>
      <w:szCs w:val="21"/>
      <w:u w:val="none"/>
    </w:rPr>
  </w:style>
  <w:style w:type="character" w:customStyle="1" w:styleId="38">
    <w:name w:val="font01"/>
    <w:basedOn w:val="22"/>
    <w:qFormat/>
    <w:uiPriority w:val="0"/>
    <w:rPr>
      <w:rFonts w:hint="eastAsia" w:ascii="宋体" w:hAnsi="宋体" w:eastAsia="宋体" w:cs="宋体"/>
      <w:color w:val="000000"/>
      <w:sz w:val="22"/>
      <w:szCs w:val="22"/>
      <w:u w:val="none"/>
    </w:rPr>
  </w:style>
  <w:style w:type="character" w:customStyle="1" w:styleId="39">
    <w:name w:val="font11"/>
    <w:basedOn w:val="22"/>
    <w:qFormat/>
    <w:uiPriority w:val="0"/>
    <w:rPr>
      <w:rFonts w:hint="eastAsia" w:ascii="宋体" w:hAnsi="宋体" w:eastAsia="宋体" w:cs="宋体"/>
      <w:color w:val="000000"/>
      <w:sz w:val="21"/>
      <w:szCs w:val="21"/>
      <w:u w:val="none"/>
    </w:rPr>
  </w:style>
  <w:style w:type="character" w:customStyle="1" w:styleId="40">
    <w:name w:val="font41"/>
    <w:basedOn w:val="22"/>
    <w:qFormat/>
    <w:uiPriority w:val="0"/>
    <w:rPr>
      <w:rFonts w:hint="default" w:ascii="Times New Roman" w:hAnsi="Times New Roman" w:cs="Times New Roman"/>
      <w:color w:val="000000"/>
      <w:sz w:val="22"/>
      <w:szCs w:val="22"/>
      <w:u w:val="none"/>
    </w:rPr>
  </w:style>
  <w:style w:type="paragraph" w:customStyle="1" w:styleId="41">
    <w:name w:val="二级标题"/>
    <w:basedOn w:val="1"/>
    <w:next w:val="1"/>
    <w:qFormat/>
    <w:uiPriority w:val="0"/>
    <w:rPr>
      <w:rFonts w:hint="eastAsia" w:eastAsia="楷体"/>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25791</Words>
  <Characters>27561</Characters>
  <Lines>0</Lines>
  <Paragraphs>0</Paragraphs>
  <TotalTime>6</TotalTime>
  <ScaleCrop>false</ScaleCrop>
  <LinksUpToDate>false</LinksUpToDate>
  <CharactersWithSpaces>30413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2023-02-21T02:30:05Z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6D9A791FE09F4AF69DC46F4A104A7358</vt:lpwstr>
  </property>
</Properties>
</file>