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000000"/>
          <w:kern w:val="0"/>
          <w:sz w:val="40"/>
          <w:szCs w:val="22"/>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滁州至南京城际铁路（滁州段）司机日常用品</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highlight w:val="none"/>
          <w:lang w:val="en-US"/>
        </w:rPr>
      </w:pPr>
      <w:r>
        <w:rPr>
          <w:highlight w:val="none"/>
          <w:lang w:val="en-US"/>
        </w:rPr>
        <w:t xml:space="preserve"> </w:t>
      </w:r>
    </w:p>
    <w:p>
      <w:pPr>
        <w:pStyle w:val="15"/>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2</w:t>
      </w:r>
      <w:r>
        <w:rPr>
          <w:rFonts w:hint="eastAsia" w:ascii="宋体" w:hAnsi="宋体"/>
          <w:b/>
          <w:sz w:val="32"/>
          <w:highlight w:val="none"/>
          <w:u w:val="thick"/>
        </w:rPr>
        <w:t>年</w:t>
      </w:r>
      <w:r>
        <w:rPr>
          <w:rFonts w:hint="eastAsia" w:ascii="宋体" w:hAnsi="宋体"/>
          <w:b/>
          <w:sz w:val="32"/>
          <w:highlight w:val="none"/>
          <w:u w:val="thick"/>
          <w:lang w:val="en-US" w:eastAsia="zh-CN"/>
        </w:rPr>
        <w:t>12</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8</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采购需求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24</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28</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34</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48</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5"/>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75" w:name="_GoBack"/>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35393621"/>
      <w:bookmarkEnd w:id="6"/>
      <w:bookmarkStart w:id="7" w:name="_Toc58430305"/>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滁州至南京城际铁路（滁州段）司机日常用品采购项目的潜在投标人应在滁州市滁宁城际铁路开发建设有限公司网站（http://czctgs.cn/）获取招标文件，并于2022年12月22日15时00分（北京时间）前递交投标文件。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项目名称：滁州至南京城际铁路（滁州段）司机日常用品采购项目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项目预算金额：约55000元(含税价)</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55000</w:t>
      </w:r>
      <w:r>
        <w:rPr>
          <w:rFonts w:hint="eastAsia" w:ascii="宋体" w:hAnsi="宋体" w:eastAsia="宋体" w:cs="宋体"/>
          <w:b w:val="0"/>
          <w:bCs w:val="0"/>
          <w:color w:val="000000"/>
          <w:kern w:val="0"/>
          <w:sz w:val="24"/>
          <w:szCs w:val="24"/>
          <w:highlight w:val="none"/>
          <w:u w:color="000000"/>
          <w:lang w:val="en-US" w:eastAsia="zh-CN" w:bidi="ar"/>
        </w:rPr>
        <w:t>元（含税价），投标报价不得超过最高限价，否则按无效投标处理。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采购需求：详见《采购需求》</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供货期：自接到招标人通知之时起30个日历天内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1.投标人须具有独立法人资格且能提供本次采购所需货物和服务。</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2022年12月13日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2022年12月22日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28359082"/>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2022年12月22日15时00分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：滁州市</w:t>
      </w:r>
      <w:r>
        <w:rPr>
          <w:rFonts w:hint="eastAsia" w:ascii="宋体" w:hAnsi="宋体" w:cs="宋体"/>
          <w:color w:val="auto"/>
          <w:sz w:val="24"/>
          <w:szCs w:val="24"/>
          <w:highlight w:val="none"/>
          <w:lang w:val="en-US" w:eastAsia="zh-CN"/>
        </w:rPr>
        <w:t>滁宁城际铁路开发建设有限公司8楼会议室</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投标人邮寄单不能体现投标单位信息。邮寄地址：滁州市滁宁城际铁路开发建设有限公司（滁州市琅琊路164号物资大厦8楼）；联系人：陈俊，联系电话：18949108929，未使用顺丰快递送达的或未按要求密封的将被拒绝，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⑤中标人必须严格按照所提供的样品进行供货，与封存样品不一致时，招标人有权中止合同并没收履约保证金，并赔偿损失。</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bookmarkEnd w:id="75"/>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1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滁州至南京城际铁路（滁州段）司机日常用品采购项目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供货</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val="en-US" w:eastAsia="zh-CN"/>
              </w:rPr>
              <w:t>自接到招标人通知之时起30个日历天内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55000元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55000元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12</w:t>
            </w:r>
            <w:r>
              <w:rPr>
                <w:rFonts w:cs="Times New Roman"/>
                <w:b w:val="0"/>
                <w:bCs w:val="0"/>
                <w:highlight w:val="none"/>
              </w:rPr>
              <w:t>月</w:t>
            </w:r>
            <w:r>
              <w:rPr>
                <w:rFonts w:hint="eastAsia" w:cs="Times New Roman"/>
                <w:b w:val="0"/>
                <w:bCs w:val="0"/>
                <w:highlight w:val="none"/>
                <w:lang w:val="en-US" w:eastAsia="zh-CN"/>
              </w:rPr>
              <w:t>18</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2022年12月19日17时后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代理服务费金额：招标代理费1000元。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22</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开标时间：2022年12月22日15时00分（北京时间）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0"/>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2</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供货完成且经招标人验收合格后，按最终实际供货数量结算，提交与交付货物总价相一致的有效增值税专用发票后支付结算价的100%。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highlight w:val="none"/>
                <w:lang w:val="en-US"/>
              </w:rPr>
            </w:pPr>
            <w:r>
              <w:rPr>
                <w:rFonts w:hint="eastAsia"/>
                <w:lang w:val="en-US" w:eastAsia="zh-CN"/>
              </w:rPr>
              <w:t>5、若中标人供货时提供的物品与不满足招标人要求，可无条件解除中标人资格，不承担任何责任。</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44974507"/>
      <w:bookmarkEnd w:id="21"/>
      <w:bookmarkStart w:id="22" w:name="_Toc152045539"/>
      <w:bookmarkEnd w:id="22"/>
      <w:bookmarkStart w:id="23" w:name="_Toc247527563"/>
      <w:bookmarkEnd w:id="23"/>
      <w:bookmarkStart w:id="24" w:name="_Toc152042315"/>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样品须使用顺丰快递密封送达至规定地点，投标人邮寄单不能体现投标单位信息。邮寄地址：滁州市滁宁城际铁路开发建设有限公司（滁州市琅琊路164号物资大厦8楼）；联系人：陈俊，联系电话：18949108929，未使用顺丰快递送达的或未按要求密封的将被拒绝，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19.4未中标的投标人样品在公示期结束后由未中标人自行取回或选择邮件退回（顺丰到付），逾期招标人将不负责保管；中标人提供的样品在公示期结束后封存在招标人处。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19.5中标人必须严格按照所提供的样品进行供货，与封存样品不一致时，招标人有权中止合同并没收履约保证金，并赔偿损失。</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b/>
          <w:bCs/>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宋体" w:eastAsia="宋体" w:cs="宋体"/>
          <w:b/>
          <w:bCs/>
          <w:color w:val="000000"/>
          <w:kern w:val="0"/>
          <w:sz w:val="21"/>
          <w:szCs w:val="21"/>
          <w:highlight w:val="none"/>
          <w:u w:color="000000"/>
          <w:lang w:val="en-US" w:eastAsia="zh-CN" w:bidi="ar"/>
        </w:rPr>
        <w:t>投标人的报价应含完成本项目供货所需的成本、运输、装卸、人员工资、管理费、利润、风险费用、招标代理费、专家评审费及国家对中标单位征收的各种税费等所有一切费用。投标人应按照招标人提供的招标文件等内容，依据国家规定的收费标准，结合企业自身情况和市场行情分析各项费用，确定项目投标单价和总价，投标单价今后将不作任何调整。招标人不再为此次招标项目支付任何其他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2" w:name="_Toc316_WPSOffice_Level3"/>
      <w:bookmarkEnd w:id="42"/>
      <w:bookmarkStart w:id="43" w:name="_Toc23484"/>
      <w:r>
        <w:rPr>
          <w:rFonts w:hint="eastAsia" w:ascii="宋体" w:hAnsi="宋体" w:eastAsia="宋体" w:cs="宋体"/>
          <w:color w:val="000000"/>
          <w:kern w:val="0"/>
          <w:sz w:val="21"/>
          <w:szCs w:val="21"/>
          <w:u w:color="000000"/>
          <w:lang w:val="en-US" w:eastAsia="zh-CN" w:bidi="ar"/>
        </w:rPr>
        <w:t>36.1</w:t>
      </w:r>
      <w:bookmarkEnd w:id="43"/>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17"/>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诚信投标承诺书扫描件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17"/>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22100_WPSOffice_Level2"/>
      <w:bookmarkStart w:id="52"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rPr>
        <w:t>技术和商务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3" w:name="_Toc16323"/>
      <w:r>
        <w:rPr>
          <w:rFonts w:hint="eastAsia" w:ascii="宋体"/>
          <w:color w:val="auto"/>
          <w:szCs w:val="21"/>
          <w:highlight w:val="none"/>
          <w:lang w:val="en-US" w:eastAsia="zh-CN"/>
        </w:rPr>
        <w:t>6.1技术</w:t>
      </w:r>
      <w:r>
        <w:rPr>
          <w:rFonts w:hint="eastAsia" w:ascii="宋体"/>
          <w:color w:val="auto"/>
          <w:szCs w:val="21"/>
          <w:highlight w:val="none"/>
        </w:rPr>
        <w:t>评审细则（</w:t>
      </w:r>
      <w:r>
        <w:rPr>
          <w:rFonts w:hint="eastAsia" w:ascii="宋体"/>
          <w:color w:val="auto"/>
          <w:szCs w:val="21"/>
          <w:highlight w:val="none"/>
          <w:lang w:val="en-US" w:eastAsia="zh-CN"/>
        </w:rPr>
        <w:t>50</w:t>
      </w:r>
      <w:r>
        <w:rPr>
          <w:rFonts w:hint="eastAsia" w:ascii="宋体"/>
          <w:color w:val="auto"/>
          <w:szCs w:val="21"/>
          <w:highlight w:val="none"/>
        </w:rPr>
        <w:t>分）</w:t>
      </w:r>
      <w:bookmarkEnd w:id="53"/>
    </w:p>
    <w:tbl>
      <w:tblPr>
        <w:tblStyle w:val="17"/>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技术参数</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25分</w:t>
            </w:r>
          </w:p>
        </w:tc>
        <w:tc>
          <w:tcPr>
            <w:tcW w:w="33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default" w:ascii="宋体" w:hAnsi="宋体" w:cs="宋体"/>
                <w:kern w:val="0"/>
                <w:szCs w:val="21"/>
                <w:highlight w:val="none"/>
                <w:lang w:val="en-US" w:eastAsia="zh-CN"/>
              </w:rPr>
            </w:pPr>
            <w:r>
              <w:rPr>
                <w:rFonts w:hint="eastAsia" w:ascii="宋体" w:hAnsi="宋体" w:cs="宋体" w:eastAsiaTheme="minorEastAsia"/>
                <w:color w:val="auto"/>
                <w:kern w:val="0"/>
                <w:sz w:val="21"/>
                <w:szCs w:val="21"/>
                <w:highlight w:val="none"/>
                <w:lang w:val="en-US" w:eastAsia="zh-CN" w:bidi="ar-SA"/>
              </w:rPr>
              <w:t>投标人对于采购需求和采购清单要求的响应情况：所投产品全部满足采购需求和采购清单的得25分，每存在一项负偏离的扣1分，扣完为止。</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cs="宋体"/>
                <w:kern w:val="0"/>
                <w:szCs w:val="21"/>
                <w:highlight w:val="none"/>
                <w:lang w:val="en-US" w:eastAsia="zh-CN"/>
              </w:rPr>
              <w:t>技术标投标文件中须</w:t>
            </w:r>
            <w:r>
              <w:rPr>
                <w:rFonts w:hint="eastAsia" w:ascii="宋体" w:hAnsi="宋体" w:cs="宋体"/>
                <w:bCs/>
                <w:kern w:val="0"/>
                <w:szCs w:val="21"/>
                <w:highlight w:val="none"/>
              </w:rPr>
              <w:t>同时提供下列资料，</w:t>
            </w:r>
            <w:r>
              <w:rPr>
                <w:rFonts w:hint="eastAsia" w:ascii="宋体" w:hAnsi="宋体" w:cs="宋体"/>
                <w:bCs/>
                <w:kern w:val="0"/>
                <w:szCs w:val="21"/>
                <w:highlight w:val="none"/>
                <w:lang w:val="en-US" w:eastAsia="zh-CN"/>
              </w:rPr>
              <w:t>两者缺一不可）：①技术参数响应表（格式见第六章投标文件格式）；</w:t>
            </w:r>
            <w:r>
              <w:rPr>
                <w:rFonts w:hint="eastAsia" w:ascii="宋体" w:hAnsi="宋体" w:cs="宋体"/>
                <w:bCs/>
                <w:kern w:val="0"/>
                <w:szCs w:val="21"/>
                <w:highlight w:val="none"/>
              </w:rPr>
              <w:t>②</w:t>
            </w:r>
            <w:r>
              <w:rPr>
                <w:rFonts w:hint="eastAsia" w:ascii="宋体" w:hAnsi="宋体" w:cs="宋体"/>
                <w:bCs/>
                <w:kern w:val="0"/>
                <w:szCs w:val="21"/>
                <w:highlight w:val="none"/>
                <w:lang w:val="en-US" w:eastAsia="zh-CN"/>
              </w:rPr>
              <w:t>服务承诺书</w:t>
            </w:r>
            <w:r>
              <w:rPr>
                <w:rFonts w:hint="eastAsia" w:ascii="宋体" w:hAnsi="宋体" w:cs="宋体"/>
                <w:bCs/>
                <w:kern w:val="0"/>
                <w:szCs w:val="21"/>
                <w:highlight w:val="none"/>
              </w:rPr>
              <w:t>（</w:t>
            </w:r>
            <w:r>
              <w:rPr>
                <w:rFonts w:hint="eastAsia" w:ascii="宋体" w:hAnsi="宋体" w:cs="宋体"/>
                <w:bCs/>
                <w:kern w:val="0"/>
                <w:szCs w:val="21"/>
                <w:highlight w:val="none"/>
                <w:lang w:val="en-US" w:eastAsia="zh-CN"/>
              </w:rPr>
              <w:t>格式见第六章投标文件格式</w:t>
            </w:r>
            <w:r>
              <w:rPr>
                <w:rFonts w:hint="eastAsia" w:ascii="宋体" w:hAnsi="宋体" w:cs="宋体"/>
                <w:bCs/>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样品</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25分</w:t>
            </w:r>
          </w:p>
        </w:tc>
        <w:tc>
          <w:tcPr>
            <w:tcW w:w="3338" w:type="dxa"/>
            <w:noWrap w:val="0"/>
            <w:vAlign w:val="center"/>
          </w:tcPr>
          <w:p>
            <w:pPr>
              <w:keepNext w:val="0"/>
              <w:keepLines w:val="0"/>
              <w:widowControl/>
              <w:suppressLineNumbers w:val="0"/>
              <w:spacing w:before="0" w:beforeAutospacing="0" w:after="0" w:afterAutospacing="0"/>
              <w:ind w:left="0" w:right="0"/>
              <w:rPr>
                <w:rFonts w:hint="default" w:ascii="Calibri" w:hAnsi="Calibri" w:eastAsia="宋体" w:cs="Times New Roman"/>
                <w:color w:val="000000"/>
                <w:szCs w:val="21"/>
                <w:highlight w:val="none"/>
                <w:lang w:val="en-US" w:eastAsia="zh-CN"/>
              </w:rPr>
            </w:pPr>
            <w:r>
              <w:rPr>
                <w:rFonts w:hint="eastAsia" w:ascii="宋体" w:hAnsi="宋体" w:cs="宋体"/>
                <w:kern w:val="0"/>
                <w:szCs w:val="21"/>
                <w:highlight w:val="none"/>
                <w:lang w:val="en-US" w:eastAsia="zh-CN"/>
              </w:rPr>
              <w:t>横向比较各投标人提供的五种实物样品评分，每种样品分别评分，优秀的得5分，良好的得3分，一般的1分。未提供的不得分，最高得25分。</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r>
              <w:rPr>
                <w:rFonts w:hint="eastAsia" w:ascii="宋体" w:hAnsi="宋体" w:cs="宋体"/>
                <w:kern w:val="0"/>
                <w:szCs w:val="21"/>
                <w:highlight w:val="none"/>
                <w:lang w:val="en-US" w:eastAsia="zh-CN"/>
              </w:rPr>
              <w:t>技术标投标文件中须能充分有效反映出本评分项内容</w:t>
            </w:r>
          </w:p>
        </w:tc>
      </w:tr>
    </w:tbl>
    <w:p>
      <w:pPr>
        <w:spacing w:line="360" w:lineRule="auto"/>
        <w:ind w:firstLine="315" w:firstLineChars="150"/>
        <w:rPr>
          <w:rFonts w:hint="eastAsia" w:ascii="宋体"/>
          <w:color w:val="auto"/>
          <w:szCs w:val="21"/>
          <w:highlight w:val="none"/>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6.2</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50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17"/>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投标报价（不含税价）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有效投标报价不含税报价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投标报价（不含税价）</w:t>
            </w:r>
            <w:r>
              <w:rPr>
                <w:rFonts w:hint="eastAsia" w:ascii="宋体" w:hAnsi="宋体"/>
                <w:color w:val="000000"/>
                <w:szCs w:val="21"/>
                <w:highlight w:val="none"/>
              </w:rPr>
              <w:t>等于评标基准价的得满分，其余投标人的报价得分按照下列公示计算：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投标报价（不含税价）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投标报价（不含税价）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投标报价（不含税价）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4" w:name="_Toc19726_WPSOffice_Level2"/>
      <w:bookmarkStart w:id="55" w:name="_Toc25521"/>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w:t>
      </w:r>
      <w:r>
        <w:rPr>
          <w:rFonts w:hint="eastAsia" w:ascii="黑体" w:eastAsia="黑体" w:cs="宋体"/>
          <w:b/>
          <w:color w:val="auto"/>
          <w:szCs w:val="21"/>
          <w:highlight w:val="none"/>
          <w:lang w:val="en-US" w:eastAsia="zh-CN"/>
        </w:rPr>
        <w:t>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本项目为滁州至南京城际铁路（滁州段）司机公寓备品、耗材及电器采购、供货及相关服务。</w:t>
      </w:r>
    </w:p>
    <w:p>
      <w:pPr>
        <w:pStyle w:val="28"/>
        <w:keepNext w:val="0"/>
        <w:keepLines w:val="0"/>
        <w:pageBreakBefore w:val="0"/>
        <w:widowControl w:val="0"/>
        <w:numPr>
          <w:ilvl w:val="0"/>
          <w:numId w:val="4"/>
        </w:numPr>
        <w:kinsoku/>
        <w:wordWrap/>
        <w:overflowPunct/>
        <w:topLinePunct w:val="0"/>
        <w:autoSpaceDE/>
        <w:autoSpaceDN/>
        <w:bidi w:val="0"/>
        <w:adjustRightInd/>
        <w:snapToGrid/>
        <w:spacing w:line="40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采购清单</w:t>
      </w:r>
    </w:p>
    <w:tbl>
      <w:tblPr>
        <w:tblStyle w:val="17"/>
        <w:tblW w:w="96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
        <w:gridCol w:w="951"/>
        <w:gridCol w:w="1657"/>
        <w:gridCol w:w="953"/>
        <w:gridCol w:w="997"/>
        <w:gridCol w:w="3695"/>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52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b/>
                <w:bCs/>
                <w:sz w:val="24"/>
                <w:highlight w:val="none"/>
              </w:rPr>
            </w:pPr>
            <w:r>
              <w:rPr>
                <w:rFonts w:hint="eastAsia" w:ascii="宋体" w:hAnsi="宋体" w:cs="仿宋"/>
                <w:b/>
                <w:bCs/>
                <w:sz w:val="24"/>
                <w:highlight w:val="none"/>
              </w:rPr>
              <w:t>序号</w:t>
            </w:r>
          </w:p>
        </w:tc>
        <w:tc>
          <w:tcPr>
            <w:tcW w:w="951" w:type="dxa"/>
            <w:tcBorders>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仿宋" w:eastAsiaTheme="minorEastAsia"/>
                <w:b/>
                <w:bCs/>
                <w:sz w:val="24"/>
                <w:highlight w:val="none"/>
                <w:lang w:val="en-US" w:eastAsia="zh-CN"/>
              </w:rPr>
            </w:pPr>
            <w:r>
              <w:rPr>
                <w:rFonts w:hint="eastAsia" w:ascii="宋体" w:hAnsi="宋体" w:cs="仿宋"/>
                <w:b/>
                <w:bCs/>
                <w:sz w:val="24"/>
                <w:highlight w:val="none"/>
                <w:lang w:val="en-US" w:eastAsia="zh-CN"/>
              </w:rPr>
              <w:t>类别</w:t>
            </w:r>
          </w:p>
        </w:tc>
        <w:tc>
          <w:tcPr>
            <w:tcW w:w="1657" w:type="dxa"/>
            <w:tcBorders>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cs="仿宋" w:eastAsiaTheme="minorEastAsia"/>
                <w:b/>
                <w:bCs/>
                <w:sz w:val="24"/>
                <w:highlight w:val="none"/>
                <w:lang w:val="en-US" w:eastAsia="zh-CN"/>
              </w:rPr>
            </w:pPr>
            <w:r>
              <w:rPr>
                <w:rFonts w:hint="eastAsia" w:ascii="宋体" w:hAnsi="宋体" w:cs="仿宋"/>
                <w:b/>
                <w:bCs/>
                <w:sz w:val="24"/>
                <w:highlight w:val="none"/>
                <w:lang w:val="en-US" w:eastAsia="zh-CN"/>
              </w:rPr>
              <w:t>名称</w:t>
            </w:r>
          </w:p>
        </w:tc>
        <w:tc>
          <w:tcPr>
            <w:tcW w:w="953" w:type="dxa"/>
            <w:tcBorders>
              <w:lef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仿宋"/>
                <w:b/>
                <w:bCs/>
                <w:sz w:val="24"/>
                <w:highlight w:val="none"/>
              </w:rPr>
            </w:pPr>
            <w:r>
              <w:rPr>
                <w:rFonts w:hint="eastAsia" w:ascii="宋体" w:hAnsi="宋体" w:cs="仿宋"/>
                <w:b/>
                <w:bCs/>
                <w:sz w:val="24"/>
                <w:highlight w:val="none"/>
                <w:lang w:val="en-US" w:eastAsia="zh-CN"/>
              </w:rPr>
              <w:t>单位</w:t>
            </w:r>
          </w:p>
        </w:tc>
        <w:tc>
          <w:tcPr>
            <w:tcW w:w="9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仿宋" w:eastAsiaTheme="minorEastAsia"/>
                <w:b/>
                <w:bCs/>
                <w:sz w:val="24"/>
                <w:highlight w:val="none"/>
                <w:lang w:val="en-US" w:eastAsia="zh-CN"/>
              </w:rPr>
            </w:pPr>
            <w:r>
              <w:rPr>
                <w:rFonts w:hint="eastAsia" w:ascii="宋体" w:hAnsi="宋体" w:cs="仿宋"/>
                <w:b/>
                <w:bCs/>
                <w:sz w:val="24"/>
                <w:highlight w:val="none"/>
                <w:lang w:val="en-US" w:eastAsia="zh-CN"/>
              </w:rPr>
              <w:t>数量</w:t>
            </w:r>
          </w:p>
        </w:tc>
        <w:tc>
          <w:tcPr>
            <w:tcW w:w="36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仿宋" w:eastAsiaTheme="minorEastAsia"/>
                <w:b/>
                <w:bCs/>
                <w:sz w:val="24"/>
                <w:highlight w:val="none"/>
                <w:lang w:eastAsia="zh-CN"/>
              </w:rPr>
            </w:pPr>
            <w:r>
              <w:rPr>
                <w:rFonts w:hint="eastAsia" w:ascii="宋体" w:hAnsi="宋体" w:cs="仿宋"/>
                <w:b/>
                <w:bCs/>
                <w:sz w:val="24"/>
                <w:highlight w:val="none"/>
                <w:lang w:val="en-US" w:eastAsia="zh-CN"/>
              </w:rPr>
              <w:t>规格要求</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仿宋" w:eastAsiaTheme="minorEastAsia"/>
                <w:b/>
                <w:bCs/>
                <w:sz w:val="24"/>
                <w:highlight w:val="none"/>
                <w:lang w:eastAsia="zh-CN"/>
              </w:rPr>
            </w:pPr>
            <w:r>
              <w:rPr>
                <w:rFonts w:hint="eastAsia" w:ascii="宋体" w:hAnsi="宋体" w:cs="仿宋"/>
                <w:b/>
                <w:bCs/>
                <w:sz w:val="24"/>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c>
          <w:tcPr>
            <w:tcW w:w="951" w:type="dxa"/>
            <w:vMerge w:val="restart"/>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备品</w:t>
            </w: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床垫</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张</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200cm*120CM，厚度约10cm，立体乳胶；参照或相当于南极人、恒源祥、北极绒乳胶床垫加厚立体抗压升级款。</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投标时须提供样品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床上用品（冬被）</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尺寸约150*200cm，针织棉面料，填充物10%大豆纤维+90%聚酯纤维，重量不低于3.5kg；参照或相当于南极人、恒源祥、北极绒等A类母婴级.大豆纤维被。</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投标时须提供样品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床上用品（春秋被）</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尺寸约150*200cm，针织棉面料，填充物10%大豆纤维+90%聚酯纤维，重量不低于1.5kg；参照或相当于南极人、恒源祥、北极绒等A类母婴级.大豆纤维被。</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投标时须提供样品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枕头</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全棉外包，高弹力九孔棉，真空包装，填充物为弹力纤维 ，尺寸：48*74cm；参照或相当于南极人家纺单枕芯(单只) 48*74cm、九洲鹿决明子单人枕芯48x74cm(单只装)、锦绣万家单人枕48*74cm或同等档次及以上。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投标时须提供样品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床上三件套</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套</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单人床全棉斜纹，高支高密度纯棉面料，含一枕套、床单和被套，被套尺寸：用于150*200cm被褥，枕套尺寸约50*75cm，床单约190*245cm；参照或相当于南极人、恒源祥、北极绒三件套或同档次及以上。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投标时须提供样品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室内晾衣架</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落地折叠式可伸缩不锈钢双杆，款式：X型，2米。</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7</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水瓶（热）</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2L鸭嘴不锈钢保温瓶，含1内胆；参照或相当于蓝宝、清水、红日牌  或同等档次品牌及以上。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8</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衣夹（中）</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个/年</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150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中号不锈钢夹子，防风夹晾衣夹，长9cm，中号开口夹棉被夹，弹力大，夹力紧，单个重量26g，不易变形；参照或相当于华洛芙、双庆家居、应星、别颖或同档次及以上。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9</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衣夹（大）</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个/年</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100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大号不锈钢夹子，防风夹晾衣夹，长12cm，宽&gt;=2CM，大号开口夹棉被夹，弹力大，夹力紧，最大开口6CM左右，单个重量35g,不易变形；参照或相当于华洛芙、双庆家居、应星、卡秀或同档次及以上。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10</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保温箱</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60L超大容量，PP内胆，箱体内冬天保温8-10小时；参照或相当于驴浪迹户外车载保温箱 、GONNA 60L、霞美60L 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11</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拉杆式购物车</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承重50KG以上；参照或相当于京狗小拖车手推车小拉车50公斤、杰适中号载重50公斤HF-2、易牌黑色X-09 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超市篮</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超市手提篮子，加厚，尺寸：48*33*26cm；参照或相当于洁邦 克洛塔双黑柄美国大号款48*32cm、万事泰48*32cm、夜良辰大号豪华内置手提48*33cm 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13</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超市推车</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辆</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180L载重轮，车轮直径12.2CM左右，超市购物车、手推车、商场购物车，产品材质：优质钢，结构坚固，包含：塑料推手、可合起背网、儿童安全座位板、人字形脚底架、防撞套，篮筐底价复合，链接牢靠，重15KG以上，格数：2层，承重60KG以上。组立尺寸（cm）100*100*100、包装尺寸（cm）100*100*100。参照或相当于久固隆、君制、德诚和（DECHENGHE）DCH-GWC03 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14</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床刷</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把</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实木猪鬃毛刷除尘刷子，沙发被单扫床刷，实木木柄，质量好，总长约31.5CM，刷毛部分约20CM，刷毛长约5CM，不掉毛；参照或相当于画情、FGHGF、家英或同档次及以上。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15</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大洗衣盆</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塑料内径60cm，外径约68cm，高22.5cm左右，加厚型PE钢化塑料，质量好，抗摔抗震，纯色，重1.92KG左右；参照或相当于清雅、广翔、酷的（Cooldee）或同档次及以上。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16</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大垃圾桶</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容量</w:t>
            </w:r>
            <w:r>
              <w:rPr>
                <w:rStyle w:val="38"/>
                <w:rFonts w:hint="eastAsia" w:asciiTheme="majorEastAsia" w:hAnsiTheme="majorEastAsia" w:eastAsiaTheme="majorEastAsia" w:cstheme="majorEastAsia"/>
                <w:sz w:val="21"/>
                <w:szCs w:val="21"/>
                <w:lang w:val="en-US" w:eastAsia="zh-CN" w:bidi="ar"/>
              </w:rPr>
              <w:t>150L</w:t>
            </w:r>
            <w:r>
              <w:rPr>
                <w:rFonts w:hint="eastAsia" w:asciiTheme="majorEastAsia" w:hAnsiTheme="majorEastAsia" w:eastAsiaTheme="majorEastAsia" w:cstheme="majorEastAsia"/>
                <w:i w:val="0"/>
                <w:iCs w:val="0"/>
                <w:color w:val="000000"/>
                <w:kern w:val="0"/>
                <w:sz w:val="21"/>
                <w:szCs w:val="21"/>
                <w:u w:val="none"/>
                <w:lang w:val="en-US" w:eastAsia="zh-CN" w:bidi="ar"/>
              </w:rPr>
              <w:t>及以上、铁柄、加厚、全新料、蓝色、带盖提手、圆桶形、不易变形、不易腐蚀、高密度聚乙烯材质垃圾桶；重量</w:t>
            </w:r>
            <w:r>
              <w:rPr>
                <w:rStyle w:val="38"/>
                <w:rFonts w:hint="eastAsia" w:asciiTheme="majorEastAsia" w:hAnsiTheme="majorEastAsia" w:eastAsiaTheme="majorEastAsia" w:cstheme="majorEastAsia"/>
                <w:sz w:val="21"/>
                <w:szCs w:val="21"/>
                <w:lang w:val="en-US" w:eastAsia="zh-CN" w:bidi="ar"/>
              </w:rPr>
              <w:t>5kg</w:t>
            </w:r>
            <w:r>
              <w:rPr>
                <w:rFonts w:hint="eastAsia" w:asciiTheme="majorEastAsia" w:hAnsiTheme="majorEastAsia" w:eastAsiaTheme="majorEastAsia" w:cstheme="majorEastAsia"/>
                <w:i w:val="0"/>
                <w:iCs w:val="0"/>
                <w:color w:val="000000"/>
                <w:kern w:val="0"/>
                <w:sz w:val="21"/>
                <w:szCs w:val="21"/>
                <w:u w:val="none"/>
                <w:lang w:val="en-US" w:eastAsia="zh-CN" w:bidi="ar"/>
              </w:rPr>
              <w:t>（±</w:t>
            </w:r>
            <w:r>
              <w:rPr>
                <w:rStyle w:val="38"/>
                <w:rFonts w:hint="eastAsia" w:asciiTheme="majorEastAsia" w:hAnsiTheme="majorEastAsia" w:eastAsiaTheme="majorEastAsia" w:cstheme="majorEastAsia"/>
                <w:sz w:val="21"/>
                <w:szCs w:val="21"/>
                <w:lang w:val="en-US" w:eastAsia="zh-CN" w:bidi="ar"/>
              </w:rPr>
              <w:t>0.1kg</w:t>
            </w:r>
            <w:r>
              <w:rPr>
                <w:rFonts w:hint="eastAsia" w:asciiTheme="majorEastAsia" w:hAnsiTheme="majorEastAsia" w:eastAsiaTheme="majorEastAsia" w:cstheme="majorEastAsia"/>
                <w:i w:val="0"/>
                <w:iCs w:val="0"/>
                <w:color w:val="000000"/>
                <w:kern w:val="0"/>
                <w:sz w:val="21"/>
                <w:szCs w:val="21"/>
                <w:u w:val="none"/>
                <w:lang w:val="en-US" w:eastAsia="zh-CN" w:bidi="ar"/>
              </w:rPr>
              <w:t>）；参照或相当于羽佳</w:t>
            </w:r>
            <w:r>
              <w:rPr>
                <w:rStyle w:val="38"/>
                <w:rFonts w:hint="eastAsia" w:asciiTheme="majorEastAsia" w:hAnsiTheme="majorEastAsia" w:eastAsiaTheme="majorEastAsia" w:cstheme="majorEastAsia"/>
                <w:sz w:val="21"/>
                <w:szCs w:val="21"/>
                <w:lang w:val="en-US" w:eastAsia="zh-CN" w:bidi="ar"/>
              </w:rPr>
              <w:t>150L</w:t>
            </w:r>
            <w:r>
              <w:rPr>
                <w:rFonts w:hint="eastAsia" w:asciiTheme="majorEastAsia" w:hAnsiTheme="majorEastAsia" w:eastAsiaTheme="majorEastAsia" w:cstheme="majorEastAsia"/>
                <w:i w:val="0"/>
                <w:iCs w:val="0"/>
                <w:color w:val="000000"/>
                <w:kern w:val="0"/>
                <w:sz w:val="21"/>
                <w:szCs w:val="21"/>
                <w:u w:val="none"/>
                <w:lang w:val="en-US" w:eastAsia="zh-CN" w:bidi="ar"/>
              </w:rPr>
              <w:t>、双峰</w:t>
            </w:r>
            <w:r>
              <w:rPr>
                <w:rStyle w:val="38"/>
                <w:rFonts w:hint="eastAsia" w:asciiTheme="majorEastAsia" w:hAnsiTheme="majorEastAsia" w:eastAsiaTheme="majorEastAsia" w:cstheme="majorEastAsia"/>
                <w:sz w:val="21"/>
                <w:szCs w:val="21"/>
                <w:lang w:val="en-US" w:eastAsia="zh-CN" w:bidi="ar"/>
              </w:rPr>
              <w:t>160L</w:t>
            </w:r>
            <w:r>
              <w:rPr>
                <w:rFonts w:hint="eastAsia" w:asciiTheme="majorEastAsia" w:hAnsiTheme="majorEastAsia" w:eastAsiaTheme="majorEastAsia" w:cstheme="majorEastAsia"/>
                <w:i w:val="0"/>
                <w:iCs w:val="0"/>
                <w:color w:val="000000"/>
                <w:kern w:val="0"/>
                <w:sz w:val="21"/>
                <w:szCs w:val="21"/>
                <w:u w:val="none"/>
                <w:lang w:val="en-US" w:eastAsia="zh-CN" w:bidi="ar"/>
              </w:rPr>
              <w:t>、诗欧莱</w:t>
            </w:r>
            <w:r>
              <w:rPr>
                <w:rStyle w:val="38"/>
                <w:rFonts w:hint="eastAsia" w:asciiTheme="majorEastAsia" w:hAnsiTheme="majorEastAsia" w:eastAsiaTheme="majorEastAsia" w:cstheme="majorEastAsia"/>
                <w:sz w:val="21"/>
                <w:szCs w:val="21"/>
                <w:lang w:val="en-US" w:eastAsia="zh-CN" w:bidi="ar"/>
              </w:rPr>
              <w:t>150L</w:t>
            </w:r>
            <w:r>
              <w:rPr>
                <w:rFonts w:hint="eastAsia" w:asciiTheme="majorEastAsia" w:hAnsiTheme="majorEastAsia" w:eastAsiaTheme="majorEastAsia" w:cstheme="majorEastAsia"/>
                <w:i w:val="0"/>
                <w:iCs w:val="0"/>
                <w:color w:val="000000"/>
                <w:kern w:val="0"/>
                <w:sz w:val="21"/>
                <w:szCs w:val="21"/>
                <w:u w:val="none"/>
                <w:lang w:val="en-US" w:eastAsia="zh-CN" w:bidi="ar"/>
              </w:rPr>
              <w:t>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17</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金属垃圾篓</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21</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金属网面，上直径26cm，下直径21cm，高28cm，高温烤漆；黑色。</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18</w:t>
            </w:r>
          </w:p>
        </w:tc>
        <w:tc>
          <w:tcPr>
            <w:tcW w:w="951" w:type="dxa"/>
            <w:vMerge w:val="continue"/>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坐便器刷子</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把</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100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长40-42CM，刷头10CM，配有挤水前盖，塑料材质，聚酯纤维刷头，材质柔软，可悬挂，带帽挤水软毛马桶刷，多功能清洁刷；参照或相当于健安创意用品、超宝、兰诗或同档次及以上。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19</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清洁球</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个</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24</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不锈钢整丝，不掉丝不掉屑，直径约7cm，15-20克/个,4个/包；参照或相当于清洁牌、妙洁、保丽洁或同等档次及以上。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20</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百洁布</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块</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24</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纤维素纤维、8层梳油网、双面、不沾油、不掉毛、加厚神奇抹布；30cm*30cm*3片（3片装）；参照或相当于妙洁、太太乐、思高或同档次及以上。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21</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去污喷剂</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瓶/年</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衣领净,强力去污喷剂,白衬衫洗白剂衣服清洗剂,家用领洁净除渍剂喷剂,500g/瓶，喷雾型，带喷雾头；参照或相当于蓝月亮、绿伞、威露士衣领净或同档次及以上。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22</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洁厕灵</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瓶/年</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90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500ml/瓶，除臭、除垢；参照或相当于蓝月亮、威猛先生、爱特福洁厕灵或同档次及以上。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23</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洗衣粉</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袋/年</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20</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highlight w:val="none"/>
                <w:u w:val="none"/>
                <w:lang w:val="en-US" w:eastAsia="zh-CN" w:bidi="ar"/>
              </w:rPr>
              <w:t>260g/包，速溶、高效、无磷、去渍、去油洗衣粉；参照或相当于白猫洗衣粉、汰渍洗衣粉、加佳洗衣粉或同档次及以上。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22"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rPr>
            </w:pPr>
            <w:r>
              <w:rPr>
                <w:rFonts w:hint="eastAsia" w:asciiTheme="majorEastAsia" w:hAnsiTheme="majorEastAsia" w:eastAsiaTheme="majorEastAsia" w:cstheme="majorEastAsia"/>
                <w:i w:val="0"/>
                <w:iCs w:val="0"/>
                <w:color w:val="000000"/>
                <w:kern w:val="0"/>
                <w:sz w:val="21"/>
                <w:szCs w:val="21"/>
                <w:u w:val="none"/>
                <w:lang w:val="en-US" w:eastAsia="zh-CN" w:bidi="ar"/>
              </w:rPr>
              <w:t>24</w:t>
            </w:r>
          </w:p>
        </w:tc>
        <w:tc>
          <w:tcPr>
            <w:tcW w:w="951" w:type="dxa"/>
            <w:vMerge w:val="continue"/>
            <w:tcBorders>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sz w:val="21"/>
                <w:szCs w:val="21"/>
                <w:highlight w:val="none"/>
              </w:rPr>
            </w:pPr>
          </w:p>
        </w:tc>
        <w:tc>
          <w:tcPr>
            <w:tcW w:w="1657" w:type="dxa"/>
            <w:tcBorders>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i w:val="0"/>
                <w:iCs w:val="0"/>
                <w:color w:val="000000"/>
                <w:kern w:val="0"/>
                <w:sz w:val="21"/>
                <w:szCs w:val="21"/>
                <w:u w:val="none"/>
                <w:lang w:val="en-US" w:eastAsia="zh-CN" w:bidi="ar"/>
              </w:rPr>
              <w:t>叫班专用电话</w:t>
            </w:r>
          </w:p>
        </w:tc>
        <w:tc>
          <w:tcPr>
            <w:tcW w:w="953" w:type="dxa"/>
            <w:tcBorders>
              <w:lef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台</w:t>
            </w:r>
          </w:p>
        </w:tc>
        <w:tc>
          <w:tcPr>
            <w:tcW w:w="997"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21</w:t>
            </w:r>
          </w:p>
        </w:tc>
        <w:tc>
          <w:tcPr>
            <w:tcW w:w="369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黑色、免提、来显、重播、贮存号码、双接口可接分机，免电池设计固定电话机、座机；参照或相当于TCL181型、飞利浦CORD118、松下KX-TS318CN电话机或同档次及以上。</w:t>
            </w:r>
          </w:p>
        </w:tc>
        <w:tc>
          <w:tcPr>
            <w:tcW w:w="85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both"/>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注：1.投标报价应含完成本项目供货所需的成本、运输、装卸、人员工资、管理费、利润、风险费用、招标代理费、专家评审费及国家对中标单位征收的各种税费等所有一切费用。投标人应按照招标人提供的招标文件等内容，依据国家规定的收费标准，结合企业自身情况和市场行情分析各项费用，确定项目投标单价和总价，投标单价今后将不作任何调整。招标人不再为此次招标项目支付任何其他费用。</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2.此次招标数量为预估数量，最终数量按实结算。</w:t>
      </w:r>
    </w:p>
    <w:p>
      <w:pPr>
        <w:pStyle w:val="28"/>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质量要求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3.1中标人提供的产品必须是原厂生产全新货品，存放不得超过3个月（自生产日期起计算）。</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四、质保要求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4.1产品质保期自验收合格之日起（次日起算）不少于12个月（产品依法标注有效期的，其有效期不得少于质保期；相关法律法规、标准规范规的定质保期超过12个月的，从其规定）。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4.2招标人在质保期内正常使用中标人产品，如发现产品有质量问题，中标人在接到招标人通知后应在30日内予以调换或修理，修理后影响使用或不满足质量要求的，中标人应予以调换。调换的产品自验收合格之日起重新计算质保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 w:val="21"/>
          <w:szCs w:val="21"/>
          <w:highlight w:val="none"/>
          <w:lang w:val="en-US" w:eastAsia="zh-CN"/>
        </w:rPr>
        <w:t>4.3对于招标人的投诉，中标人必须在1小时内给予满意答复，若不能用传真及电话沟通解决，而该产品又在使用之中，中标人应派员在48小时之内到货物使用现场给予解决，在质保期内由此产生的一切费用由中标人承担。</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bookmarkStart w:id="57" w:name="_Toc16029"/>
      <w:bookmarkEnd w:id="57"/>
      <w:r>
        <w:rPr>
          <w:rFonts w:hint="eastAsia" w:ascii="宋体" w:hAnsi="宋体" w:eastAsia="宋体" w:cs="宋体"/>
          <w:b/>
          <w:sz w:val="21"/>
          <w:szCs w:val="21"/>
          <w:highlight w:val="none"/>
          <w:lang w:val="en-US" w:eastAsia="zh-CN"/>
        </w:rPr>
        <w:t>五、交货要求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5.1交货时间：自接到招标人通知之时起30个日历天内。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5.2交货地点：</w:t>
      </w:r>
      <w:r>
        <w:rPr>
          <w:rFonts w:hint="eastAsia" w:ascii="宋体" w:hAnsi="宋体" w:eastAsia="宋体" w:cs="宋体"/>
          <w:color w:val="auto"/>
          <w:kern w:val="2"/>
          <w:sz w:val="21"/>
          <w:szCs w:val="21"/>
          <w:highlight w:val="none"/>
          <w:lang w:val="en-US" w:eastAsia="zh-CN" w:bidi="ar-SA"/>
        </w:rPr>
        <w:t>包括但不限于滁州市轨道交通运营有限公司车辆基地、停车场、控制中心、车站等。具体交货地点以招标人通知为准</w:t>
      </w:r>
      <w:r>
        <w:rPr>
          <w:rFonts w:hint="eastAsia" w:ascii="宋体" w:hAnsi="宋体" w:eastAsia="宋体" w:cs="宋体"/>
          <w:color w:val="00000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5.3中标人应优先选择自行组织货物运输，并做好交接签收工作。若选择第三方物流，须加强物流过程的跟踪与管理，确保第三方物流人员负责现场卸货并搬运至招标人指定地点。中标人应及时与现场收货人联系，确认收货情况。因第三方物流送货产生的货物遗失风险应由中标人承担。</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六、验收要求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6.1 在实际供货时，招标人将随机取样送检（由招标人指定的第三方权威检测机构检测），预计抽检批次2-3次，每批次抽取5双，抽取的样品数量由中标人负责免费补充给招标人，产生的检测费用、运输费等所有费用由中标人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6.2 检测须符合GB21148-2020标准规定。检测项目包括但不限于：</w:t>
      </w:r>
      <w:r>
        <w:rPr>
          <w:rFonts w:hint="eastAsia" w:ascii="宋体" w:hAnsi="宋体" w:eastAsia="宋体" w:cs="宋体"/>
          <w:color w:val="auto"/>
          <w:kern w:val="2"/>
          <w:sz w:val="21"/>
          <w:szCs w:val="21"/>
          <w:highlight w:val="none"/>
          <w:lang w:val="en-US" w:eastAsia="zh-CN" w:bidi="ar-SA"/>
        </w:rPr>
        <w:t>鞋帮/外底结合强度、足趾保护包头内部长度、鞋的抗冲击性、耐压力性、耐撕裂性、鞋帮拉伸性能、外底撕裂强度、外底耐磨性、成鞋刺穿力、外底耐折性、鞋垫耐磨性、电绝缘性能、成鞋抗刺穿结构、成鞋抗刺穿尺寸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6.3</w:t>
      </w:r>
      <w:r>
        <w:rPr>
          <w:rFonts w:hint="eastAsia" w:ascii="宋体" w:hAnsi="宋体" w:eastAsia="宋体" w:cs="宋体"/>
          <w:color w:val="auto"/>
          <w:kern w:val="2"/>
          <w:sz w:val="21"/>
          <w:szCs w:val="21"/>
          <w:highlight w:val="none"/>
          <w:lang w:val="en-US" w:eastAsia="zh-CN" w:bidi="ar-SA"/>
        </w:rPr>
        <w:t>产品检测不合格的（劣于投标的检测结果或招标文件要求），招标人有权根据检测情况提高抽样率并重新安排检测，所有费用均由中标人自行承担；中标人应按</w:t>
      </w:r>
      <w:r>
        <w:rPr>
          <w:rFonts w:hint="eastAsia" w:ascii="宋体" w:hAnsi="宋体" w:eastAsia="宋体" w:cs="宋体"/>
          <w:color w:val="auto"/>
          <w:kern w:val="2"/>
          <w:sz w:val="21"/>
          <w:szCs w:val="21"/>
          <w:highlight w:val="none"/>
          <w:lang w:val="zh-CN" w:eastAsia="zh-CN" w:bidi="ar-SA"/>
        </w:rPr>
        <w:t>当期应付货款的20%</w:t>
      </w:r>
      <w:r>
        <w:rPr>
          <w:rFonts w:hint="eastAsia" w:ascii="宋体" w:hAnsi="宋体" w:eastAsia="宋体" w:cs="宋体"/>
          <w:color w:val="auto"/>
          <w:kern w:val="2"/>
          <w:sz w:val="21"/>
          <w:szCs w:val="21"/>
          <w:highlight w:val="none"/>
          <w:lang w:val="en-US" w:eastAsia="zh-CN" w:bidi="ar-SA"/>
        </w:rPr>
        <w:t>承担违约责任，招标人有权在应付货款中直接扣除。产品经重新抽样检测仍不合格的，中标人应在1个月内全部更换当批次产品，产品更换后按上述约定重新安排检测。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6.4 </w:t>
      </w:r>
      <w:r>
        <w:rPr>
          <w:rFonts w:hint="eastAsia" w:ascii="宋体" w:hAnsi="宋体" w:eastAsia="宋体" w:cs="宋体"/>
          <w:color w:val="auto"/>
          <w:kern w:val="2"/>
          <w:sz w:val="21"/>
          <w:szCs w:val="21"/>
          <w:highlight w:val="none"/>
          <w:lang w:val="en-US" w:eastAsia="zh-CN" w:bidi="ar-SA"/>
        </w:rPr>
        <w:t>如招标人在供货期内两次抽样检测结果劣于招标时检测结果或招标文件要求，招标人有权解除本合同，因此而产生的一切费用和责任由中标人承担。</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七、售后服务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因尺码大小出现的问题，中标人应积极配合招标人，免费进行更换。</w:t>
      </w:r>
    </w:p>
    <w:p>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pPr>
        <w:numPr>
          <w:ilvl w:val="0"/>
          <w:numId w:val="5"/>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360" w:lineRule="auto"/>
        <w:ind w:firstLine="2715" w:firstLineChars="845"/>
        <w:rPr>
          <w:rFonts w:hint="eastAsia" w:ascii="宋体"/>
          <w:sz w:val="24"/>
          <w:highlight w:val="none"/>
        </w:rPr>
      </w:pPr>
      <w:r>
        <w:rPr>
          <w:rFonts w:hint="eastAsia" w:ascii="宋体"/>
          <w:b/>
          <w:sz w:val="32"/>
          <w:szCs w:val="32"/>
          <w:highlight w:val="none"/>
        </w:rPr>
        <w:t>合同名称</w:t>
      </w:r>
      <w:r>
        <w:rPr>
          <w:rFonts w:hint="eastAsia" w:ascii="宋体"/>
          <w:b/>
          <w:sz w:val="24"/>
          <w:highlight w:val="none"/>
        </w:rPr>
        <w:t xml:space="preserve">   </w:t>
      </w:r>
      <w:r>
        <w:rPr>
          <w:rFonts w:hint="eastAsia" w:ascii="宋体"/>
          <w:sz w:val="24"/>
          <w:highlight w:val="none"/>
        </w:rPr>
        <w:t xml:space="preserve">          编号</w:t>
      </w:r>
    </w:p>
    <w:p>
      <w:pPr>
        <w:spacing w:line="420" w:lineRule="exact"/>
        <w:ind w:firstLine="420" w:firstLineChars="200"/>
        <w:rPr>
          <w:rFonts w:hint="eastAsia" w:ascii="宋体" w:cs="宋体"/>
          <w:szCs w:val="21"/>
          <w:highlight w:val="none"/>
        </w:rPr>
      </w:pPr>
      <w:bookmarkStart w:id="58" w:name="_Toc296602498"/>
      <w:bookmarkStart w:id="59" w:name="_Toc144974578"/>
      <w:bookmarkStart w:id="60" w:name="_Toc247085768"/>
      <w:bookmarkStart w:id="61" w:name="_Toc246996996"/>
      <w:bookmarkStart w:id="62" w:name="_Toc246996253"/>
      <w:bookmarkStart w:id="63" w:name="_Toc152042388"/>
      <w:bookmarkStart w:id="64" w:name="_Toc152045610"/>
      <w:bookmarkStart w:id="65" w:name="_Toc469495742"/>
      <w:bookmarkStart w:id="66" w:name="_Toc179632628"/>
      <w:r>
        <w:rPr>
          <w:rFonts w:hint="eastAsia" w:ascii="宋体" w:cs="宋体"/>
          <w:szCs w:val="21"/>
          <w:highlight w:val="none"/>
        </w:rPr>
        <w:t>买    方：                                   卖    方：</w:t>
      </w:r>
    </w:p>
    <w:p>
      <w:pPr>
        <w:spacing w:line="420" w:lineRule="exact"/>
        <w:ind w:firstLine="420" w:firstLineChars="200"/>
        <w:rPr>
          <w:rFonts w:hint="eastAsia" w:ascii="宋体" w:cs="宋体"/>
          <w:szCs w:val="21"/>
          <w:highlight w:val="none"/>
        </w:rPr>
      </w:pPr>
      <w:r>
        <w:rPr>
          <w:rFonts w:hint="eastAsia" w:ascii="宋体" w:cs="宋体"/>
          <w:szCs w:val="21"/>
          <w:highlight w:val="none"/>
        </w:rPr>
        <w:t>电    话：                                   电    话：</w:t>
      </w:r>
    </w:p>
    <w:p>
      <w:pPr>
        <w:spacing w:line="420" w:lineRule="exact"/>
        <w:ind w:firstLine="420" w:firstLineChars="200"/>
        <w:rPr>
          <w:rFonts w:hint="eastAsia" w:ascii="宋体" w:cs="宋体"/>
          <w:szCs w:val="21"/>
          <w:highlight w:val="none"/>
        </w:rPr>
      </w:pPr>
      <w:r>
        <w:rPr>
          <w:rFonts w:hint="eastAsia" w:ascii="宋体" w:cs="宋体"/>
          <w:szCs w:val="21"/>
          <w:highlight w:val="none"/>
        </w:rPr>
        <w:t xml:space="preserve">住    所：                                   住    所：                       </w:t>
      </w:r>
    </w:p>
    <w:p>
      <w:pPr>
        <w:spacing w:line="420" w:lineRule="exact"/>
        <w:ind w:firstLine="420" w:firstLineChars="200"/>
        <w:rPr>
          <w:rFonts w:hint="eastAsia" w:ascii="宋体" w:cs="宋体"/>
          <w:szCs w:val="21"/>
          <w:highlight w:val="none"/>
        </w:rPr>
      </w:pPr>
      <w:r>
        <w:rPr>
          <w:rFonts w:hint="eastAsia" w:ascii="宋体" w:cs="宋体"/>
          <w:szCs w:val="21"/>
          <w:highlight w:val="none"/>
        </w:rPr>
        <w:t>（买方）的（项目名称）中所需（产品名称） 经公开招标，确定（卖方）为中标人。按照中华人民共和国</w:t>
      </w:r>
      <w:r>
        <w:rPr>
          <w:rFonts w:hint="eastAsia" w:ascii="宋体" w:cs="宋体"/>
          <w:szCs w:val="21"/>
          <w:highlight w:val="none"/>
          <w:lang w:val="en-US" w:eastAsia="zh-CN"/>
        </w:rPr>
        <w:t>民法典</w:t>
      </w:r>
      <w:r>
        <w:rPr>
          <w:rFonts w:hint="eastAsia" w:ascii="宋体" w:cs="宋体"/>
          <w:szCs w:val="21"/>
          <w:highlight w:val="none"/>
        </w:rPr>
        <w:t>的规定，买卖双方同意按照下述的条款和条件，签署本合同。</w:t>
      </w:r>
    </w:p>
    <w:p>
      <w:pPr>
        <w:spacing w:line="420" w:lineRule="exact"/>
        <w:ind w:firstLine="420" w:firstLineChars="200"/>
        <w:rPr>
          <w:rFonts w:hint="eastAsia" w:ascii="宋体" w:cs="宋体"/>
          <w:szCs w:val="21"/>
          <w:highlight w:val="none"/>
        </w:rPr>
      </w:pPr>
      <w:r>
        <w:rPr>
          <w:rFonts w:hint="eastAsia" w:ascii="宋体" w:cs="宋体"/>
          <w:szCs w:val="21"/>
          <w:highlight w:val="none"/>
        </w:rPr>
        <w:t>1、本合同文件</w:t>
      </w:r>
    </w:p>
    <w:p>
      <w:pPr>
        <w:spacing w:line="420" w:lineRule="exact"/>
        <w:ind w:firstLine="420" w:firstLineChars="200"/>
        <w:rPr>
          <w:rFonts w:hint="eastAsia" w:ascii="宋体" w:cs="宋体"/>
          <w:szCs w:val="21"/>
          <w:highlight w:val="none"/>
        </w:rPr>
      </w:pPr>
      <w:r>
        <w:rPr>
          <w:rFonts w:hint="eastAsia" w:ascii="宋体" w:cs="宋体"/>
          <w:szCs w:val="21"/>
          <w:highlight w:val="none"/>
        </w:rPr>
        <w:t>下列每一文件均应作为合同的组成部分进行阅读和解释：</w:t>
      </w:r>
    </w:p>
    <w:p>
      <w:pPr>
        <w:spacing w:line="420" w:lineRule="exact"/>
        <w:ind w:firstLine="420" w:firstLineChars="200"/>
        <w:rPr>
          <w:rFonts w:hint="eastAsia" w:ascii="宋体" w:cs="宋体"/>
          <w:szCs w:val="21"/>
          <w:highlight w:val="none"/>
        </w:rPr>
      </w:pPr>
      <w:r>
        <w:rPr>
          <w:rFonts w:hint="eastAsia" w:ascii="宋体" w:cs="宋体"/>
          <w:szCs w:val="21"/>
          <w:highlight w:val="none"/>
        </w:rPr>
        <w:t>（1）</w:t>
      </w:r>
      <w:r>
        <w:rPr>
          <w:rFonts w:hint="eastAsia" w:ascii="宋体" w:cs="宋体"/>
          <w:szCs w:val="21"/>
          <w:highlight w:val="none"/>
          <w:lang w:val="en-US" w:eastAsia="zh-CN"/>
        </w:rPr>
        <w:t>招标</w:t>
      </w:r>
      <w:r>
        <w:rPr>
          <w:rFonts w:hint="eastAsia" w:ascii="宋体" w:cs="宋体"/>
          <w:szCs w:val="21"/>
          <w:highlight w:val="none"/>
        </w:rPr>
        <w:t>文件（2）投标文件（3）中标通知书</w:t>
      </w:r>
    </w:p>
    <w:p>
      <w:pPr>
        <w:spacing w:line="420" w:lineRule="exact"/>
        <w:ind w:firstLine="420" w:firstLineChars="200"/>
        <w:rPr>
          <w:rFonts w:hint="eastAsia" w:ascii="宋体" w:cs="宋体"/>
          <w:szCs w:val="21"/>
          <w:highlight w:val="none"/>
        </w:rPr>
      </w:pPr>
      <w:r>
        <w:rPr>
          <w:rFonts w:hint="eastAsia" w:ascii="宋体" w:cs="宋体"/>
          <w:szCs w:val="21"/>
          <w:highlight w:val="none"/>
        </w:rPr>
        <w:t>（4）经双方确认进入合同的其它文件、补充条款或说明</w:t>
      </w:r>
    </w:p>
    <w:p>
      <w:pPr>
        <w:spacing w:line="420" w:lineRule="exact"/>
        <w:ind w:firstLine="420" w:firstLineChars="200"/>
        <w:rPr>
          <w:rFonts w:hint="eastAsia" w:ascii="宋体" w:cs="宋体"/>
          <w:szCs w:val="21"/>
          <w:highlight w:val="none"/>
        </w:rPr>
      </w:pPr>
      <w:r>
        <w:rPr>
          <w:rFonts w:hint="eastAsia" w:ascii="宋体" w:cs="宋体"/>
          <w:szCs w:val="21"/>
          <w:highlight w:val="none"/>
        </w:rPr>
        <w:t>2、采购标的、数量、质量要求</w:t>
      </w:r>
    </w:p>
    <w:p>
      <w:pPr>
        <w:spacing w:line="420" w:lineRule="exact"/>
        <w:ind w:firstLine="420" w:firstLineChars="200"/>
        <w:rPr>
          <w:rFonts w:hint="eastAsia" w:ascii="宋体" w:cs="宋体"/>
          <w:szCs w:val="21"/>
          <w:highlight w:val="none"/>
        </w:rPr>
      </w:pPr>
      <w:r>
        <w:rPr>
          <w:rFonts w:hint="eastAsia" w:ascii="宋体" w:cs="宋体"/>
          <w:szCs w:val="21"/>
          <w:highlight w:val="none"/>
        </w:rPr>
        <w:t>3、合同总价</w:t>
      </w:r>
    </w:p>
    <w:p>
      <w:pPr>
        <w:spacing w:line="420" w:lineRule="exact"/>
        <w:ind w:firstLine="420" w:firstLineChars="200"/>
        <w:rPr>
          <w:rFonts w:hint="eastAsia" w:ascii="宋体" w:cs="宋体"/>
          <w:szCs w:val="21"/>
          <w:highlight w:val="none"/>
        </w:rPr>
      </w:pPr>
      <w:r>
        <w:rPr>
          <w:rFonts w:hint="eastAsia" w:ascii="宋体" w:cs="宋体"/>
          <w:szCs w:val="21"/>
          <w:highlight w:val="none"/>
        </w:rPr>
        <w:t>合同总价为</w:t>
      </w:r>
      <w:r>
        <w:rPr>
          <w:rFonts w:hint="eastAsia" w:ascii="宋体" w:cs="宋体"/>
          <w:szCs w:val="21"/>
          <w:highlight w:val="none"/>
          <w:u w:val="single"/>
        </w:rPr>
        <w:t xml:space="preserve">               </w:t>
      </w:r>
      <w:r>
        <w:rPr>
          <w:rFonts w:hint="eastAsia" w:ascii="宋体" w:cs="宋体"/>
          <w:szCs w:val="21"/>
          <w:highlight w:val="none"/>
        </w:rPr>
        <w:t>元人民币</w:t>
      </w:r>
      <w:r>
        <w:rPr>
          <w:rFonts w:hint="eastAsia" w:ascii="宋体" w:cs="宋体"/>
          <w:szCs w:val="21"/>
          <w:highlight w:val="none"/>
          <w:lang w:eastAsia="zh-CN"/>
        </w:rPr>
        <w:t>（</w:t>
      </w:r>
      <w:r>
        <w:rPr>
          <w:rFonts w:hint="eastAsia" w:ascii="宋体" w:cs="宋体"/>
          <w:szCs w:val="21"/>
          <w:highlight w:val="none"/>
          <w:lang w:val="en-US" w:eastAsia="zh-CN"/>
        </w:rPr>
        <w:t>其中单价：</w:t>
      </w:r>
      <w:r>
        <w:rPr>
          <w:rFonts w:hint="eastAsia" w:ascii="宋体" w:cs="宋体"/>
          <w:szCs w:val="21"/>
          <w:highlight w:val="none"/>
          <w:u w:val="single"/>
          <w:lang w:val="en-US" w:eastAsia="zh-CN"/>
        </w:rPr>
        <w:t xml:space="preserve">    </w:t>
      </w:r>
      <w:r>
        <w:rPr>
          <w:rFonts w:hint="eastAsia" w:ascii="宋体" w:cs="宋体"/>
          <w:szCs w:val="21"/>
          <w:highlight w:val="none"/>
          <w:u w:val="none"/>
          <w:lang w:val="en-US" w:eastAsia="zh-CN"/>
        </w:rPr>
        <w:t>元/双）</w:t>
      </w:r>
      <w:r>
        <w:rPr>
          <w:rFonts w:hint="eastAsia" w:ascii="宋体" w:cs="宋体"/>
          <w:szCs w:val="21"/>
          <w:highlight w:val="none"/>
        </w:rPr>
        <w:t>。</w:t>
      </w:r>
    </w:p>
    <w:p>
      <w:pPr>
        <w:spacing w:line="420" w:lineRule="exact"/>
        <w:ind w:firstLine="420" w:firstLineChars="200"/>
        <w:rPr>
          <w:rFonts w:hint="eastAsia" w:ascii="宋体" w:hAnsi="宋体" w:eastAsia="宋体" w:cs="宋体"/>
          <w:b/>
          <w:sz w:val="21"/>
          <w:szCs w:val="21"/>
          <w:highlight w:val="none"/>
          <w:lang w:val="en-US" w:eastAsia="zh-CN"/>
        </w:rPr>
      </w:pPr>
      <w:r>
        <w:rPr>
          <w:rFonts w:hint="eastAsia" w:ascii="宋体" w:cs="宋体"/>
          <w:szCs w:val="21"/>
          <w:highlight w:val="none"/>
          <w:lang w:val="en-US" w:eastAsia="zh-CN"/>
        </w:rPr>
        <w:t>此次招标数量为预估数量，最终数量按实结算。</w:t>
      </w:r>
    </w:p>
    <w:p>
      <w:pPr>
        <w:spacing w:line="420" w:lineRule="exact"/>
        <w:ind w:firstLine="420" w:firstLineChars="200"/>
        <w:rPr>
          <w:rFonts w:hint="eastAsia" w:ascii="宋体" w:cs="宋体"/>
          <w:szCs w:val="21"/>
          <w:highlight w:val="none"/>
        </w:rPr>
      </w:pPr>
      <w:r>
        <w:rPr>
          <w:rFonts w:hint="eastAsia" w:ascii="宋体" w:cs="宋体"/>
          <w:szCs w:val="21"/>
          <w:highlight w:val="none"/>
        </w:rPr>
        <w:t xml:space="preserve">4、付款方式：                                   </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5、合同供货期限及地点和方式</w:t>
      </w:r>
      <w:r>
        <w:rPr>
          <w:rFonts w:hint="eastAsia" w:ascii="宋体" w:cs="宋体"/>
          <w:szCs w:val="21"/>
          <w:highlight w:val="none"/>
          <w:lang w:eastAsia="zh-CN"/>
        </w:rPr>
        <w:t>：</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6、验收要求及违约责任</w:t>
      </w:r>
      <w:r>
        <w:rPr>
          <w:rFonts w:hint="eastAsia" w:ascii="宋体" w:cs="宋体"/>
          <w:szCs w:val="21"/>
          <w:highlight w:val="none"/>
          <w:lang w:eastAsia="zh-CN"/>
        </w:rPr>
        <w:t>：</w:t>
      </w:r>
    </w:p>
    <w:p>
      <w:pPr>
        <w:spacing w:line="420" w:lineRule="exact"/>
        <w:ind w:firstLine="420" w:firstLineChars="200"/>
        <w:rPr>
          <w:rFonts w:hint="eastAsia" w:ascii="宋体" w:cs="宋体" w:eastAsiaTheme="minorEastAsia"/>
          <w:szCs w:val="21"/>
          <w:highlight w:val="none"/>
          <w:lang w:eastAsia="zh-CN"/>
        </w:rPr>
      </w:pPr>
      <w:r>
        <w:rPr>
          <w:rFonts w:hint="eastAsia" w:ascii="宋体" w:cs="宋体"/>
          <w:szCs w:val="21"/>
          <w:highlight w:val="none"/>
        </w:rPr>
        <w:t>7、违约责任及解决争议方法</w:t>
      </w:r>
      <w:r>
        <w:rPr>
          <w:rFonts w:hint="eastAsia" w:ascii="宋体" w:cs="宋体"/>
          <w:szCs w:val="21"/>
          <w:highlight w:val="none"/>
          <w:lang w:eastAsia="zh-CN"/>
        </w:rPr>
        <w:t>：</w:t>
      </w:r>
    </w:p>
    <w:p>
      <w:pPr>
        <w:spacing w:line="420" w:lineRule="exact"/>
        <w:ind w:firstLine="420" w:firstLineChars="200"/>
        <w:rPr>
          <w:rFonts w:hint="eastAsia" w:ascii="宋体" w:cs="宋体"/>
          <w:szCs w:val="21"/>
          <w:highlight w:val="none"/>
        </w:rPr>
      </w:pPr>
      <w:r>
        <w:rPr>
          <w:rFonts w:hint="eastAsia" w:ascii="宋体" w:cs="宋体"/>
          <w:szCs w:val="21"/>
          <w:highlight w:val="none"/>
        </w:rPr>
        <w:t>8、合同的生效</w:t>
      </w:r>
    </w:p>
    <w:p>
      <w:pPr>
        <w:spacing w:line="420" w:lineRule="exact"/>
        <w:ind w:firstLine="420" w:firstLineChars="200"/>
        <w:rPr>
          <w:rFonts w:hint="eastAsia" w:ascii="宋体" w:cs="宋体"/>
          <w:szCs w:val="21"/>
          <w:highlight w:val="none"/>
        </w:rPr>
      </w:pPr>
      <w:r>
        <w:rPr>
          <w:rFonts w:hint="eastAsia" w:ascii="宋体" w:cs="宋体"/>
          <w:szCs w:val="21"/>
          <w:highlight w:val="none"/>
        </w:rPr>
        <w:t>合同经双方授权代表签署，买卖双方加盖印章之后生效。</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本合同一式     份，双方各执     份。</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买  方：                          卖  方：</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名  称：（盖章）                   名  称：（盖章）</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法定代表人（或委托代理人）：       法定代表人（或委托代理人）：</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（签字）                        （签字）</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地    址：                        地    址：</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邮政编码：                        邮政编码：</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电    话：                        电    话：</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开户银行：                        开户银行：</w:t>
      </w:r>
    </w:p>
    <w:p>
      <w:pPr>
        <w:pStyle w:val="3"/>
        <w:spacing w:after="0" w:line="420" w:lineRule="exact"/>
        <w:ind w:left="0" w:leftChars="0" w:firstLine="420" w:firstLineChars="200"/>
        <w:rPr>
          <w:rFonts w:hint="eastAsia" w:ascii="宋体" w:cs="宋体"/>
          <w:kern w:val="0"/>
          <w:szCs w:val="21"/>
          <w:highlight w:val="none"/>
        </w:rPr>
      </w:pPr>
      <w:r>
        <w:rPr>
          <w:rFonts w:hint="eastAsia" w:ascii="宋体" w:cs="宋体"/>
          <w:kern w:val="0"/>
          <w:szCs w:val="21"/>
          <w:highlight w:val="none"/>
        </w:rPr>
        <w:t>帐    号：                        帐    号：</w:t>
      </w:r>
    </w:p>
    <w:p>
      <w:pPr>
        <w:pStyle w:val="13"/>
        <w:rPr>
          <w:rFonts w:hint="eastAsia"/>
          <w:highlight w:val="none"/>
        </w:rPr>
      </w:pPr>
    </w:p>
    <w:p>
      <w:pPr>
        <w:spacing w:line="600" w:lineRule="exact"/>
        <w:jc w:val="center"/>
        <w:outlineLvl w:val="1"/>
        <w:rPr>
          <w:rFonts w:hint="eastAsia" w:ascii="黑体" w:eastAsia="黑体"/>
          <w:b/>
          <w:sz w:val="30"/>
          <w:szCs w:val="30"/>
          <w:highlight w:val="none"/>
        </w:rPr>
      </w:pPr>
      <w:r>
        <w:rPr>
          <w:rFonts w:hint="eastAsia" w:ascii="黑体" w:eastAsia="黑体"/>
          <w:b/>
          <w:sz w:val="30"/>
          <w:szCs w:val="30"/>
          <w:highlight w:val="none"/>
        </w:rPr>
        <w:t>二  合同条款</w:t>
      </w:r>
      <w:bookmarkEnd w:id="58"/>
      <w:bookmarkEnd w:id="59"/>
      <w:bookmarkEnd w:id="60"/>
      <w:bookmarkEnd w:id="61"/>
      <w:bookmarkEnd w:id="62"/>
      <w:bookmarkEnd w:id="63"/>
      <w:bookmarkEnd w:id="64"/>
      <w:bookmarkEnd w:id="65"/>
      <w:bookmarkEnd w:id="66"/>
    </w:p>
    <w:p>
      <w:pPr>
        <w:spacing w:line="440" w:lineRule="exact"/>
        <w:rPr>
          <w:rFonts w:hint="eastAsia" w:ascii="宋体" w:cs="宋体"/>
          <w:b/>
          <w:szCs w:val="21"/>
          <w:highlight w:val="none"/>
        </w:rPr>
      </w:pPr>
      <w:r>
        <w:rPr>
          <w:rFonts w:hint="eastAsia" w:ascii="宋体" w:cs="宋体"/>
          <w:b/>
          <w:szCs w:val="21"/>
          <w:highlight w:val="none"/>
        </w:rPr>
        <w:t>一.  合同文件</w:t>
      </w:r>
    </w:p>
    <w:p>
      <w:pPr>
        <w:spacing w:line="440" w:lineRule="exact"/>
        <w:rPr>
          <w:rFonts w:hint="eastAsia" w:ascii="宋体" w:cs="宋体"/>
          <w:szCs w:val="21"/>
          <w:highlight w:val="none"/>
        </w:rPr>
      </w:pPr>
      <w:r>
        <w:rPr>
          <w:rFonts w:hint="eastAsia" w:ascii="宋体" w:cs="宋体"/>
          <w:szCs w:val="21"/>
          <w:highlight w:val="none"/>
        </w:rPr>
        <w:t>1、合同文件适用法律</w:t>
      </w:r>
    </w:p>
    <w:p>
      <w:pPr>
        <w:spacing w:line="440" w:lineRule="exact"/>
        <w:ind w:firstLine="630" w:firstLineChars="300"/>
        <w:rPr>
          <w:rFonts w:hint="eastAsia" w:ascii="宋体" w:cs="宋体"/>
          <w:szCs w:val="21"/>
          <w:highlight w:val="none"/>
        </w:rPr>
      </w:pPr>
      <w:r>
        <w:rPr>
          <w:rFonts w:hint="eastAsia" w:ascii="宋体" w:cs="宋体"/>
          <w:szCs w:val="21"/>
          <w:highlight w:val="none"/>
        </w:rPr>
        <w:t>适用于合同文件的法律是中华人民共和国现行法律、法规及招标人所在地的地方性法规。</w:t>
      </w:r>
    </w:p>
    <w:p>
      <w:pPr>
        <w:spacing w:line="440" w:lineRule="exact"/>
        <w:rPr>
          <w:rFonts w:hint="eastAsia" w:ascii="宋体" w:cs="宋体"/>
          <w:szCs w:val="21"/>
          <w:highlight w:val="none"/>
        </w:rPr>
      </w:pPr>
      <w:r>
        <w:rPr>
          <w:rFonts w:hint="eastAsia" w:ascii="宋体" w:cs="宋体"/>
          <w:szCs w:val="21"/>
          <w:highlight w:val="none"/>
        </w:rPr>
        <w:t>2、合同文件组成和解释顺序</w:t>
      </w:r>
    </w:p>
    <w:p>
      <w:pPr>
        <w:spacing w:line="440" w:lineRule="exact"/>
        <w:ind w:firstLine="525" w:firstLineChars="250"/>
        <w:rPr>
          <w:rFonts w:hint="eastAsia" w:ascii="宋体" w:cs="宋体"/>
          <w:szCs w:val="21"/>
          <w:highlight w:val="none"/>
        </w:rPr>
      </w:pPr>
      <w:r>
        <w:rPr>
          <w:rFonts w:hint="eastAsia" w:ascii="宋体" w:cs="宋体"/>
          <w:szCs w:val="21"/>
          <w:highlight w:val="none"/>
        </w:rPr>
        <w:t>(1)合同文件的组成和解释顺序如下：</w:t>
      </w:r>
    </w:p>
    <w:p>
      <w:pPr>
        <w:spacing w:line="440" w:lineRule="exact"/>
        <w:ind w:firstLine="525" w:firstLineChars="250"/>
        <w:rPr>
          <w:rFonts w:hint="eastAsia" w:ascii="宋体" w:cs="宋体"/>
          <w:szCs w:val="21"/>
          <w:highlight w:val="none"/>
        </w:rPr>
      </w:pPr>
      <w:r>
        <w:rPr>
          <w:rFonts w:hint="eastAsia" w:ascii="宋体" w:cs="宋体"/>
          <w:szCs w:val="21"/>
          <w:highlight w:val="none"/>
        </w:rPr>
        <w:t>&lt;1&gt;合同的主要条款；</w:t>
      </w:r>
    </w:p>
    <w:p>
      <w:pPr>
        <w:spacing w:line="440" w:lineRule="exact"/>
        <w:ind w:firstLine="525" w:firstLineChars="250"/>
        <w:rPr>
          <w:rFonts w:hint="eastAsia" w:ascii="宋体" w:cs="宋体"/>
          <w:szCs w:val="21"/>
          <w:highlight w:val="none"/>
        </w:rPr>
      </w:pPr>
      <w:r>
        <w:rPr>
          <w:rFonts w:hint="eastAsia" w:ascii="宋体" w:cs="宋体"/>
          <w:szCs w:val="21"/>
          <w:highlight w:val="none"/>
        </w:rPr>
        <w:t>&lt;2&gt;合同的一般性条款；</w:t>
      </w:r>
    </w:p>
    <w:p>
      <w:pPr>
        <w:spacing w:line="440" w:lineRule="exact"/>
        <w:ind w:firstLine="525" w:firstLineChars="250"/>
        <w:rPr>
          <w:rFonts w:hint="eastAsia" w:ascii="宋体" w:cs="宋体"/>
          <w:szCs w:val="21"/>
          <w:highlight w:val="none"/>
        </w:rPr>
      </w:pPr>
      <w:r>
        <w:rPr>
          <w:rFonts w:hint="eastAsia" w:ascii="宋体" w:cs="宋体"/>
          <w:szCs w:val="21"/>
          <w:highlight w:val="none"/>
        </w:rPr>
        <w:t>&lt;3&gt;洽商、变更等明确双方权利义务的纪要、协议；</w:t>
      </w:r>
    </w:p>
    <w:p>
      <w:pPr>
        <w:spacing w:line="440" w:lineRule="exact"/>
        <w:ind w:firstLine="525" w:firstLineChars="250"/>
        <w:rPr>
          <w:rFonts w:hint="eastAsia" w:ascii="宋体" w:cs="宋体"/>
          <w:szCs w:val="21"/>
          <w:highlight w:val="none"/>
        </w:rPr>
      </w:pPr>
      <w:r>
        <w:rPr>
          <w:rFonts w:hint="eastAsia" w:ascii="宋体" w:cs="宋体"/>
          <w:szCs w:val="21"/>
          <w:highlight w:val="none"/>
        </w:rPr>
        <w:t>&lt;4&gt;中标通知书、投标文件和交易文件；</w:t>
      </w:r>
    </w:p>
    <w:p>
      <w:pPr>
        <w:spacing w:line="440" w:lineRule="exact"/>
        <w:ind w:firstLine="525" w:firstLineChars="250"/>
        <w:rPr>
          <w:rFonts w:hint="eastAsia" w:ascii="宋体" w:cs="宋体"/>
          <w:szCs w:val="21"/>
          <w:highlight w:val="none"/>
        </w:rPr>
      </w:pPr>
      <w:r>
        <w:rPr>
          <w:rFonts w:hint="eastAsia" w:ascii="宋体" w:cs="宋体"/>
          <w:szCs w:val="21"/>
          <w:highlight w:val="none"/>
        </w:rPr>
        <w:t>&lt;5&gt;有关图纸、标准、规范和其它有关技术资料、技术要求；</w:t>
      </w:r>
    </w:p>
    <w:p>
      <w:pPr>
        <w:spacing w:line="440" w:lineRule="exact"/>
        <w:ind w:firstLine="525" w:firstLineChars="250"/>
        <w:rPr>
          <w:rFonts w:hint="eastAsia" w:ascii="宋体" w:cs="宋体"/>
          <w:szCs w:val="21"/>
          <w:highlight w:val="none"/>
        </w:rPr>
      </w:pPr>
      <w:r>
        <w:rPr>
          <w:rFonts w:hint="eastAsia" w:ascii="宋体" w:cs="宋体"/>
          <w:szCs w:val="21"/>
          <w:highlight w:val="none"/>
        </w:rPr>
        <w:t>&lt;6&gt;合同的主要条款的效力优于合同的一般性条款的效力。</w:t>
      </w:r>
    </w:p>
    <w:p>
      <w:pPr>
        <w:spacing w:line="440" w:lineRule="exact"/>
        <w:rPr>
          <w:rFonts w:hint="eastAsia" w:ascii="宋体" w:cs="宋体"/>
          <w:szCs w:val="21"/>
          <w:highlight w:val="none"/>
        </w:rPr>
      </w:pPr>
      <w:r>
        <w:rPr>
          <w:rFonts w:hint="eastAsia" w:ascii="宋体" w:cs="宋体"/>
          <w:szCs w:val="21"/>
          <w:highlight w:val="none"/>
        </w:rPr>
        <w:t>3、合同文件使用文字</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(1)合同文件使用中文书写、解释和说明。</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 xml:space="preserve">(2)合同文件使用技术性条款约定的为国家标准和规范；国家没有相应标准、规范时，可使用行业标准、规范。非标货物应按约定的技术性条款的标准和规范。 </w:t>
      </w:r>
    </w:p>
    <w:p>
      <w:pPr>
        <w:spacing w:line="440" w:lineRule="exact"/>
        <w:rPr>
          <w:rFonts w:hint="eastAsia" w:ascii="宋体" w:cs="宋体"/>
          <w:b/>
          <w:szCs w:val="21"/>
          <w:highlight w:val="none"/>
        </w:rPr>
      </w:pPr>
      <w:r>
        <w:rPr>
          <w:rFonts w:hint="eastAsia" w:ascii="宋体" w:cs="宋体"/>
          <w:b/>
          <w:szCs w:val="21"/>
          <w:highlight w:val="none"/>
        </w:rPr>
        <w:t>二.  标的物的一般条款</w:t>
      </w:r>
    </w:p>
    <w:p>
      <w:pPr>
        <w:spacing w:line="440" w:lineRule="exact"/>
        <w:rPr>
          <w:rFonts w:hint="eastAsia" w:ascii="宋体" w:cs="宋体"/>
          <w:szCs w:val="21"/>
          <w:highlight w:val="none"/>
        </w:rPr>
      </w:pPr>
      <w:r>
        <w:rPr>
          <w:rFonts w:hint="eastAsia" w:ascii="宋体" w:cs="宋体"/>
          <w:szCs w:val="21"/>
          <w:highlight w:val="none"/>
        </w:rPr>
        <w:t>4、完整物权</w:t>
      </w:r>
    </w:p>
    <w:p>
      <w:pPr>
        <w:tabs>
          <w:tab w:val="left" w:pos="660"/>
        </w:tabs>
        <w:spacing w:line="440" w:lineRule="exact"/>
        <w:rPr>
          <w:rFonts w:hint="eastAsia" w:ascii="宋体" w:cs="宋体"/>
          <w:szCs w:val="21"/>
          <w:highlight w:val="none"/>
        </w:rPr>
      </w:pPr>
      <w:r>
        <w:rPr>
          <w:rFonts w:hint="eastAsia" w:ascii="宋体" w:cs="宋体"/>
          <w:szCs w:val="21"/>
          <w:highlight w:val="none"/>
        </w:rPr>
        <w:t xml:space="preserve">     对于出卖的标的物，卖方应当拥有完整物权，并且卖方负有保证第三人不得向买方主张任何权利（包括知识产权）的义务。</w:t>
      </w:r>
    </w:p>
    <w:p>
      <w:pPr>
        <w:spacing w:line="440" w:lineRule="exact"/>
        <w:rPr>
          <w:rFonts w:hint="eastAsia" w:ascii="宋体" w:cs="宋体"/>
          <w:szCs w:val="21"/>
          <w:highlight w:val="none"/>
        </w:rPr>
      </w:pPr>
      <w:r>
        <w:rPr>
          <w:rFonts w:hint="eastAsia" w:ascii="宋体" w:cs="宋体"/>
          <w:szCs w:val="21"/>
          <w:highlight w:val="none"/>
        </w:rPr>
        <w:t>5、质量保证</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7"/>
        <w:tabs>
          <w:tab w:val="left" w:pos="90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rPr>
          <w:rFonts w:hint="eastAsia" w:ascii="宋体" w:cs="宋体"/>
          <w:szCs w:val="21"/>
          <w:highlight w:val="none"/>
        </w:rPr>
      </w:pPr>
      <w:r>
        <w:rPr>
          <w:rFonts w:hint="eastAsia" w:ascii="宋体" w:cs="宋体"/>
          <w:szCs w:val="21"/>
          <w:highlight w:val="none"/>
        </w:rPr>
        <w:t>6、包装</w:t>
      </w:r>
    </w:p>
    <w:p>
      <w:pPr>
        <w:pStyle w:val="7"/>
        <w:tabs>
          <w:tab w:val="left" w:pos="900"/>
        </w:tabs>
        <w:spacing w:line="440" w:lineRule="exact"/>
        <w:ind w:firstLine="472" w:firstLineChars="225"/>
        <w:rPr>
          <w:rFonts w:hint="eastAsia" w:ascii="宋体" w:cs="宋体"/>
          <w:sz w:val="21"/>
          <w:szCs w:val="21"/>
          <w:highlight w:val="none"/>
        </w:rPr>
      </w:pPr>
      <w:r>
        <w:rPr>
          <w:rFonts w:hint="eastAsia" w:ascii="宋体" w:cs="宋体"/>
          <w:sz w:val="21"/>
          <w:szCs w:val="21"/>
          <w:highlight w:val="none"/>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rPr>
          <w:rFonts w:hint="eastAsia" w:ascii="宋体" w:cs="宋体"/>
          <w:szCs w:val="21"/>
          <w:highlight w:val="none"/>
        </w:rPr>
      </w:pPr>
      <w:r>
        <w:rPr>
          <w:rFonts w:hint="eastAsia" w:ascii="宋体" w:cs="宋体"/>
          <w:szCs w:val="21"/>
          <w:highlight w:val="none"/>
        </w:rPr>
        <w:t>7、伴随服务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(1)卖方除应履行按期按量交付合格标的物的义务之外，还应提供下列服务：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&lt;1&gt;标的物的现场安装或指导安装、启动、调试、监督（如果必须安装、调试的话）；</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&lt;2&gt;提供标的物组装和一般维修所必须的工具；</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&lt;3&gt;在合同规定的期限内对所提供标的物实行运行监督、维修服务的前提条件是该服务并不能免除卖方在质量保证期内所承担的义务；</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&lt;4&gt;对买方技术人员的技术指导或培训。</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(2)除合同另有规定之外，伴随服务的费用均已含在合同价款中，买方不再另行进行支付。</w:t>
      </w:r>
    </w:p>
    <w:p>
      <w:pPr>
        <w:spacing w:line="440" w:lineRule="exact"/>
        <w:rPr>
          <w:rFonts w:hint="eastAsia" w:ascii="宋体" w:cs="宋体"/>
          <w:b/>
          <w:szCs w:val="21"/>
          <w:highlight w:val="none"/>
        </w:rPr>
      </w:pPr>
      <w:r>
        <w:rPr>
          <w:rFonts w:hint="eastAsia" w:ascii="宋体" w:cs="宋体"/>
          <w:b/>
          <w:szCs w:val="21"/>
          <w:highlight w:val="none"/>
        </w:rPr>
        <w:t>三.  标的物的交付、检验和验收</w:t>
      </w:r>
    </w:p>
    <w:p>
      <w:pPr>
        <w:spacing w:line="440" w:lineRule="exact"/>
        <w:rPr>
          <w:rFonts w:hint="eastAsia" w:ascii="宋体" w:cs="宋体"/>
          <w:szCs w:val="21"/>
          <w:highlight w:val="none"/>
        </w:rPr>
      </w:pPr>
      <w:r>
        <w:rPr>
          <w:rFonts w:hint="eastAsia" w:ascii="宋体" w:cs="宋体"/>
          <w:szCs w:val="21"/>
          <w:highlight w:val="none"/>
        </w:rPr>
        <w:t>8、标的物的交付</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(1)标的物的所有权自标的物交付时转移。</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(2)卖方应当按照约定的期限和约定的地点交付符合交易文件要求的标的物。</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(3)卖方应当按照约定或者交易习惯向招标人交付提取标的物单证以外的有关单证和资料。</w:t>
      </w:r>
    </w:p>
    <w:p>
      <w:pPr>
        <w:spacing w:line="440" w:lineRule="exact"/>
        <w:rPr>
          <w:rFonts w:hint="eastAsia" w:ascii="宋体" w:cs="宋体"/>
          <w:szCs w:val="21"/>
          <w:highlight w:val="none"/>
        </w:rPr>
      </w:pPr>
      <w:r>
        <w:rPr>
          <w:rFonts w:hint="eastAsia" w:ascii="宋体" w:cs="宋体"/>
          <w:szCs w:val="21"/>
          <w:highlight w:val="none"/>
        </w:rPr>
        <w:t>9、检验和验收</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(2)买方根据合同规定的内容和验收标准进行验收，经检验无误后出具验收合格证明，该证明作为最终付款所需文件的组成部分。</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(3)验收期限自标的物交付之日起三十天内。特殊情况需延长的，双方应在合同条款中约定。</w:t>
      </w:r>
    </w:p>
    <w:p>
      <w:pPr>
        <w:spacing w:line="440" w:lineRule="exact"/>
        <w:rPr>
          <w:rFonts w:hint="eastAsia" w:ascii="宋体" w:cs="宋体"/>
          <w:b/>
          <w:szCs w:val="21"/>
          <w:highlight w:val="none"/>
        </w:rPr>
      </w:pPr>
      <w:r>
        <w:rPr>
          <w:rFonts w:hint="eastAsia" w:ascii="宋体" w:cs="宋体"/>
          <w:b/>
          <w:szCs w:val="21"/>
          <w:highlight w:val="none"/>
        </w:rPr>
        <w:t>四. 对标的物提出异议的时间和办法</w:t>
      </w:r>
    </w:p>
    <w:p>
      <w:pPr>
        <w:spacing w:line="440" w:lineRule="exact"/>
        <w:rPr>
          <w:rFonts w:hint="eastAsia" w:ascii="宋体" w:cs="宋体"/>
          <w:szCs w:val="21"/>
          <w:highlight w:val="none"/>
        </w:rPr>
      </w:pPr>
      <w:r>
        <w:rPr>
          <w:rFonts w:hint="eastAsia" w:ascii="宋体" w:cs="宋体"/>
          <w:szCs w:val="21"/>
          <w:highlight w:val="none"/>
        </w:rPr>
        <w:t xml:space="preserve">10、对标的物提出异议的时间和办法 </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(1)买方在验收过程中，应当于双方约定的检验期间内将标的物的数量或质量不符合约定的情形及处理方式以书面形式通知卖方。</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(2)如买方在验收期满后既不出具验收合格证明又未提出书面异议的视为卖方所交标的物符合合同规定。</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(3)卖方应在收到买方书面异议后七天内负责处理问题，否则将视为默认买方提出的异议和处理意见。</w:t>
      </w:r>
    </w:p>
    <w:p>
      <w:pPr>
        <w:spacing w:line="440" w:lineRule="exact"/>
        <w:rPr>
          <w:rFonts w:hint="eastAsia" w:ascii="宋体" w:cs="宋体"/>
          <w:b/>
          <w:szCs w:val="21"/>
          <w:highlight w:val="none"/>
        </w:rPr>
      </w:pPr>
      <w:r>
        <w:rPr>
          <w:rFonts w:hint="eastAsia" w:ascii="宋体" w:cs="宋体"/>
          <w:b/>
          <w:szCs w:val="21"/>
          <w:highlight w:val="none"/>
        </w:rPr>
        <w:t>五. 合同价款和支付</w:t>
      </w:r>
    </w:p>
    <w:p>
      <w:pPr>
        <w:spacing w:line="440" w:lineRule="exact"/>
        <w:rPr>
          <w:rFonts w:hint="eastAsia" w:ascii="宋体" w:cs="宋体"/>
          <w:szCs w:val="21"/>
          <w:highlight w:val="none"/>
        </w:rPr>
      </w:pPr>
      <w:r>
        <w:rPr>
          <w:rFonts w:hint="eastAsia" w:ascii="宋体" w:cs="宋体"/>
          <w:szCs w:val="21"/>
          <w:highlight w:val="none"/>
        </w:rPr>
        <w:t>11、合同价款和支付</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(1)本合同的结算货币为人民币，单位元。</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(2)卖方应按照双方签订的合同规定交货并在合同主要条款规定的期限内持下列单据结算货款：</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&lt;1&gt;合格的销售发票；</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&lt;2&gt;买方盖章签收后的送货回单和验收合格证明。</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(3)买方应按合同主要条款规定的期限和方式付款。</w:t>
      </w:r>
    </w:p>
    <w:p>
      <w:pPr>
        <w:pStyle w:val="7"/>
        <w:tabs>
          <w:tab w:val="left" w:pos="54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(4)根据现行税法对买方征收的与本合同有关的一切税费均由买方承担；根据现行税法对卖方征收的与本合同有关的一切税费均由卖方承担。</w:t>
      </w:r>
    </w:p>
    <w:p>
      <w:pPr>
        <w:spacing w:line="440" w:lineRule="exact"/>
        <w:rPr>
          <w:rFonts w:hint="eastAsia" w:ascii="宋体" w:cs="宋体"/>
          <w:b/>
          <w:szCs w:val="21"/>
          <w:highlight w:val="none"/>
        </w:rPr>
      </w:pPr>
      <w:r>
        <w:rPr>
          <w:rFonts w:hint="eastAsia" w:ascii="宋体" w:cs="宋体"/>
          <w:b/>
          <w:szCs w:val="21"/>
          <w:highlight w:val="none"/>
        </w:rPr>
        <w:t>六. 违约责任</w:t>
      </w:r>
    </w:p>
    <w:p>
      <w:pPr>
        <w:spacing w:line="440" w:lineRule="exact"/>
        <w:rPr>
          <w:rFonts w:hint="eastAsia" w:ascii="宋体" w:cs="宋体"/>
          <w:szCs w:val="21"/>
          <w:highlight w:val="none"/>
        </w:rPr>
      </w:pPr>
      <w:r>
        <w:rPr>
          <w:rFonts w:hint="eastAsia" w:ascii="宋体" w:cs="宋体"/>
          <w:szCs w:val="21"/>
          <w:highlight w:val="none"/>
        </w:rPr>
        <w:t>12、违约责任</w:t>
      </w:r>
    </w:p>
    <w:p>
      <w:pPr>
        <w:pStyle w:val="7"/>
        <w:spacing w:line="440" w:lineRule="exact"/>
        <w:ind w:firstLine="472" w:firstLineChars="225"/>
        <w:rPr>
          <w:rFonts w:hint="eastAsia" w:ascii="宋体" w:cs="宋体"/>
          <w:sz w:val="21"/>
          <w:szCs w:val="21"/>
          <w:highlight w:val="none"/>
        </w:rPr>
      </w:pPr>
      <w:r>
        <w:rPr>
          <w:rFonts w:hint="eastAsia" w:ascii="宋体" w:cs="宋体"/>
          <w:sz w:val="21"/>
          <w:szCs w:val="21"/>
          <w:highlight w:val="none"/>
        </w:rPr>
        <w:t>合同一方不履行合同义务或者履行合同义务不符合约定的，应当承担继续履行、采取补救措施或者赔偿损失等违约责任。</w:t>
      </w:r>
    </w:p>
    <w:p>
      <w:pPr>
        <w:spacing w:line="440" w:lineRule="exact"/>
        <w:rPr>
          <w:rFonts w:hint="eastAsia" w:ascii="宋体" w:cs="宋体"/>
          <w:szCs w:val="21"/>
          <w:highlight w:val="none"/>
        </w:rPr>
      </w:pPr>
      <w:r>
        <w:rPr>
          <w:rFonts w:hint="eastAsia" w:ascii="宋体" w:cs="宋体"/>
          <w:szCs w:val="21"/>
          <w:highlight w:val="none"/>
        </w:rPr>
        <w:t>13、买方违约责任</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(1)在合同生效后，买方要求退货的，应向卖方偿付合同总价款的5%，作为违约金，违约金不足以补偿损失的，卖方有权要求甲方补足。</w:t>
      </w:r>
    </w:p>
    <w:p>
      <w:pPr>
        <w:pStyle w:val="7"/>
        <w:overflowPunct w:val="0"/>
        <w:spacing w:line="440" w:lineRule="exact"/>
        <w:ind w:right="-334" w:rightChars="-159" w:firstLine="525" w:firstLineChars="250"/>
        <w:rPr>
          <w:rFonts w:hint="eastAsia" w:ascii="宋体" w:cs="宋体"/>
          <w:sz w:val="21"/>
          <w:szCs w:val="21"/>
          <w:highlight w:val="none"/>
        </w:rPr>
      </w:pPr>
      <w:r>
        <w:rPr>
          <w:rFonts w:hint="eastAsia" w:ascii="宋体" w:cs="宋体"/>
          <w:sz w:val="21"/>
          <w:szCs w:val="21"/>
          <w:highlight w:val="none"/>
        </w:rPr>
        <w:t>(2)买方逾期付款的应按照逾期付款金额的每天万分之四支付逾期付款违约金。</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(3)买方违反合同规定，拒绝接收卖方交付的符合交易文件要求的合格标的物，应当承担卖方由此造成的损失。</w:t>
      </w:r>
    </w:p>
    <w:p>
      <w:pPr>
        <w:spacing w:line="440" w:lineRule="exact"/>
        <w:rPr>
          <w:rFonts w:hint="eastAsia" w:ascii="宋体" w:cs="宋体"/>
          <w:szCs w:val="21"/>
          <w:highlight w:val="none"/>
        </w:rPr>
      </w:pPr>
      <w:r>
        <w:rPr>
          <w:rFonts w:hint="eastAsia" w:ascii="宋体" w:cs="宋体"/>
          <w:szCs w:val="21"/>
          <w:highlight w:val="none"/>
        </w:rPr>
        <w:t>14、卖方违约责任</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(1)卖方不能交货（逾期超过五天视为不能交货），或交货不合格从而影响买方按期正常使用的，应向买方偿付合同总价款5%的违约金，违约金不足以补偿损失的，买方有权要求卖方补足。</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(2)卖方逾期交货的，应在发货前与买方和政府采购管理部门协商，买方仍需求的，卖方应立即发货并应按照逾期交货部分货款的每天万分之四支付逾期交货违约金，同时承担买方因此遭致的损失费用。</w:t>
      </w:r>
    </w:p>
    <w:p>
      <w:pPr>
        <w:spacing w:line="440" w:lineRule="exact"/>
        <w:rPr>
          <w:rFonts w:hint="eastAsia" w:ascii="宋体" w:cs="宋体"/>
          <w:szCs w:val="21"/>
          <w:highlight w:val="none"/>
        </w:rPr>
      </w:pPr>
      <w:r>
        <w:rPr>
          <w:rFonts w:hint="eastAsia" w:ascii="宋体" w:cs="宋体"/>
          <w:szCs w:val="21"/>
          <w:highlight w:val="none"/>
        </w:rPr>
        <w:t>15、不可抗力</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(1)因水灾、火灾、地震、战争等不可抗力不能履行合同的，根据不可抗力的影响，部分或者全部免除责任。但合同一方迟延履行后发生不可抗力的，不能免除责任。</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(2)合同一方因不可抗力不能履行合同的，应当及时通知对方，以减轻可能给对方造成的损失，并应当在合理期限内提供证明。</w:t>
      </w:r>
    </w:p>
    <w:p>
      <w:pPr>
        <w:spacing w:line="440" w:lineRule="exact"/>
        <w:rPr>
          <w:rFonts w:hint="eastAsia" w:ascii="宋体" w:cs="宋体"/>
          <w:b/>
          <w:szCs w:val="21"/>
          <w:highlight w:val="none"/>
        </w:rPr>
      </w:pPr>
      <w:r>
        <w:rPr>
          <w:rFonts w:hint="eastAsia" w:ascii="宋体" w:cs="宋体"/>
          <w:b/>
          <w:szCs w:val="21"/>
          <w:highlight w:val="none"/>
        </w:rPr>
        <w:t>七. 索赔</w:t>
      </w:r>
    </w:p>
    <w:p>
      <w:pPr>
        <w:spacing w:line="440" w:lineRule="exact"/>
        <w:rPr>
          <w:rFonts w:hint="eastAsia" w:ascii="宋体" w:cs="宋体"/>
          <w:szCs w:val="21"/>
          <w:highlight w:val="none"/>
        </w:rPr>
      </w:pPr>
      <w:r>
        <w:rPr>
          <w:rFonts w:hint="eastAsia" w:ascii="宋体" w:cs="宋体"/>
          <w:szCs w:val="21"/>
          <w:highlight w:val="none"/>
        </w:rPr>
        <w:t>16、索赔</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(1)买方有权根据当地产品质量检验机构或其它有权威部门出具的检验证书向卖方提出索赔。</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(2)在本合同规定的检验期和质量保证期内，如果卖方对买方提出的索赔或差异有责任，则卖方应按买方同意的下列一种或多种方式解决索赔事宜：</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&lt;2&gt;根据标的物的低劣程度、损坏程度以及甲方遭受损失的数额，经双方协商确定降低标的物的价格；</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spacing w:line="440" w:lineRule="exact"/>
        <w:rPr>
          <w:rFonts w:hint="default" w:ascii="宋体" w:cs="宋体" w:eastAsiaTheme="minorEastAsia"/>
          <w:b/>
          <w:szCs w:val="21"/>
          <w:highlight w:val="none"/>
          <w:lang w:val="en-US" w:eastAsia="zh-CN"/>
        </w:rPr>
      </w:pPr>
      <w:r>
        <w:rPr>
          <w:rFonts w:hint="eastAsia" w:ascii="宋体" w:cs="宋体"/>
          <w:b/>
          <w:szCs w:val="21"/>
          <w:highlight w:val="none"/>
        </w:rPr>
        <w:t>八. 履约保证金</w:t>
      </w:r>
      <w:r>
        <w:rPr>
          <w:rFonts w:hint="eastAsia" w:ascii="宋体" w:cs="宋体"/>
          <w:b/>
          <w:szCs w:val="21"/>
          <w:highlight w:val="none"/>
          <w:lang w:eastAsia="zh-CN"/>
        </w:rPr>
        <w:t>（</w:t>
      </w:r>
      <w:r>
        <w:rPr>
          <w:rFonts w:hint="eastAsia" w:ascii="宋体" w:cs="宋体"/>
          <w:b/>
          <w:szCs w:val="21"/>
          <w:highlight w:val="none"/>
          <w:lang w:val="en-US" w:eastAsia="zh-CN"/>
        </w:rPr>
        <w:t>本项目不要求缴纳履约保证金）</w:t>
      </w:r>
    </w:p>
    <w:p>
      <w:pPr>
        <w:spacing w:line="440" w:lineRule="exact"/>
        <w:rPr>
          <w:rFonts w:hint="eastAsia" w:ascii="宋体" w:cs="宋体"/>
          <w:szCs w:val="21"/>
          <w:highlight w:val="none"/>
        </w:rPr>
      </w:pPr>
      <w:r>
        <w:rPr>
          <w:rFonts w:hint="eastAsia" w:ascii="宋体" w:cs="宋体"/>
          <w:szCs w:val="21"/>
          <w:highlight w:val="none"/>
        </w:rPr>
        <w:t>17、履约保证金</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(1)卖方应在本合同签订时，按交易文件的约定提供相应的履约保证金，保证金的有效期应不低于合同有效期。</w:t>
      </w:r>
    </w:p>
    <w:p>
      <w:pPr>
        <w:pStyle w:val="7"/>
        <w:overflowPunct w:val="0"/>
        <w:spacing w:line="440" w:lineRule="exact"/>
        <w:ind w:right="-334" w:rightChars="-159" w:firstLine="525" w:firstLineChars="250"/>
        <w:rPr>
          <w:rFonts w:hint="eastAsia" w:ascii="宋体" w:cs="宋体"/>
          <w:sz w:val="21"/>
          <w:szCs w:val="21"/>
          <w:highlight w:val="none"/>
        </w:rPr>
      </w:pPr>
      <w:r>
        <w:rPr>
          <w:rFonts w:hint="eastAsia" w:ascii="宋体" w:cs="宋体"/>
          <w:sz w:val="21"/>
          <w:szCs w:val="21"/>
          <w:highlight w:val="none"/>
        </w:rPr>
        <w:t>(2)如果卖方未能履行合同规定的任何义务，买方有权从履约保证金中取得补偿。</w:t>
      </w:r>
    </w:p>
    <w:p>
      <w:pPr>
        <w:pStyle w:val="7"/>
        <w:overflowPunct w:val="0"/>
        <w:spacing w:line="440" w:lineRule="exact"/>
        <w:ind w:right="-874" w:rightChars="-416" w:firstLine="525" w:firstLineChars="250"/>
        <w:rPr>
          <w:rFonts w:hint="eastAsia" w:ascii="宋体" w:cs="宋体"/>
          <w:sz w:val="21"/>
          <w:szCs w:val="21"/>
          <w:highlight w:val="none"/>
        </w:rPr>
      </w:pPr>
      <w:r>
        <w:rPr>
          <w:rFonts w:hint="eastAsia" w:ascii="宋体" w:cs="宋体"/>
          <w:sz w:val="21"/>
          <w:szCs w:val="21"/>
          <w:highlight w:val="none"/>
        </w:rPr>
        <w:t>(3)履约保证金（无息）将在卖方履行完合同义务，买方支付合同价款的五天内</w:t>
      </w:r>
    </w:p>
    <w:p>
      <w:pPr>
        <w:pStyle w:val="7"/>
        <w:overflowPunct w:val="0"/>
        <w:spacing w:line="440" w:lineRule="exact"/>
        <w:ind w:right="-874" w:rightChars="-416" w:firstLine="0"/>
        <w:rPr>
          <w:rFonts w:hint="eastAsia" w:ascii="宋体" w:cs="宋体"/>
          <w:sz w:val="21"/>
          <w:szCs w:val="21"/>
          <w:highlight w:val="none"/>
        </w:rPr>
      </w:pPr>
      <w:r>
        <w:rPr>
          <w:rFonts w:hint="eastAsia" w:ascii="宋体" w:cs="宋体"/>
          <w:sz w:val="21"/>
          <w:szCs w:val="21"/>
          <w:highlight w:val="none"/>
        </w:rPr>
        <w:t>退回。</w:t>
      </w:r>
    </w:p>
    <w:p>
      <w:pPr>
        <w:spacing w:line="440" w:lineRule="exact"/>
        <w:rPr>
          <w:rFonts w:hint="eastAsia" w:ascii="宋体" w:cs="宋体"/>
          <w:b/>
          <w:szCs w:val="21"/>
          <w:highlight w:val="none"/>
        </w:rPr>
      </w:pPr>
      <w:r>
        <w:rPr>
          <w:rFonts w:hint="eastAsia" w:ascii="宋体" w:cs="宋体"/>
          <w:b/>
          <w:szCs w:val="21"/>
          <w:highlight w:val="none"/>
        </w:rPr>
        <w:t>九.  合同的解除和转让</w:t>
      </w:r>
    </w:p>
    <w:p>
      <w:pPr>
        <w:spacing w:line="440" w:lineRule="exact"/>
        <w:rPr>
          <w:rFonts w:hint="eastAsia" w:ascii="宋体" w:cs="宋体"/>
          <w:szCs w:val="21"/>
          <w:highlight w:val="none"/>
        </w:rPr>
      </w:pPr>
      <w:r>
        <w:rPr>
          <w:rFonts w:hint="eastAsia" w:ascii="宋体" w:cs="宋体"/>
          <w:szCs w:val="21"/>
          <w:highlight w:val="none"/>
        </w:rPr>
        <w:t>18、合同的解除</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(1)买方和卖方协商一致，可以解除合同。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(2)有下列情形之一，合同一方可以解除合同：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&lt;1&gt;因不可抗力致使不能实现合同目的，未受不可抗力影响的一方有权解除合同；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&lt;2&gt;因合同一方违约导致合同不能履行，另一方有权解除合同。</w:t>
      </w:r>
    </w:p>
    <w:p>
      <w:pPr>
        <w:pStyle w:val="7"/>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(3)有权解除合同的一方，应当在违约事实或不可抗力发生之后三十天内书面通知对方以主张解除合同，合同在书面通知到达对方时解除。</w:t>
      </w:r>
    </w:p>
    <w:p>
      <w:pPr>
        <w:spacing w:line="440" w:lineRule="exact"/>
        <w:rPr>
          <w:rFonts w:hint="eastAsia" w:ascii="宋体" w:cs="宋体"/>
          <w:szCs w:val="21"/>
          <w:highlight w:val="none"/>
        </w:rPr>
      </w:pPr>
      <w:r>
        <w:rPr>
          <w:rFonts w:hint="eastAsia" w:ascii="宋体" w:cs="宋体"/>
          <w:szCs w:val="21"/>
          <w:highlight w:val="none"/>
        </w:rPr>
        <w:t>19、合同的转让</w:t>
      </w:r>
    </w:p>
    <w:p>
      <w:pPr>
        <w:spacing w:line="440" w:lineRule="exact"/>
        <w:rPr>
          <w:rFonts w:hint="eastAsia" w:ascii="宋体" w:cs="宋体"/>
          <w:szCs w:val="21"/>
          <w:highlight w:val="none"/>
        </w:rPr>
      </w:pPr>
      <w:r>
        <w:rPr>
          <w:rFonts w:hint="eastAsia" w:ascii="宋体" w:cs="宋体"/>
          <w:szCs w:val="21"/>
          <w:highlight w:val="none"/>
        </w:rPr>
        <w:t xml:space="preserve">      合同的部分和全部都不得转让。</w:t>
      </w:r>
    </w:p>
    <w:p>
      <w:pPr>
        <w:spacing w:line="440" w:lineRule="exact"/>
        <w:rPr>
          <w:rFonts w:hint="eastAsia" w:ascii="宋体" w:cs="宋体"/>
          <w:b/>
          <w:szCs w:val="21"/>
          <w:highlight w:val="none"/>
        </w:rPr>
      </w:pPr>
      <w:r>
        <w:rPr>
          <w:rFonts w:hint="eastAsia" w:ascii="宋体" w:cs="宋体"/>
          <w:b/>
          <w:szCs w:val="21"/>
          <w:highlight w:val="none"/>
        </w:rPr>
        <w:t>十. 合同的生效</w:t>
      </w:r>
    </w:p>
    <w:p>
      <w:pPr>
        <w:spacing w:line="440" w:lineRule="exact"/>
        <w:rPr>
          <w:rFonts w:hint="eastAsia" w:ascii="宋体" w:cs="宋体"/>
          <w:szCs w:val="21"/>
          <w:highlight w:val="none"/>
        </w:rPr>
      </w:pPr>
      <w:r>
        <w:rPr>
          <w:rFonts w:hint="eastAsia" w:ascii="宋体" w:cs="宋体"/>
          <w:szCs w:val="21"/>
          <w:highlight w:val="none"/>
        </w:rPr>
        <w:t>20、合同的生效</w:t>
      </w:r>
    </w:p>
    <w:p>
      <w:pPr>
        <w:spacing w:line="440" w:lineRule="exact"/>
        <w:ind w:firstLine="581" w:firstLineChars="277"/>
        <w:rPr>
          <w:rFonts w:hint="eastAsia" w:ascii="宋体" w:cs="宋体"/>
          <w:szCs w:val="21"/>
          <w:highlight w:val="none"/>
        </w:rPr>
      </w:pPr>
      <w:r>
        <w:rPr>
          <w:rFonts w:hint="eastAsia" w:ascii="宋体" w:cs="宋体"/>
          <w:szCs w:val="21"/>
          <w:highlight w:val="none"/>
        </w:rPr>
        <w:t>本合同在双方签字盖章并在招标人收到中标人提交的履约保证金后，经招标采购管理部门备案后生效。</w:t>
      </w:r>
    </w:p>
    <w:p>
      <w:pPr>
        <w:spacing w:line="440" w:lineRule="exact"/>
        <w:rPr>
          <w:rFonts w:hint="eastAsia" w:ascii="宋体" w:cs="宋体"/>
          <w:b/>
          <w:szCs w:val="21"/>
          <w:highlight w:val="none"/>
        </w:rPr>
      </w:pPr>
      <w:r>
        <w:rPr>
          <w:rFonts w:hint="eastAsia" w:ascii="宋体" w:cs="宋体"/>
          <w:b/>
          <w:szCs w:val="21"/>
          <w:highlight w:val="none"/>
        </w:rPr>
        <w:t>十一. 争议解决</w:t>
      </w:r>
    </w:p>
    <w:p>
      <w:pPr>
        <w:spacing w:line="440" w:lineRule="exact"/>
        <w:ind w:firstLine="210" w:firstLineChars="100"/>
        <w:rPr>
          <w:rFonts w:hint="eastAsia" w:ascii="宋体" w:cs="宋体"/>
          <w:szCs w:val="21"/>
          <w:highlight w:val="none"/>
        </w:rPr>
      </w:pPr>
      <w:r>
        <w:rPr>
          <w:rFonts w:hint="eastAsia" w:ascii="宋体" w:cs="宋体"/>
          <w:szCs w:val="21"/>
          <w:highlight w:val="none"/>
        </w:rPr>
        <w:t>21、争议解决</w:t>
      </w:r>
    </w:p>
    <w:p>
      <w:pPr>
        <w:pStyle w:val="7"/>
        <w:overflowPunct w:val="0"/>
        <w:spacing w:line="440" w:lineRule="exact"/>
        <w:rPr>
          <w:rFonts w:hint="eastAsia" w:ascii="宋体" w:cs="宋体"/>
          <w:sz w:val="21"/>
          <w:szCs w:val="21"/>
          <w:highlight w:val="none"/>
        </w:rPr>
      </w:pPr>
      <w:r>
        <w:rPr>
          <w:rFonts w:hint="eastAsia" w:ascii="宋体" w:cs="宋体"/>
          <w:sz w:val="21"/>
          <w:szCs w:val="21"/>
          <w:highlight w:val="none"/>
        </w:rPr>
        <w:t xml:space="preserve"> 买卖双方因合同发生争议，进行调解，协商不成，可选择：</w:t>
      </w:r>
    </w:p>
    <w:p>
      <w:pPr>
        <w:pStyle w:val="7"/>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(1)双方同时申请仲裁；</w:t>
      </w:r>
    </w:p>
    <w:p>
      <w:pPr>
        <w:pStyle w:val="7"/>
        <w:tabs>
          <w:tab w:val="left" w:pos="900"/>
        </w:tabs>
        <w:overflowPunct w:val="0"/>
        <w:spacing w:line="440" w:lineRule="exact"/>
        <w:ind w:firstLine="525" w:firstLineChars="250"/>
        <w:rPr>
          <w:rFonts w:hint="eastAsia" w:ascii="宋体" w:cs="宋体"/>
          <w:sz w:val="21"/>
          <w:szCs w:val="21"/>
          <w:highlight w:val="none"/>
        </w:rPr>
      </w:pPr>
      <w:r>
        <w:rPr>
          <w:rFonts w:hint="eastAsia" w:ascii="宋体" w:cs="宋体"/>
          <w:sz w:val="21"/>
          <w:szCs w:val="21"/>
          <w:highlight w:val="none"/>
        </w:rPr>
        <w:t>(2)向买方所在地人民法院提起诉讼。</w:t>
      </w:r>
    </w:p>
    <w:p>
      <w:pPr>
        <w:spacing w:line="440" w:lineRule="exact"/>
        <w:rPr>
          <w:rFonts w:hint="eastAsia" w:ascii="宋体" w:cs="宋体"/>
          <w:b/>
          <w:szCs w:val="21"/>
          <w:highlight w:val="none"/>
        </w:rPr>
      </w:pPr>
      <w:r>
        <w:rPr>
          <w:rFonts w:hint="eastAsia" w:ascii="宋体" w:cs="宋体"/>
          <w:b/>
          <w:szCs w:val="21"/>
          <w:highlight w:val="none"/>
        </w:rPr>
        <w:t>十二 .附则</w:t>
      </w:r>
    </w:p>
    <w:p>
      <w:pPr>
        <w:spacing w:line="440" w:lineRule="exact"/>
        <w:ind w:firstLine="210" w:firstLineChars="100"/>
        <w:rPr>
          <w:rFonts w:hint="eastAsia" w:ascii="宋体" w:cs="宋体"/>
          <w:szCs w:val="21"/>
          <w:highlight w:val="none"/>
        </w:rPr>
      </w:pPr>
      <w:r>
        <w:rPr>
          <w:rFonts w:hint="eastAsia" w:ascii="宋体" w:cs="宋体"/>
          <w:szCs w:val="21"/>
          <w:highlight w:val="none"/>
        </w:rPr>
        <w:t>22、合同份数。</w:t>
      </w:r>
    </w:p>
    <w:p>
      <w:pPr>
        <w:spacing w:line="440" w:lineRule="exact"/>
        <w:rPr>
          <w:rFonts w:hint="eastAsia" w:ascii="宋体" w:cs="宋体"/>
          <w:szCs w:val="21"/>
          <w:highlight w:val="none"/>
        </w:rPr>
      </w:pPr>
      <w:r>
        <w:rPr>
          <w:rFonts w:hint="eastAsia" w:ascii="宋体" w:cs="宋体"/>
          <w:szCs w:val="21"/>
          <w:highlight w:val="none"/>
        </w:rPr>
        <w:t xml:space="preserve"> </w:t>
      </w:r>
      <w:r>
        <w:rPr>
          <w:rFonts w:hint="eastAsia" w:ascii="宋体" w:cs="宋体"/>
          <w:szCs w:val="21"/>
          <w:highlight w:val="none"/>
        </w:rPr>
        <w:tab/>
      </w:r>
      <w:r>
        <w:rPr>
          <w:rFonts w:hint="eastAsia" w:ascii="宋体" w:cs="宋体"/>
          <w:szCs w:val="21"/>
          <w:highlight w:val="none"/>
        </w:rPr>
        <w:t xml:space="preserve">  本合同一式</w:t>
      </w:r>
      <w:r>
        <w:rPr>
          <w:rFonts w:hint="eastAsia" w:ascii="宋体" w:cs="宋体"/>
          <w:szCs w:val="21"/>
          <w:highlight w:val="none"/>
          <w:lang w:val="en-US" w:eastAsia="zh-CN"/>
        </w:rPr>
        <w:t xml:space="preserve">  </w:t>
      </w:r>
      <w:r>
        <w:rPr>
          <w:rFonts w:hint="eastAsia" w:ascii="宋体" w:cs="宋体"/>
          <w:szCs w:val="21"/>
          <w:highlight w:val="none"/>
        </w:rPr>
        <w:t>份，买卖双方各执</w:t>
      </w:r>
      <w:r>
        <w:rPr>
          <w:rFonts w:hint="eastAsia" w:ascii="宋体" w:cs="宋体"/>
          <w:szCs w:val="21"/>
          <w:highlight w:val="none"/>
          <w:lang w:val="en-US" w:eastAsia="zh-CN"/>
        </w:rPr>
        <w:t xml:space="preserve">  </w:t>
      </w:r>
      <w:r>
        <w:rPr>
          <w:rFonts w:hint="eastAsia" w:ascii="宋体" w:cs="宋体"/>
          <w:szCs w:val="21"/>
          <w:highlight w:val="none"/>
        </w:rPr>
        <w:t>份。</w:t>
      </w:r>
    </w:p>
    <w:p>
      <w:pPr>
        <w:spacing w:line="440" w:lineRule="exact"/>
        <w:ind w:firstLine="210" w:firstLineChars="100"/>
        <w:rPr>
          <w:rFonts w:hint="eastAsia" w:ascii="宋体" w:cs="宋体"/>
          <w:szCs w:val="21"/>
          <w:highlight w:val="none"/>
        </w:rPr>
      </w:pPr>
      <w:r>
        <w:rPr>
          <w:rFonts w:hint="eastAsia" w:ascii="宋体" w:cs="宋体"/>
          <w:szCs w:val="21"/>
          <w:highlight w:val="none"/>
        </w:rPr>
        <w:t>23、未尽事宜</w:t>
      </w:r>
    </w:p>
    <w:p>
      <w:pPr>
        <w:spacing w:line="440" w:lineRule="exact"/>
        <w:ind w:firstLine="525" w:firstLineChars="250"/>
        <w:rPr>
          <w:rFonts w:hint="eastAsia" w:ascii="宋体" w:cs="宋体"/>
          <w:szCs w:val="21"/>
          <w:highlight w:val="none"/>
        </w:rPr>
      </w:pPr>
      <w:r>
        <w:rPr>
          <w:rFonts w:hint="eastAsia" w:ascii="宋体" w:cs="宋体"/>
          <w:szCs w:val="21"/>
          <w:highlight w:val="none"/>
        </w:rPr>
        <w:t>本合同未尽事宜应按《中华人民共和国</w:t>
      </w:r>
      <w:r>
        <w:rPr>
          <w:rFonts w:hint="eastAsia" w:ascii="宋体" w:cs="宋体"/>
          <w:szCs w:val="21"/>
          <w:highlight w:val="none"/>
          <w:lang w:val="en-US" w:eastAsia="zh-CN"/>
        </w:rPr>
        <w:t>招标投标法</w:t>
      </w:r>
      <w:r>
        <w:rPr>
          <w:rFonts w:hint="eastAsia" w:ascii="宋体" w:cs="宋体"/>
          <w:szCs w:val="21"/>
          <w:highlight w:val="none"/>
        </w:rPr>
        <w:t>》、《中华人民共和国</w:t>
      </w:r>
      <w:r>
        <w:rPr>
          <w:rFonts w:hint="eastAsia" w:ascii="宋体" w:cs="宋体"/>
          <w:szCs w:val="21"/>
          <w:highlight w:val="none"/>
          <w:lang w:val="en-US" w:eastAsia="zh-CN"/>
        </w:rPr>
        <w:t>民法典</w:t>
      </w:r>
      <w:r>
        <w:rPr>
          <w:rFonts w:hint="eastAsia" w:ascii="宋体" w:cs="宋体"/>
          <w:szCs w:val="21"/>
          <w:highlight w:val="none"/>
        </w:rPr>
        <w:t>》、《中华人民共和国产品质量法》之规定解释。</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7" w:name="_Toc21573"/>
      <w:bookmarkEnd w:id="67"/>
      <w:bookmarkStart w:id="68"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8"/>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9" w:name="_Toc19336_WPSOffice_Level2"/>
      <w:bookmarkEnd w:id="69"/>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70" w:name="_Toc7180_WPSOffice_Level3"/>
      <w:bookmarkEnd w:id="70"/>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1" w:name="_Toc14710_WPSOffice_Level1"/>
      <w:bookmarkEnd w:id="71"/>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宋体" w:hAnsi="宋体" w:cs="宋体-18030"/>
          <w:szCs w:val="21"/>
          <w:highlight w:val="none"/>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27"/>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72" w:name="_Toc6019_WPSOffice_Level1"/>
      <w:bookmarkEnd w:id="72"/>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5"/>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eastAsia="宋体" w:cs="宋体"/>
          <w:bCs/>
          <w:color w:val="auto"/>
          <w:szCs w:val="21"/>
          <w:highlight w:val="none"/>
        </w:rPr>
        <w:t>详细的货物名称、规格、技术参数等【附技术参数响应表、货物的详细配置清单，格式见附件】</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（1）</w:t>
      </w: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17"/>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p>
        </w:tc>
      </w:tr>
    </w:tbl>
    <w:p>
      <w:pPr>
        <w:autoSpaceDE w:val="0"/>
        <w:autoSpaceDN w:val="0"/>
        <w:adjustRightInd w:val="0"/>
        <w:spacing w:line="240" w:lineRule="auto"/>
        <w:ind w:firstLine="420" w:firstLineChars="200"/>
        <w:rPr>
          <w:rFonts w:hint="eastAsia" w:ascii="宋体" w:hAnsi="宋体"/>
          <w:b w:val="0"/>
          <w:bCs w:val="0"/>
          <w:color w:val="auto"/>
          <w:szCs w:val="21"/>
          <w:highlight w:val="none"/>
          <w:lang w:val="zh-CN"/>
        </w:rPr>
      </w:pPr>
      <w:r>
        <w:rPr>
          <w:rFonts w:hint="eastAsia" w:ascii="宋体" w:hAnsi="宋体"/>
          <w:b w:val="0"/>
          <w:bCs w:val="0"/>
          <w:color w:val="auto"/>
          <w:szCs w:val="21"/>
          <w:highlight w:val="none"/>
          <w:lang w:val="zh-CN"/>
        </w:rPr>
        <w:t>注：</w:t>
      </w:r>
      <w:r>
        <w:rPr>
          <w:rFonts w:ascii="宋体" w:hAnsi="宋体"/>
          <w:b w:val="0"/>
          <w:bCs w:val="0"/>
          <w:color w:val="auto"/>
          <w:szCs w:val="21"/>
          <w:highlight w:val="none"/>
          <w:lang w:val="zh-CN"/>
        </w:rPr>
        <w:t>1</w:t>
      </w:r>
      <w:r>
        <w:rPr>
          <w:rFonts w:hint="eastAsia" w:ascii="宋体" w:hAnsi="宋体"/>
          <w:b w:val="0"/>
          <w:bCs w:val="0"/>
          <w:color w:val="auto"/>
          <w:szCs w:val="21"/>
          <w:highlight w:val="none"/>
          <w:lang w:val="zh-CN"/>
        </w:rPr>
        <w:t>.</w:t>
      </w:r>
      <w:r>
        <w:rPr>
          <w:rFonts w:hint="eastAsia" w:ascii="宋体" w:hAnsi="宋体" w:eastAsia="宋体" w:cs="Times New Roman"/>
          <w:b w:val="0"/>
          <w:bCs w:val="0"/>
          <w:color w:val="000000"/>
          <w:szCs w:val="21"/>
          <w:highlight w:val="none"/>
          <w:lang w:val="en-US" w:eastAsia="zh-CN"/>
        </w:rPr>
        <w:t>表格顺序请按照采购清单顺序</w:t>
      </w:r>
      <w:r>
        <w:rPr>
          <w:rFonts w:hint="eastAsia" w:ascii="宋体" w:hAnsi="宋体"/>
          <w:b w:val="0"/>
          <w:bCs w:val="0"/>
          <w:color w:val="auto"/>
          <w:szCs w:val="21"/>
          <w:highlight w:val="none"/>
          <w:lang w:val="en-US" w:eastAsia="zh-CN"/>
        </w:rPr>
        <w:t>投标人</w:t>
      </w:r>
      <w:r>
        <w:rPr>
          <w:rFonts w:hint="eastAsia" w:ascii="宋体" w:hAnsi="宋体"/>
          <w:b w:val="0"/>
          <w:bCs w:val="0"/>
          <w:color w:val="auto"/>
          <w:szCs w:val="21"/>
          <w:highlight w:val="none"/>
          <w:lang w:val="zh-CN"/>
        </w:rPr>
        <w:t>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highlight w:val="none"/>
          <w:lang w:val="zh-CN" w:eastAsia="zh-CN"/>
        </w:rPr>
      </w:pPr>
      <w:r>
        <w:rPr>
          <w:rFonts w:hint="eastAsia" w:ascii="宋体" w:hAnsi="宋体" w:eastAsia="宋体" w:cs="Times New Roman"/>
          <w:b w:val="0"/>
          <w:bCs w:val="0"/>
          <w:color w:val="000000"/>
          <w:szCs w:val="21"/>
          <w:highlight w:val="none"/>
          <w:lang w:val="en-US" w:eastAsia="zh-CN"/>
        </w:rPr>
        <w:t>2.投标人</w:t>
      </w:r>
      <w:r>
        <w:rPr>
          <w:rFonts w:hint="eastAsia" w:ascii="宋体" w:hAnsi="宋体" w:eastAsia="宋体" w:cs="Times New Roman"/>
          <w:b w:val="0"/>
          <w:bCs w:val="0"/>
          <w:color w:val="000000"/>
          <w:szCs w:val="21"/>
          <w:highlight w:val="none"/>
          <w:lang w:val="zh-CN" w:eastAsia="zh-CN"/>
        </w:rPr>
        <w:t>应逐一说明投标产品和服务响应；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highlight w:val="none"/>
          <w:lang w:val="en-US" w:eastAsia="zh-CN"/>
        </w:rPr>
      </w:pPr>
      <w:r>
        <w:rPr>
          <w:rFonts w:hint="eastAsia" w:ascii="宋体" w:hAnsi="宋体" w:eastAsia="宋体" w:cs="Times New Roman"/>
          <w:b w:val="0"/>
          <w:bCs w:val="0"/>
          <w:color w:val="000000"/>
          <w:szCs w:val="21"/>
          <w:highlight w:val="none"/>
          <w:lang w:val="en-US" w:eastAsia="zh-CN"/>
        </w:rPr>
        <w:t>3.</w:t>
      </w:r>
      <w:r>
        <w:rPr>
          <w:rFonts w:hint="eastAsia" w:ascii="宋体" w:hAnsi="宋体" w:eastAsia="宋体" w:cs="Times New Roman"/>
          <w:b w:val="0"/>
          <w:bCs w:val="0"/>
          <w:color w:val="000000"/>
          <w:szCs w:val="21"/>
          <w:highlight w:val="none"/>
          <w:lang w:val="zh-CN" w:eastAsia="zh-CN"/>
        </w:rPr>
        <w:t>如果行数不够，请自行增加。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投标人名称：</w:t>
      </w:r>
      <w:r>
        <w:rPr>
          <w:rFonts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（盖单位章）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法定代表人：</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(签章)</w:t>
      </w:r>
    </w:p>
    <w:p>
      <w:pPr>
        <w:spacing w:line="480" w:lineRule="auto"/>
        <w:rPr>
          <w:rFonts w:ascii="宋体" w:hAnsi="宋体"/>
          <w:b w:val="0"/>
          <w:bCs w:val="0"/>
          <w:color w:val="auto"/>
          <w:szCs w:val="21"/>
          <w:highlight w:val="none"/>
        </w:rPr>
      </w:pPr>
      <w:r>
        <w:rPr>
          <w:rFonts w:hint="eastAsia" w:ascii="宋体" w:hAnsi="宋体"/>
          <w:b w:val="0"/>
          <w:bCs w:val="0"/>
          <w:color w:val="auto"/>
          <w:szCs w:val="21"/>
          <w:highlight w:val="none"/>
        </w:rPr>
        <w:t xml:space="preserve">                                  日    期：</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月</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日</w:t>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2）</w:t>
      </w:r>
      <w:r>
        <w:rPr>
          <w:rFonts w:hint="eastAsia" w:ascii="宋体" w:hAnsi="宋体"/>
          <w:b/>
          <w:color w:val="auto"/>
          <w:sz w:val="30"/>
          <w:szCs w:val="30"/>
          <w:highlight w:val="none"/>
        </w:rPr>
        <w:t>货物的详细配置清单</w:t>
      </w:r>
    </w:p>
    <w:tbl>
      <w:tblPr>
        <w:tblStyle w:val="17"/>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b w:val="0"/>
                <w:bCs w:val="0"/>
                <w:color w:val="auto"/>
                <w:szCs w:val="21"/>
                <w:highlight w:val="none"/>
              </w:rPr>
            </w:pPr>
            <w:r>
              <w:rPr>
                <w:rFonts w:hint="default" w:ascii="宋体" w:hAnsi="宋体"/>
                <w:b w:val="0"/>
                <w:bCs w:val="0"/>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bl>
    <w:p>
      <w:pPr>
        <w:spacing w:line="360" w:lineRule="auto"/>
        <w:jc w:val="left"/>
        <w:rPr>
          <w:rFonts w:hint="eastAsia" w:ascii="宋体" w:hAnsi="宋体"/>
          <w:b w:val="0"/>
          <w:bCs w:val="0"/>
          <w:color w:val="auto"/>
          <w:sz w:val="28"/>
          <w:szCs w:val="28"/>
          <w:highlight w:val="none"/>
        </w:rPr>
      </w:pPr>
      <w:r>
        <w:rPr>
          <w:rFonts w:hint="eastAsia" w:ascii="宋体" w:hAnsi="宋体"/>
          <w:b w:val="0"/>
          <w:bCs w:val="0"/>
          <w:color w:val="auto"/>
          <w:sz w:val="28"/>
          <w:szCs w:val="28"/>
          <w:highlight w:val="none"/>
        </w:rPr>
        <w:t>注：</w:t>
      </w:r>
      <w:r>
        <w:rPr>
          <w:rFonts w:hint="eastAsia" w:ascii="宋体" w:hAnsi="宋体" w:eastAsia="宋体" w:cs="Times New Roman"/>
          <w:b w:val="0"/>
          <w:bCs w:val="0"/>
          <w:color w:val="000000"/>
          <w:szCs w:val="21"/>
          <w:highlight w:val="none"/>
          <w:lang w:val="en-US" w:eastAsia="zh-CN"/>
        </w:rPr>
        <w:t>表格顺序请按照采购清单顺序，</w:t>
      </w:r>
      <w:r>
        <w:rPr>
          <w:rFonts w:hint="eastAsia" w:ascii="宋体" w:hAnsi="宋体" w:cs="宋体"/>
          <w:b w:val="0"/>
          <w:bCs w:val="0"/>
          <w:color w:val="auto"/>
          <w:szCs w:val="21"/>
          <w:highlight w:val="none"/>
          <w:lang w:val="zh-CN"/>
        </w:rPr>
        <w:t>如果行数不够，请自行增加。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b/>
          <w:bCs/>
          <w:sz w:val="28"/>
          <w:szCs w:val="28"/>
          <w:highlight w:val="none"/>
        </w:rPr>
      </w:pPr>
      <w:r>
        <w:rPr>
          <w:rFonts w:hint="eastAsia"/>
          <w:b/>
          <w:bCs/>
          <w:sz w:val="28"/>
          <w:szCs w:val="28"/>
          <w:highlight w:val="none"/>
        </w:rPr>
        <w:br w:type="page"/>
      </w:r>
    </w:p>
    <w:p>
      <w:pPr>
        <w:keepNext/>
        <w:keepLines/>
        <w:spacing w:line="720" w:lineRule="auto"/>
        <w:jc w:val="center"/>
        <w:outlineLvl w:val="2"/>
        <w:rPr>
          <w:b/>
          <w:bCs/>
          <w:sz w:val="28"/>
          <w:szCs w:val="28"/>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3）</w:t>
      </w: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和</w:t>
      </w:r>
      <w:r>
        <w:rPr>
          <w:rFonts w:hint="eastAsia" w:ascii="宋体" w:hAnsi="宋体"/>
          <w:color w:val="000000"/>
          <w:sz w:val="24"/>
          <w:highlight w:val="none"/>
        </w:rPr>
        <w:t>采购需求及</w:t>
      </w:r>
      <w:r>
        <w:rPr>
          <w:rFonts w:hint="eastAsia" w:ascii="宋体" w:hAnsi="宋体"/>
          <w:color w:val="000000"/>
          <w:sz w:val="24"/>
          <w:highlight w:val="none"/>
          <w:lang w:val="en-US" w:eastAsia="zh-CN"/>
        </w:rPr>
        <w:t>清单</w:t>
      </w:r>
      <w:r>
        <w:rPr>
          <w:rFonts w:hint="eastAsia" w:ascii="宋体" w:hAnsi="宋体"/>
          <w:color w:val="000000"/>
          <w:sz w:val="24"/>
          <w:highlight w:val="none"/>
        </w:rPr>
        <w:t>要求所有要求完全响应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除技术参数响应表中已列出的负偏离参数以外的其余参数均完全响应</w:t>
      </w:r>
      <w:r>
        <w:rPr>
          <w:rFonts w:hint="eastAsia" w:ascii="宋体" w:hAnsi="宋体"/>
          <w:color w:val="000000"/>
          <w:sz w:val="24"/>
          <w:highlight w:val="none"/>
        </w:rPr>
        <w:t>招标文件</w:t>
      </w:r>
      <w:r>
        <w:rPr>
          <w:rFonts w:hint="eastAsia" w:ascii="宋体" w:hAnsi="宋体"/>
          <w:color w:val="000000"/>
          <w:sz w:val="24"/>
          <w:highlight w:val="none"/>
          <w:lang w:val="en-US" w:eastAsia="zh-CN"/>
        </w:rPr>
        <w:t>和</w:t>
      </w:r>
      <w:r>
        <w:rPr>
          <w:rFonts w:hint="eastAsia" w:ascii="宋体" w:hAnsi="宋体"/>
          <w:color w:val="000000"/>
          <w:sz w:val="24"/>
          <w:highlight w:val="none"/>
        </w:rPr>
        <w:t>采购需求及</w:t>
      </w:r>
      <w:r>
        <w:rPr>
          <w:rFonts w:hint="eastAsia" w:ascii="宋体" w:hAnsi="宋体"/>
          <w:color w:val="000000"/>
          <w:sz w:val="24"/>
          <w:highlight w:val="none"/>
          <w:lang w:val="en-US" w:eastAsia="zh-CN"/>
        </w:rPr>
        <w:t>清单</w:t>
      </w:r>
      <w:r>
        <w:rPr>
          <w:rFonts w:hint="eastAsia" w:ascii="宋体" w:hAnsi="宋体"/>
          <w:color w:val="000000"/>
          <w:sz w:val="24"/>
          <w:highlight w:val="none"/>
        </w:rPr>
        <w:t>要求</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rPr>
          <w:rFonts w:hint="eastAsia"/>
          <w:highlight w:val="none"/>
          <w:lang w:val="en-US" w:eastAsia="zh-CN"/>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3" w:name="_Toc27638_WPSOffice_Level2"/>
      <w:bookmarkEnd w:id="73"/>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5"/>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5"/>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281" w:firstLineChars="100"/>
        <w:jc w:val="both"/>
        <w:textAlignment w:val="auto"/>
        <w:rPr>
          <w:rFonts w:hint="eastAsia"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注：商务标评分阶段以各有效投标人的投标报价（不含税价）进行评分。</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1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1"/>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其中：不含税价（大写）：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税金（大写）：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31" w:firstLineChars="147"/>
        <w:jc w:val="cente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t>投标报价清单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887"/>
        <w:gridCol w:w="2113"/>
        <w:gridCol w:w="1138"/>
        <w:gridCol w:w="1149"/>
        <w:gridCol w:w="128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88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i w:val="0"/>
                <w:iCs w:val="0"/>
                <w:color w:val="000000"/>
                <w:kern w:val="0"/>
                <w:sz w:val="21"/>
                <w:szCs w:val="21"/>
                <w:u w:val="none"/>
                <w:lang w:val="en-US" w:eastAsia="zh-CN" w:bidi="ar"/>
              </w:rPr>
              <w:t>类别</w:t>
            </w: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val="0"/>
                <w:color w:val="000000"/>
                <w:kern w:val="0"/>
                <w:sz w:val="21"/>
                <w:szCs w:val="21"/>
                <w:highlight w:val="none"/>
                <w:u w:color="000000"/>
                <w:vertAlign w:val="baseline"/>
                <w:lang w:val="en-US" w:eastAsia="zh-CN" w:bidi="ar"/>
              </w:rPr>
              <w:t>名称</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val="0"/>
                <w:color w:val="000000"/>
                <w:kern w:val="0"/>
                <w:sz w:val="21"/>
                <w:szCs w:val="21"/>
                <w:highlight w:val="none"/>
                <w:u w:color="000000"/>
                <w:vertAlign w:val="baseline"/>
                <w:lang w:val="en-US" w:eastAsia="zh-CN" w:bidi="ar"/>
              </w:rPr>
              <w:t>数量</w:t>
            </w:r>
          </w:p>
        </w:tc>
        <w:tc>
          <w:tcPr>
            <w:tcW w:w="128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val="0"/>
                <w:color w:val="000000"/>
                <w:kern w:val="0"/>
                <w:sz w:val="21"/>
                <w:szCs w:val="21"/>
                <w:highlight w:val="none"/>
                <w:u w:color="000000"/>
                <w:vertAlign w:val="baseline"/>
                <w:lang w:val="en-US" w:eastAsia="zh-CN" w:bidi="ar"/>
              </w:rPr>
              <w:t>含税单价（元）</w:t>
            </w:r>
          </w:p>
        </w:tc>
        <w:tc>
          <w:tcPr>
            <w:tcW w:w="121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b/>
                <w:bCs w:val="0"/>
                <w:color w:val="000000"/>
                <w:kern w:val="0"/>
                <w:sz w:val="21"/>
                <w:szCs w:val="21"/>
                <w:highlight w:val="none"/>
                <w:u w:color="000000"/>
                <w:vertAlign w:val="baseline"/>
                <w:lang w:val="en-US" w:eastAsia="zh-CN" w:bidi="ar"/>
              </w:rPr>
              <w:t>含税总额（元）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8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备品</w:t>
            </w: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床垫</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床上用品（冬被）</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床上用品（春秋被）</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枕头</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床上三件套</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室内晾衣架</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水瓶（热）</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衣夹（中）</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个/年</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衣夹（大）</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个/年</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保温箱</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拉杆式购物车</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超市篮</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超市推车</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辆</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床刷</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大洗衣盆</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大垃圾桶</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金属垃圾篓</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坐便器刷子</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清洁球</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百洁布</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去污喷剂</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瓶/年</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洁厕灵</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瓶/年</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洗衣粉</w:t>
            </w:r>
          </w:p>
        </w:tc>
        <w:tc>
          <w:tcPr>
            <w:tcW w:w="113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袋/年</w:t>
            </w:r>
          </w:p>
        </w:tc>
        <w:tc>
          <w:tcPr>
            <w:tcW w:w="11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88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bCs w:val="0"/>
                <w:color w:val="000000"/>
                <w:kern w:val="0"/>
                <w:sz w:val="36"/>
                <w:szCs w:val="36"/>
                <w:highlight w:val="none"/>
                <w:u w:color="000000"/>
                <w:vertAlign w:val="baseline"/>
                <w:lang w:val="en-US" w:eastAsia="zh-CN" w:bidi="ar"/>
              </w:rPr>
            </w:pPr>
          </w:p>
        </w:tc>
        <w:tc>
          <w:tcPr>
            <w:tcW w:w="211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叫班专用电话</w:t>
            </w:r>
          </w:p>
        </w:tc>
        <w:tc>
          <w:tcPr>
            <w:tcW w:w="113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49"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87"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c>
          <w:tcPr>
            <w:tcW w:w="1218"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rPr>
                <w:rFonts w:hint="eastAsia" w:ascii="宋体" w:hAnsi="宋体" w:eastAsia="宋体" w:cs="宋体"/>
                <w:b/>
                <w:bCs w:val="0"/>
                <w:color w:val="000000"/>
                <w:kern w:val="0"/>
                <w:sz w:val="36"/>
                <w:szCs w:val="36"/>
                <w:highlight w:val="none"/>
                <w:u w:color="00000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7792"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合计大写（含税总额）：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合计小写（含税总额）：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7792"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合计大写（不含税总额）：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合计小写（不含税总额）：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b/>
                <w:bCs w:val="0"/>
                <w:color w:val="000000"/>
                <w:kern w:val="0"/>
                <w:sz w:val="36"/>
                <w:szCs w:val="36"/>
                <w:highlight w:val="none"/>
                <w:u w:color="000000"/>
                <w:vertAlign w:val="baseli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7792"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合计大写（税费总额）：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b/>
                <w:bCs w:val="0"/>
                <w:color w:val="000000"/>
                <w:kern w:val="0"/>
                <w:sz w:val="21"/>
                <w:szCs w:val="21"/>
                <w:highlight w:val="none"/>
                <w:u w:color="000000"/>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合计小写（税费总额）：</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i w:val="0"/>
          <w:iCs w:val="0"/>
          <w:color w:val="000000"/>
          <w:kern w:val="0"/>
          <w:sz w:val="22"/>
          <w:szCs w:val="22"/>
          <w:u w:val="none"/>
          <w:lang w:val="en-US" w:eastAsia="zh-CN" w:bidi="ar"/>
        </w:rPr>
        <w:t>备注：含税总额=不含税总额+税额总额，本次商务价格评审的基础为不含税总额。</w:t>
      </w:r>
      <w:r>
        <w:rPr>
          <w:rFonts w:hint="eastAsia" w:ascii="宋体" w:hAnsi="宋体" w:eastAsia="宋体" w:cs="宋体"/>
          <w:b/>
          <w:bCs w:val="0"/>
          <w:color w:val="000000"/>
          <w:kern w:val="0"/>
          <w:sz w:val="36"/>
          <w:szCs w:val="36"/>
          <w:highlight w:val="none"/>
          <w:u w:color="000000"/>
          <w:lang w:val="en-US" w:eastAsia="zh-CN" w:bidi="ar"/>
        </w:rPr>
        <w:br w:type="page"/>
      </w:r>
    </w:p>
    <w:p>
      <w:pPr>
        <w:pStyle w:val="16"/>
        <w:widowControl/>
        <w:spacing w:before="0" w:beforeAutospacing="0" w:after="0" w:afterAutospacing="0" w:line="375" w:lineRule="atLeast"/>
        <w:ind w:left="0" w:right="0"/>
        <w:jc w:val="center"/>
        <w:outlineLvl w:val="0"/>
        <w:rPr>
          <w:b/>
          <w:bCs w:val="0"/>
          <w:sz w:val="32"/>
          <w:szCs w:val="32"/>
          <w:highlight w:val="none"/>
          <w:lang w:val="en-US"/>
        </w:rPr>
      </w:pPr>
      <w:bookmarkStart w:id="74" w:name="_Toc6275_WPSOffice_Level1"/>
      <w:bookmarkEnd w:id="74"/>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17"/>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滁州至南京城际铁路（滁州段）司机日常用品采购项目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2022年12月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2022年12月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6D4AAEA"/>
    <w:multiLevelType w:val="singleLevel"/>
    <w:tmpl w:val="56D4AAEA"/>
    <w:lvl w:ilvl="0" w:tentative="0">
      <w:start w:val="2"/>
      <w:numFmt w:val="chineseCounting"/>
      <w:suff w:val="nothing"/>
      <w:lvlText w:val="%1、"/>
      <w:lvlJc w:val="left"/>
      <w:rPr>
        <w:rFonts w:hint="eastAsia"/>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12431559"/>
    <w:rsid w:val="14334ED5"/>
    <w:rsid w:val="1B0B6A26"/>
    <w:rsid w:val="1E474369"/>
    <w:rsid w:val="1FBE5586"/>
    <w:rsid w:val="2035457B"/>
    <w:rsid w:val="204506D8"/>
    <w:rsid w:val="21391D2B"/>
    <w:rsid w:val="21FC6157"/>
    <w:rsid w:val="222D5B93"/>
    <w:rsid w:val="287E4991"/>
    <w:rsid w:val="3D7F110E"/>
    <w:rsid w:val="40585B1F"/>
    <w:rsid w:val="41C76417"/>
    <w:rsid w:val="42AB7679"/>
    <w:rsid w:val="440F4D94"/>
    <w:rsid w:val="44121234"/>
    <w:rsid w:val="47DC16A5"/>
    <w:rsid w:val="4B8A2C90"/>
    <w:rsid w:val="4C3857CB"/>
    <w:rsid w:val="4F522371"/>
    <w:rsid w:val="5AB972A9"/>
    <w:rsid w:val="5AC41FE9"/>
    <w:rsid w:val="5D7002D3"/>
    <w:rsid w:val="604D11B9"/>
    <w:rsid w:val="62C47C43"/>
    <w:rsid w:val="6509245E"/>
    <w:rsid w:val="668A652A"/>
    <w:rsid w:val="6EA934B6"/>
    <w:rsid w:val="706E041E"/>
    <w:rsid w:val="75843174"/>
    <w:rsid w:val="76B7003F"/>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2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9">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4"/>
    <w:link w:val="2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0"/>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6">
    <w:name w:val="toc 7"/>
    <w:basedOn w:val="1"/>
    <w:next w:val="1"/>
    <w:qFormat/>
    <w:uiPriority w:val="39"/>
    <w:pPr>
      <w:ind w:left="1260"/>
      <w:jc w:val="left"/>
    </w:pPr>
    <w:rPr>
      <w:sz w:val="18"/>
      <w:szCs w:val="18"/>
    </w:rPr>
  </w:style>
  <w:style w:type="paragraph" w:styleId="7">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3"/>
    <w:basedOn w:val="1"/>
    <w:qFormat/>
    <w:uiPriority w:val="0"/>
    <w:rPr>
      <w:rFonts w:ascii="宋体" w:hAnsi="Calibri" w:eastAsia="宋体" w:cs="Times New Roman"/>
      <w:sz w:val="24"/>
      <w:szCs w:val="20"/>
    </w:rPr>
  </w:style>
  <w:style w:type="paragraph" w:styleId="9">
    <w:name w:val="Body Text"/>
    <w:basedOn w:val="1"/>
    <w:qFormat/>
    <w:uiPriority w:val="0"/>
    <w:pPr>
      <w:widowControl w:val="0"/>
      <w:snapToGrid w:val="0"/>
      <w:spacing w:line="360" w:lineRule="auto"/>
    </w:pPr>
    <w:rPr>
      <w:rFonts w:ascii="Arial" w:hAnsi="Arial" w:eastAsia="仿宋_GB2312"/>
      <w:sz w:val="31"/>
    </w:rPr>
  </w:style>
  <w:style w:type="paragraph" w:styleId="10">
    <w:name w:val="Plain Text"/>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1">
    <w:name w:val="Date"/>
    <w:basedOn w:val="1"/>
    <w:next w:val="1"/>
    <w:link w:val="2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2">
    <w:name w:val="footer"/>
    <w:basedOn w:val="1"/>
    <w:link w:val="26"/>
    <w:qFormat/>
    <w:uiPriority w:val="0"/>
    <w:pPr>
      <w:tabs>
        <w:tab w:val="center" w:pos="4153"/>
        <w:tab w:val="right" w:pos="8306"/>
      </w:tabs>
      <w:snapToGrid w:val="0"/>
      <w:jc w:val="left"/>
    </w:pPr>
    <w:rPr>
      <w:sz w:val="18"/>
    </w:rPr>
  </w:style>
  <w:style w:type="paragraph" w:styleId="13">
    <w:name w:val="envelope return"/>
    <w:basedOn w:val="1"/>
    <w:next w:val="6"/>
    <w:qFormat/>
    <w:uiPriority w:val="0"/>
    <w:pPr>
      <w:snapToGrid w:val="0"/>
    </w:pPr>
    <w:rPr>
      <w:rFonts w:ascii="Arial" w:hAnsi="Arial"/>
    </w:rPr>
  </w:style>
  <w:style w:type="paragraph" w:styleId="14">
    <w:name w:val="header"/>
    <w:basedOn w:val="1"/>
    <w:link w:val="2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正文文本缩进 Char"/>
    <w:basedOn w:val="19"/>
    <w:link w:val="3"/>
    <w:qFormat/>
    <w:uiPriority w:val="0"/>
    <w:rPr>
      <w:rFonts w:hint="default" w:ascii="Times New Roman" w:hAnsi="Times New Roman" w:eastAsia="宋体" w:cs="Times New Roman"/>
      <w:color w:val="000000"/>
      <w:kern w:val="0"/>
      <w:szCs w:val="21"/>
      <w:u w:color="000000"/>
    </w:rPr>
  </w:style>
  <w:style w:type="character" w:customStyle="1" w:styleId="21">
    <w:name w:val="正文首行缩进 2 Char"/>
    <w:basedOn w:val="20"/>
    <w:link w:val="2"/>
    <w:qFormat/>
    <w:uiPriority w:val="0"/>
    <w:rPr>
      <w:rFonts w:hint="default" w:ascii="Times New Roman" w:hAnsi="Times New Roman" w:eastAsia="宋体" w:cs="Times New Roman"/>
      <w:color w:val="000000"/>
      <w:kern w:val="0"/>
      <w:szCs w:val="21"/>
      <w:u w:color="000000"/>
    </w:rPr>
  </w:style>
  <w:style w:type="character" w:customStyle="1" w:styleId="22">
    <w:name w:val="日期 Char"/>
    <w:basedOn w:val="19"/>
    <w:link w:val="11"/>
    <w:qFormat/>
    <w:uiPriority w:val="0"/>
    <w:rPr>
      <w:rFonts w:ascii="Arial" w:hAnsi="Arial" w:eastAsia="仿宋_GB2312" w:cs="Arial"/>
      <w:color w:val="000000"/>
      <w:sz w:val="32"/>
      <w:szCs w:val="32"/>
      <w:u w:color="000000"/>
    </w:rPr>
  </w:style>
  <w:style w:type="character" w:customStyle="1" w:styleId="23">
    <w:name w:val="标题 2 Char"/>
    <w:basedOn w:val="19"/>
    <w:link w:val="5"/>
    <w:qFormat/>
    <w:uiPriority w:val="0"/>
    <w:rPr>
      <w:rFonts w:hint="default" w:ascii="Times New Roman" w:hAnsi="Times New Roman" w:eastAsia="宋体" w:cs="Times New Roman"/>
      <w:kern w:val="0"/>
      <w:sz w:val="24"/>
      <w:szCs w:val="24"/>
    </w:rPr>
  </w:style>
  <w:style w:type="character" w:customStyle="1" w:styleId="24">
    <w:name w:val="页眉 Char"/>
    <w:basedOn w:val="19"/>
    <w:link w:val="14"/>
    <w:qFormat/>
    <w:uiPriority w:val="0"/>
    <w:rPr>
      <w:rFonts w:hint="default" w:ascii="Times New Roman" w:hAnsi="Times New Roman" w:eastAsia="宋体" w:cs="Times New Roman"/>
      <w:color w:val="000000"/>
      <w:kern w:val="0"/>
      <w:sz w:val="18"/>
      <w:szCs w:val="18"/>
      <w:u w:color="000000"/>
    </w:rPr>
  </w:style>
  <w:style w:type="character" w:customStyle="1" w:styleId="25">
    <w:name w:val="纯文本 Char"/>
    <w:basedOn w:val="19"/>
    <w:link w:val="10"/>
    <w:qFormat/>
    <w:uiPriority w:val="0"/>
    <w:rPr>
      <w:rFonts w:hint="eastAsia" w:ascii="宋体" w:hAnsi="宋体" w:eastAsia="宋体" w:cs="宋体"/>
      <w:szCs w:val="21"/>
    </w:rPr>
  </w:style>
  <w:style w:type="character" w:customStyle="1" w:styleId="26">
    <w:name w:val="页脚 Char"/>
    <w:basedOn w:val="19"/>
    <w:link w:val="12"/>
    <w:qFormat/>
    <w:uiPriority w:val="0"/>
    <w:rPr>
      <w:rFonts w:hint="default" w:ascii="Times New Roman" w:hAnsi="Times New Roman" w:eastAsia="宋体" w:cs="Times New Roman"/>
      <w:color w:val="000000"/>
      <w:kern w:val="0"/>
      <w:sz w:val="18"/>
      <w:szCs w:val="18"/>
      <w:u w:color="000000"/>
    </w:rPr>
  </w:style>
  <w:style w:type="paragraph" w:customStyle="1" w:styleId="2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8">
    <w:name w:val="List Paragraph"/>
    <w:basedOn w:val="1"/>
    <w:qFormat/>
    <w:uiPriority w:val="0"/>
    <w:pPr>
      <w:widowControl w:val="0"/>
      <w:spacing w:line="240" w:lineRule="auto"/>
      <w:ind w:firstLine="200" w:firstLineChars="200"/>
      <w:textAlignment w:val="auto"/>
    </w:pPr>
    <w:rPr>
      <w:u w:val="none" w:color="000000"/>
    </w:rPr>
  </w:style>
  <w:style w:type="character" w:customStyle="1" w:styleId="29">
    <w:name w:val="NormalCharacter"/>
    <w:semiHidden/>
    <w:qFormat/>
    <w:uiPriority w:val="0"/>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2">
    <w:name w:val="font51"/>
    <w:basedOn w:val="19"/>
    <w:qFormat/>
    <w:uiPriority w:val="0"/>
    <w:rPr>
      <w:rFonts w:hint="eastAsia" w:ascii="宋体" w:hAnsi="宋体" w:eastAsia="宋体" w:cs="宋体"/>
      <w:color w:val="000000"/>
      <w:sz w:val="22"/>
      <w:szCs w:val="22"/>
      <w:u w:val="none"/>
    </w:rPr>
  </w:style>
  <w:style w:type="character" w:customStyle="1" w:styleId="33">
    <w:name w:val="font31"/>
    <w:basedOn w:val="19"/>
    <w:qFormat/>
    <w:uiPriority w:val="0"/>
    <w:rPr>
      <w:rFonts w:hint="default" w:ascii="Times New Roman" w:hAnsi="Times New Roman" w:cs="Times New Roman"/>
      <w:color w:val="000000"/>
      <w:sz w:val="22"/>
      <w:szCs w:val="22"/>
      <w:u w:val="none"/>
    </w:rPr>
  </w:style>
  <w:style w:type="character" w:customStyle="1" w:styleId="34">
    <w:name w:val="font61"/>
    <w:basedOn w:val="19"/>
    <w:qFormat/>
    <w:uiPriority w:val="0"/>
    <w:rPr>
      <w:rFonts w:hint="default" w:ascii="Times New Roman" w:hAnsi="Times New Roman" w:cs="Times New Roman"/>
      <w:color w:val="000000"/>
      <w:sz w:val="21"/>
      <w:szCs w:val="21"/>
      <w:u w:val="none"/>
    </w:rPr>
  </w:style>
  <w:style w:type="character" w:customStyle="1" w:styleId="35">
    <w:name w:val="font71"/>
    <w:basedOn w:val="19"/>
    <w:qFormat/>
    <w:uiPriority w:val="0"/>
    <w:rPr>
      <w:rFonts w:hint="eastAsia" w:ascii="宋体" w:hAnsi="宋体" w:eastAsia="宋体" w:cs="宋体"/>
      <w:color w:val="000000"/>
      <w:sz w:val="21"/>
      <w:szCs w:val="21"/>
      <w:u w:val="none"/>
    </w:rPr>
  </w:style>
  <w:style w:type="character" w:customStyle="1" w:styleId="36">
    <w:name w:val="font01"/>
    <w:basedOn w:val="19"/>
    <w:qFormat/>
    <w:uiPriority w:val="0"/>
    <w:rPr>
      <w:rFonts w:hint="eastAsia" w:ascii="宋体" w:hAnsi="宋体" w:eastAsia="宋体" w:cs="宋体"/>
      <w:color w:val="000000"/>
      <w:sz w:val="22"/>
      <w:szCs w:val="22"/>
      <w:u w:val="none"/>
    </w:rPr>
  </w:style>
  <w:style w:type="character" w:customStyle="1" w:styleId="37">
    <w:name w:val="font11"/>
    <w:basedOn w:val="19"/>
    <w:uiPriority w:val="0"/>
    <w:rPr>
      <w:rFonts w:hint="eastAsia" w:ascii="宋体" w:hAnsi="宋体" w:eastAsia="宋体" w:cs="宋体"/>
      <w:color w:val="000000"/>
      <w:sz w:val="21"/>
      <w:szCs w:val="21"/>
      <w:u w:val="none"/>
    </w:rPr>
  </w:style>
  <w:style w:type="character" w:customStyle="1" w:styleId="38">
    <w:name w:val="font41"/>
    <w:basedOn w:val="19"/>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24221</Words>
  <Characters>25920</Characters>
  <Lines>0</Lines>
  <Paragraphs>0</Paragraphs>
  <TotalTime>2</TotalTime>
  <ScaleCrop>false</ScaleCrop>
  <LinksUpToDate>false</LinksUpToDate>
  <CharactersWithSpaces>28712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2022-12-13T06:02:36Z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6D9A791FE09F4AF69DC46F4A104A7358</vt:lpwstr>
  </property>
</Properties>
</file>