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滁州至南京城际铁路（滁州段）车站屋顶及车辆段屋顶3MW分布式光伏发电项目可行性研究报告编制项目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6"/>
        <w:widowControl/>
        <w:rPr>
          <w:highlight w:val="none"/>
          <w:lang w:val="en-US"/>
        </w:rPr>
      </w:pPr>
      <w:r>
        <w:rPr>
          <w:highlight w:val="none"/>
          <w:lang w:val="en-US"/>
        </w:rPr>
        <w:t xml:space="preserve"> </w:t>
      </w:r>
    </w:p>
    <w:p>
      <w:pPr>
        <w:pStyle w:val="16"/>
        <w:widowControl/>
        <w:rPr>
          <w:highlight w:val="none"/>
          <w:lang w:val="en-US"/>
        </w:rPr>
      </w:pPr>
      <w:r>
        <w:rPr>
          <w:highlight w:val="none"/>
          <w:lang w:val="en-US"/>
        </w:rPr>
        <w:t xml:space="preserve"> </w:t>
      </w:r>
    </w:p>
    <w:p>
      <w:pPr>
        <w:pStyle w:val="16"/>
        <w:widowControl/>
        <w:rPr>
          <w:highlight w:val="none"/>
          <w:lang w:val="en-US"/>
        </w:rPr>
      </w:pPr>
      <w:r>
        <w:rPr>
          <w:highlight w:val="none"/>
          <w:lang w:val="en-US"/>
        </w:rPr>
        <w:t xml:space="preserve"> </w:t>
      </w:r>
    </w:p>
    <w:p>
      <w:pPr>
        <w:pStyle w:val="16"/>
        <w:widowControl/>
        <w:rPr>
          <w:highlight w:val="none"/>
          <w:lang w:val="en-US"/>
        </w:rPr>
      </w:pPr>
      <w:r>
        <w:rPr>
          <w:highlight w:val="none"/>
          <w:lang w:val="en-US"/>
        </w:rPr>
        <w:t xml:space="preserve"> </w:t>
      </w:r>
    </w:p>
    <w:p>
      <w:pPr>
        <w:pStyle w:val="16"/>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2</w:t>
      </w:r>
      <w:r>
        <w:rPr>
          <w:rFonts w:hint="eastAsia" w:ascii="宋体" w:hAnsi="宋体"/>
          <w:b/>
          <w:sz w:val="32"/>
          <w:highlight w:val="none"/>
          <w:u w:val="thick"/>
        </w:rPr>
        <w:t>年</w:t>
      </w:r>
      <w:r>
        <w:rPr>
          <w:rFonts w:hint="eastAsia" w:ascii="宋体" w:hAnsi="宋体"/>
          <w:b/>
          <w:sz w:val="32"/>
          <w:highlight w:val="none"/>
          <w:u w:val="thick"/>
          <w:lang w:val="en-US" w:eastAsia="zh-CN"/>
        </w:rPr>
        <w:t>12</w:t>
      </w:r>
      <w:r>
        <w:rPr>
          <w:rFonts w:hint="eastAsia" w:ascii="宋体" w:hAnsi="宋体"/>
          <w:b/>
          <w:sz w:val="32"/>
          <w:highlight w:val="none"/>
          <w:u w:val="thick"/>
        </w:rPr>
        <w:t xml:space="preserve">月            </w:t>
      </w:r>
    </w:p>
    <w:p>
      <w:pPr>
        <w:pStyle w:val="1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r>
        <w:rPr>
          <w:rFonts w:hint="eastAsia" w:ascii="Times New Roman" w:hAnsi="Times New Roman" w:eastAsia="宋体" w:cs="Times New Roman"/>
          <w:color w:val="000000"/>
          <w:kern w:val="0"/>
          <w:sz w:val="21"/>
          <w:szCs w:val="21"/>
          <w:highlight w:val="none"/>
          <w:u w:color="000000"/>
          <w:lang w:val="en-US" w:eastAsia="zh-CN" w:bidi="ar"/>
        </w:rPr>
        <w:t>22</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24</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28</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37</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6"/>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58430305"/>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车站屋顶及车辆段屋顶3MW分布式光伏发电项目可行性研究报告编制项目的潜在投标人应在滁州市滁宁城际铁路开发建设有限公司网站（http://czctgs.cn/）获取招标文件，并于2022年12月15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项目名称：滁州至南京城际铁路（滁州段）车站屋顶及车辆段屋顶3MW分布式光伏发电项目可行性研究报告编制项目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项目预算金额：约8.5万元</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85000</w:t>
      </w:r>
      <w:r>
        <w:rPr>
          <w:rFonts w:hint="eastAsia" w:ascii="宋体" w:hAnsi="宋体" w:eastAsia="宋体" w:cs="宋体"/>
          <w:b w:val="0"/>
          <w:bCs w:val="0"/>
          <w:color w:val="000000"/>
          <w:kern w:val="0"/>
          <w:sz w:val="24"/>
          <w:szCs w:val="24"/>
          <w:highlight w:val="none"/>
          <w:u w:color="000000"/>
          <w:lang w:val="en-US" w:eastAsia="zh-CN" w:bidi="ar"/>
        </w:rPr>
        <w:t>元，投标报价不得超过最高限价，否则按无效投标处理。</w:t>
      </w:r>
    </w:p>
    <w:p>
      <w:pPr>
        <w:widowControl/>
        <w:spacing w:line="540" w:lineRule="exact"/>
        <w:ind w:firstLine="480" w:firstLineChars="200"/>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服务范围：编制滁州至南京城际铁路（滁州段）车站屋顶及车辆段屋顶3MW分布式光伏发电项目可行性研究报告，并通过专家评审。</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编制周期：合同签订后14天内完成送审稿、20天内完成终稿及合同规定的工作内容。</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1.投标人须具有独立法人资格且具备相应服务能力。</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须同时具有中华人民共和国住房和城乡建设主管部门颁发的送电、变电工程设计乙级及以上（或电力行业工程设计行业乙级及以上或综合设计甲级）资质和工程勘察专业类（岩土工程（勘察））乙级或工程勘察综合资质；</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3.拟派项目负责人须具有高级职称证书或注册在投标单位的注册电气工程师证书；</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default"/>
          <w:highlight w:val="none"/>
          <w:lang w:val="en-US" w:eastAsia="zh-CN"/>
        </w:rPr>
      </w:pPr>
      <w:r>
        <w:rPr>
          <w:rFonts w:hint="eastAsia" w:ascii="宋体" w:hAnsi="宋体" w:eastAsia="宋体" w:cs="宋体"/>
          <w:color w:val="auto"/>
          <w:sz w:val="24"/>
          <w:szCs w:val="24"/>
          <w:highlight w:val="none"/>
          <w:lang w:val="en-US" w:eastAsia="zh-CN"/>
        </w:rPr>
        <w:t>4.投标人近三年内(2019年1月1日至今）未发生重大勘察设计质量问题（时间以相关行业主管部门的行政处罚决定或司法机关出具的有关法律文书为准）。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2022年12月8日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2022年12月15日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28359005"/>
      <w:bookmarkEnd w:id="11"/>
      <w:bookmarkStart w:id="12" w:name="_Toc58430308"/>
      <w:bookmarkEnd w:id="12"/>
      <w:bookmarkStart w:id="13" w:name="_Toc28359082"/>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2022年12月15日15时00分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：滁州市</w:t>
      </w:r>
      <w:r>
        <w:rPr>
          <w:rFonts w:hint="eastAsia" w:ascii="宋体" w:hAnsi="宋体" w:cs="宋体"/>
          <w:color w:val="auto"/>
          <w:sz w:val="24"/>
          <w:szCs w:val="24"/>
          <w:highlight w:val="none"/>
          <w:lang w:val="en-US" w:eastAsia="zh-CN"/>
        </w:rPr>
        <w:t>滁宁城际铁路开发建设有限公司8楼会议室</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19"/>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滁州至南京城际铁路（滁州段）车站屋顶及车辆段屋顶3MW分布式光伏发电项目可行性研究报告编制项目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供货</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val="en-US" w:eastAsia="zh-CN"/>
              </w:rPr>
              <w:t>自接到招标人通知之时起30个日历天内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8.5万元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85000元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12</w:t>
            </w:r>
            <w:r>
              <w:rPr>
                <w:rFonts w:cs="Times New Roman"/>
                <w:b w:val="0"/>
                <w:bCs w:val="0"/>
                <w:highlight w:val="none"/>
              </w:rPr>
              <w:t>月</w:t>
            </w:r>
            <w:r>
              <w:rPr>
                <w:rFonts w:hint="eastAsia" w:cs="Times New Roman"/>
                <w:b w:val="0"/>
                <w:bCs w:val="0"/>
                <w:highlight w:val="none"/>
                <w:lang w:val="en-US" w:eastAsia="zh-CN"/>
              </w:rPr>
              <w:t>9</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2022年12月12日17时后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开标时间：2022年12月15日15时00分（北京时间）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按合同约定编制滁州至南京城际铁路（滁州段）车站屋顶及车辆段屋顶3MW分布式光伏发电项目可行性研究报告并通过专家评审后一次性付清合同价款。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highlight w:val="none"/>
                <w:lang w:val="en-US"/>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27563"/>
      <w:bookmarkEnd w:id="21"/>
      <w:bookmarkStart w:id="22" w:name="_Toc296602429"/>
      <w:bookmarkEnd w:id="22"/>
      <w:bookmarkStart w:id="23" w:name="_Toc152045539"/>
      <w:bookmarkEnd w:id="23"/>
      <w:bookmarkStart w:id="24" w:name="_Toc247513962"/>
      <w:bookmarkEnd w:id="24"/>
      <w:bookmarkStart w:id="25" w:name="_Toc152042315"/>
      <w:bookmarkEnd w:id="25"/>
      <w:bookmarkStart w:id="26" w:name="_Toc144974507"/>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21.1投标文件由投标书一（资信证明文件）、投标书二（商务标）两部分组成。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（2）两部分投标文件制作并签章盖章完毕后，按第六章“投标文件格式文本”顺序扫描成一个PDF版投标文件。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b/>
          <w:bCs/>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color w:val="000000"/>
          <w:szCs w:val="21"/>
          <w:highlight w:val="none"/>
        </w:rPr>
        <w:t>投标人的投标报价应为包含所有成本、人员工资、差旅费、管理费、利润、风险费用、招标代理费、</w:t>
      </w:r>
      <w:r>
        <w:rPr>
          <w:rFonts w:hint="eastAsia" w:ascii="宋体" w:hAnsi="Times New Roman" w:eastAsia="宋体" w:cs="Times New Roman"/>
          <w:color w:val="000000"/>
          <w:szCs w:val="21"/>
          <w:highlight w:val="none"/>
          <w:lang w:val="en-US" w:eastAsia="zh-CN"/>
        </w:rPr>
        <w:t>专家评审费、</w:t>
      </w:r>
      <w:r>
        <w:rPr>
          <w:rFonts w:hint="eastAsia" w:ascii="宋体" w:hAnsi="Times New Roman" w:eastAsia="宋体" w:cs="Times New Roman"/>
          <w:color w:val="000000"/>
          <w:szCs w:val="21"/>
          <w:highlight w:val="none"/>
        </w:rPr>
        <w:t>评审开会的会务费用（包括但不限于会议室租用，投影，音响，茶歇、专家食宿、项目用车费用等）</w:t>
      </w:r>
      <w:r>
        <w:rPr>
          <w:rFonts w:hint="eastAsia" w:ascii="宋体" w:hAnsi="Times New Roman" w:eastAsia="宋体" w:cs="Times New Roman"/>
          <w:color w:val="000000"/>
          <w:szCs w:val="21"/>
          <w:highlight w:val="none"/>
          <w:lang w:eastAsia="zh-CN"/>
        </w:rPr>
        <w:t>、</w:t>
      </w:r>
      <w:r>
        <w:rPr>
          <w:rFonts w:hint="eastAsia" w:ascii="宋体" w:hAnsi="Times New Roman" w:eastAsia="宋体" w:cs="Times New Roman"/>
          <w:color w:val="000000"/>
          <w:szCs w:val="21"/>
          <w:highlight w:val="none"/>
        </w:rPr>
        <w:t>验收、服务期内工作所发生的一切应有费用及国家对中标单位征收的各种税费等所有一切费用。请各投标人报价时自行考虑此部分费用，投标报价今后将不作任何调整。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val="0"/>
          <w:color w:val="000000"/>
          <w:kern w:val="0"/>
          <w:sz w:val="21"/>
          <w:szCs w:val="21"/>
          <w:highlight w:val="none"/>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highlight w:val="none"/>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bookmarkStart w:id="42" w:name="_Toc316_WPSOffice_Level3"/>
      <w:bookmarkEnd w:id="42"/>
      <w:bookmarkStart w:id="43" w:name="_Toc23484"/>
      <w:r>
        <w:rPr>
          <w:rFonts w:hint="eastAsia" w:ascii="宋体" w:hAnsi="宋体" w:eastAsia="宋体" w:cs="宋体"/>
          <w:color w:val="000000"/>
          <w:kern w:val="0"/>
          <w:sz w:val="21"/>
          <w:szCs w:val="21"/>
          <w:highlight w:val="none"/>
          <w:u w:color="000000"/>
          <w:lang w:val="en-US" w:eastAsia="zh-CN" w:bidi="ar"/>
        </w:rPr>
        <w:t>36.1</w:t>
      </w:r>
      <w:bookmarkEnd w:id="43"/>
      <w:r>
        <w:rPr>
          <w:rFonts w:hint="eastAsia" w:ascii="宋体" w:hAnsi="宋体" w:eastAsia="宋体" w:cs="宋体"/>
          <w:color w:val="000000"/>
          <w:kern w:val="0"/>
          <w:sz w:val="21"/>
          <w:szCs w:val="21"/>
          <w:highlight w:val="none"/>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19"/>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（3）投标人须同时具有中华人民共和国住房和城乡建设主管部门颁发的送电、</w:t>
            </w:r>
            <w:bookmarkStart w:id="114" w:name="_GoBack"/>
            <w:bookmarkEnd w:id="114"/>
            <w:r>
              <w:rPr>
                <w:rFonts w:hint="eastAsia" w:ascii="宋体" w:hAnsi="宋体" w:eastAsia="宋体" w:cs="宋体"/>
                <w:color w:val="000000"/>
                <w:kern w:val="2"/>
                <w:sz w:val="21"/>
                <w:szCs w:val="21"/>
                <w:highlight w:val="none"/>
                <w:u w:color="000000"/>
                <w:lang w:val="en-US" w:eastAsia="zh-CN" w:bidi="ar"/>
              </w:rPr>
              <w:t>变电工程设计乙级及以上（或电力行业工程设计行业乙级及以上或综合设计甲级）资质和工程勘察专业类（岩土工程（勘察））乙级或工程勘察综合资质</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（4）拟派项目负责人须具有高级职称证书或注册在投标单位的注册电气工程师证书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项目负责人有效身份证扫描件及职称证书（或注册证书）扫描件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（5）投标人近三年内(2019年1月1日至今）未发生重大勘察设计质量问题（时间以相关行业主管部门的行政处罚决定或司法机关出具的有关法律文书为准）</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6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项目负责人有效身份证扫描件及职称证书（或注册证书）扫描件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（6）诚信投标承诺书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（7）服务承诺书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19"/>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831"/>
      <w:bookmarkStart w:id="52"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3" w:name="_Toc16323"/>
      <w:r>
        <w:rPr>
          <w:rFonts w:hint="eastAsia" w:ascii="宋体"/>
          <w:color w:val="auto"/>
          <w:szCs w:val="21"/>
          <w:highlight w:val="none"/>
          <w:lang w:val="en-US" w:eastAsia="zh-CN"/>
        </w:rPr>
        <w:t>6.1资信</w:t>
      </w:r>
      <w:r>
        <w:rPr>
          <w:rFonts w:hint="eastAsia" w:ascii="宋体"/>
          <w:color w:val="auto"/>
          <w:szCs w:val="21"/>
          <w:highlight w:val="none"/>
        </w:rPr>
        <w:t>评审细则（</w:t>
      </w:r>
      <w:r>
        <w:rPr>
          <w:rFonts w:hint="eastAsia" w:ascii="宋体"/>
          <w:color w:val="auto"/>
          <w:szCs w:val="21"/>
          <w:highlight w:val="none"/>
          <w:lang w:val="en-US" w:eastAsia="zh-CN"/>
        </w:rPr>
        <w:t>50</w:t>
      </w:r>
      <w:r>
        <w:rPr>
          <w:rFonts w:hint="eastAsia" w:ascii="宋体"/>
          <w:color w:val="auto"/>
          <w:szCs w:val="21"/>
          <w:highlight w:val="none"/>
        </w:rPr>
        <w:t>分）</w:t>
      </w:r>
      <w:bookmarkEnd w:id="53"/>
    </w:p>
    <w:tbl>
      <w:tblPr>
        <w:tblStyle w:val="19"/>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40分</w:t>
            </w:r>
          </w:p>
        </w:tc>
        <w:tc>
          <w:tcPr>
            <w:tcW w:w="3338" w:type="dxa"/>
            <w:noWrap w:val="0"/>
            <w:vAlign w:val="center"/>
          </w:tcPr>
          <w:p>
            <w:pPr>
              <w:keepNext w:val="0"/>
              <w:keepLines w:val="0"/>
              <w:numPr>
                <w:ilvl w:val="0"/>
                <w:numId w:val="0"/>
              </w:numPr>
              <w:suppressLineNumbers w:val="0"/>
              <w:spacing w:before="0" w:beforeAutospacing="0" w:after="0" w:afterAutospacing="0"/>
              <w:ind w:left="0" w:right="0" w:rightChars="0"/>
              <w:rPr>
                <w:rFonts w:hint="default" w:ascii="宋体" w:hAnsi="宋体" w:cs="宋体"/>
                <w:kern w:val="0"/>
                <w:szCs w:val="21"/>
                <w:highlight w:val="none"/>
                <w:lang w:val="en-US" w:eastAsia="zh-CN"/>
              </w:rPr>
            </w:pPr>
            <w:r>
              <w:rPr>
                <w:rFonts w:hint="eastAsia" w:ascii="宋体" w:hAnsi="宋体" w:cs="宋体"/>
                <w:bCs/>
                <w:szCs w:val="21"/>
                <w:highlight w:val="none"/>
              </w:rPr>
              <w:t>自201</w:t>
            </w:r>
            <w:r>
              <w:rPr>
                <w:rFonts w:hint="eastAsia" w:ascii="宋体" w:hAnsi="宋体" w:cs="宋体"/>
                <w:bCs/>
                <w:szCs w:val="21"/>
                <w:highlight w:val="none"/>
                <w:lang w:val="en-US" w:eastAsia="zh-CN"/>
              </w:rPr>
              <w:t>9</w:t>
            </w:r>
            <w:r>
              <w:rPr>
                <w:rFonts w:hint="eastAsia" w:ascii="宋体" w:hAnsi="宋体" w:cs="宋体"/>
                <w:bCs/>
                <w:szCs w:val="21"/>
                <w:highlight w:val="none"/>
              </w:rPr>
              <w:t>年1月</w:t>
            </w:r>
            <w:r>
              <w:rPr>
                <w:rFonts w:hint="eastAsia" w:ascii="宋体" w:hAnsi="宋体" w:eastAsia="宋体" w:cs="宋体"/>
                <w:bCs/>
                <w:szCs w:val="21"/>
                <w:highlight w:val="none"/>
              </w:rPr>
              <w:t>1日至投标截止时间止（以</w:t>
            </w:r>
            <w:r>
              <w:rPr>
                <w:rFonts w:hint="eastAsia" w:ascii="宋体" w:hAnsi="宋体" w:eastAsia="宋体" w:cs="宋体"/>
                <w:bCs/>
                <w:szCs w:val="21"/>
                <w:highlight w:val="none"/>
                <w:lang w:val="en-US" w:eastAsia="zh-CN"/>
              </w:rPr>
              <w:t>合同签订时间</w:t>
            </w:r>
            <w:r>
              <w:rPr>
                <w:rFonts w:hint="eastAsia" w:ascii="宋体" w:hAnsi="宋体" w:eastAsia="宋体" w:cs="宋体"/>
                <w:bCs/>
                <w:szCs w:val="21"/>
                <w:highlight w:val="none"/>
              </w:rPr>
              <w:t>为准），投标人</w:t>
            </w:r>
            <w:r>
              <w:rPr>
                <w:rFonts w:hint="eastAsia" w:ascii="宋体" w:hAnsi="宋体" w:eastAsia="宋体" w:cs="宋体"/>
                <w:bCs/>
                <w:szCs w:val="21"/>
                <w:highlight w:val="none"/>
                <w:lang w:val="en-US" w:eastAsia="zh-CN"/>
              </w:rPr>
              <w:t>每提供一个类似可行性研究报告编制业绩的得20分</w:t>
            </w:r>
            <w:r>
              <w:rPr>
                <w:rFonts w:hint="eastAsia" w:ascii="宋体" w:hAnsi="宋体" w:eastAsia="宋体" w:cs="宋体"/>
                <w:bCs/>
                <w:szCs w:val="21"/>
                <w:highlight w:val="none"/>
              </w:rPr>
              <w:t>；未提供的不得分，本条满分</w:t>
            </w:r>
            <w:r>
              <w:rPr>
                <w:rFonts w:hint="eastAsia" w:ascii="宋体" w:hAnsi="宋体" w:eastAsia="宋体" w:cs="宋体"/>
                <w:bCs/>
                <w:szCs w:val="21"/>
                <w:highlight w:val="none"/>
                <w:lang w:val="en-US" w:eastAsia="zh-CN"/>
              </w:rPr>
              <w:t>40</w:t>
            </w:r>
            <w:r>
              <w:rPr>
                <w:rFonts w:hint="eastAsia" w:ascii="宋体" w:hAnsi="宋体" w:eastAsia="宋体" w:cs="宋体"/>
                <w:bCs/>
                <w:szCs w:val="21"/>
                <w:highlight w:val="none"/>
              </w:rPr>
              <w:t>分。</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cs="宋体"/>
                <w:kern w:val="0"/>
                <w:szCs w:val="21"/>
                <w:highlight w:val="none"/>
                <w:lang w:val="en-US" w:eastAsia="zh-CN"/>
              </w:rPr>
              <w:t>投标文件中须提供业绩合同扫描件，合同内容须包含服务范围、合同签订时间、甲乙方盖章页等关键信息，否则不予以认可。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管理体系认证</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4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投标人同时具有经中国国家认证认可监督管理委员会认证机构颁发的有效的下列证书：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4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4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4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3.具有有效的职业健康安全管理体系认证证书；</w:t>
            </w:r>
          </w:p>
          <w:p>
            <w:pPr>
              <w:keepNext w:val="0"/>
              <w:keepLines w:val="0"/>
              <w:widowControl/>
              <w:suppressLineNumbers w:val="0"/>
              <w:spacing w:before="0" w:beforeAutospacing="0" w:after="0" w:afterAutospacing="0"/>
              <w:ind w:left="0" w:right="0"/>
              <w:rPr>
                <w:rFonts w:hint="default" w:ascii="Calibri" w:hAnsi="Calibri" w:eastAsia="宋体" w:cs="Times New Roman"/>
                <w:color w:val="000000"/>
                <w:szCs w:val="21"/>
                <w:highlight w:val="none"/>
                <w:lang w:val="en-US" w:eastAsia="zh-CN"/>
              </w:rPr>
            </w:pPr>
            <w:r>
              <w:rPr>
                <w:rFonts w:hint="eastAsia" w:ascii="Calibri" w:hAnsi="Calibri" w:eastAsia="宋体" w:cs="Times New Roman"/>
                <w:color w:val="000000"/>
                <w:szCs w:val="21"/>
                <w:highlight w:val="none"/>
                <w:lang w:val="en-US" w:eastAsia="zh-CN"/>
              </w:rPr>
              <w:t>全部提供的得</w:t>
            </w:r>
            <w:r>
              <w:rPr>
                <w:rFonts w:hint="eastAsia" w:ascii="宋体" w:hAnsi="宋体" w:eastAsia="宋体" w:cs="宋体"/>
                <w:color w:val="000000"/>
                <w:szCs w:val="21"/>
                <w:highlight w:val="none"/>
                <w:lang w:val="en-US" w:eastAsia="zh-CN"/>
              </w:rPr>
              <w:t>10分</w:t>
            </w:r>
            <w:r>
              <w:rPr>
                <w:rFonts w:hint="eastAsia" w:ascii="Calibri" w:hAnsi="Calibri" w:eastAsia="宋体" w:cs="Times New Roman"/>
                <w:color w:val="000000"/>
                <w:szCs w:val="21"/>
                <w:highlight w:val="none"/>
                <w:lang w:val="en-US" w:eastAsia="zh-CN"/>
              </w:rPr>
              <w:t>，缺项或未提供的不得分，</w:t>
            </w:r>
            <w:r>
              <w:rPr>
                <w:rFonts w:hint="eastAsia" w:ascii="宋体" w:hAnsi="宋体" w:eastAsia="宋体" w:cs="宋体"/>
                <w:bCs/>
                <w:szCs w:val="21"/>
                <w:highlight w:val="none"/>
              </w:rPr>
              <w:t>本条满分</w:t>
            </w: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分。</w:t>
            </w:r>
          </w:p>
        </w:tc>
        <w:tc>
          <w:tcPr>
            <w:tcW w:w="1830"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r>
              <w:rPr>
                <w:rFonts w:hint="eastAsia" w:ascii="宋体" w:hAnsi="宋体" w:eastAsia="宋体"/>
                <w:b w:val="0"/>
                <w:bCs/>
                <w:sz w:val="21"/>
                <w:szCs w:val="21"/>
                <w:highlight w:val="none"/>
              </w:rPr>
              <w:t>投标文件中提供有效的证书扫描件以及全国认证认可信息公共服务平台</w:t>
            </w:r>
            <w:r>
              <w:rPr>
                <w:rFonts w:hint="default" w:ascii="宋体" w:hAnsi="宋体" w:eastAsia="宋体"/>
                <w:b w:val="0"/>
                <w:bCs/>
                <w:sz w:val="21"/>
                <w:szCs w:val="21"/>
                <w:highlight w:val="none"/>
              </w:rPr>
              <w:t>证书</w:t>
            </w:r>
            <w:r>
              <w:rPr>
                <w:rFonts w:hint="eastAsia" w:ascii="宋体" w:hAnsi="宋体" w:eastAsia="宋体"/>
                <w:b w:val="0"/>
                <w:bCs/>
                <w:sz w:val="21"/>
                <w:szCs w:val="21"/>
                <w:highlight w:val="none"/>
              </w:rPr>
              <w:t>信息</w:t>
            </w:r>
            <w:r>
              <w:rPr>
                <w:rFonts w:hint="default" w:ascii="宋体" w:hAnsi="宋体" w:eastAsia="宋体"/>
                <w:b w:val="0"/>
                <w:bCs/>
                <w:sz w:val="21"/>
                <w:szCs w:val="21"/>
                <w:highlight w:val="none"/>
              </w:rPr>
              <w:t>查询截图</w:t>
            </w:r>
            <w:r>
              <w:rPr>
                <w:rFonts w:hint="eastAsia" w:ascii="宋体" w:hAnsi="宋体" w:eastAsia="宋体"/>
                <w:b w:val="0"/>
                <w:bCs/>
                <w:sz w:val="21"/>
                <w:szCs w:val="21"/>
                <w:highlight w:val="none"/>
              </w:rPr>
              <w:t>。</w:t>
            </w:r>
          </w:p>
        </w:tc>
      </w:tr>
    </w:tbl>
    <w:p>
      <w:pPr>
        <w:spacing w:line="360" w:lineRule="auto"/>
        <w:ind w:firstLine="315" w:firstLineChars="150"/>
        <w:rPr>
          <w:rFonts w:hint="eastAsia" w:ascii="宋体"/>
          <w:color w:val="auto"/>
          <w:szCs w:val="21"/>
          <w:highlight w:val="none"/>
          <w:lang w:val="en-US" w:eastAsia="zh-CN"/>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6.2</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50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19"/>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1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1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1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18"/>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4" w:name="_Toc25521"/>
      <w:bookmarkStart w:id="55" w:name="_Toc19726_WPSOffice_Level2"/>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highlight w:val="none"/>
        </w:rPr>
        <w:t>，以投标报价低的优先，投标报价仍相等</w:t>
      </w:r>
      <w:r>
        <w:rPr>
          <w:rFonts w:hint="eastAsia" w:ascii="宋体" w:hAnsi="Times New Roman" w:eastAsia="宋体" w:cs="Times New Roman"/>
          <w:color w:val="000000"/>
          <w:szCs w:val="21"/>
          <w:highlight w:val="none"/>
          <w:lang w:eastAsia="zh-CN"/>
        </w:rPr>
        <w:t>，</w:t>
      </w:r>
      <w:r>
        <w:rPr>
          <w:rFonts w:hint="eastAsia" w:ascii="宋体" w:hAnsi="Times New Roman" w:eastAsia="宋体" w:cs="Times New Roman"/>
          <w:color w:val="000000"/>
          <w:szCs w:val="21"/>
          <w:highlight w:val="none"/>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cs="Times New Roman"/>
          <w:kern w:val="0"/>
          <w:szCs w:val="21"/>
          <w:highlight w:val="none"/>
          <w:lang w:val="en-US" w:eastAsia="zh-CN" w:bidi="en-US"/>
        </w:rPr>
        <w:t>滁州至南京城际铁路（滁州段）车站屋顶及车辆段屋顶3MW</w:t>
      </w:r>
      <w:r>
        <w:rPr>
          <w:rFonts w:hint="eastAsia" w:ascii="宋体" w:hAnsi="宋体" w:eastAsia="宋体" w:cs="Times New Roman"/>
          <w:kern w:val="0"/>
          <w:szCs w:val="21"/>
          <w:highlight w:val="none"/>
          <w:lang w:bidi="en-US"/>
        </w:rPr>
        <w:t>分布式光伏发电项目位于安徽省</w:t>
      </w:r>
      <w:r>
        <w:rPr>
          <w:rFonts w:hint="eastAsia" w:ascii="宋体" w:hAnsi="宋体" w:eastAsia="宋体" w:cs="Times New Roman"/>
          <w:kern w:val="0"/>
          <w:szCs w:val="21"/>
          <w:highlight w:val="none"/>
          <w:lang w:val="en-US" w:eastAsia="zh-CN" w:bidi="en-US"/>
        </w:rPr>
        <w:t>滁州</w:t>
      </w:r>
      <w:r>
        <w:rPr>
          <w:rFonts w:hint="eastAsia" w:ascii="宋体" w:hAnsi="宋体" w:eastAsia="宋体" w:cs="Times New Roman"/>
          <w:kern w:val="0"/>
          <w:szCs w:val="21"/>
          <w:highlight w:val="none"/>
          <w:lang w:bidi="en-US"/>
        </w:rPr>
        <w:t>市，</w:t>
      </w:r>
      <w:r>
        <w:rPr>
          <w:rFonts w:hint="eastAsia" w:ascii="宋体" w:hAnsi="宋体" w:eastAsia="宋体" w:cs="Times New Roman"/>
          <w:kern w:val="0"/>
          <w:szCs w:val="21"/>
          <w:highlight w:val="none"/>
          <w:lang w:val="en-US" w:eastAsia="zh-CN" w:bidi="en-US"/>
        </w:rPr>
        <w:t>滁州至南京城际铁路（滁州段）分布式屋顶发电项目主要由车辆段（检查库、工程车库物资总库等），一期站点屋顶（友谊路站、苏滁产业园站、汉河新城站、汉河镇站、示范园站、相官北站）、二期站点屋顶（滁州高铁站、技术学院站）</w:t>
      </w:r>
      <w:r>
        <w:rPr>
          <w:rFonts w:hint="eastAsia" w:ascii="宋体" w:hAnsi="宋体" w:eastAsia="宋体" w:cs="Times New Roman"/>
          <w:kern w:val="0"/>
          <w:szCs w:val="21"/>
          <w:highlight w:val="none"/>
          <w:lang w:bidi="en-US"/>
        </w:rPr>
        <w:t>等组成，</w:t>
      </w:r>
      <w:r>
        <w:rPr>
          <w:rFonts w:hint="eastAsia" w:ascii="宋体" w:hAnsi="宋体" w:eastAsia="宋体" w:cs="Times New Roman"/>
          <w:b/>
          <w:bCs/>
          <w:kern w:val="0"/>
          <w:szCs w:val="21"/>
          <w:highlight w:val="none"/>
          <w:lang w:bidi="en-US"/>
        </w:rPr>
        <w:t>共计约</w:t>
      </w:r>
      <w:r>
        <w:rPr>
          <w:rFonts w:hint="eastAsia" w:ascii="宋体" w:hAnsi="宋体" w:eastAsia="宋体" w:cs="Times New Roman"/>
          <w:b/>
          <w:bCs/>
          <w:kern w:val="0"/>
          <w:szCs w:val="21"/>
          <w:highlight w:val="none"/>
          <w:lang w:val="en-US" w:eastAsia="zh-CN" w:bidi="en-US"/>
        </w:rPr>
        <w:t>1</w:t>
      </w:r>
      <w:r>
        <w:rPr>
          <w:rFonts w:hint="eastAsia" w:ascii="宋体" w:hAnsi="宋体" w:eastAsia="宋体" w:cs="Times New Roman"/>
          <w:b/>
          <w:bCs/>
          <w:kern w:val="0"/>
          <w:szCs w:val="21"/>
          <w:highlight w:val="none"/>
          <w:lang w:bidi="en-US"/>
        </w:rPr>
        <w:t>1个单位建筑物（每个单位建筑单体≥1）</w:t>
      </w:r>
      <w:r>
        <w:rPr>
          <w:rFonts w:hint="eastAsia" w:ascii="宋体" w:hAnsi="宋体" w:eastAsia="宋体" w:cs="Times New Roman"/>
          <w:kern w:val="0"/>
          <w:szCs w:val="21"/>
          <w:highlight w:val="none"/>
          <w:lang w:bidi="en-US"/>
        </w:rPr>
        <w:t>，屋顶合计可利用面积约</w:t>
      </w:r>
      <w:r>
        <w:rPr>
          <w:rFonts w:hint="eastAsia" w:ascii="宋体" w:hAnsi="宋体" w:eastAsia="宋体" w:cs="Times New Roman"/>
          <w:kern w:val="0"/>
          <w:szCs w:val="21"/>
          <w:highlight w:val="none"/>
          <w:lang w:val="en-US" w:eastAsia="zh-CN" w:bidi="en-US"/>
        </w:rPr>
        <w:t>2.9</w:t>
      </w:r>
      <w:r>
        <w:rPr>
          <w:rFonts w:hint="eastAsia" w:ascii="宋体" w:hAnsi="宋体" w:eastAsia="宋体" w:cs="Times New Roman"/>
          <w:kern w:val="0"/>
          <w:szCs w:val="21"/>
          <w:highlight w:val="none"/>
          <w:lang w:bidi="en-US"/>
        </w:rPr>
        <w:t>万平，合计安装约3MW屋顶分布式光伏，项目采用“自发自用、余电上网”上网方式。</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57" w:name="_Toc481056920"/>
      <w:bookmarkStart w:id="58" w:name="_Toc476231212"/>
      <w:bookmarkStart w:id="59" w:name="_Toc476231709"/>
      <w:r>
        <w:rPr>
          <w:rFonts w:hint="eastAsia" w:ascii="宋体" w:hAnsi="宋体" w:eastAsia="宋体" w:cs="宋体"/>
          <w:b/>
          <w:sz w:val="21"/>
          <w:szCs w:val="21"/>
          <w:highlight w:val="none"/>
          <w:lang w:val="en-US" w:eastAsia="zh-CN"/>
        </w:rPr>
        <w:t>二、服务范围</w:t>
      </w:r>
      <w:bookmarkEnd w:id="57"/>
      <w:bookmarkEnd w:id="58"/>
      <w:bookmarkEnd w:id="59"/>
      <w:bookmarkStart w:id="60" w:name="_Toc366184400"/>
      <w:bookmarkStart w:id="61" w:name="_Toc366188286"/>
      <w:bookmarkStart w:id="62" w:name="_Toc353539243"/>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ascii="宋体" w:hAnsi="宋体" w:eastAsia="宋体"/>
          <w:szCs w:val="21"/>
          <w:highlight w:val="none"/>
        </w:rPr>
      </w:pPr>
      <w:r>
        <w:rPr>
          <w:rFonts w:hint="eastAsia" w:ascii="宋体" w:hAnsi="宋体" w:eastAsia="宋体" w:cs="Times New Roman"/>
          <w:color w:val="000000" w:themeColor="text1"/>
          <w:kern w:val="0"/>
          <w:szCs w:val="21"/>
          <w:highlight w:val="none"/>
          <w:lang w:bidi="en-US"/>
          <w14:textFill>
            <w14:solidFill>
              <w14:schemeClr w14:val="tx1"/>
            </w14:solidFill>
          </w14:textFill>
        </w:rPr>
        <w:t>编制</w:t>
      </w:r>
      <w:r>
        <w:rPr>
          <w:rFonts w:hint="eastAsia" w:ascii="宋体" w:hAnsi="宋体" w:eastAsia="宋体" w:cs="Times New Roman"/>
          <w:kern w:val="0"/>
          <w:szCs w:val="21"/>
          <w:highlight w:val="none"/>
          <w:lang w:val="en-US" w:eastAsia="zh-CN" w:bidi="en-US"/>
        </w:rPr>
        <w:t>滁州至南京城际铁路（滁州段）车站屋顶及车辆段屋顶3MW</w:t>
      </w:r>
      <w:r>
        <w:rPr>
          <w:rFonts w:hint="eastAsia" w:ascii="宋体" w:hAnsi="宋体" w:eastAsia="宋体" w:cs="Times New Roman"/>
          <w:kern w:val="0"/>
          <w:szCs w:val="21"/>
          <w:highlight w:val="none"/>
          <w:lang w:bidi="en-US"/>
        </w:rPr>
        <w:t>分布式光伏发电项目可行性研究报告，</w:t>
      </w:r>
      <w:r>
        <w:rPr>
          <w:rFonts w:hint="eastAsia" w:ascii="宋体" w:hAnsi="宋体" w:eastAsia="宋体"/>
          <w:szCs w:val="21"/>
          <w:highlight w:val="none"/>
        </w:rPr>
        <w:t>并通过</w:t>
      </w:r>
      <w:r>
        <w:rPr>
          <w:rFonts w:hint="eastAsia" w:ascii="宋体" w:hAnsi="宋体" w:eastAsia="宋体" w:cs="Times New Roman"/>
          <w:kern w:val="0"/>
          <w:szCs w:val="21"/>
          <w:highlight w:val="none"/>
          <w:lang w:bidi="en-US"/>
        </w:rPr>
        <w:t>专家评审。</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63" w:name="_Toc476231213"/>
      <w:bookmarkStart w:id="64" w:name="_Toc481056921"/>
      <w:bookmarkStart w:id="65" w:name="_Toc476231710"/>
      <w:r>
        <w:rPr>
          <w:rFonts w:hint="eastAsia" w:ascii="宋体" w:hAnsi="宋体" w:eastAsia="宋体" w:cs="宋体"/>
          <w:b/>
          <w:sz w:val="21"/>
          <w:szCs w:val="21"/>
          <w:highlight w:val="none"/>
          <w:lang w:val="en-US" w:eastAsia="zh-CN"/>
        </w:rPr>
        <w:t>三、项目内容</w:t>
      </w:r>
      <w:bookmarkEnd w:id="63"/>
      <w:bookmarkEnd w:id="64"/>
      <w:bookmarkEnd w:id="65"/>
      <w:r>
        <w:rPr>
          <w:rFonts w:hint="eastAsia" w:ascii="宋体" w:hAnsi="宋体" w:eastAsia="宋体" w:cs="宋体"/>
          <w:b/>
          <w:sz w:val="21"/>
          <w:szCs w:val="21"/>
          <w:highlight w:val="none"/>
          <w:lang w:val="en-US" w:eastAsia="zh-CN"/>
        </w:rPr>
        <w:t>及工作要求</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按照《光伏发电工程可行性研究报告编制规程》（NB∕T 32043-2018）的要求，编制项目可行性研究报告，主要内容包括但不限于光资源分析</w:t>
      </w:r>
      <w:r>
        <w:rPr>
          <w:rFonts w:hint="eastAsia" w:ascii="宋体" w:hAnsi="宋体" w:eastAsia="宋体"/>
          <w:szCs w:val="21"/>
          <w:highlight w:val="none"/>
        </w:rPr>
        <w:t>、建筑结构及屋顶结构勘察、工程任务和规模、组件选型、布置及发电量估算、电气设计、土建工程设计、消防设计、施工组织设计、环境保护</w:t>
      </w:r>
      <w:r>
        <w:rPr>
          <w:rFonts w:hint="eastAsia" w:ascii="宋体" w:hAnsi="宋体" w:eastAsia="宋体" w:cs="Times New Roman"/>
          <w:color w:val="000000" w:themeColor="text1"/>
          <w:kern w:val="0"/>
          <w:szCs w:val="21"/>
          <w:highlight w:val="none"/>
          <w:lang w:bidi="en-US"/>
          <w14:textFill>
            <w14:solidFill>
              <w14:schemeClr w14:val="tx1"/>
            </w14:solidFill>
          </w14:textFill>
        </w:rPr>
        <w:t>与水土保持、劳动安全与工业卫生、设计概算、财务评价与社会效果分析、节能降耗、工程招标等内容。</w:t>
      </w:r>
    </w:p>
    <w:bookmarkEnd w:id="60"/>
    <w:bookmarkEnd w:id="61"/>
    <w:bookmarkEnd w:id="62"/>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66" w:name="_Toc481056958"/>
      <w:bookmarkStart w:id="67" w:name="_Toc366184199"/>
      <w:bookmarkStart w:id="68" w:name="_Toc366147432"/>
      <w:bookmarkStart w:id="69" w:name="_Toc366184155"/>
      <w:bookmarkStart w:id="70" w:name="_Toc366188136"/>
      <w:bookmarkStart w:id="71" w:name="_Toc476231250"/>
      <w:bookmarkStart w:id="72" w:name="_Toc366184402"/>
      <w:bookmarkStart w:id="73" w:name="_Toc366188288"/>
      <w:r>
        <w:rPr>
          <w:rFonts w:hint="eastAsia" w:ascii="宋体" w:hAnsi="宋体" w:eastAsia="宋体" w:cs="宋体"/>
          <w:b/>
          <w:sz w:val="21"/>
          <w:szCs w:val="21"/>
          <w:highlight w:val="none"/>
          <w:lang w:val="en-US" w:eastAsia="zh-CN"/>
        </w:rPr>
        <w:t>四、服务目标</w:t>
      </w:r>
      <w:bookmarkEnd w:id="66"/>
      <w:bookmarkEnd w:id="67"/>
      <w:bookmarkEnd w:id="68"/>
      <w:bookmarkEnd w:id="69"/>
      <w:bookmarkEnd w:id="70"/>
      <w:bookmarkEnd w:id="71"/>
      <w:bookmarkEnd w:id="72"/>
      <w:bookmarkEnd w:id="73"/>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szCs w:val="21"/>
          <w:highlight w:val="none"/>
        </w:rPr>
        <w:t>编制的</w:t>
      </w:r>
      <w:r>
        <w:rPr>
          <w:rFonts w:hint="eastAsia" w:ascii="宋体" w:hAnsi="宋体" w:eastAsia="宋体" w:cs="Times New Roman"/>
          <w:kern w:val="0"/>
          <w:szCs w:val="21"/>
          <w:highlight w:val="none"/>
          <w:lang w:bidi="en-US"/>
        </w:rPr>
        <w:t>可行性研究报告</w:t>
      </w:r>
      <w:r>
        <w:rPr>
          <w:rFonts w:hint="eastAsia" w:ascii="宋体" w:hAnsi="宋体" w:eastAsia="宋体" w:cs="Times New Roman"/>
          <w:color w:val="000000" w:themeColor="text1"/>
          <w:kern w:val="0"/>
          <w:szCs w:val="21"/>
          <w:highlight w:val="none"/>
          <w:lang w:bidi="en-US"/>
          <w14:textFill>
            <w14:solidFill>
              <w14:schemeClr w14:val="tx1"/>
            </w14:solidFill>
          </w14:textFill>
        </w:rPr>
        <w:t>通过专家评审。</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74" w:name="_Toc481056977"/>
      <w:bookmarkStart w:id="75" w:name="_Toc366184194"/>
      <w:bookmarkStart w:id="76" w:name="_Toc366184150"/>
      <w:bookmarkStart w:id="77" w:name="_Toc366188134"/>
      <w:bookmarkStart w:id="78" w:name="_Toc366184396"/>
      <w:bookmarkStart w:id="79" w:name="_Toc366188282"/>
      <w:bookmarkStart w:id="80" w:name="_Toc366147430"/>
      <w:bookmarkStart w:id="81" w:name="_Toc476231277"/>
      <w:r>
        <w:rPr>
          <w:rFonts w:hint="eastAsia" w:ascii="宋体" w:hAnsi="宋体" w:eastAsia="宋体" w:cs="宋体"/>
          <w:b/>
          <w:sz w:val="21"/>
          <w:szCs w:val="21"/>
          <w:highlight w:val="none"/>
          <w:lang w:val="en-US" w:eastAsia="zh-CN"/>
        </w:rPr>
        <w:t>五、编制周期</w:t>
      </w:r>
      <w:bookmarkEnd w:id="74"/>
      <w:bookmarkEnd w:id="75"/>
      <w:bookmarkEnd w:id="76"/>
      <w:bookmarkEnd w:id="77"/>
      <w:bookmarkEnd w:id="78"/>
      <w:bookmarkEnd w:id="79"/>
      <w:bookmarkEnd w:id="80"/>
      <w:bookmarkEnd w:id="81"/>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ascii="宋体" w:hAnsi="宋体" w:eastAsia="宋体" w:cs="Times New Roman"/>
          <w:kern w:val="0"/>
          <w:szCs w:val="21"/>
          <w:highlight w:val="none"/>
          <w:lang w:bidi="en-US"/>
        </w:rPr>
      </w:pPr>
      <w:r>
        <w:rPr>
          <w:rFonts w:hint="eastAsia" w:ascii="宋体" w:hAnsi="宋体" w:eastAsia="宋体" w:cs="Times New Roman"/>
          <w:kern w:val="0"/>
          <w:szCs w:val="21"/>
          <w:highlight w:val="none"/>
          <w:lang w:bidi="en-US"/>
        </w:rPr>
        <w:t>合同签订后1</w:t>
      </w:r>
      <w:r>
        <w:rPr>
          <w:rFonts w:ascii="宋体" w:hAnsi="宋体" w:eastAsia="宋体" w:cs="Times New Roman"/>
          <w:kern w:val="0"/>
          <w:szCs w:val="21"/>
          <w:highlight w:val="none"/>
          <w:lang w:bidi="en-US"/>
        </w:rPr>
        <w:t>4</w:t>
      </w:r>
      <w:r>
        <w:rPr>
          <w:rFonts w:hint="eastAsia" w:ascii="宋体" w:hAnsi="宋体" w:eastAsia="宋体" w:cs="Times New Roman"/>
          <w:kern w:val="0"/>
          <w:szCs w:val="21"/>
          <w:highlight w:val="none"/>
          <w:lang w:bidi="en-US"/>
        </w:rPr>
        <w:t>天内完成送审稿、20天内完成终稿及合同规定的工作内容。</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82" w:name="_Toc476231278"/>
      <w:bookmarkStart w:id="83" w:name="_Toc481056978"/>
      <w:r>
        <w:rPr>
          <w:rFonts w:hint="eastAsia" w:ascii="宋体" w:hAnsi="宋体" w:eastAsia="宋体" w:cs="宋体"/>
          <w:b/>
          <w:sz w:val="21"/>
          <w:szCs w:val="21"/>
          <w:highlight w:val="none"/>
          <w:lang w:val="en-US" w:eastAsia="zh-CN"/>
        </w:rPr>
        <w:t>六、招标人相关验收标准</w:t>
      </w:r>
      <w:bookmarkEnd w:id="82"/>
      <w:bookmarkEnd w:id="83"/>
      <w:r>
        <w:rPr>
          <w:rFonts w:hint="eastAsia" w:ascii="宋体" w:hAnsi="宋体" w:eastAsia="宋体" w:cs="宋体"/>
          <w:b/>
          <w:sz w:val="21"/>
          <w:szCs w:val="21"/>
          <w:highlight w:val="none"/>
          <w:lang w:val="en-US" w:eastAsia="zh-CN"/>
        </w:rPr>
        <w:t>（包括但不限于）</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.1《中华人民共和国可再生能源法》(2009年修订)；</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.2《中华人民共和国土地管理法》(1986年6月通过，1998年12月第一次修订，2004年8月第二次修订)；</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.3《中华人民共和国土地管理法实施条例》(2014年7月修正版)；</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.4《中华人民共和国水土保持法》(1991.06.29颁布，2010.12.25修订，2011年3月1日实施)；</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5《中华人民共和国文物保护法》(2015年4月24日修正)；</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.6《中华人民共和国环境保护法(修订)》，2015年1月1日；</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.7《中华人民共和国环境影响评价法》(2002年10月颁布，2016年9月1日修改))；</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.8《中华人民共和国自然保护区条例》(1994年10月颁布，2011年1月修订)；</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.9《风景名胜区条例》(2006年9月颁布，2016年2月6日修订)；</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.10《光伏发电工程可行性研究报告编制规程 》(NB∕T 32043-2018)；</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.11《电网调度管理条例》(1993年11月颁布，2011年1月8日修正)；</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.12《建设项目选址规划管理办法》(建设部、国家计委1991年8月颁发)；</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.13《中国地震动参数区划图》GB 18306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.14《太阳能资源等级总辐射》GB/T 31155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.15《光伏发电站设计规范》GB 50797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.16《光伏发电工程设计概算编制规定及费用标准》NB/T 32027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.17《光伏发电工程勘察设计费计算标准》NB/T 32030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.18《光伏发电工程概算定额》NB/T 32035</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.19《岩土工程勘察规范》 GB 50021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.20《建筑施工企业职业病危害防治技术规范》AQ/T 4256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.21《中华人民共和国安全生产法》（2014年12月1日施行）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.22《生产过程安全卫生要求总则》GB/T 12801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.23《生产经营单位安全生产事故应急预案编制导则》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.24《生产安全事故应急预案管理办法》 </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6</w:t>
      </w:r>
      <w:r>
        <w:rPr>
          <w:rFonts w:hint="eastAsia" w:ascii="宋体" w:hAnsi="宋体" w:eastAsia="宋体" w:cs="Times New Roman"/>
          <w:kern w:val="0"/>
          <w:szCs w:val="21"/>
          <w:highlight w:val="none"/>
          <w:lang w:bidi="en-US"/>
        </w:rPr>
        <w:t xml:space="preserve">.25《企业安全生产应急管理九条规定》（国家安监局第74号令） </w:t>
      </w:r>
    </w:p>
    <w:p>
      <w:pPr>
        <w:pStyle w:val="31"/>
        <w:keepNext w:val="0"/>
        <w:keepLines w:val="0"/>
        <w:pageBreakBefore w:val="0"/>
        <w:widowControl/>
        <w:kinsoku/>
        <w:wordWrap/>
        <w:overflowPunct/>
        <w:topLinePunct w:val="0"/>
        <w:autoSpaceDE/>
        <w:autoSpaceDN/>
        <w:bidi w:val="0"/>
        <w:adjustRightInd/>
        <w:spacing w:line="420" w:lineRule="exact"/>
        <w:textAlignment w:val="auto"/>
        <w:rPr>
          <w:rFonts w:ascii="宋体" w:hAnsi="宋体" w:eastAsia="宋体" w:cs="Times New Roman"/>
          <w:kern w:val="0"/>
          <w:szCs w:val="21"/>
          <w:highlight w:val="none"/>
          <w:lang w:bidi="en-US"/>
        </w:rPr>
      </w:pPr>
      <w:r>
        <w:rPr>
          <w:rFonts w:hint="eastAsia" w:ascii="宋体" w:hAnsi="宋体" w:eastAsia="宋体" w:cs="Times New Roman"/>
          <w:kern w:val="0"/>
          <w:szCs w:val="21"/>
          <w:highlight w:val="none"/>
          <w:lang w:bidi="en-US"/>
        </w:rPr>
        <w:t>因项目执行需要，</w:t>
      </w:r>
      <w:r>
        <w:rPr>
          <w:rFonts w:hint="eastAsia" w:ascii="宋体" w:hAnsi="宋体" w:eastAsia="宋体" w:cs="Times New Roman"/>
          <w:kern w:val="0"/>
          <w:szCs w:val="21"/>
          <w:highlight w:val="none"/>
          <w:lang w:val="en-US" w:eastAsia="zh-CN" w:bidi="en-US"/>
        </w:rPr>
        <w:t>招标人</w:t>
      </w:r>
      <w:r>
        <w:rPr>
          <w:rFonts w:hint="eastAsia" w:ascii="宋体" w:hAnsi="宋体" w:eastAsia="宋体" w:cs="Times New Roman"/>
          <w:kern w:val="0"/>
          <w:szCs w:val="21"/>
          <w:highlight w:val="none"/>
          <w:lang w:bidi="en-US"/>
        </w:rPr>
        <w:t>向</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提供气象数据、场址范围、区域敏感因素等资料，乙方应遵守对资料的保密、保管要求。</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未经</w:t>
      </w:r>
      <w:r>
        <w:rPr>
          <w:rFonts w:hint="eastAsia" w:ascii="宋体" w:hAnsi="宋体" w:eastAsia="宋体" w:cs="Times New Roman"/>
          <w:kern w:val="0"/>
          <w:szCs w:val="21"/>
          <w:highlight w:val="none"/>
          <w:lang w:val="en-US" w:eastAsia="zh-CN" w:bidi="en-US"/>
        </w:rPr>
        <w:t>招标人</w:t>
      </w:r>
      <w:r>
        <w:rPr>
          <w:rFonts w:hint="eastAsia" w:ascii="宋体" w:hAnsi="宋体" w:eastAsia="宋体" w:cs="Times New Roman"/>
          <w:kern w:val="0"/>
          <w:szCs w:val="21"/>
          <w:highlight w:val="none"/>
          <w:lang w:bidi="en-US"/>
        </w:rPr>
        <w:t>同意，不得将资料转给第三方。</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22" w:firstLineChars="200"/>
        <w:textAlignment w:val="auto"/>
        <w:rPr>
          <w:rFonts w:hint="eastAsia" w:ascii="宋体" w:hAnsi="宋体" w:eastAsia="宋体" w:cs="宋体"/>
          <w:b/>
          <w:sz w:val="21"/>
          <w:szCs w:val="21"/>
          <w:highlight w:val="none"/>
          <w:lang w:val="en-US" w:eastAsia="zh-CN"/>
        </w:rPr>
      </w:pPr>
      <w:bookmarkStart w:id="84" w:name="_Toc476231319"/>
      <w:bookmarkStart w:id="85" w:name="_Toc481057015"/>
      <w:r>
        <w:rPr>
          <w:rFonts w:hint="eastAsia" w:ascii="宋体" w:hAnsi="宋体" w:eastAsia="宋体" w:cs="宋体"/>
          <w:b/>
          <w:sz w:val="21"/>
          <w:szCs w:val="21"/>
          <w:highlight w:val="none"/>
          <w:lang w:val="en-US" w:eastAsia="zh-CN"/>
        </w:rPr>
        <w:t>七、双方责任</w:t>
      </w:r>
      <w:bookmarkEnd w:id="84"/>
      <w:bookmarkEnd w:id="85"/>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bookmarkStart w:id="86" w:name="_Toc476231817"/>
      <w:bookmarkStart w:id="87" w:name="_Toc481057016"/>
      <w:bookmarkStart w:id="88" w:name="_Toc476231320"/>
      <w:r>
        <w:rPr>
          <w:rFonts w:hint="eastAsia" w:ascii="宋体" w:hAnsi="宋体" w:eastAsia="宋体" w:cs="Times New Roman"/>
          <w:kern w:val="0"/>
          <w:szCs w:val="21"/>
          <w:highlight w:val="none"/>
          <w:lang w:val="en-US" w:eastAsia="zh-CN" w:bidi="en-US"/>
        </w:rPr>
        <w:t>7.1招标人</w:t>
      </w:r>
      <w:r>
        <w:rPr>
          <w:rFonts w:hint="eastAsia" w:ascii="宋体" w:hAnsi="宋体" w:eastAsia="宋体" w:cs="Times New Roman"/>
          <w:kern w:val="0"/>
          <w:szCs w:val="21"/>
          <w:highlight w:val="none"/>
          <w:lang w:bidi="en-US"/>
        </w:rPr>
        <w:t>责任</w:t>
      </w:r>
      <w:bookmarkEnd w:id="86"/>
      <w:bookmarkEnd w:id="87"/>
      <w:bookmarkEnd w:id="88"/>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bookmarkStart w:id="89" w:name="_Toc476231818"/>
      <w:bookmarkStart w:id="90" w:name="_Toc481057017"/>
      <w:bookmarkStart w:id="91" w:name="_Toc476231321"/>
      <w:r>
        <w:rPr>
          <w:rFonts w:hint="eastAsia" w:ascii="宋体" w:hAnsi="宋体" w:eastAsia="宋体" w:cs="Times New Roman"/>
          <w:kern w:val="0"/>
          <w:szCs w:val="21"/>
          <w:highlight w:val="none"/>
          <w:lang w:val="en-US" w:eastAsia="zh-CN" w:bidi="en-US"/>
        </w:rPr>
        <w:t>7.1.1</w:t>
      </w:r>
      <w:r>
        <w:rPr>
          <w:rFonts w:hint="eastAsia" w:ascii="宋体" w:hAnsi="宋体" w:eastAsia="宋体" w:cs="Times New Roman"/>
          <w:kern w:val="0"/>
          <w:szCs w:val="21"/>
          <w:highlight w:val="none"/>
          <w:lang w:bidi="en-US"/>
        </w:rPr>
        <w:t>负责对</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服务管理的检查指导、监督与考核。</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7.1.2</w:t>
      </w:r>
      <w:r>
        <w:rPr>
          <w:rFonts w:hint="eastAsia" w:ascii="宋体" w:hAnsi="宋体" w:eastAsia="宋体" w:cs="Times New Roman"/>
          <w:kern w:val="0"/>
          <w:szCs w:val="21"/>
          <w:highlight w:val="none"/>
          <w:lang w:bidi="en-US"/>
        </w:rPr>
        <w:t>负责制定并向</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提供相关服务标准及其它相关资料。</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7.1.3</w:t>
      </w:r>
      <w:r>
        <w:rPr>
          <w:rFonts w:hint="eastAsia" w:ascii="宋体" w:hAnsi="宋体" w:eastAsia="宋体" w:cs="Times New Roman"/>
          <w:kern w:val="0"/>
          <w:szCs w:val="21"/>
          <w:highlight w:val="none"/>
          <w:lang w:bidi="en-US"/>
        </w:rPr>
        <w:t>负责审核</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提供的服务计划。</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bidi="en-US"/>
        </w:rPr>
      </w:pPr>
      <w:r>
        <w:rPr>
          <w:rFonts w:hint="eastAsia" w:ascii="宋体" w:hAnsi="宋体" w:eastAsia="宋体" w:cs="Times New Roman"/>
          <w:kern w:val="0"/>
          <w:szCs w:val="21"/>
          <w:highlight w:val="none"/>
          <w:lang w:val="en-US" w:eastAsia="zh-CN" w:bidi="en-US"/>
        </w:rPr>
        <w:t>7.1.4</w:t>
      </w:r>
      <w:r>
        <w:rPr>
          <w:rFonts w:hint="eastAsia" w:ascii="宋体" w:hAnsi="宋体" w:eastAsia="宋体" w:cs="Times New Roman"/>
          <w:kern w:val="0"/>
          <w:szCs w:val="21"/>
          <w:highlight w:val="none"/>
          <w:lang w:bidi="en-US"/>
        </w:rPr>
        <w:t>负责</w:t>
      </w:r>
      <w:r>
        <w:rPr>
          <w:rFonts w:hint="eastAsia" w:ascii="宋体" w:hAnsi="宋体" w:eastAsia="宋体" w:cs="Times New Roman"/>
          <w:kern w:val="0"/>
          <w:szCs w:val="21"/>
          <w:highlight w:val="none"/>
          <w:lang w:val="en-US" w:eastAsia="zh-CN" w:bidi="en-US"/>
        </w:rPr>
        <w:t>中标人</w:t>
      </w:r>
      <w:r>
        <w:rPr>
          <w:rFonts w:hint="eastAsia" w:ascii="宋体" w:hAnsi="宋体" w:eastAsia="宋体" w:cs="Times New Roman"/>
          <w:kern w:val="0"/>
          <w:szCs w:val="21"/>
          <w:highlight w:val="none"/>
          <w:lang w:bidi="en-US"/>
        </w:rPr>
        <w:t>与其它相关单位的工作协调。</w:t>
      </w:r>
    </w:p>
    <w:bookmarkEnd w:id="89"/>
    <w:bookmarkEnd w:id="90"/>
    <w:bookmarkEnd w:id="91"/>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val="en-US" w:eastAsia="zh-CN" w:bidi="en-US"/>
        </w:rPr>
      </w:pPr>
      <w:bookmarkStart w:id="92" w:name="_Toc481057023"/>
      <w:bookmarkStart w:id="93" w:name="_Toc476231824"/>
      <w:bookmarkStart w:id="94" w:name="_Toc476231327"/>
      <w:r>
        <w:rPr>
          <w:rFonts w:hint="eastAsia" w:ascii="宋体" w:hAnsi="宋体" w:eastAsia="宋体" w:cs="Times New Roman"/>
          <w:kern w:val="0"/>
          <w:szCs w:val="21"/>
          <w:highlight w:val="none"/>
          <w:lang w:val="en-US" w:eastAsia="zh-CN" w:bidi="en-US"/>
        </w:rPr>
        <w:t>7.2中标人责任</w:t>
      </w:r>
      <w:bookmarkEnd w:id="92"/>
      <w:bookmarkEnd w:id="93"/>
      <w:bookmarkEnd w:id="94"/>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val="en-US" w:eastAsia="zh-CN" w:bidi="en-US"/>
        </w:rPr>
      </w:pPr>
      <w:bookmarkStart w:id="95" w:name="_Toc366188142"/>
      <w:bookmarkStart w:id="96" w:name="_Toc366184161"/>
      <w:bookmarkStart w:id="97" w:name="_Toc476231825"/>
      <w:bookmarkStart w:id="98" w:name="_Toc366184425"/>
      <w:bookmarkStart w:id="99" w:name="_Toc366184205"/>
      <w:bookmarkStart w:id="100" w:name="_Toc481057024"/>
      <w:bookmarkStart w:id="101" w:name="_Toc476231328"/>
      <w:bookmarkStart w:id="102" w:name="_Toc366188305"/>
      <w:r>
        <w:rPr>
          <w:rFonts w:hint="eastAsia" w:ascii="宋体" w:hAnsi="宋体" w:eastAsia="宋体" w:cs="Times New Roman"/>
          <w:kern w:val="0"/>
          <w:szCs w:val="21"/>
          <w:highlight w:val="none"/>
          <w:lang w:val="en-US" w:eastAsia="zh-CN" w:bidi="en-US"/>
        </w:rPr>
        <w:t>7.2.1中标人应保证方案编制严格执行甲方对可行性研究报告编制的工期、深度、进度等要求，并确保编制质量和通过专家评审；负责技术咨询过程中组织专家评审、会务等技术咨询相关事项；</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kern w:val="0"/>
          <w:szCs w:val="21"/>
          <w:highlight w:val="none"/>
          <w:lang w:val="en-US" w:eastAsia="zh-CN" w:bidi="en-US"/>
        </w:rPr>
      </w:pPr>
      <w:r>
        <w:rPr>
          <w:rFonts w:hint="eastAsia" w:ascii="宋体" w:hAnsi="宋体" w:eastAsia="宋体" w:cs="Times New Roman"/>
          <w:kern w:val="0"/>
          <w:szCs w:val="21"/>
          <w:highlight w:val="none"/>
          <w:lang w:val="en-US" w:eastAsia="zh-CN" w:bidi="en-US"/>
        </w:rPr>
        <w:t>7.2.2遵守招标人现场管理要求。</w:t>
      </w:r>
    </w:p>
    <w:bookmarkEnd w:id="95"/>
    <w:bookmarkEnd w:id="96"/>
    <w:bookmarkEnd w:id="97"/>
    <w:bookmarkEnd w:id="98"/>
    <w:bookmarkEnd w:id="99"/>
    <w:bookmarkEnd w:id="100"/>
    <w:bookmarkEnd w:id="101"/>
    <w:bookmarkEnd w:id="102"/>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Times New Roman"/>
          <w:kern w:val="0"/>
          <w:szCs w:val="21"/>
          <w:highlight w:val="none"/>
          <w:lang w:val="en-US" w:eastAsia="zh-CN" w:bidi="en-US"/>
        </w:rPr>
        <w:t>7.2.3承担因方案编制不合格而返工费用，因中标人的责任而造成工期延误，承担违约责任。</w:t>
      </w:r>
      <w:r>
        <w:rPr>
          <w:rFonts w:hint="eastAsia" w:ascii="宋体" w:hAnsi="宋体" w:eastAsia="宋体" w:cs="宋体"/>
          <w:b/>
          <w:bCs/>
          <w:color w:val="000000"/>
          <w:kern w:val="0"/>
          <w:sz w:val="28"/>
          <w:szCs w:val="28"/>
          <w:highlight w:val="none"/>
          <w:u w:color="000000"/>
          <w:lang w:val="en-US" w:eastAsia="zh-CN" w:bidi="ar"/>
        </w:rPr>
        <w:br w:type="page"/>
      </w: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spacing w:line="5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lang w:val="en-US" w:eastAsia="zh-CN"/>
        </w:rPr>
        <w:t>招标</w:t>
      </w:r>
      <w:r>
        <w:rPr>
          <w:rFonts w:hint="eastAsia" w:ascii="宋体" w:hAnsi="宋体" w:cs="宋体"/>
          <w:szCs w:val="21"/>
          <w:highlight w:val="none"/>
        </w:rPr>
        <w:t>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pPr>
        <w:spacing w:line="5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pPr>
        <w:spacing w:line="400" w:lineRule="exact"/>
        <w:ind w:right="-433" w:rightChars="-206" w:firstLine="420" w:firstLineChars="200"/>
        <w:jc w:val="left"/>
        <w:rPr>
          <w:rFonts w:hint="eastAsia" w:ascii="宋体" w:hAnsi="宋体" w:cs="宋体"/>
          <w:szCs w:val="21"/>
          <w:highlight w:val="none"/>
        </w:rPr>
      </w:pPr>
      <w:r>
        <w:rPr>
          <w:rFonts w:hint="eastAsia" w:ascii="宋体" w:hAnsi="宋体" w:cs="宋体"/>
          <w:szCs w:val="21"/>
          <w:highlight w:val="none"/>
        </w:rPr>
        <w:t>依照《中华人民共和国民法典》及其他有关法律、法规，遵循平等、自愿、公平和诚实信用的原则，双方就本此采购服务事项协商一致，订立本合同。</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1、项目名称：</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2、服务范围及内容：</w:t>
      </w:r>
      <w:r>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t>编制滁州至南京城际铁路（滁州段）车站屋顶及车辆段屋顶3MW分布式光伏发电项目可行性研究报告，并通过专家评审。</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按照《光伏发电工程可行性研究报告编制规程》（NB∕T 32043-2018）的要求，编制项目可行性研究报告，主要内容包括但不限于光资源分析、建筑结构及屋顶结构勘察、工程任务和规模、组件选型、布置及发电量估算、电气设计、土建工程设计、消防设计、施工组织设计、环境保护与水土保持、劳动安全与工业卫生、设计概算、财务评价与社会效果分析、节能降耗、工程招标等内容。</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default" w:ascii="宋体" w:hAnsi="宋体" w:eastAsia="宋体" w:cs="Times New Roman"/>
          <w:color w:val="000000" w:themeColor="text1"/>
          <w:kern w:val="0"/>
          <w:szCs w:val="21"/>
          <w:highlight w:val="none"/>
          <w:lang w:val="en-US" w:eastAsia="zh-CN" w:bidi="en-US"/>
          <w14:textFill>
            <w14:solidFill>
              <w14:schemeClr w14:val="tx1"/>
            </w14:solidFill>
          </w14:textFill>
        </w:rPr>
      </w:pPr>
      <w:r>
        <w:rPr>
          <w:rFonts w:hint="eastAsia" w:ascii="宋体" w:hAnsi="宋体" w:eastAsia="宋体" w:cs="Times New Roman"/>
          <w:color w:val="000000" w:themeColor="text1"/>
          <w:kern w:val="0"/>
          <w:szCs w:val="21"/>
          <w:highlight w:val="none"/>
          <w:lang w:eastAsia="zh-CN" w:bidi="en-US"/>
          <w14:textFill>
            <w14:solidFill>
              <w14:schemeClr w14:val="tx1"/>
            </w14:solidFill>
          </w14:textFill>
        </w:rPr>
        <w:t>3、</w:t>
      </w:r>
      <w:r>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t>编制周期：</w:t>
      </w:r>
      <w:r>
        <w:rPr>
          <w:rFonts w:hint="eastAsia" w:ascii="宋体" w:hAnsi="宋体" w:eastAsia="宋体" w:cs="Times New Roman"/>
          <w:kern w:val="0"/>
          <w:szCs w:val="21"/>
          <w:highlight w:val="none"/>
          <w:lang w:bidi="en-US"/>
        </w:rPr>
        <w:t>合同签订后1</w:t>
      </w:r>
      <w:r>
        <w:rPr>
          <w:rFonts w:ascii="宋体" w:hAnsi="宋体" w:eastAsia="宋体" w:cs="Times New Roman"/>
          <w:kern w:val="0"/>
          <w:szCs w:val="21"/>
          <w:highlight w:val="none"/>
          <w:lang w:bidi="en-US"/>
        </w:rPr>
        <w:t>4</w:t>
      </w:r>
      <w:r>
        <w:rPr>
          <w:rFonts w:hint="eastAsia" w:ascii="宋体" w:hAnsi="宋体" w:eastAsia="宋体" w:cs="Times New Roman"/>
          <w:kern w:val="0"/>
          <w:szCs w:val="21"/>
          <w:highlight w:val="none"/>
          <w:lang w:bidi="en-US"/>
        </w:rPr>
        <w:t>天内完成送审稿、20天内完成终稿及合同规定的工作内容。</w:t>
      </w:r>
    </w:p>
    <w:p>
      <w:pPr>
        <w:spacing w:line="520" w:lineRule="exact"/>
        <w:ind w:right="-433" w:rightChars="-206" w:firstLine="420" w:firstLineChars="200"/>
        <w:jc w:val="left"/>
        <w:rPr>
          <w:rFonts w:hint="eastAsia" w:ascii="宋体" w:hAnsi="宋体" w:cs="宋体"/>
          <w:b/>
          <w:bCs/>
          <w:szCs w:val="21"/>
          <w:highlight w:val="none"/>
        </w:rPr>
      </w:pPr>
      <w:r>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t>4、</w:t>
      </w:r>
      <w:r>
        <w:rPr>
          <w:rFonts w:hint="eastAsia" w:ascii="宋体" w:hAnsi="宋体" w:cs="宋体"/>
          <w:szCs w:val="21"/>
          <w:highlight w:val="none"/>
        </w:rPr>
        <w:t>服务质量</w:t>
      </w:r>
    </w:p>
    <w:p>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cs="宋体"/>
          <w:szCs w:val="21"/>
          <w:highlight w:val="none"/>
          <w:lang w:eastAsia="zh-CN"/>
        </w:rPr>
      </w:pPr>
      <w:r>
        <w:rPr>
          <w:rFonts w:hint="eastAsia" w:ascii="宋体" w:hAnsi="宋体" w:cs="宋体"/>
          <w:szCs w:val="21"/>
          <w:highlight w:val="none"/>
          <w:lang w:eastAsia="zh-CN"/>
        </w:rPr>
        <w:t xml:space="preserve">4.1 </w:t>
      </w:r>
      <w:r>
        <w:rPr>
          <w:rFonts w:hint="eastAsia" w:ascii="宋体" w:hAnsi="宋体" w:eastAsia="宋体"/>
          <w:szCs w:val="21"/>
          <w:highlight w:val="none"/>
        </w:rPr>
        <w:t>编制的</w:t>
      </w:r>
      <w:r>
        <w:rPr>
          <w:rFonts w:hint="eastAsia" w:ascii="宋体" w:hAnsi="宋体" w:eastAsia="宋体" w:cs="Times New Roman"/>
          <w:kern w:val="0"/>
          <w:szCs w:val="21"/>
          <w:highlight w:val="none"/>
          <w:lang w:bidi="en-US"/>
        </w:rPr>
        <w:t>可行性研究报告</w:t>
      </w:r>
      <w:r>
        <w:rPr>
          <w:rFonts w:hint="eastAsia" w:ascii="宋体" w:hAnsi="宋体" w:eastAsia="宋体" w:cs="Times New Roman"/>
          <w:color w:val="000000" w:themeColor="text1"/>
          <w:kern w:val="0"/>
          <w:szCs w:val="21"/>
          <w:highlight w:val="none"/>
          <w:lang w:bidi="en-US"/>
          <w14:textFill>
            <w14:solidFill>
              <w14:schemeClr w14:val="tx1"/>
            </w14:solidFill>
          </w14:textFill>
        </w:rPr>
        <w:t>通过专家评审。</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5、合同价款及支付</w:t>
      </w:r>
    </w:p>
    <w:p>
      <w:pPr>
        <w:pStyle w:val="12"/>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5.1本工程合同价为：大写</w:t>
      </w:r>
      <w:r>
        <w:rPr>
          <w:rFonts w:hint="eastAsia" w:ascii="宋体" w:hAnsi="宋体" w:cs="宋体"/>
          <w:b/>
          <w:bCs/>
          <w:szCs w:val="21"/>
          <w:highlight w:val="none"/>
          <w:u w:val="single"/>
        </w:rPr>
        <w:t xml:space="preserve">：                小写：       元 </w:t>
      </w:r>
      <w:r>
        <w:rPr>
          <w:rFonts w:hint="eastAsia" w:ascii="宋体" w:hAnsi="宋体" w:cs="宋体"/>
          <w:b/>
          <w:bCs/>
          <w:szCs w:val="21"/>
          <w:highlight w:val="none"/>
        </w:rPr>
        <w:t>。</w:t>
      </w:r>
    </w:p>
    <w:p>
      <w:pPr>
        <w:pStyle w:val="12"/>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 xml:space="preserve">5.2本项目合同计价方式为固定总价。                </w:t>
      </w:r>
    </w:p>
    <w:p>
      <w:pPr>
        <w:pStyle w:val="12"/>
        <w:spacing w:line="5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5.3付款方式：</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6、双方一般权利和义务</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甲方权利和义务</w:t>
      </w:r>
    </w:p>
    <w:p>
      <w:pPr>
        <w:pStyle w:val="12"/>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 xml:space="preserve">6.1.1 </w:t>
      </w:r>
      <w:r>
        <w:rPr>
          <w:rFonts w:hint="eastAsia" w:ascii="宋体" w:hAnsi="宋体" w:eastAsia="宋体" w:cs="Times New Roman"/>
          <w:kern w:val="0"/>
          <w:szCs w:val="21"/>
          <w:highlight w:val="none"/>
          <w:lang w:bidi="en-US"/>
        </w:rPr>
        <w:t>负责对乙方服务管理的检查指导、监督与考核</w:t>
      </w:r>
      <w:r>
        <w:rPr>
          <w:rFonts w:hint="eastAsia" w:ascii="宋体" w:hAnsi="宋体" w:cs="宋体"/>
          <w:szCs w:val="21"/>
          <w:highlight w:val="none"/>
          <w:lang w:eastAsia="zh-CN"/>
        </w:rPr>
        <w:t>；</w:t>
      </w:r>
    </w:p>
    <w:p>
      <w:pPr>
        <w:pStyle w:val="12"/>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6.1.2</w:t>
      </w:r>
      <w:r>
        <w:rPr>
          <w:rFonts w:hint="eastAsia" w:ascii="宋体" w:hAnsi="宋体" w:eastAsia="宋体" w:cs="Times New Roman"/>
          <w:kern w:val="0"/>
          <w:szCs w:val="21"/>
          <w:highlight w:val="none"/>
          <w:lang w:bidi="en-US"/>
        </w:rPr>
        <w:t>负责制定并向乙方提供相关服务标准及其它相关资料</w:t>
      </w:r>
      <w:r>
        <w:rPr>
          <w:rFonts w:hint="eastAsia" w:ascii="宋体" w:hAnsi="宋体" w:eastAsia="宋体" w:cs="Times New Roman"/>
          <w:kern w:val="0"/>
          <w:szCs w:val="21"/>
          <w:highlight w:val="none"/>
          <w:lang w:eastAsia="zh-CN" w:bidi="en-US"/>
        </w:rPr>
        <w:t>；</w:t>
      </w:r>
    </w:p>
    <w:p>
      <w:pPr>
        <w:pStyle w:val="12"/>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eastAsia="宋体" w:cs="Times New Roman"/>
          <w:kern w:val="0"/>
          <w:szCs w:val="21"/>
          <w:highlight w:val="none"/>
          <w:lang w:bidi="en-US"/>
        </w:rPr>
        <w:t>负责审核乙方提供的服务计划</w:t>
      </w:r>
      <w:r>
        <w:rPr>
          <w:rFonts w:hint="eastAsia" w:ascii="宋体" w:hAnsi="宋体" w:eastAsia="宋体" w:cs="Times New Roman"/>
          <w:kern w:val="0"/>
          <w:szCs w:val="21"/>
          <w:highlight w:val="none"/>
          <w:lang w:eastAsia="zh-CN" w:bidi="en-US"/>
        </w:rPr>
        <w:t>；</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cs="Times New Roman" w:asciiTheme="minorEastAsia" w:hAnsiTheme="minorEastAsia"/>
          <w:kern w:val="0"/>
          <w:szCs w:val="21"/>
          <w:highlight w:val="none"/>
          <w:lang w:bidi="en-US"/>
        </w:rPr>
        <w:t>负责乙方与其它相关单位的工作协调</w:t>
      </w:r>
      <w:r>
        <w:rPr>
          <w:rFonts w:hint="eastAsia" w:ascii="宋体" w:hAnsi="宋体" w:cs="宋体"/>
          <w:szCs w:val="21"/>
          <w:highlight w:val="none"/>
        </w:rPr>
        <w:t>。</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   乙方权利和义务</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6.2.1 乙方应保证方案编制</w:t>
      </w:r>
      <w:r>
        <w:rPr>
          <w:rFonts w:hint="eastAsia" w:ascii="宋体" w:hAnsi="宋体" w:eastAsia="宋体" w:cs="Times New Roman"/>
          <w:kern w:val="0"/>
          <w:szCs w:val="21"/>
          <w:highlight w:val="none"/>
          <w:lang w:bidi="en-US"/>
        </w:rPr>
        <w:t>严格执行甲方对可行性研究报告编制的工期、深度、进度等要求</w:t>
      </w:r>
      <w:r>
        <w:rPr>
          <w:rFonts w:hint="eastAsia" w:ascii="宋体" w:hAnsi="宋体" w:cs="宋体"/>
          <w:szCs w:val="21"/>
          <w:highlight w:val="none"/>
        </w:rPr>
        <w:t>，并确保编制质量和</w:t>
      </w:r>
      <w:r>
        <w:rPr>
          <w:rFonts w:hint="eastAsia" w:ascii="宋体" w:hAnsi="宋体" w:cs="宋体"/>
          <w:szCs w:val="21"/>
          <w:highlight w:val="none"/>
          <w:lang w:val="en-US" w:eastAsia="zh-CN"/>
        </w:rPr>
        <w:t>通过专家评审</w:t>
      </w:r>
      <w:r>
        <w:rPr>
          <w:rFonts w:hint="eastAsia" w:ascii="宋体" w:hAnsi="宋体" w:cs="宋体"/>
          <w:szCs w:val="21"/>
          <w:highlight w:val="none"/>
        </w:rPr>
        <w:t>；负责技术咨询过程中组织专家评审、会务等技术咨询相关事项；</w:t>
      </w:r>
    </w:p>
    <w:p>
      <w:pPr>
        <w:pStyle w:val="12"/>
        <w:spacing w:line="52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 xml:space="preserve">6.2.2 </w:t>
      </w:r>
      <w:r>
        <w:rPr>
          <w:rFonts w:ascii="宋体" w:hAnsi="宋体" w:eastAsia="宋体" w:cs="Times New Roman"/>
          <w:kern w:val="0"/>
          <w:szCs w:val="21"/>
          <w:highlight w:val="none"/>
          <w:lang w:bidi="en-US"/>
        </w:rPr>
        <w:t>遵守甲方现场管理要求</w:t>
      </w:r>
      <w:r>
        <w:rPr>
          <w:rFonts w:hint="eastAsia" w:ascii="宋体" w:hAnsi="宋体" w:eastAsia="宋体" w:cs="Times New Roman"/>
          <w:kern w:val="0"/>
          <w:szCs w:val="21"/>
          <w:highlight w:val="none"/>
          <w:lang w:eastAsia="zh-CN" w:bidi="en-US"/>
        </w:rPr>
        <w:t>；</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6.2.3</w:t>
      </w:r>
      <w:r>
        <w:rPr>
          <w:rFonts w:hint="eastAsia" w:ascii="宋体" w:hAnsi="宋体" w:cs="宋体"/>
          <w:szCs w:val="21"/>
          <w:highlight w:val="none"/>
        </w:rPr>
        <w:t>承担因方案编制不合格而返工费用，因乙方的责任而造成工期延误，承担违约责任；</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w:t>
      </w:r>
      <w:r>
        <w:rPr>
          <w:rFonts w:hint="eastAsia" w:ascii="宋体" w:hAnsi="宋体" w:cs="宋体"/>
          <w:szCs w:val="21"/>
          <w:highlight w:val="none"/>
          <w:lang w:val="en-US" w:eastAsia="zh-CN"/>
        </w:rPr>
        <w:t>4</w:t>
      </w:r>
      <w:r>
        <w:rPr>
          <w:rFonts w:hint="eastAsia" w:ascii="宋体" w:hAnsi="宋体" w:cs="宋体"/>
          <w:szCs w:val="21"/>
          <w:highlight w:val="none"/>
        </w:rPr>
        <w:t xml:space="preserve"> 乙方对未尽事宜应提前两天向甲方提出；</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w:t>
      </w:r>
      <w:r>
        <w:rPr>
          <w:rFonts w:hint="eastAsia" w:ascii="宋体" w:hAnsi="宋体" w:cs="宋体"/>
          <w:szCs w:val="21"/>
          <w:highlight w:val="none"/>
          <w:lang w:val="en-US" w:eastAsia="zh-CN"/>
        </w:rPr>
        <w:t>5</w:t>
      </w:r>
      <w:r>
        <w:rPr>
          <w:rFonts w:hint="eastAsia" w:ascii="宋体" w:hAnsi="宋体" w:cs="宋体"/>
          <w:szCs w:val="21"/>
          <w:highlight w:val="none"/>
        </w:rPr>
        <w:t xml:space="preserve">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7、甲方相关验收标准（包括但不限于）</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7.1《中华人民共和国可再生能源法》(2009年修订)；</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7.2《中华人民共和国土地管理法》(1986年6月通过，1998年12月第一次修订，2004年8月第二次修订)；</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7.3《中华人民共和国土地管理法实施条例》(2014年7月修正版)；</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7.4《中华人民共和国水土保持法》(1991.06.29颁布，2010.12.25修订，2011年3月1日实施)；</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7.5《中华人民共和国文物保护法》(2015年4月24日修正)；</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7.6《中华人民共和国环境保护法(修订)》，2015年1月1日；</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7.7《中华人民共和国环境影响评价法》(2002年10月颁布，2016年9月1日修改))；</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7.8《中华人民共和国自然保护区条例》(1994年10月颁布，2011年1月修订)；</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7.9《风景名胜区条例》(2006年9月颁布，2016年2月6日修订)；</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7.10《光伏发电工程可行性研究报告编制规程 》(NB∕T 32043-2018)；</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7.11《电网调度管理条例》(1993年11月颁布，2011年1月8日修正)；</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7.12《建设项目选址规划管理办法》(建设部、国家计委1991年8月颁发)；</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7.13《中国地震动参数区划图》GB 18306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7.14《太阳能资源等级总辐射》GB/T 31155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7.15《光伏发电站设计规范》GB 50797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7.16《光伏发电工程设计概算编制规定及费用标准》NB/T 32027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7.17《光伏发电工程勘察设计费计算标准》NB/T 32030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7.18《光伏发电工程概算定额》NB/T 32035</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7.19《岩土工程勘察规范》 GB 50021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7.20《建筑施工企业职业病危害防治技术规范》AQ/T 4256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7.21《中华人民共和国安全生产法》（2014年12月1日施行）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7.22《生产过程安全卫生要求总则》GB/T 12801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7.23《生产经营单位安全生产事故应急预案编制导则》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7.24《生产安全事故应急预案管理办法》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7.25《企业安全生产应急管理九条规定》（国家安监局第74号令） </w:t>
      </w:r>
    </w:p>
    <w:p>
      <w:pPr>
        <w:pStyle w:val="12"/>
        <w:spacing w:line="52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因项目执行需要，甲方向乙方提供气象数据、场址范围、区域敏感因素等资料，乙方应遵守对资料的保密、保管要求。乙方未经甲方同意，不得将资料转给第三方。</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8、</w:t>
      </w:r>
      <w:r>
        <w:rPr>
          <w:rFonts w:hint="eastAsia" w:ascii="宋体" w:hAnsi="宋体" w:cs="宋体"/>
          <w:b/>
          <w:bCs/>
          <w:szCs w:val="21"/>
          <w:highlight w:val="none"/>
        </w:rPr>
        <w:t>安全责任</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.1  甲方不得要求乙方违反安全管理的规定，因甲方原因等导致安全事故由甲方承担相应的责任及发生的费用。</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.2  乙方应遵守有关管理制度，采取必要的安全措施，消除事故隐患，由于乙方安全措施不力造成事故责任和因此发生的费用由乙方承担。</w:t>
      </w:r>
    </w:p>
    <w:p>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9</w:t>
      </w:r>
      <w:r>
        <w:rPr>
          <w:rFonts w:hint="eastAsia" w:ascii="宋体" w:hAnsi="宋体" w:cs="宋体"/>
          <w:b/>
          <w:bCs/>
          <w:szCs w:val="21"/>
          <w:highlight w:val="none"/>
        </w:rPr>
        <w:t>、违约责任</w:t>
      </w:r>
    </w:p>
    <w:p>
      <w:pPr>
        <w:pStyle w:val="12"/>
        <w:spacing w:line="52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.1   甲方违约：当发生下列情况时：</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.1.1  甲方不履行合同义务或不按合同约定履行义务的其他情况；</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.2   乙方违约：当发生下列情况时</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.2.1  由于乙方原因质量达不到协议书约定的质量标准，乙方无条件返工并承担损失和违约责任；</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.2.2  由于乙方不履行合同义务或不按合同约定履行义务的其他情况；</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.2.3  乙方承担违约责任，赔偿其因其违约给甲方造成的直接经济损失。</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.3    一方违约后， 另一方要求违约方继续履行合同时，违约方承担上述违约责任后，仍继续履行合同。</w:t>
      </w:r>
    </w:p>
    <w:p>
      <w:pPr>
        <w:spacing w:line="480" w:lineRule="exact"/>
        <w:ind w:right="-433" w:rightChars="-206" w:firstLine="422" w:firstLineChars="200"/>
        <w:jc w:val="left"/>
        <w:rPr>
          <w:rFonts w:hint="eastAsia" w:ascii="宋体" w:hAnsi="宋体" w:cs="宋体"/>
          <w:b/>
          <w:bCs/>
          <w:szCs w:val="21"/>
          <w:highlight w:val="none"/>
          <w:lang w:val="zh-CN"/>
        </w:rPr>
      </w:pPr>
      <w:bookmarkStart w:id="103" w:name="_Toc15583"/>
      <w:bookmarkStart w:id="104" w:name="_Toc16021"/>
      <w:bookmarkStart w:id="105" w:name="_Toc28375"/>
      <w:r>
        <w:rPr>
          <w:rFonts w:hint="eastAsia" w:ascii="宋体" w:hAnsi="宋体" w:cs="宋体"/>
          <w:b/>
          <w:bCs/>
          <w:szCs w:val="21"/>
          <w:highlight w:val="none"/>
          <w:lang w:val="zh-CN"/>
        </w:rPr>
        <w:t>1</w:t>
      </w:r>
      <w:r>
        <w:rPr>
          <w:rFonts w:hint="eastAsia" w:ascii="宋体" w:hAnsi="宋体" w:cs="宋体"/>
          <w:b/>
          <w:bCs/>
          <w:szCs w:val="21"/>
          <w:highlight w:val="none"/>
          <w:lang w:val="en-US" w:eastAsia="zh-CN"/>
        </w:rPr>
        <w:t>0、</w:t>
      </w:r>
      <w:r>
        <w:rPr>
          <w:rFonts w:hint="eastAsia" w:ascii="宋体" w:hAnsi="宋体" w:cs="宋体"/>
          <w:b/>
          <w:bCs/>
          <w:szCs w:val="21"/>
          <w:highlight w:val="none"/>
          <w:lang w:val="zh-CN"/>
        </w:rPr>
        <w:t>合同争议的解决</w:t>
      </w:r>
      <w:bookmarkEnd w:id="103"/>
      <w:bookmarkEnd w:id="104"/>
      <w:bookmarkEnd w:id="105"/>
    </w:p>
    <w:p>
      <w:pPr>
        <w:pStyle w:val="12"/>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zCs w:val="21"/>
          <w:highlight w:val="none"/>
          <w:u w:val="single"/>
        </w:rPr>
        <w:t>1</w:t>
      </w:r>
      <w:r>
        <w:rPr>
          <w:rFonts w:hint="eastAsia" w:ascii="宋体" w:hAnsi="宋体" w:eastAsia="宋体" w:cs="宋体"/>
          <w:szCs w:val="21"/>
          <w:highlight w:val="none"/>
        </w:rPr>
        <w:t>种方式解决：</w:t>
      </w:r>
    </w:p>
    <w:p>
      <w:pPr>
        <w:pStyle w:val="12"/>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10.1</w:t>
      </w:r>
      <w:r>
        <w:rPr>
          <w:rFonts w:hint="eastAsia" w:ascii="宋体" w:hAnsi="宋体" w:eastAsia="宋体" w:cs="宋体"/>
          <w:szCs w:val="21"/>
          <w:highlight w:val="none"/>
        </w:rPr>
        <w:t>.1将争议提交滁州仲裁委员会依申请仲裁时其现行有效的仲裁规则裁决；</w:t>
      </w:r>
    </w:p>
    <w:p>
      <w:pPr>
        <w:pStyle w:val="12"/>
        <w:spacing w:line="480" w:lineRule="exact"/>
        <w:ind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10.1</w:t>
      </w:r>
      <w:r>
        <w:rPr>
          <w:rFonts w:hint="eastAsia" w:ascii="宋体" w:hAnsi="宋体" w:eastAsia="宋体" w:cs="宋体"/>
          <w:szCs w:val="21"/>
          <w:highlight w:val="none"/>
        </w:rPr>
        <w:t>.1向甲方（</w:t>
      </w: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人）所在地人民法院起诉。</w:t>
      </w:r>
    </w:p>
    <w:p>
      <w:pPr>
        <w:spacing w:line="48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11</w:t>
      </w:r>
      <w:r>
        <w:rPr>
          <w:rFonts w:hint="eastAsia" w:ascii="宋体" w:hAnsi="宋体" w:cs="宋体"/>
          <w:b/>
          <w:bCs/>
          <w:szCs w:val="21"/>
          <w:highlight w:val="none"/>
        </w:rPr>
        <w:t>、合同生效及其它</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11</w:t>
      </w:r>
      <w:r>
        <w:rPr>
          <w:rFonts w:hint="eastAsia" w:ascii="宋体" w:hAnsi="宋体" w:cs="宋体"/>
          <w:szCs w:val="21"/>
          <w:highlight w:val="none"/>
        </w:rPr>
        <w:t>.1  本合同发生的相关图纸、技术资料、传真等纸质材料是本合同的组成部分，与本合同具有同等法律效力。</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11</w:t>
      </w:r>
      <w:r>
        <w:rPr>
          <w:rFonts w:hint="eastAsia" w:ascii="宋体" w:hAnsi="宋体" w:cs="宋体"/>
          <w:szCs w:val="21"/>
          <w:highlight w:val="none"/>
        </w:rPr>
        <w:t>.2   未尽事宜，双方在合同执行时协商解决。</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11</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 xml:space="preserve">   本合同规定的责任和义务、付款结清后，本合同及告终止。</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11</w:t>
      </w:r>
      <w:r>
        <w:rPr>
          <w:rFonts w:hint="eastAsia" w:ascii="宋体" w:hAnsi="宋体" w:cs="宋体"/>
          <w:szCs w:val="21"/>
          <w:highlight w:val="none"/>
        </w:rPr>
        <w:t>.</w:t>
      </w:r>
      <w:r>
        <w:rPr>
          <w:rFonts w:hint="eastAsia" w:ascii="宋体" w:hAnsi="宋体" w:cs="宋体"/>
          <w:szCs w:val="21"/>
          <w:highlight w:val="none"/>
          <w:lang w:val="en-US" w:eastAsia="zh-CN"/>
        </w:rPr>
        <w:t xml:space="preserve">4 </w:t>
      </w:r>
      <w:r>
        <w:rPr>
          <w:rFonts w:hint="eastAsia" w:ascii="宋体" w:hAnsi="宋体" w:cs="宋体"/>
          <w:szCs w:val="21"/>
          <w:highlight w:val="none"/>
        </w:rPr>
        <w:t xml:space="preserve">  甲乙双方法定代表人或其委托代理人在合同书上签名并盖单位公章后合同生效。</w:t>
      </w:r>
    </w:p>
    <w:p>
      <w:pPr>
        <w:pStyle w:val="12"/>
        <w:spacing w:line="48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val="en-US" w:eastAsia="zh-CN"/>
        </w:rPr>
        <w:t>11</w:t>
      </w:r>
      <w:r>
        <w:rPr>
          <w:rFonts w:hint="eastAsia" w:ascii="宋体" w:hAnsi="宋体" w:cs="宋体"/>
          <w:szCs w:val="21"/>
          <w:highlight w:val="none"/>
          <w:lang w:eastAsia="zh-CN"/>
        </w:rPr>
        <w:t>.</w:t>
      </w:r>
      <w:r>
        <w:rPr>
          <w:rFonts w:hint="eastAsia" w:ascii="宋体" w:hAnsi="宋体" w:cs="宋体"/>
          <w:szCs w:val="21"/>
          <w:highlight w:val="none"/>
          <w:lang w:val="en-US" w:eastAsia="zh-CN"/>
        </w:rPr>
        <w:t>5</w:t>
      </w:r>
      <w:r>
        <w:rPr>
          <w:rFonts w:hint="eastAsia" w:ascii="宋体" w:hAnsi="宋体" w:cs="宋体"/>
          <w:szCs w:val="21"/>
          <w:highlight w:val="none"/>
          <w:lang w:eastAsia="zh-CN"/>
        </w:rPr>
        <w:t xml:space="preserve">   本合同正本一式</w:t>
      </w:r>
      <w:r>
        <w:rPr>
          <w:rFonts w:hint="eastAsia" w:ascii="宋体" w:hAnsi="宋体" w:cs="宋体"/>
          <w:szCs w:val="21"/>
          <w:highlight w:val="none"/>
          <w:u w:val="single"/>
          <w:lang w:eastAsia="zh-CN"/>
        </w:rPr>
        <w:t xml:space="preserve"> </w:t>
      </w:r>
      <w:r>
        <w:rPr>
          <w:rFonts w:hint="eastAsia" w:ascii="宋体" w:hAnsi="宋体" w:cs="宋体"/>
          <w:szCs w:val="21"/>
          <w:highlight w:val="none"/>
          <w:u w:val="single"/>
          <w:lang w:val="en-US" w:eastAsia="zh-CN"/>
        </w:rPr>
        <w:t>捌</w:t>
      </w:r>
      <w:r>
        <w:rPr>
          <w:rFonts w:hint="eastAsia" w:ascii="宋体" w:hAnsi="宋体" w:cs="宋体"/>
          <w:szCs w:val="21"/>
          <w:highlight w:val="none"/>
          <w:u w:val="single"/>
          <w:lang w:eastAsia="zh-CN"/>
        </w:rPr>
        <w:t xml:space="preserve">  </w:t>
      </w:r>
      <w:r>
        <w:rPr>
          <w:rFonts w:hint="eastAsia" w:ascii="宋体" w:hAnsi="宋体" w:cs="宋体"/>
          <w:szCs w:val="21"/>
          <w:highlight w:val="none"/>
          <w:lang w:eastAsia="zh-CN"/>
        </w:rPr>
        <w:t>份，甲乙双方各执</w:t>
      </w:r>
      <w:r>
        <w:rPr>
          <w:rFonts w:hint="eastAsia" w:ascii="宋体" w:hAnsi="宋体" w:cs="宋体"/>
          <w:szCs w:val="21"/>
          <w:highlight w:val="none"/>
          <w:u w:val="single"/>
          <w:lang w:eastAsia="zh-CN"/>
        </w:rPr>
        <w:t xml:space="preserve"> 肆 </w:t>
      </w:r>
      <w:r>
        <w:rPr>
          <w:rFonts w:hint="eastAsia" w:ascii="宋体" w:hAnsi="宋体" w:cs="宋体"/>
          <w:szCs w:val="21"/>
          <w:highlight w:val="none"/>
          <w:lang w:eastAsia="zh-CN"/>
        </w:rPr>
        <w:t>份。</w:t>
      </w:r>
    </w:p>
    <w:p>
      <w:pPr>
        <w:pStyle w:val="12"/>
        <w:spacing w:line="480" w:lineRule="exact"/>
        <w:ind w:firstLine="420" w:firstLineChars="200"/>
        <w:jc w:val="left"/>
        <w:rPr>
          <w:rFonts w:hint="eastAsia" w:ascii="宋体" w:hAnsi="宋体" w:cs="宋体"/>
          <w:szCs w:val="21"/>
          <w:highlight w:val="none"/>
        </w:rPr>
      </w:pP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甲 方：  (公章)                       乙 方：  (公章)                                 </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（签字）                             （签字）</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组织机构代码：</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组织机构代码：             </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地  址：                  </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邮政编码：                  </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电  话：                     </w:t>
      </w:r>
    </w:p>
    <w:p>
      <w:pPr>
        <w:pStyle w:val="12"/>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                                      开户银行：                   </w:t>
      </w:r>
    </w:p>
    <w:p>
      <w:pPr>
        <w:spacing w:line="480" w:lineRule="exact"/>
        <w:ind w:firstLine="420" w:firstLineChars="200"/>
        <w:rPr>
          <w:rFonts w:hint="eastAsia" w:ascii="宋体" w:hAnsi="宋体" w:cs="宋体"/>
          <w:highlight w:val="none"/>
        </w:rPr>
      </w:pPr>
      <w:r>
        <w:rPr>
          <w:rFonts w:hint="eastAsia" w:ascii="宋体" w:hAnsi="宋体" w:cs="宋体"/>
          <w:szCs w:val="21"/>
          <w:highlight w:val="none"/>
        </w:rPr>
        <w:t xml:space="preserve">                                    账   号：</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6"/>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06" w:name="_Toc21573"/>
      <w:bookmarkEnd w:id="106"/>
      <w:bookmarkStart w:id="107"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107"/>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108" w:name="_Toc19336_WPSOffice_Level2"/>
      <w:bookmarkEnd w:id="108"/>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09" w:name="_Toc7180_WPSOffice_Level3"/>
      <w:bookmarkEnd w:id="109"/>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1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6"/>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10" w:name="_Toc14710_WPSOffice_Level1"/>
      <w:bookmarkEnd w:id="110"/>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（3）</w:t>
      </w:r>
      <w:r>
        <w:rPr>
          <w:rFonts w:hint="eastAsia" w:ascii="宋体" w:hAnsi="宋体" w:cs="宋体-18030"/>
          <w:szCs w:val="21"/>
          <w:highlight w:val="none"/>
          <w:lang w:val="en-US" w:eastAsia="zh-CN"/>
        </w:rPr>
        <w:t>投标人有效资质证书；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Calibri" w:hAnsi="宋体" w:eastAsia="宋体" w:cs="Times New Roman"/>
          <w:color w:val="auto"/>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（4）拟派项目负责人有效身份证扫描件及职称证书（或注册证书）；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rPr>
      </w:pPr>
      <w:r>
        <w:rPr>
          <w:rFonts w:hint="eastAsia" w:ascii="宋体" w:hAnsi="宋体" w:eastAsia="宋体" w:cs="宋体"/>
          <w:color w:val="000000"/>
          <w:kern w:val="2"/>
          <w:sz w:val="21"/>
          <w:szCs w:val="21"/>
          <w:highlight w:val="none"/>
          <w:u w:color="000000"/>
          <w:lang w:val="en-US" w:eastAsia="zh-CN" w:bidi="ar"/>
        </w:rPr>
        <w:t>（5）投标人近三年内(2019年1月1日至今）未发生重大勘察设计质量问题承诺书（格式自拟）；</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6</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7</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8）资信评分所需材料；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9）</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111" w:name="_Toc6019_WPSOffice_Level1"/>
      <w:bookmarkEnd w:id="111"/>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采购需求及服务要求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18"/>
        <w:rPr>
          <w:rFonts w:hint="eastAsia"/>
          <w:highlight w:val="none"/>
          <w:lang w:val="en-US" w:eastAsia="zh-CN"/>
        </w:rPr>
      </w:pPr>
    </w:p>
    <w:p>
      <w:pPr>
        <w:rPr>
          <w:rFonts w:hint="eastAsia"/>
          <w:highlight w:val="none"/>
          <w:lang w:val="en-US" w:eastAsia="zh-CN"/>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112" w:name="_Toc27638_WPSOffice_Level2"/>
      <w:bookmarkEnd w:id="112"/>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6"/>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1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3"/>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3"/>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17"/>
        <w:widowControl/>
        <w:spacing w:before="0" w:beforeAutospacing="0" w:after="0" w:afterAutospacing="0" w:line="375" w:lineRule="atLeast"/>
        <w:ind w:left="0" w:right="0"/>
        <w:jc w:val="center"/>
        <w:outlineLvl w:val="0"/>
        <w:rPr>
          <w:b/>
          <w:bCs w:val="0"/>
          <w:sz w:val="32"/>
          <w:szCs w:val="32"/>
          <w:highlight w:val="none"/>
          <w:lang w:val="en-US"/>
        </w:rPr>
      </w:pPr>
      <w:bookmarkStart w:id="113" w:name="_Toc6275_WPSOffice_Level1"/>
      <w:bookmarkEnd w:id="113"/>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19"/>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滁州至南京城际铁路（滁州段）车站屋顶及车辆段屋顶3MW分布式光伏发电项目可行性研究报告编制项目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2022年12月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18"/>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2022年12月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14334ED5"/>
    <w:rsid w:val="16C05D7A"/>
    <w:rsid w:val="1E474369"/>
    <w:rsid w:val="1FBE5586"/>
    <w:rsid w:val="21FC6157"/>
    <w:rsid w:val="222D5B93"/>
    <w:rsid w:val="287E4991"/>
    <w:rsid w:val="327B27F4"/>
    <w:rsid w:val="40585B1F"/>
    <w:rsid w:val="41C76417"/>
    <w:rsid w:val="42AB7679"/>
    <w:rsid w:val="440F4D94"/>
    <w:rsid w:val="44121234"/>
    <w:rsid w:val="47DC16A5"/>
    <w:rsid w:val="4B8A2C90"/>
    <w:rsid w:val="4C3857CB"/>
    <w:rsid w:val="4F522371"/>
    <w:rsid w:val="58A954F1"/>
    <w:rsid w:val="5AB972A9"/>
    <w:rsid w:val="5AC41FE9"/>
    <w:rsid w:val="5D7002D3"/>
    <w:rsid w:val="604D11B9"/>
    <w:rsid w:val="62C47C43"/>
    <w:rsid w:val="6509245E"/>
    <w:rsid w:val="668A652A"/>
    <w:rsid w:val="6EA934B6"/>
    <w:rsid w:val="706E041E"/>
    <w:rsid w:val="75843174"/>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1">
    <w:name w:val="Default Paragraph Font"/>
    <w:semiHidden/>
    <w:qFormat/>
    <w:uiPriority w:val="0"/>
  </w:style>
  <w:style w:type="table" w:default="1" w:styleId="19">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3"/>
    <w:basedOn w:val="1"/>
    <w:qFormat/>
    <w:uiPriority w:val="0"/>
    <w:rPr>
      <w:rFonts w:ascii="宋体" w:hAnsi="Calibri" w:eastAsia="宋体" w:cs="Times New Roman"/>
      <w:sz w:val="24"/>
      <w:szCs w:val="20"/>
    </w:rPr>
  </w:style>
  <w:style w:type="paragraph" w:styleId="7">
    <w:name w:val="Body Text"/>
    <w:basedOn w:val="1"/>
    <w:next w:val="8"/>
    <w:qFormat/>
    <w:uiPriority w:val="0"/>
    <w:pPr>
      <w:widowControl w:val="0"/>
      <w:snapToGrid w:val="0"/>
      <w:spacing w:line="360" w:lineRule="auto"/>
    </w:pPr>
    <w:rPr>
      <w:rFonts w:ascii="Arial" w:hAnsi="Arial" w:eastAsia="仿宋_GB2312"/>
      <w:sz w:val="31"/>
    </w:rPr>
  </w:style>
  <w:style w:type="paragraph" w:customStyle="1" w:styleId="8">
    <w:name w:val="xl27"/>
    <w:basedOn w:val="1"/>
    <w:next w:val="9"/>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9">
    <w:name w:val="A正文"/>
    <w:basedOn w:val="1"/>
    <w:qFormat/>
    <w:uiPriority w:val="0"/>
    <w:pPr>
      <w:widowControl/>
      <w:overflowPunct w:val="0"/>
      <w:autoSpaceDE w:val="0"/>
      <w:autoSpaceDN w:val="0"/>
      <w:jc w:val="left"/>
      <w:textAlignment w:val="baseline"/>
    </w:pPr>
  </w:style>
  <w:style w:type="paragraph" w:styleId="10">
    <w:name w:val="Body Text Indent"/>
    <w:basedOn w:val="1"/>
    <w:next w:val="11"/>
    <w:link w:val="23"/>
    <w:qFormat/>
    <w:uiPriority w:val="0"/>
    <w:pPr>
      <w:spacing w:after="120" w:afterLines="0" w:afterAutospacing="0"/>
      <w:ind w:left="420" w:leftChars="200"/>
    </w:pPr>
  </w:style>
  <w:style w:type="paragraph" w:styleId="11">
    <w:name w:val="envelope return"/>
    <w:basedOn w:val="1"/>
    <w:next w:val="4"/>
    <w:qFormat/>
    <w:uiPriority w:val="0"/>
    <w:pPr>
      <w:snapToGrid w:val="0"/>
    </w:pPr>
    <w:rPr>
      <w:rFonts w:ascii="Arial" w:hAnsi="Arial"/>
    </w:rPr>
  </w:style>
  <w:style w:type="paragraph" w:styleId="12">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3">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4">
    <w:name w:val="footer"/>
    <w:basedOn w:val="1"/>
    <w:link w:val="29"/>
    <w:qFormat/>
    <w:uiPriority w:val="0"/>
    <w:pPr>
      <w:tabs>
        <w:tab w:val="center" w:pos="4153"/>
        <w:tab w:val="right" w:pos="8306"/>
      </w:tabs>
      <w:snapToGrid w:val="0"/>
      <w:jc w:val="left"/>
    </w:pPr>
    <w:rPr>
      <w:sz w:val="18"/>
    </w:rPr>
  </w:style>
  <w:style w:type="paragraph" w:styleId="15">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7">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8">
    <w:name w:val="Body Text First Indent 2"/>
    <w:basedOn w:val="10"/>
    <w:next w:val="1"/>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正文文字 8"/>
    <w:basedOn w:val="1"/>
    <w:next w:val="1"/>
    <w:qFormat/>
    <w:uiPriority w:val="0"/>
    <w:pPr>
      <w:ind w:left="240"/>
    </w:pPr>
    <w:rPr>
      <w:sz w:val="16"/>
    </w:rPr>
  </w:style>
  <w:style w:type="character" w:customStyle="1" w:styleId="23">
    <w:name w:val="正文文本缩进 Char"/>
    <w:basedOn w:val="21"/>
    <w:link w:val="10"/>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18"/>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1"/>
    <w:link w:val="13"/>
    <w:qFormat/>
    <w:uiPriority w:val="0"/>
    <w:rPr>
      <w:rFonts w:ascii="Arial" w:hAnsi="Arial" w:eastAsia="仿宋_GB2312" w:cs="Arial"/>
      <w:color w:val="000000"/>
      <w:sz w:val="32"/>
      <w:szCs w:val="32"/>
      <w:u w:color="000000"/>
    </w:rPr>
  </w:style>
  <w:style w:type="character" w:customStyle="1" w:styleId="26">
    <w:name w:val="标题 2 Char"/>
    <w:basedOn w:val="21"/>
    <w:link w:val="3"/>
    <w:qFormat/>
    <w:uiPriority w:val="0"/>
    <w:rPr>
      <w:rFonts w:hint="default" w:ascii="Times New Roman" w:hAnsi="Times New Roman" w:eastAsia="宋体" w:cs="Times New Roman"/>
      <w:kern w:val="0"/>
      <w:sz w:val="24"/>
      <w:szCs w:val="24"/>
    </w:rPr>
  </w:style>
  <w:style w:type="character" w:customStyle="1" w:styleId="27">
    <w:name w:val="页眉 Char"/>
    <w:basedOn w:val="21"/>
    <w:link w:val="15"/>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1"/>
    <w:link w:val="12"/>
    <w:qFormat/>
    <w:uiPriority w:val="0"/>
    <w:rPr>
      <w:rFonts w:hint="eastAsia" w:ascii="宋体" w:hAnsi="宋体" w:eastAsia="宋体" w:cs="宋体"/>
      <w:szCs w:val="21"/>
    </w:rPr>
  </w:style>
  <w:style w:type="character" w:customStyle="1" w:styleId="29">
    <w:name w:val="页脚 Char"/>
    <w:basedOn w:val="21"/>
    <w:link w:val="14"/>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1"/>
    <w:qFormat/>
    <w:uiPriority w:val="0"/>
    <w:rPr>
      <w:rFonts w:hint="eastAsia" w:ascii="宋体" w:hAnsi="宋体" w:eastAsia="宋体" w:cs="宋体"/>
      <w:color w:val="000000"/>
      <w:sz w:val="22"/>
      <w:szCs w:val="22"/>
      <w:u w:val="none"/>
    </w:rPr>
  </w:style>
  <w:style w:type="character" w:customStyle="1" w:styleId="36">
    <w:name w:val="font31"/>
    <w:basedOn w:val="21"/>
    <w:qFormat/>
    <w:uiPriority w:val="0"/>
    <w:rPr>
      <w:rFonts w:hint="default" w:ascii="Times New Roman" w:hAnsi="Times New Roman" w:cs="Times New Roman"/>
      <w:color w:val="000000"/>
      <w:sz w:val="22"/>
      <w:szCs w:val="22"/>
      <w:u w:val="none"/>
    </w:rPr>
  </w:style>
  <w:style w:type="character" w:customStyle="1" w:styleId="37">
    <w:name w:val="font61"/>
    <w:basedOn w:val="21"/>
    <w:qFormat/>
    <w:uiPriority w:val="0"/>
    <w:rPr>
      <w:rFonts w:hint="default" w:ascii="Times New Roman" w:hAnsi="Times New Roman" w:cs="Times New Roman"/>
      <w:color w:val="000000"/>
      <w:sz w:val="21"/>
      <w:szCs w:val="21"/>
      <w:u w:val="none"/>
    </w:rPr>
  </w:style>
  <w:style w:type="character" w:customStyle="1" w:styleId="38">
    <w:name w:val="font71"/>
    <w:basedOn w:val="21"/>
    <w:qFormat/>
    <w:uiPriority w:val="0"/>
    <w:rPr>
      <w:rFonts w:hint="eastAsia" w:ascii="宋体" w:hAnsi="宋体" w:eastAsia="宋体" w:cs="宋体"/>
      <w:color w:val="000000"/>
      <w:sz w:val="21"/>
      <w:szCs w:val="21"/>
      <w:u w:val="none"/>
    </w:rPr>
  </w:style>
  <w:style w:type="character" w:customStyle="1" w:styleId="39">
    <w:name w:val="font01"/>
    <w:basedOn w:val="21"/>
    <w:qFormat/>
    <w:uiPriority w:val="0"/>
    <w:rPr>
      <w:rFonts w:hint="eastAsia" w:ascii="宋体" w:hAnsi="宋体" w:eastAsia="宋体" w:cs="宋体"/>
      <w:color w:val="000000"/>
      <w:sz w:val="22"/>
      <w:szCs w:val="22"/>
      <w:u w:val="none"/>
    </w:rPr>
  </w:style>
  <w:style w:type="paragraph" w:customStyle="1" w:styleId="40">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19447</Words>
  <Characters>21161</Characters>
  <Lines>0</Lines>
  <Paragraphs>0</Paragraphs>
  <TotalTime>0</TotalTime>
  <ScaleCrop>false</ScaleCrop>
  <LinksUpToDate>false</LinksUpToDate>
  <CharactersWithSpaces>23559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2022-12-08T14:58:43Z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6D9A791FE09F4AF69DC46F4A104A7358</vt:lpwstr>
  </property>
</Properties>
</file>